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BC109D"/>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BC109D" w:rsidP="00BC109D">
            <w:pPr>
              <w:jc w:val="right"/>
            </w:pPr>
            <w:r w:rsidRPr="00BC109D">
              <w:rPr>
                <w:sz w:val="40"/>
              </w:rPr>
              <w:t>E</w:t>
            </w:r>
            <w:r>
              <w:t>/C.12/EST/Q/3/Add.1</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BC109D" w:rsidP="0002432E">
            <w:pPr>
              <w:spacing w:before="240"/>
            </w:pPr>
            <w:r>
              <w:t>Distr. générale</w:t>
            </w:r>
          </w:p>
          <w:p w:rsidR="00BC109D" w:rsidRDefault="00BC109D" w:rsidP="00BC109D">
            <w:pPr>
              <w:spacing w:line="240" w:lineRule="exact"/>
            </w:pPr>
            <w:r>
              <w:t>18 décembre 2018</w:t>
            </w:r>
          </w:p>
          <w:p w:rsidR="00BC109D" w:rsidRDefault="00BC109D" w:rsidP="00BC109D">
            <w:pPr>
              <w:spacing w:line="240" w:lineRule="exact"/>
            </w:pPr>
            <w:r>
              <w:t>Français</w:t>
            </w:r>
          </w:p>
          <w:p w:rsidR="00BC109D" w:rsidRDefault="00BC109D" w:rsidP="00BC109D">
            <w:pPr>
              <w:spacing w:line="240" w:lineRule="exact"/>
            </w:pPr>
            <w:r>
              <w:t>Original : anglais</w:t>
            </w:r>
          </w:p>
          <w:p w:rsidR="00BC109D" w:rsidRPr="00DB58B5" w:rsidRDefault="00BC109D" w:rsidP="00BC109D">
            <w:pPr>
              <w:spacing w:line="240" w:lineRule="exact"/>
            </w:pPr>
            <w:r>
              <w:t>Anglais, espagnol et français seulement</w:t>
            </w:r>
          </w:p>
        </w:tc>
      </w:tr>
    </w:tbl>
    <w:p w:rsidR="00970CB8" w:rsidRPr="00E4666C" w:rsidRDefault="00970CB8" w:rsidP="00B127FF">
      <w:pPr>
        <w:spacing w:before="120"/>
        <w:rPr>
          <w:b/>
          <w:sz w:val="24"/>
          <w:szCs w:val="24"/>
        </w:rPr>
      </w:pPr>
      <w:r w:rsidRPr="00E4666C">
        <w:rPr>
          <w:b/>
          <w:sz w:val="24"/>
          <w:szCs w:val="24"/>
        </w:rPr>
        <w:t>Comité des droits économiques, sociaux et culturels</w:t>
      </w:r>
    </w:p>
    <w:p w:rsidR="00970CB8" w:rsidRPr="00CB2CDF" w:rsidRDefault="00970CB8" w:rsidP="00B127FF">
      <w:pPr>
        <w:rPr>
          <w:b/>
        </w:rPr>
      </w:pPr>
      <w:r>
        <w:rPr>
          <w:b/>
        </w:rPr>
        <w:t xml:space="preserve">Soixante-cinquième </w:t>
      </w:r>
      <w:r w:rsidRPr="00CB2CDF">
        <w:rPr>
          <w:b/>
        </w:rPr>
        <w:t>session</w:t>
      </w:r>
    </w:p>
    <w:p w:rsidR="00970CB8" w:rsidRDefault="00970CB8" w:rsidP="00B127FF">
      <w:r>
        <w:t>18 février-8 mars 2019</w:t>
      </w:r>
    </w:p>
    <w:p w:rsidR="00970CB8" w:rsidRPr="00692634" w:rsidRDefault="00970CB8" w:rsidP="00970CB8">
      <w:pPr>
        <w:rPr>
          <w:lang w:val="fr-FR"/>
        </w:rPr>
      </w:pPr>
      <w:r>
        <w:rPr>
          <w:lang w:val="fr-FR"/>
        </w:rPr>
        <w:t>Point 7 a) de l’ordre du jour provisoire</w:t>
      </w:r>
    </w:p>
    <w:p w:rsidR="00970CB8" w:rsidRPr="00692634" w:rsidRDefault="00970CB8" w:rsidP="00970CB8">
      <w:pPr>
        <w:rPr>
          <w:b/>
          <w:bCs/>
          <w:lang w:val="fr-FR"/>
        </w:rPr>
      </w:pPr>
      <w:r>
        <w:rPr>
          <w:b/>
          <w:bCs/>
          <w:lang w:val="fr-FR"/>
        </w:rPr>
        <w:t xml:space="preserve">Examen des rapports : rapports soumis par les États parties </w:t>
      </w:r>
      <w:r>
        <w:rPr>
          <w:b/>
          <w:bCs/>
          <w:lang w:val="fr-FR"/>
        </w:rPr>
        <w:br/>
        <w:t>en application des articles 16 et 17 du Pacte</w:t>
      </w:r>
    </w:p>
    <w:p w:rsidR="00970CB8" w:rsidRPr="00692634" w:rsidRDefault="00970CB8" w:rsidP="00970CB8">
      <w:pPr>
        <w:pStyle w:val="HChG"/>
        <w:rPr>
          <w:lang w:val="fr-FR"/>
        </w:rPr>
      </w:pPr>
      <w:r>
        <w:rPr>
          <w:lang w:val="fr-FR"/>
        </w:rPr>
        <w:tab/>
      </w:r>
      <w:r>
        <w:rPr>
          <w:lang w:val="fr-FR"/>
        </w:rPr>
        <w:tab/>
        <w:t xml:space="preserve">Liste de points concernant le troisième rapport périodique </w:t>
      </w:r>
      <w:r>
        <w:rPr>
          <w:lang w:val="fr-FR"/>
        </w:rPr>
        <w:br/>
        <w:t>de l’Estonie</w:t>
      </w:r>
    </w:p>
    <w:p w:rsidR="00970CB8" w:rsidRPr="00692634" w:rsidRDefault="00970CB8" w:rsidP="00970CB8">
      <w:pPr>
        <w:pStyle w:val="H23G"/>
        <w:rPr>
          <w:lang w:val="fr-FR"/>
        </w:rPr>
      </w:pPr>
      <w:r>
        <w:rPr>
          <w:lang w:val="fr-FR"/>
        </w:rPr>
        <w:tab/>
      </w:r>
      <w:r>
        <w:rPr>
          <w:lang w:val="fr-FR"/>
        </w:rPr>
        <w:tab/>
        <w:t>Additif</w:t>
      </w:r>
    </w:p>
    <w:p w:rsidR="00970CB8" w:rsidRPr="00692634" w:rsidRDefault="00970CB8" w:rsidP="00970CB8">
      <w:pPr>
        <w:pStyle w:val="H1G"/>
        <w:rPr>
          <w:lang w:val="fr-FR"/>
        </w:rPr>
      </w:pPr>
      <w:r>
        <w:rPr>
          <w:lang w:val="fr-FR"/>
        </w:rPr>
        <w:tab/>
      </w:r>
      <w:r>
        <w:rPr>
          <w:lang w:val="fr-FR"/>
        </w:rPr>
        <w:tab/>
        <w:t>Réponses de l’Estonie à la liste de points</w:t>
      </w:r>
      <w:r w:rsidRPr="006D3914">
        <w:rPr>
          <w:rStyle w:val="Appelnotedebasdep"/>
          <w:b w:val="0"/>
          <w:sz w:val="20"/>
          <w:vertAlign w:val="baseline"/>
        </w:rPr>
        <w:footnoteReference w:customMarkFollows="1" w:id="2"/>
        <w:t>*</w:t>
      </w:r>
    </w:p>
    <w:p w:rsidR="00BC109D" w:rsidRDefault="00970CB8" w:rsidP="00B74A88">
      <w:pPr>
        <w:pStyle w:val="SingleTxtG"/>
        <w:jc w:val="right"/>
      </w:pPr>
      <w:r>
        <w:rPr>
          <w:lang w:val="fr-FR"/>
        </w:rPr>
        <w:t>[Date de réception : 3 décembre 2018]</w:t>
      </w:r>
    </w:p>
    <w:p w:rsidR="00721B8A" w:rsidRPr="00692634" w:rsidRDefault="00970CB8" w:rsidP="00721B8A">
      <w:pPr>
        <w:pStyle w:val="HChG"/>
        <w:rPr>
          <w:lang w:val="fr-FR"/>
        </w:rPr>
      </w:pPr>
      <w:r>
        <w:br w:type="page"/>
      </w:r>
      <w:r w:rsidR="00721B8A">
        <w:lastRenderedPageBreak/>
        <w:tab/>
      </w:r>
      <w:r w:rsidR="00721B8A">
        <w:rPr>
          <w:lang w:val="fr-FR"/>
        </w:rPr>
        <w:t>I.</w:t>
      </w:r>
      <w:r w:rsidR="00721B8A">
        <w:rPr>
          <w:lang w:val="fr-FR"/>
        </w:rPr>
        <w:tab/>
        <w:t>Renseignements d’ordre général</w:t>
      </w:r>
    </w:p>
    <w:p w:rsidR="00721B8A" w:rsidRPr="00550B3B" w:rsidRDefault="00721B8A" w:rsidP="00B74A88">
      <w:pPr>
        <w:pStyle w:val="H1G"/>
      </w:pPr>
      <w:r>
        <w:rPr>
          <w:lang w:val="fr-FR"/>
        </w:rPr>
        <w:tab/>
      </w:r>
      <w:r>
        <w:rPr>
          <w:lang w:val="fr-FR"/>
        </w:rPr>
        <w:tab/>
        <w:t>Recours utiles</w:t>
      </w:r>
    </w:p>
    <w:p w:rsidR="00721B8A" w:rsidRPr="00692634" w:rsidRDefault="00721B8A" w:rsidP="00721B8A">
      <w:pPr>
        <w:pStyle w:val="SingleTxtG"/>
        <w:rPr>
          <w:lang w:val="fr-FR"/>
        </w:rPr>
      </w:pPr>
      <w:r>
        <w:rPr>
          <w:lang w:val="fr-FR"/>
        </w:rPr>
        <w:t>1.</w:t>
      </w:r>
      <w:r>
        <w:rPr>
          <w:lang w:val="fr-FR"/>
        </w:rPr>
        <w:tab/>
        <w:t xml:space="preserve">Quiconque dont les droits consacrés par le Pacte ont été violés par un organisme public ou par des autorités locales, ou par un de leurs agents, a le droit d’intenter une action devant un tribunal administratif. Conformément </w:t>
      </w:r>
      <w:r w:rsidR="00FF36A3">
        <w:rPr>
          <w:lang w:val="fr-FR"/>
        </w:rPr>
        <w:t>au paragraphe </w:t>
      </w:r>
      <w:r>
        <w:rPr>
          <w:lang w:val="fr-FR"/>
        </w:rPr>
        <w:t>2 de l’</w:t>
      </w:r>
      <w:r w:rsidR="00FF36A3">
        <w:rPr>
          <w:lang w:val="fr-FR"/>
        </w:rPr>
        <w:t>article </w:t>
      </w:r>
      <w:r w:rsidR="002C0DA8">
        <w:rPr>
          <w:lang w:val="fr-FR"/>
        </w:rPr>
        <w:t>37</w:t>
      </w:r>
      <w:r w:rsidR="006B28FF">
        <w:rPr>
          <w:lang w:val="fr-FR"/>
        </w:rPr>
        <w:t xml:space="preserve"> </w:t>
      </w:r>
      <w:r>
        <w:rPr>
          <w:lang w:val="fr-FR"/>
        </w:rPr>
        <w:t>du Code de procédure administrative, une telle action peut avoir pour objectif</w:t>
      </w:r>
      <w:r w:rsidR="00E02271">
        <w:rPr>
          <w:lang w:val="fr-FR"/>
        </w:rPr>
        <w:t> </w:t>
      </w:r>
      <w:r>
        <w:rPr>
          <w:lang w:val="fr-FR"/>
        </w:rPr>
        <w:t>: l’annulation totale ou partielle d’un acte administratif (recours en annulation</w:t>
      </w:r>
      <w:r w:rsidR="00E02271">
        <w:rPr>
          <w:lang w:val="fr-FR"/>
        </w:rPr>
        <w:t>) </w:t>
      </w:r>
      <w:r>
        <w:rPr>
          <w:lang w:val="fr-FR"/>
        </w:rPr>
        <w:t xml:space="preserve">; l’adoption d’un acte administratif ou l’imposition d’une mesure </w:t>
      </w:r>
      <w:r w:rsidRPr="00DB3E97">
        <w:rPr>
          <w:lang w:val="fr-FR"/>
        </w:rPr>
        <w:t>administrative (mesures obligatoires</w:t>
      </w:r>
      <w:r>
        <w:rPr>
          <w:lang w:val="fr-FR"/>
        </w:rPr>
        <w:t>)</w:t>
      </w:r>
      <w:r w:rsidR="00E02271">
        <w:rPr>
          <w:lang w:val="fr-FR"/>
        </w:rPr>
        <w:t> </w:t>
      </w:r>
      <w:r>
        <w:rPr>
          <w:lang w:val="fr-FR"/>
        </w:rPr>
        <w:t>; l’interdiction d’adopter un acte administratif donné ou d’imposer une mesure administrative donnée (action en interdiction</w:t>
      </w:r>
      <w:r w:rsidR="00E02271">
        <w:rPr>
          <w:lang w:val="fr-FR"/>
        </w:rPr>
        <w:t>) </w:t>
      </w:r>
      <w:r>
        <w:rPr>
          <w:lang w:val="fr-FR"/>
        </w:rPr>
        <w:t>; l’indemnisation d’un préjudice subi dans le cadre d’une relation de droit public (action en in</w:t>
      </w:r>
      <w:r w:rsidR="00E02271">
        <w:rPr>
          <w:lang w:val="fr-FR"/>
        </w:rPr>
        <w:t>demnisation) </w:t>
      </w:r>
      <w:r>
        <w:rPr>
          <w:lang w:val="fr-FR"/>
        </w:rPr>
        <w:t>; l’élimination des effets illégaux d’une mesure ou d’un acte admin</w:t>
      </w:r>
      <w:r w:rsidR="00E02271">
        <w:rPr>
          <w:lang w:val="fr-FR"/>
        </w:rPr>
        <w:t>istratif (action en réparation) </w:t>
      </w:r>
      <w:r>
        <w:rPr>
          <w:lang w:val="fr-FR"/>
        </w:rPr>
        <w:t>; l’adoption d’une déclaration reconnaissant la nullité d’un acte administratif ou le caractère illégal d’une mesure ou d’un acte administratif, ou établissant d’autres faits d’importance dans une relation de droit public (action déclaratoire).</w:t>
      </w:r>
    </w:p>
    <w:p w:rsidR="00721B8A" w:rsidRPr="00692634" w:rsidRDefault="00721B8A" w:rsidP="00721B8A">
      <w:pPr>
        <w:pStyle w:val="SingleTxtG"/>
        <w:rPr>
          <w:lang w:val="fr-FR"/>
        </w:rPr>
      </w:pPr>
      <w:r>
        <w:rPr>
          <w:lang w:val="fr-FR"/>
        </w:rPr>
        <w:t>2.</w:t>
      </w:r>
      <w:r>
        <w:rPr>
          <w:lang w:val="fr-FR"/>
        </w:rPr>
        <w:tab/>
        <w:t>Outre les tribunaux, des instances prud’homales, le Chancelier de justice et le Commissaire à l’égalité des sexes et à l’égalité de traitement offrent des voies de recours utiles aux personnes qui se disent victimes d’une violation de leurs droits économiques, sociaux et culturels.</w:t>
      </w:r>
    </w:p>
    <w:p w:rsidR="00721B8A" w:rsidRPr="00692634" w:rsidRDefault="00721B8A" w:rsidP="00721B8A">
      <w:pPr>
        <w:pStyle w:val="SingleTxtG"/>
        <w:rPr>
          <w:lang w:val="fr-FR"/>
        </w:rPr>
      </w:pPr>
      <w:r>
        <w:rPr>
          <w:lang w:val="fr-FR"/>
        </w:rPr>
        <w:t>3.</w:t>
      </w:r>
      <w:r>
        <w:rPr>
          <w:lang w:val="fr-FR"/>
        </w:rPr>
        <w:tab/>
        <w:t>Les droits de l’homme, y</w:t>
      </w:r>
      <w:r w:rsidR="00B74A88">
        <w:rPr>
          <w:lang w:val="fr-FR"/>
        </w:rPr>
        <w:t> </w:t>
      </w:r>
      <w:r w:rsidRPr="00DB3E97">
        <w:rPr>
          <w:lang w:val="fr-FR"/>
        </w:rPr>
        <w:t xml:space="preserve">compris les droits économiques, sociaux et culturels, </w:t>
      </w:r>
      <w:r>
        <w:rPr>
          <w:lang w:val="fr-FR"/>
        </w:rPr>
        <w:t>figurent</w:t>
      </w:r>
      <w:r w:rsidRPr="00DB3E97">
        <w:rPr>
          <w:lang w:val="fr-FR"/>
        </w:rPr>
        <w:t xml:space="preserve"> dans les programmes d</w:t>
      </w:r>
      <w:r>
        <w:rPr>
          <w:lang w:val="fr-FR"/>
        </w:rPr>
        <w:t>’</w:t>
      </w:r>
      <w:r w:rsidRPr="00DB3E97">
        <w:rPr>
          <w:lang w:val="fr-FR"/>
        </w:rPr>
        <w:t xml:space="preserve">études des avocats </w:t>
      </w:r>
      <w:r>
        <w:rPr>
          <w:lang w:val="fr-FR"/>
        </w:rPr>
        <w:t xml:space="preserve">et </w:t>
      </w:r>
      <w:r w:rsidRPr="00DB3E97">
        <w:rPr>
          <w:lang w:val="fr-FR"/>
        </w:rPr>
        <w:t>dans les programmes de formation en cours d</w:t>
      </w:r>
      <w:r>
        <w:rPr>
          <w:lang w:val="fr-FR"/>
        </w:rPr>
        <w:t>’</w:t>
      </w:r>
      <w:r w:rsidRPr="00DB3E97">
        <w:rPr>
          <w:lang w:val="fr-FR"/>
        </w:rPr>
        <w:t xml:space="preserve">emploi des juges, des procureurs, des </w:t>
      </w:r>
      <w:r>
        <w:rPr>
          <w:lang w:val="fr-FR"/>
        </w:rPr>
        <w:t>agents chargés</w:t>
      </w:r>
      <w:r w:rsidRPr="00DB3E97">
        <w:rPr>
          <w:lang w:val="fr-FR"/>
        </w:rPr>
        <w:t xml:space="preserve"> de l</w:t>
      </w:r>
      <w:r>
        <w:rPr>
          <w:lang w:val="fr-FR"/>
        </w:rPr>
        <w:t>’</w:t>
      </w:r>
      <w:r w:rsidRPr="00DB3E97">
        <w:rPr>
          <w:lang w:val="fr-FR"/>
        </w:rPr>
        <w:t>application des lois et des autres personnes travaillant dans des</w:t>
      </w:r>
      <w:r>
        <w:rPr>
          <w:lang w:val="fr-FR"/>
        </w:rPr>
        <w:t xml:space="preserve"> domaines connexes, par exemple les travailleurs sociaux, etc.</w:t>
      </w:r>
    </w:p>
    <w:p w:rsidR="00721B8A" w:rsidRPr="00692634" w:rsidRDefault="00721B8A" w:rsidP="00721B8A">
      <w:pPr>
        <w:pStyle w:val="SingleTxtG"/>
        <w:rPr>
          <w:lang w:val="fr-FR"/>
        </w:rPr>
      </w:pPr>
      <w:r>
        <w:rPr>
          <w:lang w:val="fr-FR"/>
        </w:rPr>
        <w:t>4.</w:t>
      </w:r>
      <w:r>
        <w:rPr>
          <w:lang w:val="fr-FR"/>
        </w:rPr>
        <w:tab/>
        <w:t>Voir également le point</w:t>
      </w:r>
      <w:r w:rsidR="00B74A88">
        <w:rPr>
          <w:lang w:val="fr-FR"/>
        </w:rPr>
        <w:t> </w:t>
      </w:r>
      <w:r>
        <w:rPr>
          <w:lang w:val="fr-FR"/>
        </w:rPr>
        <w:t>6.</w:t>
      </w:r>
    </w:p>
    <w:p w:rsidR="00721B8A" w:rsidRPr="00692634" w:rsidRDefault="00721B8A" w:rsidP="00B74A88">
      <w:pPr>
        <w:pStyle w:val="H1G"/>
        <w:rPr>
          <w:lang w:val="fr-FR"/>
        </w:rPr>
      </w:pPr>
      <w:r>
        <w:rPr>
          <w:lang w:val="fr-FR"/>
        </w:rPr>
        <w:tab/>
      </w:r>
      <w:r>
        <w:rPr>
          <w:lang w:val="fr-FR"/>
        </w:rPr>
        <w:tab/>
        <w:t xml:space="preserve">Bureau du Chancelier de justice </w:t>
      </w:r>
    </w:p>
    <w:p w:rsidR="00721B8A" w:rsidRPr="00692634" w:rsidRDefault="00721B8A" w:rsidP="00721B8A">
      <w:pPr>
        <w:pStyle w:val="SingleTxtG"/>
        <w:rPr>
          <w:lang w:val="fr-FR"/>
        </w:rPr>
      </w:pPr>
      <w:r>
        <w:rPr>
          <w:lang w:val="fr-FR"/>
        </w:rPr>
        <w:t>5.</w:t>
      </w:r>
      <w:r>
        <w:rPr>
          <w:lang w:val="fr-FR"/>
        </w:rPr>
        <w:tab/>
        <w:t>À compter du 1</w:t>
      </w:r>
      <w:r>
        <w:rPr>
          <w:vertAlign w:val="superscript"/>
          <w:lang w:val="fr-FR"/>
        </w:rPr>
        <w:t>er</w:t>
      </w:r>
      <w:r w:rsidR="00B74A88">
        <w:rPr>
          <w:lang w:val="fr-FR"/>
        </w:rPr>
        <w:t> </w:t>
      </w:r>
      <w:r>
        <w:rPr>
          <w:lang w:val="fr-FR"/>
        </w:rPr>
        <w:t>janvier 2019, le Chancelier de justice exercera la fonction d’institution nationale pour la promotion et la protection des droits de l’homme conformément aux Principes de Paris. Deux modifications ont été apportées à la loi sur le Chancelier de justice</w:t>
      </w:r>
      <w:r w:rsidRPr="000C524A">
        <w:rPr>
          <w:rStyle w:val="Appelnotedebasdep"/>
        </w:rPr>
        <w:footnoteReference w:id="3"/>
      </w:r>
      <w:r>
        <w:rPr>
          <w:lang w:val="fr-FR"/>
        </w:rPr>
        <w:t xml:space="preserve"> afin que celui-ci soit autorisé à promouvoir et à protéger les droits de l’homme conformément à la résolution</w:t>
      </w:r>
      <w:r w:rsidR="00B74A88">
        <w:rPr>
          <w:lang w:val="fr-FR"/>
        </w:rPr>
        <w:t> </w:t>
      </w:r>
      <w:r>
        <w:rPr>
          <w:lang w:val="fr-FR"/>
        </w:rPr>
        <w:t>48/134 de l’A</w:t>
      </w:r>
      <w:r w:rsidR="00B74A88">
        <w:rPr>
          <w:lang w:val="fr-FR"/>
        </w:rPr>
        <w:t>ssemblée générale en date du 20 </w:t>
      </w:r>
      <w:r>
        <w:rPr>
          <w:lang w:val="fr-FR"/>
        </w:rPr>
        <w:t>décembre 1993 intitulée « Institutions nationales pour la promotion et la protection des droits de l’homme », ainsi qu’à promouvoir, protéger et surveiller l’application de la Convention relative aux droits des personnes handicapées conformément au paragraphe</w:t>
      </w:r>
      <w:r w:rsidR="00B74A88">
        <w:rPr>
          <w:lang w:val="fr-FR"/>
        </w:rPr>
        <w:t> </w:t>
      </w:r>
      <w:r>
        <w:rPr>
          <w:lang w:val="fr-FR"/>
        </w:rPr>
        <w:t>2 de l’</w:t>
      </w:r>
      <w:r w:rsidR="00B74A88">
        <w:rPr>
          <w:lang w:val="fr-FR"/>
        </w:rPr>
        <w:t>article 33</w:t>
      </w:r>
      <w:r w:rsidR="008958D5">
        <w:rPr>
          <w:lang w:val="fr-FR"/>
        </w:rPr>
        <w:t xml:space="preserve"> </w:t>
      </w:r>
      <w:r>
        <w:rPr>
          <w:lang w:val="fr-FR"/>
        </w:rPr>
        <w:t>de la Convention. Toutes les autres exigences énoncées dans les Principes de Paris sont couvertes par les dispositions existantes de la loi su</w:t>
      </w:r>
      <w:r w:rsidR="00D25D00">
        <w:rPr>
          <w:lang w:val="fr-FR"/>
        </w:rPr>
        <w:t>r le </w:t>
      </w:r>
      <w:r>
        <w:rPr>
          <w:lang w:val="fr-FR"/>
        </w:rPr>
        <w:t>Chancelier de justice.</w:t>
      </w:r>
    </w:p>
    <w:p w:rsidR="00721B8A" w:rsidRPr="00692634" w:rsidRDefault="00B74A88" w:rsidP="00B74A88">
      <w:pPr>
        <w:pStyle w:val="HChG"/>
        <w:rPr>
          <w:lang w:val="fr-FR"/>
        </w:rPr>
      </w:pPr>
      <w:r>
        <w:rPr>
          <w:lang w:val="fr-FR"/>
        </w:rPr>
        <w:lastRenderedPageBreak/>
        <w:tab/>
        <w:t>II.</w:t>
      </w:r>
      <w:r w:rsidR="00721B8A">
        <w:rPr>
          <w:lang w:val="fr-FR"/>
        </w:rPr>
        <w:tab/>
        <w:t xml:space="preserve">Points relatifs aux dispositions générales du Pacte </w:t>
      </w:r>
      <w:r>
        <w:rPr>
          <w:lang w:val="fr-FR"/>
        </w:rPr>
        <w:br/>
      </w:r>
      <w:r w:rsidR="00721B8A">
        <w:rPr>
          <w:lang w:val="fr-FR"/>
        </w:rPr>
        <w:t>(</w:t>
      </w:r>
      <w:r>
        <w:rPr>
          <w:lang w:val="fr-FR"/>
        </w:rPr>
        <w:t>art. </w:t>
      </w:r>
      <w:r w:rsidR="00721B8A">
        <w:rPr>
          <w:lang w:val="fr-FR"/>
        </w:rPr>
        <w:t>1</w:t>
      </w:r>
      <w:r w:rsidR="00721B8A">
        <w:rPr>
          <w:vertAlign w:val="superscript"/>
          <w:lang w:val="fr-FR"/>
        </w:rPr>
        <w:t>er</w:t>
      </w:r>
      <w:r w:rsidR="00721B8A">
        <w:rPr>
          <w:lang w:val="fr-FR"/>
        </w:rPr>
        <w:t xml:space="preserve"> à 5)</w:t>
      </w:r>
    </w:p>
    <w:p w:rsidR="00721B8A" w:rsidRPr="00692634" w:rsidRDefault="00721B8A" w:rsidP="00B74A88">
      <w:pPr>
        <w:pStyle w:val="H1G"/>
        <w:rPr>
          <w:lang w:val="fr-FR"/>
        </w:rPr>
      </w:pPr>
      <w:r>
        <w:rPr>
          <w:lang w:val="fr-FR"/>
        </w:rPr>
        <w:tab/>
      </w:r>
      <w:r>
        <w:rPr>
          <w:lang w:val="fr-FR"/>
        </w:rPr>
        <w:tab/>
        <w:t>Maximum d</w:t>
      </w:r>
      <w:r w:rsidR="00B74A88">
        <w:rPr>
          <w:lang w:val="fr-FR"/>
        </w:rPr>
        <w:t>es ressources disponibles (art. 2, par. </w:t>
      </w:r>
      <w:r>
        <w:rPr>
          <w:lang w:val="fr-FR"/>
        </w:rPr>
        <w:t>1)</w:t>
      </w:r>
    </w:p>
    <w:p w:rsidR="00721B8A" w:rsidRPr="00692634" w:rsidRDefault="00B74A88" w:rsidP="00B74A88">
      <w:pPr>
        <w:pStyle w:val="H23G"/>
        <w:rPr>
          <w:lang w:val="fr-FR"/>
        </w:rPr>
      </w:pPr>
      <w:r>
        <w:rPr>
          <w:lang w:val="fr-FR"/>
        </w:rPr>
        <w:tab/>
        <w:t>a)</w:t>
      </w:r>
      <w:r>
        <w:rPr>
          <w:lang w:val="fr-FR"/>
        </w:rPr>
        <w:tab/>
      </w:r>
      <w:r w:rsidR="00721B8A">
        <w:rPr>
          <w:lang w:val="fr-FR"/>
        </w:rPr>
        <w:t>Pauvreté</w:t>
      </w:r>
    </w:p>
    <w:p w:rsidR="008958D5" w:rsidRPr="008958D5" w:rsidRDefault="00721B8A" w:rsidP="008958D5">
      <w:pPr>
        <w:pStyle w:val="H23G"/>
        <w:rPr>
          <w:lang w:val="fr-FR"/>
        </w:rPr>
      </w:pPr>
      <w:r>
        <w:rPr>
          <w:lang w:val="fr-FR"/>
        </w:rPr>
        <w:tab/>
      </w:r>
      <w:r>
        <w:rPr>
          <w:lang w:val="fr-FR"/>
        </w:rPr>
        <w:tab/>
        <w:t xml:space="preserve">Taux de risque de pauvreté (pauvreté relative) et taux de pauvreté absolue, </w:t>
      </w:r>
      <w:r w:rsidR="00B74A88">
        <w:rPr>
          <w:lang w:val="fr-FR"/>
        </w:rPr>
        <w:br/>
      </w:r>
      <w:r>
        <w:rPr>
          <w:lang w:val="fr-FR"/>
        </w:rPr>
        <w:t xml:space="preserve">années </w:t>
      </w:r>
      <w:r w:rsidR="00B74A88">
        <w:rPr>
          <w:lang w:val="fr-FR"/>
        </w:rPr>
        <w:t>2008-2016</w:t>
      </w:r>
      <w:r w:rsidR="008958D5">
        <w:rPr>
          <w:lang w:val="fr-FR"/>
        </w:rPr>
        <w:t xml:space="preserve"> </w:t>
      </w:r>
      <w:r w:rsidR="008958D5">
        <w:rPr>
          <w:lang w:val="fr-FR"/>
        </w:rPr>
        <w:br/>
      </w:r>
      <w:r w:rsidR="008958D5" w:rsidRPr="008958D5">
        <w:rPr>
          <w:b w:val="0"/>
          <w:sz w:val="16"/>
          <w:szCs w:val="16"/>
          <w:lang w:val="fr-FR"/>
        </w:rPr>
        <w:t>(En pourcentage)</w:t>
      </w:r>
    </w:p>
    <w:tbl>
      <w:tblPr>
        <w:tblW w:w="7370" w:type="dxa"/>
        <w:tblInd w:w="1134" w:type="dxa"/>
        <w:tblLayout w:type="fixed"/>
        <w:tblCellMar>
          <w:left w:w="0" w:type="dxa"/>
          <w:right w:w="0" w:type="dxa"/>
        </w:tblCellMar>
        <w:tblLook w:val="04A0" w:firstRow="1" w:lastRow="0" w:firstColumn="1" w:lastColumn="0" w:noHBand="0" w:noVBand="1"/>
      </w:tblPr>
      <w:tblGrid>
        <w:gridCol w:w="1351"/>
        <w:gridCol w:w="669"/>
        <w:gridCol w:w="669"/>
        <w:gridCol w:w="669"/>
        <w:gridCol w:w="668"/>
        <w:gridCol w:w="669"/>
        <w:gridCol w:w="669"/>
        <w:gridCol w:w="668"/>
        <w:gridCol w:w="669"/>
        <w:gridCol w:w="669"/>
      </w:tblGrid>
      <w:tr w:rsidR="006C1F40" w:rsidRPr="006C1F40" w:rsidTr="00880927">
        <w:trPr>
          <w:tblHeader/>
        </w:trPr>
        <w:tc>
          <w:tcPr>
            <w:tcW w:w="1351" w:type="dxa"/>
            <w:tcBorders>
              <w:top w:val="single" w:sz="4" w:space="0" w:color="auto"/>
              <w:bottom w:val="single" w:sz="12" w:space="0" w:color="auto"/>
            </w:tcBorders>
            <w:shd w:val="clear" w:color="auto" w:fill="auto"/>
            <w:noWrap/>
            <w:vAlign w:val="bottom"/>
            <w:hideMark/>
          </w:tcPr>
          <w:p w:rsidR="006C1F40" w:rsidRPr="006C1F40" w:rsidRDefault="006C1F40" w:rsidP="006C1F40">
            <w:pPr>
              <w:suppressAutoHyphens w:val="0"/>
              <w:spacing w:before="80" w:after="80" w:line="200" w:lineRule="exact"/>
              <w:rPr>
                <w:i/>
                <w:sz w:val="16"/>
                <w:lang w:val="fr-FR"/>
              </w:rPr>
            </w:pPr>
          </w:p>
        </w:tc>
        <w:tc>
          <w:tcPr>
            <w:tcW w:w="669" w:type="dxa"/>
            <w:tcBorders>
              <w:top w:val="single" w:sz="4" w:space="0" w:color="auto"/>
              <w:bottom w:val="single" w:sz="12" w:space="0" w:color="auto"/>
            </w:tcBorders>
            <w:shd w:val="clear" w:color="auto" w:fill="auto"/>
            <w:noWrap/>
            <w:vAlign w:val="bottom"/>
            <w:hideMark/>
          </w:tcPr>
          <w:p w:rsidR="006C1F40" w:rsidRPr="006C1F40" w:rsidRDefault="006C1F40" w:rsidP="006C1F40">
            <w:pPr>
              <w:suppressAutoHyphens w:val="0"/>
              <w:spacing w:before="80" w:after="80" w:line="200" w:lineRule="exact"/>
              <w:jc w:val="right"/>
              <w:rPr>
                <w:i/>
                <w:sz w:val="16"/>
              </w:rPr>
            </w:pPr>
            <w:r w:rsidRPr="006C1F40">
              <w:rPr>
                <w:i/>
                <w:iCs/>
                <w:sz w:val="16"/>
                <w:lang w:val="fr-FR"/>
              </w:rPr>
              <w:t>2008</w:t>
            </w:r>
          </w:p>
        </w:tc>
        <w:tc>
          <w:tcPr>
            <w:tcW w:w="669" w:type="dxa"/>
            <w:tcBorders>
              <w:top w:val="single" w:sz="4" w:space="0" w:color="auto"/>
              <w:bottom w:val="single" w:sz="12" w:space="0" w:color="auto"/>
            </w:tcBorders>
            <w:shd w:val="clear" w:color="auto" w:fill="auto"/>
            <w:noWrap/>
            <w:vAlign w:val="bottom"/>
            <w:hideMark/>
          </w:tcPr>
          <w:p w:rsidR="006C1F40" w:rsidRPr="006C1F40" w:rsidRDefault="006C1F40" w:rsidP="006C1F40">
            <w:pPr>
              <w:suppressAutoHyphens w:val="0"/>
              <w:spacing w:before="80" w:after="80" w:line="200" w:lineRule="exact"/>
              <w:jc w:val="right"/>
              <w:rPr>
                <w:i/>
                <w:sz w:val="16"/>
              </w:rPr>
            </w:pPr>
            <w:r w:rsidRPr="006C1F40">
              <w:rPr>
                <w:i/>
                <w:iCs/>
                <w:sz w:val="16"/>
                <w:lang w:val="fr-FR"/>
              </w:rPr>
              <w:t>2009</w:t>
            </w:r>
          </w:p>
        </w:tc>
        <w:tc>
          <w:tcPr>
            <w:tcW w:w="669" w:type="dxa"/>
            <w:tcBorders>
              <w:top w:val="single" w:sz="4" w:space="0" w:color="auto"/>
              <w:bottom w:val="single" w:sz="12" w:space="0" w:color="auto"/>
            </w:tcBorders>
            <w:shd w:val="clear" w:color="auto" w:fill="auto"/>
            <w:noWrap/>
            <w:vAlign w:val="bottom"/>
            <w:hideMark/>
          </w:tcPr>
          <w:p w:rsidR="006C1F40" w:rsidRPr="006C1F40" w:rsidRDefault="006C1F40" w:rsidP="006C1F40">
            <w:pPr>
              <w:suppressAutoHyphens w:val="0"/>
              <w:spacing w:before="80" w:after="80" w:line="200" w:lineRule="exact"/>
              <w:jc w:val="right"/>
              <w:rPr>
                <w:i/>
                <w:sz w:val="16"/>
              </w:rPr>
            </w:pPr>
            <w:r w:rsidRPr="006C1F40">
              <w:rPr>
                <w:i/>
                <w:iCs/>
                <w:sz w:val="16"/>
                <w:lang w:val="fr-FR"/>
              </w:rPr>
              <w:t>2010</w:t>
            </w:r>
          </w:p>
        </w:tc>
        <w:tc>
          <w:tcPr>
            <w:tcW w:w="668" w:type="dxa"/>
            <w:tcBorders>
              <w:top w:val="single" w:sz="4" w:space="0" w:color="auto"/>
              <w:bottom w:val="single" w:sz="12" w:space="0" w:color="auto"/>
            </w:tcBorders>
            <w:shd w:val="clear" w:color="auto" w:fill="auto"/>
            <w:noWrap/>
            <w:vAlign w:val="bottom"/>
            <w:hideMark/>
          </w:tcPr>
          <w:p w:rsidR="006C1F40" w:rsidRPr="006C1F40" w:rsidRDefault="006C1F40" w:rsidP="006C1F40">
            <w:pPr>
              <w:suppressAutoHyphens w:val="0"/>
              <w:spacing w:before="80" w:after="80" w:line="200" w:lineRule="exact"/>
              <w:jc w:val="right"/>
              <w:rPr>
                <w:i/>
                <w:sz w:val="16"/>
              </w:rPr>
            </w:pPr>
            <w:r w:rsidRPr="006C1F40">
              <w:rPr>
                <w:i/>
                <w:iCs/>
                <w:sz w:val="16"/>
                <w:lang w:val="fr-FR"/>
              </w:rPr>
              <w:t>2011</w:t>
            </w:r>
          </w:p>
        </w:tc>
        <w:tc>
          <w:tcPr>
            <w:tcW w:w="669" w:type="dxa"/>
            <w:tcBorders>
              <w:top w:val="single" w:sz="4" w:space="0" w:color="auto"/>
              <w:bottom w:val="single" w:sz="12" w:space="0" w:color="auto"/>
            </w:tcBorders>
            <w:shd w:val="clear" w:color="auto" w:fill="auto"/>
            <w:noWrap/>
            <w:vAlign w:val="bottom"/>
            <w:hideMark/>
          </w:tcPr>
          <w:p w:rsidR="006C1F40" w:rsidRPr="006C1F40" w:rsidRDefault="006C1F40" w:rsidP="006C1F40">
            <w:pPr>
              <w:suppressAutoHyphens w:val="0"/>
              <w:spacing w:before="80" w:after="80" w:line="200" w:lineRule="exact"/>
              <w:jc w:val="right"/>
              <w:rPr>
                <w:i/>
                <w:sz w:val="16"/>
              </w:rPr>
            </w:pPr>
            <w:r w:rsidRPr="006C1F40">
              <w:rPr>
                <w:i/>
                <w:iCs/>
                <w:sz w:val="16"/>
                <w:lang w:val="fr-FR"/>
              </w:rPr>
              <w:t>2012</w:t>
            </w:r>
          </w:p>
        </w:tc>
        <w:tc>
          <w:tcPr>
            <w:tcW w:w="669" w:type="dxa"/>
            <w:tcBorders>
              <w:top w:val="single" w:sz="4" w:space="0" w:color="auto"/>
              <w:bottom w:val="single" w:sz="12" w:space="0" w:color="auto"/>
            </w:tcBorders>
            <w:shd w:val="clear" w:color="auto" w:fill="auto"/>
            <w:noWrap/>
            <w:vAlign w:val="bottom"/>
            <w:hideMark/>
          </w:tcPr>
          <w:p w:rsidR="006C1F40" w:rsidRPr="006C1F40" w:rsidRDefault="006C1F40" w:rsidP="006C1F40">
            <w:pPr>
              <w:suppressAutoHyphens w:val="0"/>
              <w:spacing w:before="80" w:after="80" w:line="200" w:lineRule="exact"/>
              <w:jc w:val="right"/>
              <w:rPr>
                <w:i/>
                <w:sz w:val="16"/>
              </w:rPr>
            </w:pPr>
            <w:r w:rsidRPr="006C1F40">
              <w:rPr>
                <w:i/>
                <w:iCs/>
                <w:sz w:val="16"/>
                <w:lang w:val="fr-FR"/>
              </w:rPr>
              <w:t>2013</w:t>
            </w:r>
          </w:p>
        </w:tc>
        <w:tc>
          <w:tcPr>
            <w:tcW w:w="668" w:type="dxa"/>
            <w:tcBorders>
              <w:top w:val="single" w:sz="4" w:space="0" w:color="auto"/>
              <w:bottom w:val="single" w:sz="12" w:space="0" w:color="auto"/>
            </w:tcBorders>
            <w:shd w:val="clear" w:color="auto" w:fill="auto"/>
            <w:noWrap/>
            <w:vAlign w:val="bottom"/>
            <w:hideMark/>
          </w:tcPr>
          <w:p w:rsidR="006C1F40" w:rsidRPr="006C1F40" w:rsidRDefault="006C1F40" w:rsidP="006C1F40">
            <w:pPr>
              <w:suppressAutoHyphens w:val="0"/>
              <w:spacing w:before="80" w:after="80" w:line="200" w:lineRule="exact"/>
              <w:jc w:val="right"/>
              <w:rPr>
                <w:i/>
                <w:sz w:val="16"/>
              </w:rPr>
            </w:pPr>
            <w:r w:rsidRPr="006C1F40">
              <w:rPr>
                <w:i/>
                <w:iCs/>
                <w:sz w:val="16"/>
                <w:lang w:val="fr-FR"/>
              </w:rPr>
              <w:t>2014</w:t>
            </w:r>
          </w:p>
        </w:tc>
        <w:tc>
          <w:tcPr>
            <w:tcW w:w="669" w:type="dxa"/>
            <w:tcBorders>
              <w:top w:val="single" w:sz="4" w:space="0" w:color="auto"/>
              <w:bottom w:val="single" w:sz="12" w:space="0" w:color="auto"/>
            </w:tcBorders>
            <w:shd w:val="clear" w:color="auto" w:fill="auto"/>
            <w:noWrap/>
            <w:vAlign w:val="bottom"/>
            <w:hideMark/>
          </w:tcPr>
          <w:p w:rsidR="006C1F40" w:rsidRPr="006C1F40" w:rsidRDefault="006C1F40" w:rsidP="006C1F40">
            <w:pPr>
              <w:suppressAutoHyphens w:val="0"/>
              <w:spacing w:before="80" w:after="80" w:line="200" w:lineRule="exact"/>
              <w:jc w:val="right"/>
              <w:rPr>
                <w:i/>
                <w:sz w:val="16"/>
              </w:rPr>
            </w:pPr>
            <w:r w:rsidRPr="006C1F40">
              <w:rPr>
                <w:i/>
                <w:iCs/>
                <w:sz w:val="16"/>
                <w:lang w:val="fr-FR"/>
              </w:rPr>
              <w:t>2015</w:t>
            </w:r>
          </w:p>
        </w:tc>
        <w:tc>
          <w:tcPr>
            <w:tcW w:w="669" w:type="dxa"/>
            <w:tcBorders>
              <w:top w:val="single" w:sz="4" w:space="0" w:color="auto"/>
              <w:bottom w:val="single" w:sz="12" w:space="0" w:color="auto"/>
            </w:tcBorders>
            <w:shd w:val="clear" w:color="auto" w:fill="auto"/>
            <w:noWrap/>
            <w:vAlign w:val="bottom"/>
            <w:hideMark/>
          </w:tcPr>
          <w:p w:rsidR="006C1F40" w:rsidRPr="006C1F40" w:rsidRDefault="006C1F40" w:rsidP="006C1F40">
            <w:pPr>
              <w:suppressAutoHyphens w:val="0"/>
              <w:spacing w:before="80" w:after="80" w:line="200" w:lineRule="exact"/>
              <w:jc w:val="right"/>
              <w:rPr>
                <w:i/>
                <w:sz w:val="16"/>
              </w:rPr>
            </w:pPr>
            <w:r w:rsidRPr="006C1F40">
              <w:rPr>
                <w:i/>
                <w:iCs/>
                <w:sz w:val="16"/>
                <w:lang w:val="fr-FR"/>
              </w:rPr>
              <w:t>2016</w:t>
            </w:r>
          </w:p>
        </w:tc>
      </w:tr>
      <w:tr w:rsidR="006C1F40" w:rsidRPr="006C1F40" w:rsidTr="00880927">
        <w:tc>
          <w:tcPr>
            <w:tcW w:w="1351" w:type="dxa"/>
            <w:tcBorders>
              <w:top w:val="single" w:sz="12" w:space="0" w:color="auto"/>
            </w:tcBorders>
            <w:shd w:val="clear" w:color="auto" w:fill="auto"/>
            <w:hideMark/>
          </w:tcPr>
          <w:p w:rsidR="006C1F40" w:rsidRPr="006C1F40" w:rsidRDefault="006C1F40" w:rsidP="007F00F5">
            <w:pPr>
              <w:suppressAutoHyphens w:val="0"/>
              <w:spacing w:before="40" w:after="40" w:line="220" w:lineRule="exact"/>
              <w:rPr>
                <w:sz w:val="18"/>
                <w:lang w:val="fr-FR"/>
              </w:rPr>
            </w:pPr>
            <w:r w:rsidRPr="006C1F40">
              <w:rPr>
                <w:sz w:val="18"/>
                <w:lang w:val="fr-FR"/>
              </w:rPr>
              <w:t>Taux de risque de</w:t>
            </w:r>
            <w:r w:rsidR="007F00F5">
              <w:rPr>
                <w:sz w:val="18"/>
                <w:lang w:val="fr-FR"/>
              </w:rPr>
              <w:t> </w:t>
            </w:r>
            <w:r w:rsidRPr="006C1F40">
              <w:rPr>
                <w:sz w:val="18"/>
                <w:lang w:val="fr-FR"/>
              </w:rPr>
              <w:t>pauvreté</w:t>
            </w:r>
          </w:p>
        </w:tc>
        <w:tc>
          <w:tcPr>
            <w:tcW w:w="669" w:type="dxa"/>
            <w:tcBorders>
              <w:top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19,7</w:t>
            </w:r>
          </w:p>
        </w:tc>
        <w:tc>
          <w:tcPr>
            <w:tcW w:w="669" w:type="dxa"/>
            <w:tcBorders>
              <w:top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15,8</w:t>
            </w:r>
          </w:p>
        </w:tc>
        <w:tc>
          <w:tcPr>
            <w:tcW w:w="669" w:type="dxa"/>
            <w:tcBorders>
              <w:top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17,5</w:t>
            </w:r>
          </w:p>
        </w:tc>
        <w:tc>
          <w:tcPr>
            <w:tcW w:w="668" w:type="dxa"/>
            <w:tcBorders>
              <w:top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17,5</w:t>
            </w:r>
          </w:p>
        </w:tc>
        <w:tc>
          <w:tcPr>
            <w:tcW w:w="669" w:type="dxa"/>
            <w:tcBorders>
              <w:top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20,7</w:t>
            </w:r>
          </w:p>
        </w:tc>
        <w:tc>
          <w:tcPr>
            <w:tcW w:w="669" w:type="dxa"/>
            <w:tcBorders>
              <w:top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21,8</w:t>
            </w:r>
          </w:p>
        </w:tc>
        <w:tc>
          <w:tcPr>
            <w:tcW w:w="668" w:type="dxa"/>
            <w:tcBorders>
              <w:top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21,6</w:t>
            </w:r>
          </w:p>
        </w:tc>
        <w:tc>
          <w:tcPr>
            <w:tcW w:w="669" w:type="dxa"/>
            <w:tcBorders>
              <w:top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21,7</w:t>
            </w:r>
          </w:p>
        </w:tc>
        <w:tc>
          <w:tcPr>
            <w:tcW w:w="669" w:type="dxa"/>
            <w:tcBorders>
              <w:top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21,1</w:t>
            </w:r>
          </w:p>
        </w:tc>
      </w:tr>
      <w:tr w:rsidR="006C1F40" w:rsidRPr="006C1F40" w:rsidTr="00880927">
        <w:tc>
          <w:tcPr>
            <w:tcW w:w="1351" w:type="dxa"/>
            <w:tcBorders>
              <w:bottom w:val="single" w:sz="12" w:space="0" w:color="auto"/>
            </w:tcBorders>
            <w:shd w:val="clear" w:color="auto" w:fill="auto"/>
            <w:hideMark/>
          </w:tcPr>
          <w:p w:rsidR="006C1F40" w:rsidRPr="006C1F40" w:rsidRDefault="006C1F40" w:rsidP="008958D5">
            <w:pPr>
              <w:suppressAutoHyphens w:val="0"/>
              <w:spacing w:before="40" w:after="40" w:line="220" w:lineRule="exact"/>
              <w:rPr>
                <w:sz w:val="18"/>
              </w:rPr>
            </w:pPr>
            <w:r w:rsidRPr="006C1F40">
              <w:rPr>
                <w:sz w:val="18"/>
                <w:lang w:val="fr-FR"/>
              </w:rPr>
              <w:t>Taux de pauvreté absolue</w:t>
            </w:r>
          </w:p>
        </w:tc>
        <w:tc>
          <w:tcPr>
            <w:tcW w:w="669" w:type="dxa"/>
            <w:tcBorders>
              <w:bottom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4,7</w:t>
            </w:r>
          </w:p>
        </w:tc>
        <w:tc>
          <w:tcPr>
            <w:tcW w:w="669" w:type="dxa"/>
            <w:tcBorders>
              <w:bottom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6,3</w:t>
            </w:r>
          </w:p>
        </w:tc>
        <w:tc>
          <w:tcPr>
            <w:tcW w:w="669" w:type="dxa"/>
            <w:tcBorders>
              <w:bottom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8,7</w:t>
            </w:r>
          </w:p>
        </w:tc>
        <w:tc>
          <w:tcPr>
            <w:tcW w:w="668" w:type="dxa"/>
            <w:tcBorders>
              <w:bottom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8,1</w:t>
            </w:r>
          </w:p>
        </w:tc>
        <w:tc>
          <w:tcPr>
            <w:tcW w:w="669" w:type="dxa"/>
            <w:tcBorders>
              <w:bottom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8,4</w:t>
            </w:r>
          </w:p>
        </w:tc>
        <w:tc>
          <w:tcPr>
            <w:tcW w:w="669" w:type="dxa"/>
            <w:tcBorders>
              <w:bottom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7,6</w:t>
            </w:r>
          </w:p>
        </w:tc>
        <w:tc>
          <w:tcPr>
            <w:tcW w:w="668" w:type="dxa"/>
            <w:tcBorders>
              <w:bottom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6,3</w:t>
            </w:r>
          </w:p>
        </w:tc>
        <w:tc>
          <w:tcPr>
            <w:tcW w:w="669" w:type="dxa"/>
            <w:tcBorders>
              <w:bottom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4,3</w:t>
            </w:r>
          </w:p>
        </w:tc>
        <w:tc>
          <w:tcPr>
            <w:tcW w:w="669" w:type="dxa"/>
            <w:tcBorders>
              <w:bottom w:val="single" w:sz="12" w:space="0" w:color="auto"/>
            </w:tcBorders>
            <w:shd w:val="clear" w:color="auto" w:fill="auto"/>
            <w:noWrap/>
            <w:vAlign w:val="bottom"/>
            <w:hideMark/>
          </w:tcPr>
          <w:p w:rsidR="006C1F40" w:rsidRPr="006C1F40" w:rsidRDefault="006C1F40" w:rsidP="006C1F40">
            <w:pPr>
              <w:suppressAutoHyphens w:val="0"/>
              <w:spacing w:before="40" w:after="40" w:line="220" w:lineRule="exact"/>
              <w:jc w:val="right"/>
              <w:rPr>
                <w:sz w:val="18"/>
              </w:rPr>
            </w:pPr>
            <w:r w:rsidRPr="006C1F40">
              <w:rPr>
                <w:sz w:val="18"/>
                <w:lang w:val="fr-FR"/>
              </w:rPr>
              <w:t>3,3</w:t>
            </w:r>
          </w:p>
        </w:tc>
      </w:tr>
    </w:tbl>
    <w:p w:rsidR="006C1F40" w:rsidRDefault="00880927" w:rsidP="00880927">
      <w:pPr>
        <w:pStyle w:val="H23G"/>
        <w:rPr>
          <w:lang w:val="fr-FR"/>
        </w:rPr>
      </w:pPr>
      <w:r>
        <w:rPr>
          <w:lang w:val="fr-FR"/>
        </w:rPr>
        <w:tab/>
      </w:r>
      <w:r>
        <w:rPr>
          <w:lang w:val="fr-FR"/>
        </w:rPr>
        <w:tab/>
        <w:t>Taux de risque de pauvreté pour l’ensemble de la population par seuil de pauvreté, années 2008-2016</w:t>
      </w:r>
    </w:p>
    <w:tbl>
      <w:tblPr>
        <w:tblW w:w="8364" w:type="dxa"/>
        <w:tblInd w:w="1134" w:type="dxa"/>
        <w:tblLayout w:type="fixed"/>
        <w:tblCellMar>
          <w:left w:w="0" w:type="dxa"/>
          <w:right w:w="0" w:type="dxa"/>
        </w:tblCellMar>
        <w:tblLook w:val="04A0" w:firstRow="1" w:lastRow="0" w:firstColumn="1" w:lastColumn="0" w:noHBand="0" w:noVBand="1"/>
      </w:tblPr>
      <w:tblGrid>
        <w:gridCol w:w="2134"/>
        <w:gridCol w:w="692"/>
        <w:gridCol w:w="692"/>
        <w:gridCol w:w="692"/>
        <w:gridCol w:w="692"/>
        <w:gridCol w:w="693"/>
        <w:gridCol w:w="692"/>
        <w:gridCol w:w="692"/>
        <w:gridCol w:w="692"/>
        <w:gridCol w:w="693"/>
      </w:tblGrid>
      <w:tr w:rsidR="00914B1A" w:rsidRPr="00914B1A" w:rsidTr="0091124B">
        <w:trPr>
          <w:tblHeader/>
        </w:trPr>
        <w:tc>
          <w:tcPr>
            <w:tcW w:w="2134" w:type="dxa"/>
            <w:tcBorders>
              <w:top w:val="single" w:sz="4" w:space="0" w:color="auto"/>
              <w:bottom w:val="single" w:sz="12" w:space="0" w:color="auto"/>
            </w:tcBorders>
            <w:shd w:val="clear" w:color="auto" w:fill="auto"/>
            <w:noWrap/>
            <w:vAlign w:val="bottom"/>
            <w:hideMark/>
          </w:tcPr>
          <w:p w:rsidR="00914B1A" w:rsidRPr="00914B1A" w:rsidRDefault="00914B1A" w:rsidP="00914B1A">
            <w:pPr>
              <w:suppressAutoHyphens w:val="0"/>
              <w:spacing w:before="80" w:after="80" w:line="200" w:lineRule="exact"/>
              <w:rPr>
                <w:i/>
                <w:sz w:val="16"/>
                <w:lang w:val="fr-FR"/>
              </w:rPr>
            </w:pPr>
          </w:p>
        </w:tc>
        <w:tc>
          <w:tcPr>
            <w:tcW w:w="692" w:type="dxa"/>
            <w:tcBorders>
              <w:top w:val="single" w:sz="4" w:space="0" w:color="auto"/>
              <w:bottom w:val="single" w:sz="12" w:space="0" w:color="auto"/>
            </w:tcBorders>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iCs/>
                <w:sz w:val="16"/>
                <w:lang w:val="fr-FR"/>
              </w:rPr>
              <w:t>2008</w:t>
            </w:r>
          </w:p>
        </w:tc>
        <w:tc>
          <w:tcPr>
            <w:tcW w:w="692" w:type="dxa"/>
            <w:tcBorders>
              <w:top w:val="single" w:sz="4" w:space="0" w:color="auto"/>
              <w:bottom w:val="single" w:sz="12" w:space="0" w:color="auto"/>
            </w:tcBorders>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iCs/>
                <w:sz w:val="16"/>
                <w:lang w:val="fr-FR"/>
              </w:rPr>
              <w:t>2009</w:t>
            </w:r>
          </w:p>
        </w:tc>
        <w:tc>
          <w:tcPr>
            <w:tcW w:w="692" w:type="dxa"/>
            <w:tcBorders>
              <w:top w:val="single" w:sz="4" w:space="0" w:color="auto"/>
              <w:bottom w:val="single" w:sz="12" w:space="0" w:color="auto"/>
            </w:tcBorders>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iCs/>
                <w:sz w:val="16"/>
                <w:lang w:val="fr-FR"/>
              </w:rPr>
              <w:t>2010</w:t>
            </w:r>
          </w:p>
        </w:tc>
        <w:tc>
          <w:tcPr>
            <w:tcW w:w="692" w:type="dxa"/>
            <w:tcBorders>
              <w:top w:val="single" w:sz="4" w:space="0" w:color="auto"/>
              <w:bottom w:val="single" w:sz="12" w:space="0" w:color="auto"/>
            </w:tcBorders>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iCs/>
                <w:sz w:val="16"/>
                <w:lang w:val="fr-FR"/>
              </w:rPr>
              <w:t>2011</w:t>
            </w:r>
          </w:p>
        </w:tc>
        <w:tc>
          <w:tcPr>
            <w:tcW w:w="693" w:type="dxa"/>
            <w:tcBorders>
              <w:top w:val="single" w:sz="4" w:space="0" w:color="auto"/>
              <w:bottom w:val="single" w:sz="12" w:space="0" w:color="auto"/>
            </w:tcBorders>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iCs/>
                <w:sz w:val="16"/>
                <w:lang w:val="fr-FR"/>
              </w:rPr>
              <w:t>2012</w:t>
            </w:r>
          </w:p>
        </w:tc>
        <w:tc>
          <w:tcPr>
            <w:tcW w:w="692" w:type="dxa"/>
            <w:tcBorders>
              <w:top w:val="single" w:sz="4" w:space="0" w:color="auto"/>
              <w:bottom w:val="single" w:sz="12" w:space="0" w:color="auto"/>
            </w:tcBorders>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iCs/>
                <w:sz w:val="16"/>
                <w:lang w:val="fr-FR"/>
              </w:rPr>
              <w:t>2013</w:t>
            </w:r>
          </w:p>
        </w:tc>
        <w:tc>
          <w:tcPr>
            <w:tcW w:w="692" w:type="dxa"/>
            <w:tcBorders>
              <w:top w:val="single" w:sz="4" w:space="0" w:color="auto"/>
              <w:bottom w:val="single" w:sz="12" w:space="0" w:color="auto"/>
            </w:tcBorders>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iCs/>
                <w:sz w:val="16"/>
                <w:lang w:val="fr-FR"/>
              </w:rPr>
              <w:t>2014</w:t>
            </w:r>
          </w:p>
        </w:tc>
        <w:tc>
          <w:tcPr>
            <w:tcW w:w="692" w:type="dxa"/>
            <w:tcBorders>
              <w:top w:val="single" w:sz="4" w:space="0" w:color="auto"/>
              <w:bottom w:val="single" w:sz="12" w:space="0" w:color="auto"/>
            </w:tcBorders>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iCs/>
                <w:sz w:val="16"/>
                <w:lang w:val="fr-FR"/>
              </w:rPr>
              <w:t>2015</w:t>
            </w:r>
          </w:p>
        </w:tc>
        <w:tc>
          <w:tcPr>
            <w:tcW w:w="693" w:type="dxa"/>
            <w:tcBorders>
              <w:top w:val="single" w:sz="4" w:space="0" w:color="auto"/>
              <w:bottom w:val="single" w:sz="12" w:space="0" w:color="auto"/>
            </w:tcBorders>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iCs/>
                <w:sz w:val="16"/>
                <w:lang w:val="fr-FR"/>
              </w:rPr>
              <w:t>2016</w:t>
            </w:r>
          </w:p>
        </w:tc>
      </w:tr>
      <w:tr w:rsidR="00914B1A" w:rsidRPr="00914B1A" w:rsidTr="0091124B">
        <w:tc>
          <w:tcPr>
            <w:tcW w:w="2134" w:type="dxa"/>
            <w:tcBorders>
              <w:top w:val="single" w:sz="12" w:space="0" w:color="auto"/>
            </w:tcBorders>
            <w:shd w:val="clear" w:color="auto" w:fill="auto"/>
            <w:noWrap/>
            <w:hideMark/>
          </w:tcPr>
          <w:p w:rsidR="00914B1A" w:rsidRPr="00914B1A" w:rsidRDefault="00914B1A" w:rsidP="00914B1A">
            <w:pPr>
              <w:suppressAutoHyphens w:val="0"/>
              <w:spacing w:before="40" w:after="40" w:line="220" w:lineRule="exact"/>
              <w:rPr>
                <w:sz w:val="18"/>
              </w:rPr>
            </w:pPr>
            <w:r>
              <w:rPr>
                <w:sz w:val="18"/>
                <w:lang w:val="fr-FR"/>
              </w:rPr>
              <w:t>40 </w:t>
            </w:r>
            <w:r w:rsidRPr="00914B1A">
              <w:rPr>
                <w:sz w:val="18"/>
                <w:lang w:val="fr-FR"/>
              </w:rPr>
              <w:t>% du revenu médian</w:t>
            </w:r>
          </w:p>
        </w:tc>
        <w:tc>
          <w:tcPr>
            <w:tcW w:w="692" w:type="dxa"/>
            <w:tcBorders>
              <w:top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5,3</w:t>
            </w:r>
          </w:p>
        </w:tc>
        <w:tc>
          <w:tcPr>
            <w:tcW w:w="692" w:type="dxa"/>
            <w:tcBorders>
              <w:top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5,4</w:t>
            </w:r>
          </w:p>
        </w:tc>
        <w:tc>
          <w:tcPr>
            <w:tcW w:w="692" w:type="dxa"/>
            <w:tcBorders>
              <w:top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6,9</w:t>
            </w:r>
          </w:p>
        </w:tc>
        <w:tc>
          <w:tcPr>
            <w:tcW w:w="692" w:type="dxa"/>
            <w:tcBorders>
              <w:top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6,7</w:t>
            </w:r>
          </w:p>
        </w:tc>
        <w:tc>
          <w:tcPr>
            <w:tcW w:w="693" w:type="dxa"/>
            <w:tcBorders>
              <w:top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7,9</w:t>
            </w:r>
          </w:p>
        </w:tc>
        <w:tc>
          <w:tcPr>
            <w:tcW w:w="692" w:type="dxa"/>
            <w:tcBorders>
              <w:top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8,2</w:t>
            </w:r>
          </w:p>
        </w:tc>
        <w:tc>
          <w:tcPr>
            <w:tcW w:w="692" w:type="dxa"/>
            <w:tcBorders>
              <w:top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7,4</w:t>
            </w:r>
          </w:p>
        </w:tc>
        <w:tc>
          <w:tcPr>
            <w:tcW w:w="692" w:type="dxa"/>
            <w:tcBorders>
              <w:top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6,5</w:t>
            </w:r>
          </w:p>
        </w:tc>
        <w:tc>
          <w:tcPr>
            <w:tcW w:w="693" w:type="dxa"/>
            <w:tcBorders>
              <w:top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6,6</w:t>
            </w:r>
          </w:p>
        </w:tc>
      </w:tr>
      <w:tr w:rsidR="00914B1A" w:rsidRPr="00914B1A" w:rsidTr="0091124B">
        <w:tc>
          <w:tcPr>
            <w:tcW w:w="2134" w:type="dxa"/>
            <w:shd w:val="clear" w:color="auto" w:fill="auto"/>
            <w:noWrap/>
            <w:hideMark/>
          </w:tcPr>
          <w:p w:rsidR="00914B1A" w:rsidRPr="00914B1A" w:rsidRDefault="00914B1A" w:rsidP="00914B1A">
            <w:pPr>
              <w:suppressAutoHyphens w:val="0"/>
              <w:spacing w:before="40" w:after="40" w:line="220" w:lineRule="exact"/>
              <w:rPr>
                <w:sz w:val="18"/>
              </w:rPr>
            </w:pPr>
            <w:r>
              <w:rPr>
                <w:sz w:val="18"/>
                <w:lang w:val="fr-FR"/>
              </w:rPr>
              <w:t>50 </w:t>
            </w:r>
            <w:r w:rsidRPr="00914B1A">
              <w:rPr>
                <w:sz w:val="18"/>
                <w:lang w:val="fr-FR"/>
              </w:rPr>
              <w:t>% du revenu médian</w:t>
            </w:r>
          </w:p>
        </w:tc>
        <w:tc>
          <w:tcPr>
            <w:tcW w:w="692"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10,2</w:t>
            </w:r>
          </w:p>
        </w:tc>
        <w:tc>
          <w:tcPr>
            <w:tcW w:w="692"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9,4</w:t>
            </w:r>
          </w:p>
        </w:tc>
        <w:tc>
          <w:tcPr>
            <w:tcW w:w="692"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10,9</w:t>
            </w:r>
          </w:p>
        </w:tc>
        <w:tc>
          <w:tcPr>
            <w:tcW w:w="692"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10,9</w:t>
            </w:r>
          </w:p>
        </w:tc>
        <w:tc>
          <w:tcPr>
            <w:tcW w:w="693"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12,6</w:t>
            </w:r>
          </w:p>
        </w:tc>
        <w:tc>
          <w:tcPr>
            <w:tcW w:w="692"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13,4</w:t>
            </w:r>
          </w:p>
        </w:tc>
        <w:tc>
          <w:tcPr>
            <w:tcW w:w="692"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12,5</w:t>
            </w:r>
          </w:p>
        </w:tc>
        <w:tc>
          <w:tcPr>
            <w:tcW w:w="692"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13,1</w:t>
            </w:r>
          </w:p>
        </w:tc>
        <w:tc>
          <w:tcPr>
            <w:tcW w:w="693"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12,9</w:t>
            </w:r>
          </w:p>
        </w:tc>
      </w:tr>
      <w:tr w:rsidR="00914B1A" w:rsidRPr="00914B1A" w:rsidTr="0091124B">
        <w:tc>
          <w:tcPr>
            <w:tcW w:w="2134" w:type="dxa"/>
            <w:tcBorders>
              <w:bottom w:val="single" w:sz="12" w:space="0" w:color="auto"/>
            </w:tcBorders>
            <w:shd w:val="clear" w:color="auto" w:fill="auto"/>
            <w:hideMark/>
          </w:tcPr>
          <w:p w:rsidR="00914B1A" w:rsidRPr="00914B1A" w:rsidRDefault="00914B1A" w:rsidP="00914B1A">
            <w:pPr>
              <w:suppressAutoHyphens w:val="0"/>
              <w:spacing w:before="40" w:after="40" w:line="220" w:lineRule="exact"/>
              <w:rPr>
                <w:sz w:val="18"/>
                <w:lang w:val="fr-FR"/>
              </w:rPr>
            </w:pPr>
            <w:r>
              <w:rPr>
                <w:sz w:val="18"/>
                <w:lang w:val="fr-FR"/>
              </w:rPr>
              <w:t>60 </w:t>
            </w:r>
            <w:r w:rsidRPr="00914B1A">
              <w:rPr>
                <w:sz w:val="18"/>
                <w:lang w:val="fr-FR"/>
              </w:rPr>
              <w:t xml:space="preserve">% du revenu médian </w:t>
            </w:r>
            <w:r w:rsidR="00294BDD">
              <w:rPr>
                <w:sz w:val="18"/>
                <w:lang w:val="fr-FR"/>
              </w:rPr>
              <w:br/>
            </w:r>
            <w:r w:rsidRPr="00914B1A">
              <w:rPr>
                <w:sz w:val="18"/>
                <w:lang w:val="fr-FR"/>
              </w:rPr>
              <w:t>(taux de risque de pauvreté)</w:t>
            </w:r>
          </w:p>
        </w:tc>
        <w:tc>
          <w:tcPr>
            <w:tcW w:w="692" w:type="dxa"/>
            <w:tcBorders>
              <w:bottom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19,7</w:t>
            </w:r>
          </w:p>
        </w:tc>
        <w:tc>
          <w:tcPr>
            <w:tcW w:w="692" w:type="dxa"/>
            <w:tcBorders>
              <w:bottom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15,8</w:t>
            </w:r>
          </w:p>
        </w:tc>
        <w:tc>
          <w:tcPr>
            <w:tcW w:w="692" w:type="dxa"/>
            <w:tcBorders>
              <w:bottom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17,5</w:t>
            </w:r>
          </w:p>
        </w:tc>
        <w:tc>
          <w:tcPr>
            <w:tcW w:w="692" w:type="dxa"/>
            <w:tcBorders>
              <w:bottom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17,5</w:t>
            </w:r>
          </w:p>
        </w:tc>
        <w:tc>
          <w:tcPr>
            <w:tcW w:w="693" w:type="dxa"/>
            <w:tcBorders>
              <w:bottom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20,7</w:t>
            </w:r>
          </w:p>
        </w:tc>
        <w:tc>
          <w:tcPr>
            <w:tcW w:w="692" w:type="dxa"/>
            <w:tcBorders>
              <w:bottom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22,1</w:t>
            </w:r>
          </w:p>
        </w:tc>
        <w:tc>
          <w:tcPr>
            <w:tcW w:w="692" w:type="dxa"/>
            <w:tcBorders>
              <w:bottom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21,6</w:t>
            </w:r>
          </w:p>
        </w:tc>
        <w:tc>
          <w:tcPr>
            <w:tcW w:w="692" w:type="dxa"/>
            <w:tcBorders>
              <w:bottom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21,7</w:t>
            </w:r>
          </w:p>
        </w:tc>
        <w:tc>
          <w:tcPr>
            <w:tcW w:w="693" w:type="dxa"/>
            <w:tcBorders>
              <w:bottom w:val="single" w:sz="12" w:space="0" w:color="auto"/>
            </w:tcBorders>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21,1</w:t>
            </w:r>
          </w:p>
        </w:tc>
      </w:tr>
    </w:tbl>
    <w:p w:rsidR="00880927" w:rsidRDefault="00914B1A" w:rsidP="00914B1A">
      <w:pPr>
        <w:pStyle w:val="H23G"/>
        <w:rPr>
          <w:lang w:val="fr-FR"/>
        </w:rPr>
      </w:pPr>
      <w:r>
        <w:rPr>
          <w:lang w:val="fr-FR"/>
        </w:rPr>
        <w:tab/>
        <w:t>b)</w:t>
      </w:r>
      <w:r>
        <w:rPr>
          <w:lang w:val="fr-FR"/>
        </w:rPr>
        <w:tab/>
        <w:t>Part des impôts dans les recettes des administrations publiques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37"/>
        <w:gridCol w:w="737"/>
        <w:gridCol w:w="737"/>
        <w:gridCol w:w="737"/>
        <w:gridCol w:w="737"/>
        <w:gridCol w:w="737"/>
        <w:gridCol w:w="737"/>
        <w:gridCol w:w="737"/>
        <w:gridCol w:w="737"/>
        <w:gridCol w:w="737"/>
      </w:tblGrid>
      <w:tr w:rsidR="00914B1A" w:rsidRPr="00914B1A" w:rsidTr="00914B1A">
        <w:trPr>
          <w:tblHeader/>
        </w:trPr>
        <w:tc>
          <w:tcPr>
            <w:tcW w:w="737" w:type="dxa"/>
            <w:shd w:val="clear" w:color="auto" w:fill="auto"/>
            <w:noWrap/>
            <w:vAlign w:val="bottom"/>
            <w:hideMark/>
          </w:tcPr>
          <w:p w:rsidR="00914B1A" w:rsidRPr="00914B1A" w:rsidRDefault="00914B1A" w:rsidP="006F09F7">
            <w:pPr>
              <w:suppressAutoHyphens w:val="0"/>
              <w:spacing w:before="80" w:after="80" w:line="200" w:lineRule="exact"/>
              <w:jc w:val="right"/>
              <w:rPr>
                <w:i/>
                <w:sz w:val="16"/>
              </w:rPr>
            </w:pPr>
            <w:r w:rsidRPr="00914B1A">
              <w:rPr>
                <w:i/>
                <w:sz w:val="16"/>
                <w:lang w:val="fr-FR"/>
              </w:rPr>
              <w:t>2008</w:t>
            </w:r>
          </w:p>
        </w:tc>
        <w:tc>
          <w:tcPr>
            <w:tcW w:w="737" w:type="dxa"/>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sz w:val="16"/>
                <w:lang w:val="fr-FR"/>
              </w:rPr>
              <w:t>2009</w:t>
            </w:r>
          </w:p>
        </w:tc>
        <w:tc>
          <w:tcPr>
            <w:tcW w:w="737" w:type="dxa"/>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sz w:val="16"/>
                <w:lang w:val="fr-FR"/>
              </w:rPr>
              <w:t>2010</w:t>
            </w:r>
          </w:p>
        </w:tc>
        <w:tc>
          <w:tcPr>
            <w:tcW w:w="737" w:type="dxa"/>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sz w:val="16"/>
                <w:lang w:val="fr-FR"/>
              </w:rPr>
              <w:t>2011</w:t>
            </w:r>
          </w:p>
        </w:tc>
        <w:tc>
          <w:tcPr>
            <w:tcW w:w="737" w:type="dxa"/>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sz w:val="16"/>
                <w:lang w:val="fr-FR"/>
              </w:rPr>
              <w:t>2012</w:t>
            </w:r>
          </w:p>
        </w:tc>
        <w:tc>
          <w:tcPr>
            <w:tcW w:w="737" w:type="dxa"/>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sz w:val="16"/>
                <w:lang w:val="fr-FR"/>
              </w:rPr>
              <w:t>2013</w:t>
            </w:r>
          </w:p>
        </w:tc>
        <w:tc>
          <w:tcPr>
            <w:tcW w:w="737" w:type="dxa"/>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sz w:val="16"/>
                <w:lang w:val="fr-FR"/>
              </w:rPr>
              <w:t>2014</w:t>
            </w:r>
          </w:p>
        </w:tc>
        <w:tc>
          <w:tcPr>
            <w:tcW w:w="737" w:type="dxa"/>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sz w:val="16"/>
                <w:lang w:val="fr-FR"/>
              </w:rPr>
              <w:t>2015</w:t>
            </w:r>
          </w:p>
        </w:tc>
        <w:tc>
          <w:tcPr>
            <w:tcW w:w="737" w:type="dxa"/>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sz w:val="16"/>
                <w:lang w:val="fr-FR"/>
              </w:rPr>
              <w:t>2016</w:t>
            </w:r>
          </w:p>
        </w:tc>
        <w:tc>
          <w:tcPr>
            <w:tcW w:w="737" w:type="dxa"/>
            <w:shd w:val="clear" w:color="auto" w:fill="auto"/>
            <w:noWrap/>
            <w:vAlign w:val="bottom"/>
            <w:hideMark/>
          </w:tcPr>
          <w:p w:rsidR="00914B1A" w:rsidRPr="00914B1A" w:rsidRDefault="00914B1A" w:rsidP="00914B1A">
            <w:pPr>
              <w:suppressAutoHyphens w:val="0"/>
              <w:spacing w:before="80" w:after="80" w:line="200" w:lineRule="exact"/>
              <w:jc w:val="right"/>
              <w:rPr>
                <w:i/>
                <w:sz w:val="16"/>
              </w:rPr>
            </w:pPr>
            <w:r w:rsidRPr="00914B1A">
              <w:rPr>
                <w:i/>
                <w:sz w:val="16"/>
                <w:lang w:val="fr-FR"/>
              </w:rPr>
              <w:t>2017</w:t>
            </w:r>
          </w:p>
        </w:tc>
      </w:tr>
      <w:tr w:rsidR="00914B1A" w:rsidRPr="00914B1A" w:rsidTr="00914B1A">
        <w:tc>
          <w:tcPr>
            <w:tcW w:w="737" w:type="dxa"/>
            <w:shd w:val="clear" w:color="auto" w:fill="auto"/>
            <w:noWrap/>
            <w:hideMark/>
          </w:tcPr>
          <w:p w:rsidR="00914B1A" w:rsidRPr="00914B1A" w:rsidRDefault="00914B1A" w:rsidP="006F09F7">
            <w:pPr>
              <w:suppressAutoHyphens w:val="0"/>
              <w:spacing w:before="40" w:after="40" w:line="220" w:lineRule="exact"/>
              <w:jc w:val="right"/>
              <w:rPr>
                <w:sz w:val="18"/>
              </w:rPr>
            </w:pPr>
            <w:r w:rsidRPr="00914B1A">
              <w:rPr>
                <w:sz w:val="18"/>
                <w:lang w:val="fr-FR"/>
              </w:rPr>
              <w:t>84,8 %</w:t>
            </w:r>
          </w:p>
        </w:tc>
        <w:tc>
          <w:tcPr>
            <w:tcW w:w="737"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79,6 %</w:t>
            </w:r>
          </w:p>
        </w:tc>
        <w:tc>
          <w:tcPr>
            <w:tcW w:w="737"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81,7 %</w:t>
            </w:r>
          </w:p>
        </w:tc>
        <w:tc>
          <w:tcPr>
            <w:tcW w:w="737"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81,7 %</w:t>
            </w:r>
          </w:p>
        </w:tc>
        <w:tc>
          <w:tcPr>
            <w:tcW w:w="737"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81,1 %</w:t>
            </w:r>
          </w:p>
        </w:tc>
        <w:tc>
          <w:tcPr>
            <w:tcW w:w="737"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82,6 %</w:t>
            </w:r>
          </w:p>
        </w:tc>
        <w:tc>
          <w:tcPr>
            <w:tcW w:w="737"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83,3 %</w:t>
            </w:r>
          </w:p>
        </w:tc>
        <w:tc>
          <w:tcPr>
            <w:tcW w:w="737"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83,7 %</w:t>
            </w:r>
          </w:p>
        </w:tc>
        <w:tc>
          <w:tcPr>
            <w:tcW w:w="737"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85,7 %</w:t>
            </w:r>
          </w:p>
        </w:tc>
        <w:tc>
          <w:tcPr>
            <w:tcW w:w="737" w:type="dxa"/>
            <w:shd w:val="clear" w:color="auto" w:fill="auto"/>
            <w:noWrap/>
            <w:vAlign w:val="bottom"/>
            <w:hideMark/>
          </w:tcPr>
          <w:p w:rsidR="00914B1A" w:rsidRPr="00914B1A" w:rsidRDefault="00914B1A" w:rsidP="00914B1A">
            <w:pPr>
              <w:suppressAutoHyphens w:val="0"/>
              <w:spacing w:before="40" w:after="40" w:line="220" w:lineRule="exact"/>
              <w:jc w:val="right"/>
              <w:rPr>
                <w:sz w:val="18"/>
              </w:rPr>
            </w:pPr>
            <w:r w:rsidRPr="00914B1A">
              <w:rPr>
                <w:sz w:val="18"/>
                <w:lang w:val="fr-FR"/>
              </w:rPr>
              <w:t>84,2 %</w:t>
            </w:r>
          </w:p>
        </w:tc>
      </w:tr>
    </w:tbl>
    <w:p w:rsidR="00914B1A" w:rsidRPr="00D448F8" w:rsidRDefault="00914B1A" w:rsidP="00D448F8">
      <w:pPr>
        <w:pStyle w:val="SingleTxtG"/>
        <w:spacing w:before="120" w:after="240"/>
        <w:ind w:firstLine="170"/>
        <w:rPr>
          <w:sz w:val="18"/>
          <w:szCs w:val="18"/>
        </w:rPr>
      </w:pPr>
      <w:r w:rsidRPr="00D448F8">
        <w:rPr>
          <w:sz w:val="18"/>
          <w:szCs w:val="18"/>
          <w:lang w:val="fr-FR"/>
        </w:rPr>
        <w:t>*  Sur la base de la charge fiscale</w:t>
      </w:r>
      <w:r w:rsidR="00D448F8">
        <w:rPr>
          <w:sz w:val="18"/>
          <w:szCs w:val="18"/>
          <w:lang w:val="fr-FR"/>
        </w:rPr>
        <w:t>.</w:t>
      </w:r>
    </w:p>
    <w:p w:rsidR="00914B1A" w:rsidRPr="00692634" w:rsidRDefault="00D448F8" w:rsidP="00D448F8">
      <w:pPr>
        <w:pStyle w:val="H23G"/>
        <w:rPr>
          <w:lang w:val="fr-FR"/>
        </w:rPr>
      </w:pPr>
      <w:r>
        <w:tab/>
      </w:r>
      <w:r>
        <w:rPr>
          <w:lang w:val="fr-FR"/>
        </w:rPr>
        <w:t>c)</w:t>
      </w:r>
      <w:r w:rsidR="00914B1A">
        <w:rPr>
          <w:lang w:val="fr-FR"/>
        </w:rPr>
        <w:tab/>
        <w:t>Les revenus des particuliers et des sociétés sont im</w:t>
      </w:r>
      <w:r>
        <w:rPr>
          <w:lang w:val="fr-FR"/>
        </w:rPr>
        <w:t>posés au même taux, à savoir 22 % en 2007, 21 </w:t>
      </w:r>
      <w:r w:rsidR="00914B1A">
        <w:rPr>
          <w:lang w:val="fr-FR"/>
        </w:rPr>
        <w:t xml:space="preserve">% </w:t>
      </w:r>
      <w:r>
        <w:rPr>
          <w:lang w:val="fr-FR"/>
        </w:rPr>
        <w:t>pour la période 2008-2014 et 20 </w:t>
      </w:r>
      <w:r w:rsidR="00914B1A">
        <w:rPr>
          <w:lang w:val="fr-FR"/>
        </w:rPr>
        <w:t xml:space="preserve">% depuis 2015. Le </w:t>
      </w:r>
      <w:r>
        <w:rPr>
          <w:lang w:val="fr-FR"/>
        </w:rPr>
        <w:t>taux normal de la TV</w:t>
      </w:r>
      <w:r w:rsidR="00EF2799">
        <w:rPr>
          <w:lang w:val="fr-FR"/>
        </w:rPr>
        <w:t>A est de 20 % et le taux réduit</w:t>
      </w:r>
      <w:r>
        <w:rPr>
          <w:lang w:val="fr-FR"/>
        </w:rPr>
        <w:t xml:space="preserve"> de 9 </w:t>
      </w:r>
      <w:r w:rsidR="00914B1A">
        <w:rPr>
          <w:lang w:val="fr-FR"/>
        </w:rPr>
        <w:t xml:space="preserve">%. Ces taux ont </w:t>
      </w:r>
      <w:r w:rsidR="001C3EEF">
        <w:rPr>
          <w:lang w:val="fr-FR"/>
        </w:rPr>
        <w:t>été modifiés en juillet 2009 et </w:t>
      </w:r>
      <w:r w:rsidR="00914B1A">
        <w:rPr>
          <w:lang w:val="fr-FR"/>
        </w:rPr>
        <w:t xml:space="preserve">en janvier </w:t>
      </w:r>
      <w:r>
        <w:rPr>
          <w:lang w:val="fr-FR"/>
        </w:rPr>
        <w:t>2009, respectivement</w:t>
      </w:r>
    </w:p>
    <w:p w:rsidR="00914B1A" w:rsidRDefault="00914B1A" w:rsidP="001C3EEF">
      <w:pPr>
        <w:pStyle w:val="H23G"/>
        <w:rPr>
          <w:lang w:val="fr-FR"/>
        </w:rPr>
      </w:pPr>
      <w:r>
        <w:rPr>
          <w:lang w:val="fr-FR"/>
        </w:rPr>
        <w:tab/>
      </w:r>
      <w:r>
        <w:rPr>
          <w:lang w:val="fr-FR"/>
        </w:rPr>
        <w:tab/>
        <w:t>Évolution des taux de la taxe sur la valeur ajoutée en Estonie, 2008-2017</w:t>
      </w:r>
    </w:p>
    <w:tbl>
      <w:tblPr>
        <w:tblW w:w="8504" w:type="dxa"/>
        <w:tblInd w:w="1134" w:type="dxa"/>
        <w:tblLayout w:type="fixed"/>
        <w:tblCellMar>
          <w:left w:w="0" w:type="dxa"/>
          <w:right w:w="0" w:type="dxa"/>
        </w:tblCellMar>
        <w:tblLook w:val="04A0" w:firstRow="1" w:lastRow="0" w:firstColumn="1" w:lastColumn="0" w:noHBand="0" w:noVBand="1"/>
      </w:tblPr>
      <w:tblGrid>
        <w:gridCol w:w="980"/>
        <w:gridCol w:w="560"/>
        <w:gridCol w:w="812"/>
        <w:gridCol w:w="728"/>
        <w:gridCol w:w="678"/>
        <w:gridCol w:w="678"/>
        <w:gridCol w:w="678"/>
        <w:gridCol w:w="678"/>
        <w:gridCol w:w="678"/>
        <w:gridCol w:w="678"/>
        <w:gridCol w:w="678"/>
        <w:gridCol w:w="678"/>
      </w:tblGrid>
      <w:tr w:rsidR="0022608E" w:rsidRPr="00EF2799" w:rsidTr="0022608E">
        <w:trPr>
          <w:tblHeader/>
        </w:trPr>
        <w:tc>
          <w:tcPr>
            <w:tcW w:w="980" w:type="dxa"/>
            <w:tcBorders>
              <w:top w:val="single" w:sz="4" w:space="0" w:color="auto"/>
              <w:bottom w:val="single" w:sz="12" w:space="0" w:color="auto"/>
            </w:tcBorders>
            <w:shd w:val="clear" w:color="auto" w:fill="auto"/>
            <w:noWrap/>
            <w:vAlign w:val="bottom"/>
            <w:hideMark/>
          </w:tcPr>
          <w:p w:rsidR="001C3EEF" w:rsidRPr="00EF2799" w:rsidRDefault="001C3EEF" w:rsidP="00EF2799">
            <w:pPr>
              <w:suppressAutoHyphens w:val="0"/>
              <w:spacing w:before="80" w:after="80" w:line="200" w:lineRule="exact"/>
              <w:rPr>
                <w:i/>
                <w:sz w:val="16"/>
                <w:lang w:val="fr-FR"/>
              </w:rPr>
            </w:pPr>
          </w:p>
        </w:tc>
        <w:tc>
          <w:tcPr>
            <w:tcW w:w="560" w:type="dxa"/>
            <w:tcBorders>
              <w:top w:val="single" w:sz="4" w:space="0" w:color="auto"/>
              <w:bottom w:val="single" w:sz="12" w:space="0" w:color="auto"/>
            </w:tcBorders>
            <w:shd w:val="clear" w:color="auto" w:fill="auto"/>
            <w:noWrap/>
            <w:vAlign w:val="bottom"/>
            <w:hideMark/>
          </w:tcPr>
          <w:p w:rsidR="001C3EEF" w:rsidRPr="00EF2799" w:rsidRDefault="001C3EEF" w:rsidP="00EF2799">
            <w:pPr>
              <w:suppressAutoHyphens w:val="0"/>
              <w:spacing w:before="80" w:after="80" w:line="200" w:lineRule="exact"/>
              <w:jc w:val="right"/>
              <w:rPr>
                <w:i/>
                <w:sz w:val="16"/>
              </w:rPr>
            </w:pPr>
            <w:r w:rsidRPr="00EF2799">
              <w:rPr>
                <w:i/>
                <w:iCs/>
                <w:sz w:val="16"/>
                <w:lang w:val="fr-FR"/>
              </w:rPr>
              <w:t>2008</w:t>
            </w:r>
          </w:p>
        </w:tc>
        <w:tc>
          <w:tcPr>
            <w:tcW w:w="812" w:type="dxa"/>
            <w:tcBorders>
              <w:top w:val="single" w:sz="4" w:space="0" w:color="auto"/>
              <w:bottom w:val="single" w:sz="12" w:space="0" w:color="auto"/>
            </w:tcBorders>
            <w:shd w:val="clear" w:color="auto" w:fill="auto"/>
            <w:noWrap/>
            <w:vAlign w:val="bottom"/>
            <w:hideMark/>
          </w:tcPr>
          <w:p w:rsidR="001C3EEF" w:rsidRPr="00EF2799" w:rsidRDefault="00EF2799" w:rsidP="00EF2799">
            <w:pPr>
              <w:suppressAutoHyphens w:val="0"/>
              <w:spacing w:before="80" w:after="80" w:line="200" w:lineRule="exact"/>
              <w:jc w:val="right"/>
              <w:rPr>
                <w:i/>
                <w:sz w:val="16"/>
              </w:rPr>
            </w:pPr>
            <w:r>
              <w:rPr>
                <w:i/>
                <w:iCs/>
                <w:sz w:val="16"/>
                <w:lang w:val="fr-FR"/>
              </w:rPr>
              <w:t>1</w:t>
            </w:r>
            <w:r w:rsidRPr="00EF2799">
              <w:rPr>
                <w:i/>
                <w:iCs/>
                <w:sz w:val="16"/>
                <w:vertAlign w:val="superscript"/>
                <w:lang w:val="fr-FR"/>
              </w:rPr>
              <w:t>er</w:t>
            </w:r>
            <w:r>
              <w:rPr>
                <w:i/>
                <w:iCs/>
                <w:sz w:val="16"/>
                <w:lang w:val="fr-FR"/>
              </w:rPr>
              <w:t> janvier 2009</w:t>
            </w:r>
          </w:p>
        </w:tc>
        <w:tc>
          <w:tcPr>
            <w:tcW w:w="728" w:type="dxa"/>
            <w:tcBorders>
              <w:top w:val="single" w:sz="4" w:space="0" w:color="auto"/>
              <w:bottom w:val="single" w:sz="12" w:space="0" w:color="auto"/>
            </w:tcBorders>
            <w:shd w:val="clear" w:color="auto" w:fill="auto"/>
            <w:noWrap/>
            <w:vAlign w:val="bottom"/>
            <w:hideMark/>
          </w:tcPr>
          <w:p w:rsidR="001C3EEF" w:rsidRPr="00EF2799" w:rsidRDefault="00EF2799" w:rsidP="00EF2799">
            <w:pPr>
              <w:suppressAutoHyphens w:val="0"/>
              <w:spacing w:before="80" w:after="80" w:line="200" w:lineRule="exact"/>
              <w:jc w:val="right"/>
              <w:rPr>
                <w:i/>
                <w:sz w:val="16"/>
              </w:rPr>
            </w:pPr>
            <w:r>
              <w:rPr>
                <w:i/>
                <w:iCs/>
                <w:sz w:val="16"/>
                <w:lang w:val="fr-FR"/>
              </w:rPr>
              <w:t>1</w:t>
            </w:r>
            <w:r w:rsidRPr="00EF2799">
              <w:rPr>
                <w:i/>
                <w:iCs/>
                <w:sz w:val="16"/>
                <w:vertAlign w:val="superscript"/>
                <w:lang w:val="fr-FR"/>
              </w:rPr>
              <w:t>er</w:t>
            </w:r>
            <w:r>
              <w:rPr>
                <w:i/>
                <w:iCs/>
                <w:sz w:val="16"/>
                <w:lang w:val="fr-FR"/>
              </w:rPr>
              <w:t> juillet 2009</w:t>
            </w:r>
          </w:p>
        </w:tc>
        <w:tc>
          <w:tcPr>
            <w:tcW w:w="678" w:type="dxa"/>
            <w:tcBorders>
              <w:top w:val="single" w:sz="4" w:space="0" w:color="auto"/>
              <w:bottom w:val="single" w:sz="12" w:space="0" w:color="auto"/>
            </w:tcBorders>
            <w:shd w:val="clear" w:color="auto" w:fill="auto"/>
            <w:noWrap/>
            <w:vAlign w:val="bottom"/>
            <w:hideMark/>
          </w:tcPr>
          <w:p w:rsidR="001C3EEF" w:rsidRPr="00EF2799" w:rsidRDefault="001C3EEF" w:rsidP="00EF2799">
            <w:pPr>
              <w:suppressAutoHyphens w:val="0"/>
              <w:spacing w:before="80" w:after="80" w:line="200" w:lineRule="exact"/>
              <w:jc w:val="right"/>
              <w:rPr>
                <w:i/>
                <w:sz w:val="16"/>
              </w:rPr>
            </w:pPr>
            <w:r w:rsidRPr="00EF2799">
              <w:rPr>
                <w:i/>
                <w:iCs/>
                <w:sz w:val="16"/>
                <w:lang w:val="fr-FR"/>
              </w:rPr>
              <w:t>2010</w:t>
            </w:r>
          </w:p>
        </w:tc>
        <w:tc>
          <w:tcPr>
            <w:tcW w:w="678" w:type="dxa"/>
            <w:tcBorders>
              <w:top w:val="single" w:sz="4" w:space="0" w:color="auto"/>
              <w:bottom w:val="single" w:sz="12" w:space="0" w:color="auto"/>
            </w:tcBorders>
            <w:shd w:val="clear" w:color="auto" w:fill="auto"/>
            <w:noWrap/>
            <w:vAlign w:val="bottom"/>
            <w:hideMark/>
          </w:tcPr>
          <w:p w:rsidR="001C3EEF" w:rsidRPr="00EF2799" w:rsidRDefault="001C3EEF" w:rsidP="00EF2799">
            <w:pPr>
              <w:suppressAutoHyphens w:val="0"/>
              <w:spacing w:before="80" w:after="80" w:line="200" w:lineRule="exact"/>
              <w:jc w:val="right"/>
              <w:rPr>
                <w:i/>
                <w:sz w:val="16"/>
              </w:rPr>
            </w:pPr>
            <w:r w:rsidRPr="00EF2799">
              <w:rPr>
                <w:i/>
                <w:iCs/>
                <w:sz w:val="16"/>
                <w:lang w:val="fr-FR"/>
              </w:rPr>
              <w:t>2011</w:t>
            </w:r>
          </w:p>
        </w:tc>
        <w:tc>
          <w:tcPr>
            <w:tcW w:w="678" w:type="dxa"/>
            <w:tcBorders>
              <w:top w:val="single" w:sz="4" w:space="0" w:color="auto"/>
              <w:bottom w:val="single" w:sz="12" w:space="0" w:color="auto"/>
            </w:tcBorders>
            <w:shd w:val="clear" w:color="auto" w:fill="auto"/>
            <w:noWrap/>
            <w:vAlign w:val="bottom"/>
            <w:hideMark/>
          </w:tcPr>
          <w:p w:rsidR="001C3EEF" w:rsidRPr="00EF2799" w:rsidRDefault="001C3EEF" w:rsidP="00EF2799">
            <w:pPr>
              <w:suppressAutoHyphens w:val="0"/>
              <w:spacing w:before="80" w:after="80" w:line="200" w:lineRule="exact"/>
              <w:jc w:val="right"/>
              <w:rPr>
                <w:i/>
                <w:sz w:val="16"/>
              </w:rPr>
            </w:pPr>
            <w:r w:rsidRPr="00EF2799">
              <w:rPr>
                <w:i/>
                <w:iCs/>
                <w:sz w:val="16"/>
                <w:lang w:val="fr-FR"/>
              </w:rPr>
              <w:t>2012</w:t>
            </w:r>
          </w:p>
        </w:tc>
        <w:tc>
          <w:tcPr>
            <w:tcW w:w="678" w:type="dxa"/>
            <w:tcBorders>
              <w:top w:val="single" w:sz="4" w:space="0" w:color="auto"/>
              <w:bottom w:val="single" w:sz="12" w:space="0" w:color="auto"/>
            </w:tcBorders>
            <w:shd w:val="clear" w:color="auto" w:fill="auto"/>
            <w:noWrap/>
            <w:vAlign w:val="bottom"/>
            <w:hideMark/>
          </w:tcPr>
          <w:p w:rsidR="001C3EEF" w:rsidRPr="00EF2799" w:rsidRDefault="001C3EEF" w:rsidP="00EF2799">
            <w:pPr>
              <w:suppressAutoHyphens w:val="0"/>
              <w:spacing w:before="80" w:after="80" w:line="200" w:lineRule="exact"/>
              <w:jc w:val="right"/>
              <w:rPr>
                <w:i/>
                <w:sz w:val="16"/>
              </w:rPr>
            </w:pPr>
            <w:r w:rsidRPr="00EF2799">
              <w:rPr>
                <w:i/>
                <w:iCs/>
                <w:sz w:val="16"/>
                <w:lang w:val="fr-FR"/>
              </w:rPr>
              <w:t>2013</w:t>
            </w:r>
          </w:p>
        </w:tc>
        <w:tc>
          <w:tcPr>
            <w:tcW w:w="678" w:type="dxa"/>
            <w:tcBorders>
              <w:top w:val="single" w:sz="4" w:space="0" w:color="auto"/>
              <w:bottom w:val="single" w:sz="12" w:space="0" w:color="auto"/>
            </w:tcBorders>
            <w:shd w:val="clear" w:color="auto" w:fill="auto"/>
            <w:noWrap/>
            <w:vAlign w:val="bottom"/>
            <w:hideMark/>
          </w:tcPr>
          <w:p w:rsidR="001C3EEF" w:rsidRPr="00EF2799" w:rsidRDefault="001C3EEF" w:rsidP="00EF2799">
            <w:pPr>
              <w:suppressAutoHyphens w:val="0"/>
              <w:spacing w:before="80" w:after="80" w:line="200" w:lineRule="exact"/>
              <w:jc w:val="right"/>
              <w:rPr>
                <w:i/>
                <w:sz w:val="16"/>
              </w:rPr>
            </w:pPr>
            <w:r w:rsidRPr="00EF2799">
              <w:rPr>
                <w:i/>
                <w:iCs/>
                <w:sz w:val="16"/>
                <w:lang w:val="fr-FR"/>
              </w:rPr>
              <w:t>2014</w:t>
            </w:r>
          </w:p>
        </w:tc>
        <w:tc>
          <w:tcPr>
            <w:tcW w:w="678" w:type="dxa"/>
            <w:tcBorders>
              <w:top w:val="single" w:sz="4" w:space="0" w:color="auto"/>
              <w:bottom w:val="single" w:sz="12" w:space="0" w:color="auto"/>
            </w:tcBorders>
            <w:shd w:val="clear" w:color="auto" w:fill="auto"/>
            <w:noWrap/>
            <w:vAlign w:val="bottom"/>
            <w:hideMark/>
          </w:tcPr>
          <w:p w:rsidR="001C3EEF" w:rsidRPr="00EF2799" w:rsidRDefault="001C3EEF" w:rsidP="00EF2799">
            <w:pPr>
              <w:suppressAutoHyphens w:val="0"/>
              <w:spacing w:before="80" w:after="80" w:line="200" w:lineRule="exact"/>
              <w:jc w:val="right"/>
              <w:rPr>
                <w:i/>
                <w:sz w:val="16"/>
              </w:rPr>
            </w:pPr>
            <w:r w:rsidRPr="00EF2799">
              <w:rPr>
                <w:i/>
                <w:iCs/>
                <w:sz w:val="16"/>
                <w:lang w:val="fr-FR"/>
              </w:rPr>
              <w:t>2015</w:t>
            </w:r>
          </w:p>
        </w:tc>
        <w:tc>
          <w:tcPr>
            <w:tcW w:w="678" w:type="dxa"/>
            <w:tcBorders>
              <w:top w:val="single" w:sz="4" w:space="0" w:color="auto"/>
              <w:bottom w:val="single" w:sz="12" w:space="0" w:color="auto"/>
            </w:tcBorders>
            <w:shd w:val="clear" w:color="auto" w:fill="auto"/>
            <w:noWrap/>
            <w:vAlign w:val="bottom"/>
            <w:hideMark/>
          </w:tcPr>
          <w:p w:rsidR="001C3EEF" w:rsidRPr="00EF2799" w:rsidRDefault="001C3EEF" w:rsidP="00EF2799">
            <w:pPr>
              <w:suppressAutoHyphens w:val="0"/>
              <w:spacing w:before="80" w:after="80" w:line="200" w:lineRule="exact"/>
              <w:jc w:val="right"/>
              <w:rPr>
                <w:i/>
                <w:sz w:val="16"/>
              </w:rPr>
            </w:pPr>
            <w:r w:rsidRPr="00EF2799">
              <w:rPr>
                <w:i/>
                <w:iCs/>
                <w:sz w:val="16"/>
                <w:lang w:val="fr-FR"/>
              </w:rPr>
              <w:t>2016</w:t>
            </w:r>
          </w:p>
        </w:tc>
        <w:tc>
          <w:tcPr>
            <w:tcW w:w="678" w:type="dxa"/>
            <w:tcBorders>
              <w:top w:val="single" w:sz="4" w:space="0" w:color="auto"/>
              <w:bottom w:val="single" w:sz="12" w:space="0" w:color="auto"/>
            </w:tcBorders>
            <w:shd w:val="clear" w:color="auto" w:fill="auto"/>
            <w:noWrap/>
            <w:vAlign w:val="bottom"/>
            <w:hideMark/>
          </w:tcPr>
          <w:p w:rsidR="001C3EEF" w:rsidRPr="00EF2799" w:rsidRDefault="001C3EEF" w:rsidP="00EF2799">
            <w:pPr>
              <w:suppressAutoHyphens w:val="0"/>
              <w:spacing w:before="80" w:after="80" w:line="200" w:lineRule="exact"/>
              <w:jc w:val="right"/>
              <w:rPr>
                <w:i/>
                <w:sz w:val="16"/>
              </w:rPr>
            </w:pPr>
            <w:r w:rsidRPr="00EF2799">
              <w:rPr>
                <w:i/>
                <w:iCs/>
                <w:sz w:val="16"/>
                <w:lang w:val="fr-FR"/>
              </w:rPr>
              <w:t>2017</w:t>
            </w:r>
          </w:p>
        </w:tc>
      </w:tr>
      <w:tr w:rsidR="0022608E" w:rsidRPr="00EF2799" w:rsidTr="0022608E">
        <w:tc>
          <w:tcPr>
            <w:tcW w:w="980" w:type="dxa"/>
            <w:tcBorders>
              <w:top w:val="single" w:sz="12" w:space="0" w:color="auto"/>
            </w:tcBorders>
            <w:shd w:val="clear" w:color="auto" w:fill="auto"/>
            <w:noWrap/>
            <w:hideMark/>
          </w:tcPr>
          <w:p w:rsidR="001C3EEF" w:rsidRPr="00EF2799" w:rsidRDefault="001C3EEF" w:rsidP="00EF2799">
            <w:pPr>
              <w:suppressAutoHyphens w:val="0"/>
              <w:spacing w:before="40" w:after="40" w:line="220" w:lineRule="exact"/>
              <w:rPr>
                <w:sz w:val="18"/>
              </w:rPr>
            </w:pPr>
            <w:r w:rsidRPr="00EF2799">
              <w:rPr>
                <w:sz w:val="18"/>
                <w:lang w:val="fr-FR"/>
              </w:rPr>
              <w:t>Taux normal</w:t>
            </w:r>
          </w:p>
        </w:tc>
        <w:tc>
          <w:tcPr>
            <w:tcW w:w="560" w:type="dxa"/>
            <w:tcBorders>
              <w:top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18 %</w:t>
            </w:r>
          </w:p>
        </w:tc>
        <w:tc>
          <w:tcPr>
            <w:tcW w:w="812" w:type="dxa"/>
            <w:tcBorders>
              <w:top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18 %</w:t>
            </w:r>
          </w:p>
        </w:tc>
        <w:tc>
          <w:tcPr>
            <w:tcW w:w="728" w:type="dxa"/>
            <w:tcBorders>
              <w:top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20 %</w:t>
            </w:r>
          </w:p>
        </w:tc>
        <w:tc>
          <w:tcPr>
            <w:tcW w:w="678" w:type="dxa"/>
            <w:tcBorders>
              <w:top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20 %</w:t>
            </w:r>
          </w:p>
        </w:tc>
        <w:tc>
          <w:tcPr>
            <w:tcW w:w="678" w:type="dxa"/>
            <w:tcBorders>
              <w:top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20 %</w:t>
            </w:r>
          </w:p>
        </w:tc>
        <w:tc>
          <w:tcPr>
            <w:tcW w:w="678" w:type="dxa"/>
            <w:tcBorders>
              <w:top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20 %</w:t>
            </w:r>
          </w:p>
        </w:tc>
        <w:tc>
          <w:tcPr>
            <w:tcW w:w="678" w:type="dxa"/>
            <w:tcBorders>
              <w:top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20 %</w:t>
            </w:r>
          </w:p>
        </w:tc>
        <w:tc>
          <w:tcPr>
            <w:tcW w:w="678" w:type="dxa"/>
            <w:tcBorders>
              <w:top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20 %</w:t>
            </w:r>
          </w:p>
        </w:tc>
        <w:tc>
          <w:tcPr>
            <w:tcW w:w="678" w:type="dxa"/>
            <w:tcBorders>
              <w:top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20 %</w:t>
            </w:r>
          </w:p>
        </w:tc>
        <w:tc>
          <w:tcPr>
            <w:tcW w:w="678" w:type="dxa"/>
            <w:tcBorders>
              <w:top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20 %</w:t>
            </w:r>
          </w:p>
        </w:tc>
        <w:tc>
          <w:tcPr>
            <w:tcW w:w="678" w:type="dxa"/>
            <w:tcBorders>
              <w:top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20 %</w:t>
            </w:r>
          </w:p>
        </w:tc>
      </w:tr>
      <w:tr w:rsidR="0022608E" w:rsidRPr="00EF2799" w:rsidTr="0022608E">
        <w:tc>
          <w:tcPr>
            <w:tcW w:w="980" w:type="dxa"/>
            <w:tcBorders>
              <w:bottom w:val="single" w:sz="12" w:space="0" w:color="auto"/>
            </w:tcBorders>
            <w:shd w:val="clear" w:color="auto" w:fill="auto"/>
            <w:noWrap/>
            <w:hideMark/>
          </w:tcPr>
          <w:p w:rsidR="001C3EEF" w:rsidRPr="00EF2799" w:rsidRDefault="001C3EEF" w:rsidP="00EF2799">
            <w:pPr>
              <w:suppressAutoHyphens w:val="0"/>
              <w:spacing w:before="40" w:after="40" w:line="220" w:lineRule="exact"/>
              <w:rPr>
                <w:sz w:val="18"/>
              </w:rPr>
            </w:pPr>
            <w:r w:rsidRPr="00EF2799">
              <w:rPr>
                <w:sz w:val="18"/>
                <w:lang w:val="fr-FR"/>
              </w:rPr>
              <w:t>Taux réduit</w:t>
            </w:r>
          </w:p>
        </w:tc>
        <w:tc>
          <w:tcPr>
            <w:tcW w:w="560" w:type="dxa"/>
            <w:tcBorders>
              <w:bottom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5 %</w:t>
            </w:r>
          </w:p>
        </w:tc>
        <w:tc>
          <w:tcPr>
            <w:tcW w:w="812" w:type="dxa"/>
            <w:tcBorders>
              <w:bottom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9 %</w:t>
            </w:r>
          </w:p>
        </w:tc>
        <w:tc>
          <w:tcPr>
            <w:tcW w:w="728" w:type="dxa"/>
            <w:tcBorders>
              <w:bottom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9 %</w:t>
            </w:r>
          </w:p>
        </w:tc>
        <w:tc>
          <w:tcPr>
            <w:tcW w:w="678" w:type="dxa"/>
            <w:tcBorders>
              <w:bottom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9 %</w:t>
            </w:r>
          </w:p>
        </w:tc>
        <w:tc>
          <w:tcPr>
            <w:tcW w:w="678" w:type="dxa"/>
            <w:tcBorders>
              <w:bottom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9 %</w:t>
            </w:r>
          </w:p>
        </w:tc>
        <w:tc>
          <w:tcPr>
            <w:tcW w:w="678" w:type="dxa"/>
            <w:tcBorders>
              <w:bottom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9 %</w:t>
            </w:r>
          </w:p>
        </w:tc>
        <w:tc>
          <w:tcPr>
            <w:tcW w:w="678" w:type="dxa"/>
            <w:tcBorders>
              <w:bottom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9 %</w:t>
            </w:r>
          </w:p>
        </w:tc>
        <w:tc>
          <w:tcPr>
            <w:tcW w:w="678" w:type="dxa"/>
            <w:tcBorders>
              <w:bottom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9 %</w:t>
            </w:r>
          </w:p>
        </w:tc>
        <w:tc>
          <w:tcPr>
            <w:tcW w:w="678" w:type="dxa"/>
            <w:tcBorders>
              <w:bottom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9 %</w:t>
            </w:r>
          </w:p>
        </w:tc>
        <w:tc>
          <w:tcPr>
            <w:tcW w:w="678" w:type="dxa"/>
            <w:tcBorders>
              <w:bottom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9 %</w:t>
            </w:r>
          </w:p>
        </w:tc>
        <w:tc>
          <w:tcPr>
            <w:tcW w:w="678" w:type="dxa"/>
            <w:tcBorders>
              <w:bottom w:val="single" w:sz="12" w:space="0" w:color="auto"/>
            </w:tcBorders>
            <w:shd w:val="clear" w:color="auto" w:fill="auto"/>
            <w:noWrap/>
            <w:vAlign w:val="bottom"/>
            <w:hideMark/>
          </w:tcPr>
          <w:p w:rsidR="001C3EEF" w:rsidRPr="00EF2799" w:rsidRDefault="001C3EEF" w:rsidP="00EF2799">
            <w:pPr>
              <w:suppressAutoHyphens w:val="0"/>
              <w:spacing w:before="40" w:after="40" w:line="220" w:lineRule="exact"/>
              <w:jc w:val="right"/>
              <w:rPr>
                <w:sz w:val="18"/>
              </w:rPr>
            </w:pPr>
            <w:r w:rsidRPr="00EF2799">
              <w:rPr>
                <w:sz w:val="18"/>
                <w:lang w:val="fr-FR"/>
              </w:rPr>
              <w:t>9 %</w:t>
            </w:r>
          </w:p>
        </w:tc>
      </w:tr>
    </w:tbl>
    <w:p w:rsidR="001C2BE6" w:rsidRPr="00CE5BEC" w:rsidRDefault="001C2BE6" w:rsidP="001C2BE6">
      <w:pPr>
        <w:pStyle w:val="H23G"/>
        <w:rPr>
          <w:lang w:val="fr-FR"/>
        </w:rPr>
      </w:pPr>
      <w:r>
        <w:rPr>
          <w:lang w:val="fr-FR"/>
        </w:rPr>
        <w:tab/>
      </w:r>
      <w:r>
        <w:rPr>
          <w:lang w:val="fr-FR"/>
        </w:rPr>
        <w:tab/>
      </w:r>
      <w:r w:rsidRPr="001C2BE6">
        <w:rPr>
          <w:lang w:val="fr-FR"/>
        </w:rPr>
        <w:t>Les recettes provenant de l’impôt sur le revenu des particuliers collecté</w:t>
      </w:r>
      <w:r>
        <w:rPr>
          <w:lang w:val="fr-FR"/>
        </w:rPr>
        <w:t xml:space="preserve"> </w:t>
      </w:r>
      <w:r>
        <w:rPr>
          <w:lang w:val="fr-FR"/>
        </w:rPr>
        <w:br/>
        <w:t xml:space="preserve">auprès du </w:t>
      </w:r>
      <w:r w:rsidRPr="001C2BE6">
        <w:rPr>
          <w:lang w:val="fr-FR"/>
        </w:rPr>
        <w:t>décile le plus riche</w:t>
      </w:r>
      <w:r w:rsidRPr="00CE5BEC">
        <w:rPr>
          <w:lang w:val="fr-FR"/>
        </w:rPr>
        <w:t xml:space="preserve"> de la population pour la période 2008-2017 :</w:t>
      </w:r>
    </w:p>
    <w:p w:rsidR="001C3EEF" w:rsidRDefault="001C2BE6" w:rsidP="001C2BE6">
      <w:pPr>
        <w:pStyle w:val="H23G"/>
        <w:rPr>
          <w:lang w:val="fr-FR"/>
        </w:rPr>
      </w:pPr>
      <w:r w:rsidRPr="00CE5BEC">
        <w:rPr>
          <w:lang w:val="fr-FR"/>
        </w:rPr>
        <w:tab/>
      </w:r>
      <w:r w:rsidRPr="00CE5BEC">
        <w:rPr>
          <w:lang w:val="fr-FR"/>
        </w:rPr>
        <w:tab/>
        <w:t>Représentent entre 43</w:t>
      </w:r>
      <w:r>
        <w:rPr>
          <w:lang w:val="fr-FR"/>
        </w:rPr>
        <w:t> % et 50 </w:t>
      </w:r>
      <w:r w:rsidRPr="00CE5BEC">
        <w:rPr>
          <w:lang w:val="fr-FR"/>
        </w:rPr>
        <w:t>% de l</w:t>
      </w:r>
      <w:r>
        <w:rPr>
          <w:lang w:val="fr-FR"/>
        </w:rPr>
        <w:t>’</w:t>
      </w:r>
      <w:r w:rsidRPr="00CE5BEC">
        <w:rPr>
          <w:lang w:val="fr-FR"/>
        </w:rPr>
        <w:t>ensemble des recettes provenant de l</w:t>
      </w:r>
      <w:r>
        <w:rPr>
          <w:lang w:val="fr-FR"/>
        </w:rPr>
        <w:t>’impôt sur </w:t>
      </w:r>
      <w:r w:rsidRPr="00CE5BEC">
        <w:rPr>
          <w:lang w:val="fr-FR"/>
        </w:rPr>
        <w:t>le revenu des particuliers</w:t>
      </w:r>
      <w:r>
        <w:rPr>
          <w:lang w:val="fr-FR"/>
        </w:rPr>
        <w:t>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37"/>
        <w:gridCol w:w="737"/>
        <w:gridCol w:w="737"/>
        <w:gridCol w:w="737"/>
        <w:gridCol w:w="737"/>
        <w:gridCol w:w="737"/>
        <w:gridCol w:w="737"/>
        <w:gridCol w:w="737"/>
        <w:gridCol w:w="737"/>
        <w:gridCol w:w="737"/>
      </w:tblGrid>
      <w:tr w:rsidR="00366EB5" w:rsidRPr="00366EB5" w:rsidTr="00366EB5">
        <w:trPr>
          <w:tblHeader/>
        </w:trPr>
        <w:tc>
          <w:tcPr>
            <w:tcW w:w="843" w:type="dxa"/>
            <w:shd w:val="clear" w:color="auto" w:fill="auto"/>
            <w:noWrap/>
            <w:tcMar>
              <w:top w:w="0" w:type="dxa"/>
              <w:left w:w="70" w:type="dxa"/>
              <w:bottom w:w="0" w:type="dxa"/>
              <w:right w:w="70" w:type="dxa"/>
            </w:tcMar>
            <w:vAlign w:val="bottom"/>
            <w:hideMark/>
          </w:tcPr>
          <w:p w:rsidR="001C2BE6" w:rsidRPr="00366EB5" w:rsidRDefault="001C2BE6" w:rsidP="00EB6A9A">
            <w:pPr>
              <w:suppressAutoHyphens w:val="0"/>
              <w:spacing w:before="80" w:after="80" w:line="200" w:lineRule="exact"/>
              <w:jc w:val="right"/>
              <w:rPr>
                <w:i/>
                <w:sz w:val="16"/>
              </w:rPr>
            </w:pPr>
            <w:r w:rsidRPr="00366EB5">
              <w:rPr>
                <w:i/>
                <w:sz w:val="16"/>
                <w:lang w:val="fr-FR"/>
              </w:rPr>
              <w:t>2008</w:t>
            </w:r>
          </w:p>
        </w:tc>
        <w:tc>
          <w:tcPr>
            <w:tcW w:w="844" w:type="dxa"/>
            <w:shd w:val="clear" w:color="auto" w:fill="auto"/>
            <w:noWrap/>
            <w:tcMar>
              <w:top w:w="0" w:type="dxa"/>
              <w:left w:w="70" w:type="dxa"/>
              <w:bottom w:w="0" w:type="dxa"/>
              <w:right w:w="70" w:type="dxa"/>
            </w:tcMar>
            <w:vAlign w:val="bottom"/>
            <w:hideMark/>
          </w:tcPr>
          <w:p w:rsidR="001C2BE6" w:rsidRPr="00366EB5" w:rsidRDefault="001C2BE6" w:rsidP="00366EB5">
            <w:pPr>
              <w:suppressAutoHyphens w:val="0"/>
              <w:spacing w:before="80" w:after="80" w:line="200" w:lineRule="exact"/>
              <w:jc w:val="right"/>
              <w:rPr>
                <w:i/>
                <w:sz w:val="16"/>
              </w:rPr>
            </w:pPr>
            <w:r w:rsidRPr="00366EB5">
              <w:rPr>
                <w:i/>
                <w:sz w:val="16"/>
                <w:lang w:val="fr-FR"/>
              </w:rPr>
              <w:t>2009</w:t>
            </w:r>
          </w:p>
        </w:tc>
        <w:tc>
          <w:tcPr>
            <w:tcW w:w="843" w:type="dxa"/>
            <w:shd w:val="clear" w:color="auto" w:fill="auto"/>
            <w:noWrap/>
            <w:tcMar>
              <w:top w:w="0" w:type="dxa"/>
              <w:left w:w="70" w:type="dxa"/>
              <w:bottom w:w="0" w:type="dxa"/>
              <w:right w:w="70" w:type="dxa"/>
            </w:tcMar>
            <w:vAlign w:val="bottom"/>
            <w:hideMark/>
          </w:tcPr>
          <w:p w:rsidR="001C2BE6" w:rsidRPr="00366EB5" w:rsidRDefault="001C2BE6" w:rsidP="00366EB5">
            <w:pPr>
              <w:suppressAutoHyphens w:val="0"/>
              <w:spacing w:before="80" w:after="80" w:line="200" w:lineRule="exact"/>
              <w:jc w:val="right"/>
              <w:rPr>
                <w:i/>
                <w:sz w:val="16"/>
              </w:rPr>
            </w:pPr>
            <w:r w:rsidRPr="00366EB5">
              <w:rPr>
                <w:i/>
                <w:sz w:val="16"/>
                <w:lang w:val="fr-FR"/>
              </w:rPr>
              <w:t>2010</w:t>
            </w:r>
          </w:p>
        </w:tc>
        <w:tc>
          <w:tcPr>
            <w:tcW w:w="844" w:type="dxa"/>
            <w:shd w:val="clear" w:color="auto" w:fill="auto"/>
            <w:noWrap/>
            <w:tcMar>
              <w:top w:w="0" w:type="dxa"/>
              <w:left w:w="70" w:type="dxa"/>
              <w:bottom w:w="0" w:type="dxa"/>
              <w:right w:w="70" w:type="dxa"/>
            </w:tcMar>
            <w:vAlign w:val="bottom"/>
            <w:hideMark/>
          </w:tcPr>
          <w:p w:rsidR="001C2BE6" w:rsidRPr="00366EB5" w:rsidRDefault="001C2BE6" w:rsidP="00366EB5">
            <w:pPr>
              <w:suppressAutoHyphens w:val="0"/>
              <w:spacing w:before="80" w:after="80" w:line="200" w:lineRule="exact"/>
              <w:jc w:val="right"/>
              <w:rPr>
                <w:i/>
                <w:sz w:val="16"/>
              </w:rPr>
            </w:pPr>
            <w:r w:rsidRPr="00366EB5">
              <w:rPr>
                <w:i/>
                <w:sz w:val="16"/>
                <w:lang w:val="fr-FR"/>
              </w:rPr>
              <w:t>2011</w:t>
            </w:r>
          </w:p>
        </w:tc>
        <w:tc>
          <w:tcPr>
            <w:tcW w:w="843" w:type="dxa"/>
            <w:shd w:val="clear" w:color="auto" w:fill="auto"/>
            <w:noWrap/>
            <w:tcMar>
              <w:top w:w="0" w:type="dxa"/>
              <w:left w:w="70" w:type="dxa"/>
              <w:bottom w:w="0" w:type="dxa"/>
              <w:right w:w="70" w:type="dxa"/>
            </w:tcMar>
            <w:vAlign w:val="bottom"/>
            <w:hideMark/>
          </w:tcPr>
          <w:p w:rsidR="001C2BE6" w:rsidRPr="00366EB5" w:rsidRDefault="001C2BE6" w:rsidP="00366EB5">
            <w:pPr>
              <w:suppressAutoHyphens w:val="0"/>
              <w:spacing w:before="80" w:after="80" w:line="200" w:lineRule="exact"/>
              <w:jc w:val="right"/>
              <w:rPr>
                <w:i/>
                <w:sz w:val="16"/>
              </w:rPr>
            </w:pPr>
            <w:r w:rsidRPr="00366EB5">
              <w:rPr>
                <w:i/>
                <w:sz w:val="16"/>
                <w:lang w:val="fr-FR"/>
              </w:rPr>
              <w:t>2012</w:t>
            </w:r>
          </w:p>
        </w:tc>
        <w:tc>
          <w:tcPr>
            <w:tcW w:w="844" w:type="dxa"/>
            <w:shd w:val="clear" w:color="auto" w:fill="auto"/>
            <w:noWrap/>
            <w:tcMar>
              <w:top w:w="0" w:type="dxa"/>
              <w:left w:w="70" w:type="dxa"/>
              <w:bottom w:w="0" w:type="dxa"/>
              <w:right w:w="70" w:type="dxa"/>
            </w:tcMar>
            <w:vAlign w:val="bottom"/>
            <w:hideMark/>
          </w:tcPr>
          <w:p w:rsidR="001C2BE6" w:rsidRPr="00366EB5" w:rsidRDefault="001C2BE6" w:rsidP="00366EB5">
            <w:pPr>
              <w:suppressAutoHyphens w:val="0"/>
              <w:spacing w:before="80" w:after="80" w:line="200" w:lineRule="exact"/>
              <w:jc w:val="right"/>
              <w:rPr>
                <w:i/>
                <w:sz w:val="16"/>
              </w:rPr>
            </w:pPr>
            <w:r w:rsidRPr="00366EB5">
              <w:rPr>
                <w:i/>
                <w:sz w:val="16"/>
                <w:lang w:val="fr-FR"/>
              </w:rPr>
              <w:t>2013</w:t>
            </w:r>
          </w:p>
        </w:tc>
        <w:tc>
          <w:tcPr>
            <w:tcW w:w="843" w:type="dxa"/>
            <w:shd w:val="clear" w:color="auto" w:fill="auto"/>
            <w:noWrap/>
            <w:tcMar>
              <w:top w:w="0" w:type="dxa"/>
              <w:left w:w="70" w:type="dxa"/>
              <w:bottom w:w="0" w:type="dxa"/>
              <w:right w:w="70" w:type="dxa"/>
            </w:tcMar>
            <w:vAlign w:val="bottom"/>
            <w:hideMark/>
          </w:tcPr>
          <w:p w:rsidR="001C2BE6" w:rsidRPr="00366EB5" w:rsidRDefault="001C2BE6" w:rsidP="00366EB5">
            <w:pPr>
              <w:suppressAutoHyphens w:val="0"/>
              <w:spacing w:before="80" w:after="80" w:line="200" w:lineRule="exact"/>
              <w:jc w:val="right"/>
              <w:rPr>
                <w:i/>
                <w:sz w:val="16"/>
              </w:rPr>
            </w:pPr>
            <w:r w:rsidRPr="00366EB5">
              <w:rPr>
                <w:i/>
                <w:sz w:val="16"/>
                <w:lang w:val="fr-FR"/>
              </w:rPr>
              <w:t>2014</w:t>
            </w:r>
          </w:p>
        </w:tc>
        <w:tc>
          <w:tcPr>
            <w:tcW w:w="844" w:type="dxa"/>
            <w:shd w:val="clear" w:color="auto" w:fill="auto"/>
            <w:noWrap/>
            <w:tcMar>
              <w:top w:w="0" w:type="dxa"/>
              <w:left w:w="70" w:type="dxa"/>
              <w:bottom w:w="0" w:type="dxa"/>
              <w:right w:w="70" w:type="dxa"/>
            </w:tcMar>
            <w:vAlign w:val="bottom"/>
            <w:hideMark/>
          </w:tcPr>
          <w:p w:rsidR="001C2BE6" w:rsidRPr="00366EB5" w:rsidRDefault="001C2BE6" w:rsidP="00366EB5">
            <w:pPr>
              <w:suppressAutoHyphens w:val="0"/>
              <w:spacing w:before="80" w:after="80" w:line="200" w:lineRule="exact"/>
              <w:jc w:val="right"/>
              <w:rPr>
                <w:i/>
                <w:sz w:val="16"/>
              </w:rPr>
            </w:pPr>
            <w:r w:rsidRPr="00366EB5">
              <w:rPr>
                <w:i/>
                <w:sz w:val="16"/>
                <w:lang w:val="fr-FR"/>
              </w:rPr>
              <w:t>2015</w:t>
            </w:r>
          </w:p>
        </w:tc>
        <w:tc>
          <w:tcPr>
            <w:tcW w:w="843" w:type="dxa"/>
            <w:shd w:val="clear" w:color="auto" w:fill="auto"/>
            <w:noWrap/>
            <w:tcMar>
              <w:top w:w="0" w:type="dxa"/>
              <w:left w:w="70" w:type="dxa"/>
              <w:bottom w:w="0" w:type="dxa"/>
              <w:right w:w="70" w:type="dxa"/>
            </w:tcMar>
            <w:vAlign w:val="bottom"/>
            <w:hideMark/>
          </w:tcPr>
          <w:p w:rsidR="001C2BE6" w:rsidRPr="00366EB5" w:rsidRDefault="001C2BE6" w:rsidP="00366EB5">
            <w:pPr>
              <w:suppressAutoHyphens w:val="0"/>
              <w:spacing w:before="80" w:after="80" w:line="200" w:lineRule="exact"/>
              <w:jc w:val="right"/>
              <w:rPr>
                <w:i/>
                <w:sz w:val="16"/>
              </w:rPr>
            </w:pPr>
            <w:r w:rsidRPr="00366EB5">
              <w:rPr>
                <w:i/>
                <w:sz w:val="16"/>
                <w:lang w:val="fr-FR"/>
              </w:rPr>
              <w:t>2016</w:t>
            </w:r>
          </w:p>
        </w:tc>
        <w:tc>
          <w:tcPr>
            <w:tcW w:w="844" w:type="dxa"/>
            <w:shd w:val="clear" w:color="auto" w:fill="auto"/>
            <w:noWrap/>
            <w:tcMar>
              <w:top w:w="0" w:type="dxa"/>
              <w:left w:w="70" w:type="dxa"/>
              <w:bottom w:w="0" w:type="dxa"/>
              <w:right w:w="70" w:type="dxa"/>
            </w:tcMar>
            <w:vAlign w:val="bottom"/>
            <w:hideMark/>
          </w:tcPr>
          <w:p w:rsidR="001C2BE6" w:rsidRPr="00366EB5" w:rsidRDefault="001C2BE6" w:rsidP="00366EB5">
            <w:pPr>
              <w:suppressAutoHyphens w:val="0"/>
              <w:spacing w:before="80" w:after="80" w:line="200" w:lineRule="exact"/>
              <w:jc w:val="right"/>
              <w:rPr>
                <w:i/>
                <w:sz w:val="16"/>
              </w:rPr>
            </w:pPr>
            <w:r w:rsidRPr="00366EB5">
              <w:rPr>
                <w:i/>
                <w:sz w:val="16"/>
                <w:lang w:val="fr-FR"/>
              </w:rPr>
              <w:t>2017</w:t>
            </w:r>
          </w:p>
        </w:tc>
      </w:tr>
      <w:tr w:rsidR="001C2BE6" w:rsidRPr="00366EB5" w:rsidTr="00366EB5">
        <w:tc>
          <w:tcPr>
            <w:tcW w:w="843" w:type="dxa"/>
            <w:shd w:val="clear" w:color="auto" w:fill="auto"/>
            <w:noWrap/>
            <w:tcMar>
              <w:top w:w="0" w:type="dxa"/>
              <w:left w:w="70" w:type="dxa"/>
              <w:bottom w:w="0" w:type="dxa"/>
              <w:right w:w="70" w:type="dxa"/>
            </w:tcMar>
            <w:hideMark/>
          </w:tcPr>
          <w:p w:rsidR="001C2BE6" w:rsidRPr="00366EB5" w:rsidRDefault="00366EB5" w:rsidP="006F09F7">
            <w:pPr>
              <w:suppressAutoHyphens w:val="0"/>
              <w:spacing w:before="40" w:after="40" w:line="220" w:lineRule="exact"/>
              <w:jc w:val="right"/>
              <w:rPr>
                <w:sz w:val="18"/>
              </w:rPr>
            </w:pPr>
            <w:r>
              <w:rPr>
                <w:sz w:val="18"/>
                <w:lang w:val="fr-FR"/>
              </w:rPr>
              <w:t>43,9 </w:t>
            </w:r>
            <w:r w:rsidR="001C2BE6" w:rsidRPr="00366EB5">
              <w:rPr>
                <w:sz w:val="18"/>
                <w:lang w:val="fr-FR"/>
              </w:rPr>
              <w:t>%</w:t>
            </w:r>
          </w:p>
        </w:tc>
        <w:tc>
          <w:tcPr>
            <w:tcW w:w="844" w:type="dxa"/>
            <w:shd w:val="clear" w:color="auto" w:fill="auto"/>
            <w:noWrap/>
            <w:tcMar>
              <w:top w:w="0" w:type="dxa"/>
              <w:left w:w="70" w:type="dxa"/>
              <w:bottom w:w="0" w:type="dxa"/>
              <w:right w:w="70" w:type="dxa"/>
            </w:tcMar>
            <w:vAlign w:val="bottom"/>
            <w:hideMark/>
          </w:tcPr>
          <w:p w:rsidR="001C2BE6" w:rsidRPr="00366EB5" w:rsidRDefault="00366EB5" w:rsidP="00366EB5">
            <w:pPr>
              <w:suppressAutoHyphens w:val="0"/>
              <w:spacing w:before="40" w:after="40" w:line="220" w:lineRule="exact"/>
              <w:jc w:val="right"/>
              <w:rPr>
                <w:sz w:val="18"/>
              </w:rPr>
            </w:pPr>
            <w:r>
              <w:rPr>
                <w:sz w:val="18"/>
                <w:lang w:val="fr-FR"/>
              </w:rPr>
              <w:t>50,3 </w:t>
            </w:r>
            <w:r w:rsidR="001C2BE6" w:rsidRPr="00366EB5">
              <w:rPr>
                <w:sz w:val="18"/>
                <w:lang w:val="fr-FR"/>
              </w:rPr>
              <w:t>%</w:t>
            </w:r>
          </w:p>
        </w:tc>
        <w:tc>
          <w:tcPr>
            <w:tcW w:w="843" w:type="dxa"/>
            <w:shd w:val="clear" w:color="auto" w:fill="auto"/>
            <w:noWrap/>
            <w:tcMar>
              <w:top w:w="0" w:type="dxa"/>
              <w:left w:w="70" w:type="dxa"/>
              <w:bottom w:w="0" w:type="dxa"/>
              <w:right w:w="70" w:type="dxa"/>
            </w:tcMar>
            <w:vAlign w:val="bottom"/>
            <w:hideMark/>
          </w:tcPr>
          <w:p w:rsidR="001C2BE6" w:rsidRPr="00366EB5" w:rsidRDefault="00366EB5" w:rsidP="00366EB5">
            <w:pPr>
              <w:suppressAutoHyphens w:val="0"/>
              <w:spacing w:before="40" w:after="40" w:line="220" w:lineRule="exact"/>
              <w:jc w:val="right"/>
              <w:rPr>
                <w:sz w:val="18"/>
              </w:rPr>
            </w:pPr>
            <w:r>
              <w:rPr>
                <w:sz w:val="18"/>
                <w:lang w:val="fr-FR"/>
              </w:rPr>
              <w:t>49,7 </w:t>
            </w:r>
            <w:r w:rsidR="001C2BE6" w:rsidRPr="00366EB5">
              <w:rPr>
                <w:sz w:val="18"/>
                <w:lang w:val="fr-FR"/>
              </w:rPr>
              <w:t>%</w:t>
            </w:r>
          </w:p>
        </w:tc>
        <w:tc>
          <w:tcPr>
            <w:tcW w:w="844" w:type="dxa"/>
            <w:shd w:val="clear" w:color="auto" w:fill="auto"/>
            <w:noWrap/>
            <w:tcMar>
              <w:top w:w="0" w:type="dxa"/>
              <w:left w:w="70" w:type="dxa"/>
              <w:bottom w:w="0" w:type="dxa"/>
              <w:right w:w="70" w:type="dxa"/>
            </w:tcMar>
            <w:vAlign w:val="bottom"/>
            <w:hideMark/>
          </w:tcPr>
          <w:p w:rsidR="001C2BE6" w:rsidRPr="00366EB5" w:rsidRDefault="00366EB5" w:rsidP="00366EB5">
            <w:pPr>
              <w:suppressAutoHyphens w:val="0"/>
              <w:spacing w:before="40" w:after="40" w:line="220" w:lineRule="exact"/>
              <w:jc w:val="right"/>
              <w:rPr>
                <w:sz w:val="18"/>
              </w:rPr>
            </w:pPr>
            <w:r>
              <w:rPr>
                <w:sz w:val="18"/>
                <w:lang w:val="fr-FR"/>
              </w:rPr>
              <w:t>48,9 </w:t>
            </w:r>
            <w:r w:rsidR="001C2BE6" w:rsidRPr="00366EB5">
              <w:rPr>
                <w:sz w:val="18"/>
                <w:lang w:val="fr-FR"/>
              </w:rPr>
              <w:t>%</w:t>
            </w:r>
          </w:p>
        </w:tc>
        <w:tc>
          <w:tcPr>
            <w:tcW w:w="843" w:type="dxa"/>
            <w:shd w:val="clear" w:color="auto" w:fill="auto"/>
            <w:noWrap/>
            <w:tcMar>
              <w:top w:w="0" w:type="dxa"/>
              <w:left w:w="70" w:type="dxa"/>
              <w:bottom w:w="0" w:type="dxa"/>
              <w:right w:w="70" w:type="dxa"/>
            </w:tcMar>
            <w:vAlign w:val="bottom"/>
            <w:hideMark/>
          </w:tcPr>
          <w:p w:rsidR="001C2BE6" w:rsidRPr="00366EB5" w:rsidRDefault="00366EB5" w:rsidP="00366EB5">
            <w:pPr>
              <w:suppressAutoHyphens w:val="0"/>
              <w:spacing w:before="40" w:after="40" w:line="220" w:lineRule="exact"/>
              <w:jc w:val="right"/>
              <w:rPr>
                <w:sz w:val="18"/>
              </w:rPr>
            </w:pPr>
            <w:r>
              <w:rPr>
                <w:sz w:val="18"/>
                <w:lang w:val="fr-FR"/>
              </w:rPr>
              <w:t>47,2 </w:t>
            </w:r>
            <w:r w:rsidR="001C2BE6" w:rsidRPr="00366EB5">
              <w:rPr>
                <w:sz w:val="18"/>
                <w:lang w:val="fr-FR"/>
              </w:rPr>
              <w:t>%</w:t>
            </w:r>
          </w:p>
        </w:tc>
        <w:tc>
          <w:tcPr>
            <w:tcW w:w="844" w:type="dxa"/>
            <w:shd w:val="clear" w:color="auto" w:fill="auto"/>
            <w:noWrap/>
            <w:tcMar>
              <w:top w:w="0" w:type="dxa"/>
              <w:left w:w="70" w:type="dxa"/>
              <w:bottom w:w="0" w:type="dxa"/>
              <w:right w:w="70" w:type="dxa"/>
            </w:tcMar>
            <w:vAlign w:val="bottom"/>
            <w:hideMark/>
          </w:tcPr>
          <w:p w:rsidR="001C2BE6" w:rsidRPr="00366EB5" w:rsidRDefault="00366EB5" w:rsidP="00366EB5">
            <w:pPr>
              <w:suppressAutoHyphens w:val="0"/>
              <w:spacing w:before="40" w:after="40" w:line="220" w:lineRule="exact"/>
              <w:jc w:val="right"/>
              <w:rPr>
                <w:sz w:val="18"/>
              </w:rPr>
            </w:pPr>
            <w:r>
              <w:rPr>
                <w:sz w:val="18"/>
                <w:lang w:val="fr-FR"/>
              </w:rPr>
              <w:t>46,1 </w:t>
            </w:r>
            <w:r w:rsidR="001C2BE6" w:rsidRPr="00366EB5">
              <w:rPr>
                <w:sz w:val="18"/>
                <w:lang w:val="fr-FR"/>
              </w:rPr>
              <w:t>%</w:t>
            </w:r>
          </w:p>
        </w:tc>
        <w:tc>
          <w:tcPr>
            <w:tcW w:w="843" w:type="dxa"/>
            <w:shd w:val="clear" w:color="auto" w:fill="auto"/>
            <w:noWrap/>
            <w:tcMar>
              <w:top w:w="0" w:type="dxa"/>
              <w:left w:w="70" w:type="dxa"/>
              <w:bottom w:w="0" w:type="dxa"/>
              <w:right w:w="70" w:type="dxa"/>
            </w:tcMar>
            <w:vAlign w:val="bottom"/>
            <w:hideMark/>
          </w:tcPr>
          <w:p w:rsidR="001C2BE6" w:rsidRPr="00366EB5" w:rsidRDefault="00366EB5" w:rsidP="00366EB5">
            <w:pPr>
              <w:suppressAutoHyphens w:val="0"/>
              <w:spacing w:before="40" w:after="40" w:line="220" w:lineRule="exact"/>
              <w:jc w:val="right"/>
              <w:rPr>
                <w:sz w:val="18"/>
              </w:rPr>
            </w:pPr>
            <w:r>
              <w:rPr>
                <w:sz w:val="18"/>
                <w:lang w:val="fr-FR"/>
              </w:rPr>
              <w:t>44,8 </w:t>
            </w:r>
            <w:r w:rsidR="001C2BE6" w:rsidRPr="00366EB5">
              <w:rPr>
                <w:sz w:val="18"/>
                <w:lang w:val="fr-FR"/>
              </w:rPr>
              <w:t>%</w:t>
            </w:r>
          </w:p>
        </w:tc>
        <w:tc>
          <w:tcPr>
            <w:tcW w:w="844" w:type="dxa"/>
            <w:shd w:val="clear" w:color="auto" w:fill="auto"/>
            <w:noWrap/>
            <w:tcMar>
              <w:top w:w="0" w:type="dxa"/>
              <w:left w:w="70" w:type="dxa"/>
              <w:bottom w:w="0" w:type="dxa"/>
              <w:right w:w="70" w:type="dxa"/>
            </w:tcMar>
            <w:vAlign w:val="bottom"/>
            <w:hideMark/>
          </w:tcPr>
          <w:p w:rsidR="001C2BE6" w:rsidRPr="00366EB5" w:rsidRDefault="00366EB5" w:rsidP="00366EB5">
            <w:pPr>
              <w:suppressAutoHyphens w:val="0"/>
              <w:spacing w:before="40" w:after="40" w:line="220" w:lineRule="exact"/>
              <w:jc w:val="right"/>
              <w:rPr>
                <w:sz w:val="18"/>
              </w:rPr>
            </w:pPr>
            <w:r>
              <w:rPr>
                <w:sz w:val="18"/>
                <w:lang w:val="fr-FR"/>
              </w:rPr>
              <w:t>43,3 </w:t>
            </w:r>
            <w:r w:rsidR="001C2BE6" w:rsidRPr="00366EB5">
              <w:rPr>
                <w:sz w:val="18"/>
                <w:lang w:val="fr-FR"/>
              </w:rPr>
              <w:t>%</w:t>
            </w:r>
          </w:p>
        </w:tc>
        <w:tc>
          <w:tcPr>
            <w:tcW w:w="843" w:type="dxa"/>
            <w:shd w:val="clear" w:color="auto" w:fill="auto"/>
            <w:noWrap/>
            <w:tcMar>
              <w:top w:w="0" w:type="dxa"/>
              <w:left w:w="70" w:type="dxa"/>
              <w:bottom w:w="0" w:type="dxa"/>
              <w:right w:w="70" w:type="dxa"/>
            </w:tcMar>
            <w:vAlign w:val="bottom"/>
            <w:hideMark/>
          </w:tcPr>
          <w:p w:rsidR="001C2BE6" w:rsidRPr="00366EB5" w:rsidRDefault="00366EB5" w:rsidP="00366EB5">
            <w:pPr>
              <w:suppressAutoHyphens w:val="0"/>
              <w:spacing w:before="40" w:after="40" w:line="220" w:lineRule="exact"/>
              <w:jc w:val="right"/>
              <w:rPr>
                <w:sz w:val="18"/>
              </w:rPr>
            </w:pPr>
            <w:r>
              <w:rPr>
                <w:sz w:val="18"/>
                <w:lang w:val="fr-FR"/>
              </w:rPr>
              <w:t>43,1 </w:t>
            </w:r>
            <w:r w:rsidR="001C2BE6" w:rsidRPr="00366EB5">
              <w:rPr>
                <w:sz w:val="18"/>
                <w:lang w:val="fr-FR"/>
              </w:rPr>
              <w:t>%</w:t>
            </w:r>
          </w:p>
        </w:tc>
        <w:tc>
          <w:tcPr>
            <w:tcW w:w="844" w:type="dxa"/>
            <w:shd w:val="clear" w:color="auto" w:fill="auto"/>
            <w:noWrap/>
            <w:tcMar>
              <w:top w:w="0" w:type="dxa"/>
              <w:left w:w="70" w:type="dxa"/>
              <w:bottom w:w="0" w:type="dxa"/>
              <w:right w:w="70" w:type="dxa"/>
            </w:tcMar>
            <w:vAlign w:val="bottom"/>
            <w:hideMark/>
          </w:tcPr>
          <w:p w:rsidR="001C2BE6" w:rsidRPr="00366EB5" w:rsidRDefault="00366EB5" w:rsidP="00366EB5">
            <w:pPr>
              <w:suppressAutoHyphens w:val="0"/>
              <w:spacing w:before="40" w:after="40" w:line="220" w:lineRule="exact"/>
              <w:jc w:val="right"/>
              <w:rPr>
                <w:sz w:val="18"/>
              </w:rPr>
            </w:pPr>
            <w:r>
              <w:rPr>
                <w:sz w:val="18"/>
                <w:lang w:val="fr-FR"/>
              </w:rPr>
              <w:t>45,0 </w:t>
            </w:r>
            <w:r w:rsidR="001C2BE6" w:rsidRPr="00366EB5">
              <w:rPr>
                <w:sz w:val="18"/>
                <w:lang w:val="fr-FR"/>
              </w:rPr>
              <w:t>%</w:t>
            </w:r>
          </w:p>
        </w:tc>
      </w:tr>
    </w:tbl>
    <w:p w:rsidR="00FD6BA8" w:rsidRPr="00692634" w:rsidRDefault="00FD6BA8" w:rsidP="00FD6BA8">
      <w:pPr>
        <w:pStyle w:val="H23G"/>
        <w:rPr>
          <w:lang w:val="fr-FR"/>
        </w:rPr>
      </w:pPr>
      <w:r w:rsidRPr="00CE5BEC">
        <w:rPr>
          <w:lang w:val="fr-FR"/>
        </w:rPr>
        <w:lastRenderedPageBreak/>
        <w:tab/>
      </w:r>
      <w:r w:rsidRPr="00CE5BEC">
        <w:rPr>
          <w:lang w:val="fr-FR"/>
        </w:rPr>
        <w:tab/>
        <w:t xml:space="preserve">Représentent </w:t>
      </w:r>
      <w:r>
        <w:rPr>
          <w:lang w:val="fr-FR"/>
        </w:rPr>
        <w:t>entre 7,5 % et 8,5 </w:t>
      </w:r>
      <w:r w:rsidRPr="00CE5BEC">
        <w:rPr>
          <w:lang w:val="fr-FR"/>
        </w:rPr>
        <w:t>% des recettes fiscales totales (charges fiscales)</w:t>
      </w:r>
      <w:r>
        <w:rPr>
          <w:lang w:val="fr-FR"/>
        </w:rPr>
        <w:t>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37"/>
        <w:gridCol w:w="737"/>
        <w:gridCol w:w="737"/>
        <w:gridCol w:w="737"/>
        <w:gridCol w:w="737"/>
        <w:gridCol w:w="737"/>
        <w:gridCol w:w="737"/>
        <w:gridCol w:w="737"/>
        <w:gridCol w:w="737"/>
        <w:gridCol w:w="737"/>
      </w:tblGrid>
      <w:tr w:rsidR="00FD6BA8" w:rsidRPr="00FD6BA8" w:rsidTr="00FD6BA8">
        <w:trPr>
          <w:tblHeader/>
        </w:trPr>
        <w:tc>
          <w:tcPr>
            <w:tcW w:w="843" w:type="dxa"/>
            <w:shd w:val="clear" w:color="auto" w:fill="auto"/>
            <w:noWrap/>
            <w:tcMar>
              <w:top w:w="0" w:type="dxa"/>
              <w:left w:w="70" w:type="dxa"/>
              <w:bottom w:w="0" w:type="dxa"/>
              <w:right w:w="70" w:type="dxa"/>
            </w:tcMar>
            <w:vAlign w:val="bottom"/>
            <w:hideMark/>
          </w:tcPr>
          <w:p w:rsidR="00FD6BA8" w:rsidRPr="00FD6BA8" w:rsidRDefault="00FD6BA8" w:rsidP="00EB6A9A">
            <w:pPr>
              <w:suppressAutoHyphens w:val="0"/>
              <w:spacing w:before="80" w:after="80" w:line="200" w:lineRule="exact"/>
              <w:jc w:val="right"/>
              <w:rPr>
                <w:i/>
                <w:sz w:val="16"/>
              </w:rPr>
            </w:pPr>
            <w:r w:rsidRPr="00FD6BA8">
              <w:rPr>
                <w:i/>
                <w:sz w:val="16"/>
                <w:lang w:val="fr-FR"/>
              </w:rPr>
              <w:t>2008</w:t>
            </w:r>
          </w:p>
        </w:tc>
        <w:tc>
          <w:tcPr>
            <w:tcW w:w="844" w:type="dxa"/>
            <w:shd w:val="clear" w:color="auto" w:fill="auto"/>
            <w:noWrap/>
            <w:tcMar>
              <w:top w:w="0" w:type="dxa"/>
              <w:left w:w="70" w:type="dxa"/>
              <w:bottom w:w="0" w:type="dxa"/>
              <w:right w:w="70" w:type="dxa"/>
            </w:tcMar>
            <w:vAlign w:val="bottom"/>
            <w:hideMark/>
          </w:tcPr>
          <w:p w:rsidR="00FD6BA8" w:rsidRPr="00FD6BA8" w:rsidRDefault="00FD6BA8" w:rsidP="00FD6BA8">
            <w:pPr>
              <w:suppressAutoHyphens w:val="0"/>
              <w:spacing w:before="80" w:after="80" w:line="200" w:lineRule="exact"/>
              <w:jc w:val="right"/>
              <w:rPr>
                <w:i/>
                <w:sz w:val="16"/>
              </w:rPr>
            </w:pPr>
            <w:r w:rsidRPr="00FD6BA8">
              <w:rPr>
                <w:i/>
                <w:sz w:val="16"/>
                <w:lang w:val="fr-FR"/>
              </w:rPr>
              <w:t>2009</w:t>
            </w:r>
          </w:p>
        </w:tc>
        <w:tc>
          <w:tcPr>
            <w:tcW w:w="843" w:type="dxa"/>
            <w:shd w:val="clear" w:color="auto" w:fill="auto"/>
            <w:noWrap/>
            <w:tcMar>
              <w:top w:w="0" w:type="dxa"/>
              <w:left w:w="70" w:type="dxa"/>
              <w:bottom w:w="0" w:type="dxa"/>
              <w:right w:w="70" w:type="dxa"/>
            </w:tcMar>
            <w:vAlign w:val="bottom"/>
            <w:hideMark/>
          </w:tcPr>
          <w:p w:rsidR="00FD6BA8" w:rsidRPr="00FD6BA8" w:rsidRDefault="00FD6BA8" w:rsidP="00FD6BA8">
            <w:pPr>
              <w:suppressAutoHyphens w:val="0"/>
              <w:spacing w:before="80" w:after="80" w:line="200" w:lineRule="exact"/>
              <w:jc w:val="right"/>
              <w:rPr>
                <w:i/>
                <w:sz w:val="16"/>
              </w:rPr>
            </w:pPr>
            <w:r w:rsidRPr="00FD6BA8">
              <w:rPr>
                <w:i/>
                <w:sz w:val="16"/>
                <w:lang w:val="fr-FR"/>
              </w:rPr>
              <w:t>2010</w:t>
            </w:r>
          </w:p>
        </w:tc>
        <w:tc>
          <w:tcPr>
            <w:tcW w:w="844" w:type="dxa"/>
            <w:shd w:val="clear" w:color="auto" w:fill="auto"/>
            <w:noWrap/>
            <w:tcMar>
              <w:top w:w="0" w:type="dxa"/>
              <w:left w:w="70" w:type="dxa"/>
              <w:bottom w:w="0" w:type="dxa"/>
              <w:right w:w="70" w:type="dxa"/>
            </w:tcMar>
            <w:vAlign w:val="bottom"/>
            <w:hideMark/>
          </w:tcPr>
          <w:p w:rsidR="00FD6BA8" w:rsidRPr="00FD6BA8" w:rsidRDefault="00FD6BA8" w:rsidP="00FD6BA8">
            <w:pPr>
              <w:suppressAutoHyphens w:val="0"/>
              <w:spacing w:before="80" w:after="80" w:line="200" w:lineRule="exact"/>
              <w:jc w:val="right"/>
              <w:rPr>
                <w:i/>
                <w:sz w:val="16"/>
              </w:rPr>
            </w:pPr>
            <w:r w:rsidRPr="00FD6BA8">
              <w:rPr>
                <w:i/>
                <w:sz w:val="16"/>
                <w:lang w:val="fr-FR"/>
              </w:rPr>
              <w:t>2011</w:t>
            </w:r>
          </w:p>
        </w:tc>
        <w:tc>
          <w:tcPr>
            <w:tcW w:w="843" w:type="dxa"/>
            <w:shd w:val="clear" w:color="auto" w:fill="auto"/>
            <w:noWrap/>
            <w:tcMar>
              <w:top w:w="0" w:type="dxa"/>
              <w:left w:w="70" w:type="dxa"/>
              <w:bottom w:w="0" w:type="dxa"/>
              <w:right w:w="70" w:type="dxa"/>
            </w:tcMar>
            <w:vAlign w:val="bottom"/>
            <w:hideMark/>
          </w:tcPr>
          <w:p w:rsidR="00FD6BA8" w:rsidRPr="00FD6BA8" w:rsidRDefault="00FD6BA8" w:rsidP="00FD6BA8">
            <w:pPr>
              <w:suppressAutoHyphens w:val="0"/>
              <w:spacing w:before="80" w:after="80" w:line="200" w:lineRule="exact"/>
              <w:jc w:val="right"/>
              <w:rPr>
                <w:i/>
                <w:sz w:val="16"/>
              </w:rPr>
            </w:pPr>
            <w:r w:rsidRPr="00FD6BA8">
              <w:rPr>
                <w:i/>
                <w:sz w:val="16"/>
                <w:lang w:val="fr-FR"/>
              </w:rPr>
              <w:t>2012</w:t>
            </w:r>
          </w:p>
        </w:tc>
        <w:tc>
          <w:tcPr>
            <w:tcW w:w="844" w:type="dxa"/>
            <w:shd w:val="clear" w:color="auto" w:fill="auto"/>
            <w:noWrap/>
            <w:tcMar>
              <w:top w:w="0" w:type="dxa"/>
              <w:left w:w="70" w:type="dxa"/>
              <w:bottom w:w="0" w:type="dxa"/>
              <w:right w:w="70" w:type="dxa"/>
            </w:tcMar>
            <w:vAlign w:val="bottom"/>
            <w:hideMark/>
          </w:tcPr>
          <w:p w:rsidR="00FD6BA8" w:rsidRPr="00FD6BA8" w:rsidRDefault="00FD6BA8" w:rsidP="00FD6BA8">
            <w:pPr>
              <w:suppressAutoHyphens w:val="0"/>
              <w:spacing w:before="80" w:after="80" w:line="200" w:lineRule="exact"/>
              <w:jc w:val="right"/>
              <w:rPr>
                <w:i/>
                <w:sz w:val="16"/>
              </w:rPr>
            </w:pPr>
            <w:r w:rsidRPr="00FD6BA8">
              <w:rPr>
                <w:i/>
                <w:sz w:val="16"/>
                <w:lang w:val="fr-FR"/>
              </w:rPr>
              <w:t>2013</w:t>
            </w:r>
          </w:p>
        </w:tc>
        <w:tc>
          <w:tcPr>
            <w:tcW w:w="843" w:type="dxa"/>
            <w:shd w:val="clear" w:color="auto" w:fill="auto"/>
            <w:noWrap/>
            <w:tcMar>
              <w:top w:w="0" w:type="dxa"/>
              <w:left w:w="70" w:type="dxa"/>
              <w:bottom w:w="0" w:type="dxa"/>
              <w:right w:w="70" w:type="dxa"/>
            </w:tcMar>
            <w:vAlign w:val="bottom"/>
            <w:hideMark/>
          </w:tcPr>
          <w:p w:rsidR="00FD6BA8" w:rsidRPr="00FD6BA8" w:rsidRDefault="00FD6BA8" w:rsidP="00FD6BA8">
            <w:pPr>
              <w:suppressAutoHyphens w:val="0"/>
              <w:spacing w:before="80" w:after="80" w:line="200" w:lineRule="exact"/>
              <w:jc w:val="right"/>
              <w:rPr>
                <w:i/>
                <w:sz w:val="16"/>
              </w:rPr>
            </w:pPr>
            <w:r w:rsidRPr="00FD6BA8">
              <w:rPr>
                <w:i/>
                <w:sz w:val="16"/>
                <w:lang w:val="fr-FR"/>
              </w:rPr>
              <w:t>2014</w:t>
            </w:r>
          </w:p>
        </w:tc>
        <w:tc>
          <w:tcPr>
            <w:tcW w:w="844" w:type="dxa"/>
            <w:shd w:val="clear" w:color="auto" w:fill="auto"/>
            <w:noWrap/>
            <w:tcMar>
              <w:top w:w="0" w:type="dxa"/>
              <w:left w:w="70" w:type="dxa"/>
              <w:bottom w:w="0" w:type="dxa"/>
              <w:right w:w="70" w:type="dxa"/>
            </w:tcMar>
            <w:vAlign w:val="bottom"/>
            <w:hideMark/>
          </w:tcPr>
          <w:p w:rsidR="00FD6BA8" w:rsidRPr="00FD6BA8" w:rsidRDefault="00FD6BA8" w:rsidP="00FD6BA8">
            <w:pPr>
              <w:suppressAutoHyphens w:val="0"/>
              <w:spacing w:before="80" w:after="80" w:line="200" w:lineRule="exact"/>
              <w:jc w:val="right"/>
              <w:rPr>
                <w:i/>
                <w:sz w:val="16"/>
              </w:rPr>
            </w:pPr>
            <w:r w:rsidRPr="00FD6BA8">
              <w:rPr>
                <w:i/>
                <w:sz w:val="16"/>
                <w:lang w:val="fr-FR"/>
              </w:rPr>
              <w:t>2015</w:t>
            </w:r>
          </w:p>
        </w:tc>
        <w:tc>
          <w:tcPr>
            <w:tcW w:w="843" w:type="dxa"/>
            <w:shd w:val="clear" w:color="auto" w:fill="auto"/>
            <w:noWrap/>
            <w:tcMar>
              <w:top w:w="0" w:type="dxa"/>
              <w:left w:w="70" w:type="dxa"/>
              <w:bottom w:w="0" w:type="dxa"/>
              <w:right w:w="70" w:type="dxa"/>
            </w:tcMar>
            <w:vAlign w:val="bottom"/>
            <w:hideMark/>
          </w:tcPr>
          <w:p w:rsidR="00FD6BA8" w:rsidRPr="00FD6BA8" w:rsidRDefault="00FD6BA8" w:rsidP="00FD6BA8">
            <w:pPr>
              <w:suppressAutoHyphens w:val="0"/>
              <w:spacing w:before="80" w:after="80" w:line="200" w:lineRule="exact"/>
              <w:jc w:val="right"/>
              <w:rPr>
                <w:i/>
                <w:sz w:val="16"/>
              </w:rPr>
            </w:pPr>
            <w:r w:rsidRPr="00FD6BA8">
              <w:rPr>
                <w:i/>
                <w:sz w:val="16"/>
                <w:lang w:val="fr-FR"/>
              </w:rPr>
              <w:t>2016</w:t>
            </w:r>
          </w:p>
        </w:tc>
        <w:tc>
          <w:tcPr>
            <w:tcW w:w="844" w:type="dxa"/>
            <w:shd w:val="clear" w:color="auto" w:fill="auto"/>
            <w:noWrap/>
            <w:tcMar>
              <w:top w:w="0" w:type="dxa"/>
              <w:left w:w="70" w:type="dxa"/>
              <w:bottom w:w="0" w:type="dxa"/>
              <w:right w:w="70" w:type="dxa"/>
            </w:tcMar>
            <w:vAlign w:val="bottom"/>
            <w:hideMark/>
          </w:tcPr>
          <w:p w:rsidR="00FD6BA8" w:rsidRPr="00FD6BA8" w:rsidRDefault="00FD6BA8" w:rsidP="00FD6BA8">
            <w:pPr>
              <w:suppressAutoHyphens w:val="0"/>
              <w:spacing w:before="80" w:after="80" w:line="200" w:lineRule="exact"/>
              <w:jc w:val="right"/>
              <w:rPr>
                <w:i/>
                <w:sz w:val="16"/>
              </w:rPr>
            </w:pPr>
            <w:r w:rsidRPr="00FD6BA8">
              <w:rPr>
                <w:i/>
                <w:sz w:val="16"/>
                <w:lang w:val="fr-FR"/>
              </w:rPr>
              <w:t>2017</w:t>
            </w:r>
          </w:p>
        </w:tc>
      </w:tr>
      <w:tr w:rsidR="00FD6BA8" w:rsidRPr="00FD6BA8" w:rsidTr="00FD6BA8">
        <w:tc>
          <w:tcPr>
            <w:tcW w:w="843" w:type="dxa"/>
            <w:shd w:val="clear" w:color="auto" w:fill="auto"/>
            <w:noWrap/>
            <w:tcMar>
              <w:top w:w="0" w:type="dxa"/>
              <w:left w:w="70" w:type="dxa"/>
              <w:bottom w:w="0" w:type="dxa"/>
              <w:right w:w="70" w:type="dxa"/>
            </w:tcMar>
            <w:hideMark/>
          </w:tcPr>
          <w:p w:rsidR="00FD6BA8" w:rsidRPr="00FD6BA8" w:rsidRDefault="00FD6BA8" w:rsidP="00EB6A9A">
            <w:pPr>
              <w:suppressAutoHyphens w:val="0"/>
              <w:spacing w:before="40" w:after="40" w:line="220" w:lineRule="exact"/>
              <w:jc w:val="right"/>
              <w:rPr>
                <w:sz w:val="18"/>
              </w:rPr>
            </w:pPr>
            <w:r w:rsidRPr="00FD6BA8">
              <w:rPr>
                <w:sz w:val="18"/>
                <w:lang w:val="fr-FR"/>
              </w:rPr>
              <w:t>8,5</w:t>
            </w:r>
            <w:r w:rsidR="007A40D8">
              <w:rPr>
                <w:sz w:val="18"/>
                <w:lang w:val="fr-FR"/>
              </w:rPr>
              <w:t> </w:t>
            </w:r>
            <w:r w:rsidRPr="00FD6BA8">
              <w:rPr>
                <w:sz w:val="18"/>
                <w:lang w:val="fr-FR"/>
              </w:rPr>
              <w:t>%</w:t>
            </w:r>
          </w:p>
        </w:tc>
        <w:tc>
          <w:tcPr>
            <w:tcW w:w="844" w:type="dxa"/>
            <w:shd w:val="clear" w:color="auto" w:fill="auto"/>
            <w:noWrap/>
            <w:tcMar>
              <w:top w:w="0" w:type="dxa"/>
              <w:left w:w="70" w:type="dxa"/>
              <w:bottom w:w="0" w:type="dxa"/>
              <w:right w:w="70" w:type="dxa"/>
            </w:tcMar>
            <w:vAlign w:val="bottom"/>
            <w:hideMark/>
          </w:tcPr>
          <w:p w:rsidR="00FD6BA8" w:rsidRPr="00FD6BA8" w:rsidRDefault="007A40D8" w:rsidP="00FD6BA8">
            <w:pPr>
              <w:suppressAutoHyphens w:val="0"/>
              <w:spacing w:before="40" w:after="40" w:line="220" w:lineRule="exact"/>
              <w:jc w:val="right"/>
              <w:rPr>
                <w:sz w:val="18"/>
              </w:rPr>
            </w:pPr>
            <w:r>
              <w:rPr>
                <w:sz w:val="18"/>
                <w:lang w:val="fr-FR"/>
              </w:rPr>
              <w:t>8,0 </w:t>
            </w:r>
            <w:r w:rsidR="00FD6BA8" w:rsidRPr="00FD6BA8">
              <w:rPr>
                <w:sz w:val="18"/>
                <w:lang w:val="fr-FR"/>
              </w:rPr>
              <w:t>%</w:t>
            </w:r>
          </w:p>
        </w:tc>
        <w:tc>
          <w:tcPr>
            <w:tcW w:w="843" w:type="dxa"/>
            <w:shd w:val="clear" w:color="auto" w:fill="auto"/>
            <w:noWrap/>
            <w:tcMar>
              <w:top w:w="0" w:type="dxa"/>
              <w:left w:w="70" w:type="dxa"/>
              <w:bottom w:w="0" w:type="dxa"/>
              <w:right w:w="70" w:type="dxa"/>
            </w:tcMar>
            <w:vAlign w:val="bottom"/>
            <w:hideMark/>
          </w:tcPr>
          <w:p w:rsidR="00FD6BA8" w:rsidRPr="00FD6BA8" w:rsidRDefault="007A40D8" w:rsidP="00FD6BA8">
            <w:pPr>
              <w:suppressAutoHyphens w:val="0"/>
              <w:spacing w:before="40" w:after="40" w:line="220" w:lineRule="exact"/>
              <w:jc w:val="right"/>
              <w:rPr>
                <w:sz w:val="18"/>
              </w:rPr>
            </w:pPr>
            <w:r>
              <w:rPr>
                <w:sz w:val="18"/>
                <w:lang w:val="fr-FR"/>
              </w:rPr>
              <w:t>7,9 </w:t>
            </w:r>
            <w:r w:rsidR="00FD6BA8" w:rsidRPr="00FD6BA8">
              <w:rPr>
                <w:sz w:val="18"/>
                <w:lang w:val="fr-FR"/>
              </w:rPr>
              <w:t>%</w:t>
            </w:r>
          </w:p>
        </w:tc>
        <w:tc>
          <w:tcPr>
            <w:tcW w:w="844" w:type="dxa"/>
            <w:shd w:val="clear" w:color="auto" w:fill="auto"/>
            <w:noWrap/>
            <w:tcMar>
              <w:top w:w="0" w:type="dxa"/>
              <w:left w:w="70" w:type="dxa"/>
              <w:bottom w:w="0" w:type="dxa"/>
              <w:right w:w="70" w:type="dxa"/>
            </w:tcMar>
            <w:vAlign w:val="bottom"/>
            <w:hideMark/>
          </w:tcPr>
          <w:p w:rsidR="00FD6BA8" w:rsidRPr="00FD6BA8" w:rsidRDefault="007A40D8" w:rsidP="00FD6BA8">
            <w:pPr>
              <w:suppressAutoHyphens w:val="0"/>
              <w:spacing w:before="40" w:after="40" w:line="220" w:lineRule="exact"/>
              <w:jc w:val="right"/>
              <w:rPr>
                <w:sz w:val="18"/>
              </w:rPr>
            </w:pPr>
            <w:r>
              <w:rPr>
                <w:sz w:val="18"/>
                <w:lang w:val="fr-FR"/>
              </w:rPr>
              <w:t>7,9 </w:t>
            </w:r>
            <w:r w:rsidR="00FD6BA8" w:rsidRPr="00FD6BA8">
              <w:rPr>
                <w:sz w:val="18"/>
                <w:lang w:val="fr-FR"/>
              </w:rPr>
              <w:t>%</w:t>
            </w:r>
          </w:p>
        </w:tc>
        <w:tc>
          <w:tcPr>
            <w:tcW w:w="843" w:type="dxa"/>
            <w:shd w:val="clear" w:color="auto" w:fill="auto"/>
            <w:noWrap/>
            <w:tcMar>
              <w:top w:w="0" w:type="dxa"/>
              <w:left w:w="70" w:type="dxa"/>
              <w:bottom w:w="0" w:type="dxa"/>
              <w:right w:w="70" w:type="dxa"/>
            </w:tcMar>
            <w:vAlign w:val="bottom"/>
            <w:hideMark/>
          </w:tcPr>
          <w:p w:rsidR="00FD6BA8" w:rsidRPr="00FD6BA8" w:rsidRDefault="007A40D8" w:rsidP="00FD6BA8">
            <w:pPr>
              <w:suppressAutoHyphens w:val="0"/>
              <w:spacing w:before="40" w:after="40" w:line="220" w:lineRule="exact"/>
              <w:jc w:val="right"/>
              <w:rPr>
                <w:sz w:val="18"/>
              </w:rPr>
            </w:pPr>
            <w:r>
              <w:rPr>
                <w:sz w:val="18"/>
                <w:lang w:val="fr-FR"/>
              </w:rPr>
              <w:t>7,7 </w:t>
            </w:r>
            <w:r w:rsidR="00FD6BA8" w:rsidRPr="00FD6BA8">
              <w:rPr>
                <w:sz w:val="18"/>
                <w:lang w:val="fr-FR"/>
              </w:rPr>
              <w:t>%</w:t>
            </w:r>
          </w:p>
        </w:tc>
        <w:tc>
          <w:tcPr>
            <w:tcW w:w="844" w:type="dxa"/>
            <w:shd w:val="clear" w:color="auto" w:fill="auto"/>
            <w:noWrap/>
            <w:tcMar>
              <w:top w:w="0" w:type="dxa"/>
              <w:left w:w="70" w:type="dxa"/>
              <w:bottom w:w="0" w:type="dxa"/>
              <w:right w:w="70" w:type="dxa"/>
            </w:tcMar>
            <w:vAlign w:val="bottom"/>
            <w:hideMark/>
          </w:tcPr>
          <w:p w:rsidR="00FD6BA8" w:rsidRPr="00FD6BA8" w:rsidRDefault="007A40D8" w:rsidP="00FD6BA8">
            <w:pPr>
              <w:suppressAutoHyphens w:val="0"/>
              <w:spacing w:before="40" w:after="40" w:line="220" w:lineRule="exact"/>
              <w:jc w:val="right"/>
              <w:rPr>
                <w:sz w:val="18"/>
              </w:rPr>
            </w:pPr>
            <w:r>
              <w:rPr>
                <w:sz w:val="18"/>
                <w:lang w:val="fr-FR"/>
              </w:rPr>
              <w:t>7,9 </w:t>
            </w:r>
            <w:r w:rsidR="00FD6BA8" w:rsidRPr="00FD6BA8">
              <w:rPr>
                <w:sz w:val="18"/>
                <w:lang w:val="fr-FR"/>
              </w:rPr>
              <w:t>%</w:t>
            </w:r>
          </w:p>
        </w:tc>
        <w:tc>
          <w:tcPr>
            <w:tcW w:w="843" w:type="dxa"/>
            <w:shd w:val="clear" w:color="auto" w:fill="auto"/>
            <w:noWrap/>
            <w:tcMar>
              <w:top w:w="0" w:type="dxa"/>
              <w:left w:w="70" w:type="dxa"/>
              <w:bottom w:w="0" w:type="dxa"/>
              <w:right w:w="70" w:type="dxa"/>
            </w:tcMar>
            <w:vAlign w:val="bottom"/>
            <w:hideMark/>
          </w:tcPr>
          <w:p w:rsidR="00FD6BA8" w:rsidRPr="00FD6BA8" w:rsidRDefault="007A40D8" w:rsidP="00FD6BA8">
            <w:pPr>
              <w:suppressAutoHyphens w:val="0"/>
              <w:spacing w:before="40" w:after="40" w:line="220" w:lineRule="exact"/>
              <w:jc w:val="right"/>
              <w:rPr>
                <w:sz w:val="18"/>
              </w:rPr>
            </w:pPr>
            <w:r>
              <w:rPr>
                <w:sz w:val="18"/>
                <w:lang w:val="fr-FR"/>
              </w:rPr>
              <w:t>7,9 </w:t>
            </w:r>
            <w:r w:rsidR="00FD6BA8" w:rsidRPr="00FD6BA8">
              <w:rPr>
                <w:sz w:val="18"/>
                <w:lang w:val="fr-FR"/>
              </w:rPr>
              <w:t>%</w:t>
            </w:r>
          </w:p>
        </w:tc>
        <w:tc>
          <w:tcPr>
            <w:tcW w:w="844" w:type="dxa"/>
            <w:shd w:val="clear" w:color="auto" w:fill="auto"/>
            <w:noWrap/>
            <w:tcMar>
              <w:top w:w="0" w:type="dxa"/>
              <w:left w:w="70" w:type="dxa"/>
              <w:bottom w:w="0" w:type="dxa"/>
              <w:right w:w="70" w:type="dxa"/>
            </w:tcMar>
            <w:vAlign w:val="bottom"/>
            <w:hideMark/>
          </w:tcPr>
          <w:p w:rsidR="00FD6BA8" w:rsidRPr="00FD6BA8" w:rsidRDefault="007A40D8" w:rsidP="00FD6BA8">
            <w:pPr>
              <w:suppressAutoHyphens w:val="0"/>
              <w:spacing w:before="40" w:after="40" w:line="220" w:lineRule="exact"/>
              <w:jc w:val="right"/>
              <w:rPr>
                <w:sz w:val="18"/>
              </w:rPr>
            </w:pPr>
            <w:r>
              <w:rPr>
                <w:sz w:val="18"/>
                <w:lang w:val="fr-FR"/>
              </w:rPr>
              <w:t>7,5 </w:t>
            </w:r>
            <w:r w:rsidR="00FD6BA8" w:rsidRPr="00FD6BA8">
              <w:rPr>
                <w:sz w:val="18"/>
                <w:lang w:val="fr-FR"/>
              </w:rPr>
              <w:t>%</w:t>
            </w:r>
          </w:p>
        </w:tc>
        <w:tc>
          <w:tcPr>
            <w:tcW w:w="843" w:type="dxa"/>
            <w:shd w:val="clear" w:color="auto" w:fill="auto"/>
            <w:noWrap/>
            <w:tcMar>
              <w:top w:w="0" w:type="dxa"/>
              <w:left w:w="70" w:type="dxa"/>
              <w:bottom w:w="0" w:type="dxa"/>
              <w:right w:w="70" w:type="dxa"/>
            </w:tcMar>
            <w:vAlign w:val="bottom"/>
            <w:hideMark/>
          </w:tcPr>
          <w:p w:rsidR="00FD6BA8" w:rsidRPr="00FD6BA8" w:rsidRDefault="007A40D8" w:rsidP="00FD6BA8">
            <w:pPr>
              <w:suppressAutoHyphens w:val="0"/>
              <w:spacing w:before="40" w:after="40" w:line="220" w:lineRule="exact"/>
              <w:jc w:val="right"/>
              <w:rPr>
                <w:sz w:val="18"/>
              </w:rPr>
            </w:pPr>
            <w:r>
              <w:rPr>
                <w:sz w:val="18"/>
                <w:lang w:val="fr-FR"/>
              </w:rPr>
              <w:t>7,5 </w:t>
            </w:r>
            <w:r w:rsidR="00FD6BA8" w:rsidRPr="00FD6BA8">
              <w:rPr>
                <w:sz w:val="18"/>
                <w:lang w:val="fr-FR"/>
              </w:rPr>
              <w:t>%</w:t>
            </w:r>
          </w:p>
        </w:tc>
        <w:tc>
          <w:tcPr>
            <w:tcW w:w="844" w:type="dxa"/>
            <w:shd w:val="clear" w:color="auto" w:fill="auto"/>
            <w:noWrap/>
            <w:tcMar>
              <w:top w:w="0" w:type="dxa"/>
              <w:left w:w="70" w:type="dxa"/>
              <w:bottom w:w="0" w:type="dxa"/>
              <w:right w:w="70" w:type="dxa"/>
            </w:tcMar>
            <w:vAlign w:val="bottom"/>
            <w:hideMark/>
          </w:tcPr>
          <w:p w:rsidR="00FD6BA8" w:rsidRPr="00FD6BA8" w:rsidRDefault="007A40D8" w:rsidP="00FD6BA8">
            <w:pPr>
              <w:suppressAutoHyphens w:val="0"/>
              <w:spacing w:before="40" w:after="40" w:line="220" w:lineRule="exact"/>
              <w:jc w:val="right"/>
              <w:rPr>
                <w:sz w:val="18"/>
              </w:rPr>
            </w:pPr>
            <w:r>
              <w:rPr>
                <w:sz w:val="18"/>
                <w:lang w:val="fr-FR"/>
              </w:rPr>
              <w:t>7,8 </w:t>
            </w:r>
            <w:r w:rsidR="00FD6BA8" w:rsidRPr="00FD6BA8">
              <w:rPr>
                <w:sz w:val="18"/>
                <w:lang w:val="fr-FR"/>
              </w:rPr>
              <w:t>%</w:t>
            </w:r>
          </w:p>
        </w:tc>
      </w:tr>
    </w:tbl>
    <w:p w:rsidR="00FD6BA8" w:rsidRPr="00692634" w:rsidRDefault="00FD6BA8" w:rsidP="00FD6BA8">
      <w:pPr>
        <w:pStyle w:val="H23G"/>
        <w:rPr>
          <w:lang w:val="fr-FR"/>
        </w:rPr>
      </w:pPr>
      <w:r>
        <w:rPr>
          <w:lang w:val="fr-FR"/>
        </w:rPr>
        <w:tab/>
        <w:t>d)</w:t>
      </w:r>
      <w:r>
        <w:rPr>
          <w:lang w:val="fr-FR"/>
        </w:rPr>
        <w:tab/>
        <w:t>Volume des dépenses publiques par rapport au produit intérieur brut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37"/>
        <w:gridCol w:w="737"/>
        <w:gridCol w:w="737"/>
        <w:gridCol w:w="737"/>
        <w:gridCol w:w="737"/>
        <w:gridCol w:w="737"/>
        <w:gridCol w:w="737"/>
        <w:gridCol w:w="737"/>
        <w:gridCol w:w="737"/>
        <w:gridCol w:w="737"/>
      </w:tblGrid>
      <w:tr w:rsidR="00AF44DA" w:rsidRPr="00AF44DA" w:rsidTr="00AF44DA">
        <w:trPr>
          <w:tblHeader/>
        </w:trPr>
        <w:tc>
          <w:tcPr>
            <w:tcW w:w="850" w:type="dxa"/>
            <w:shd w:val="clear" w:color="auto" w:fill="auto"/>
            <w:noWrap/>
            <w:vAlign w:val="bottom"/>
            <w:hideMark/>
          </w:tcPr>
          <w:p w:rsidR="00FD6BA8" w:rsidRPr="00AF44DA" w:rsidRDefault="00FD6BA8" w:rsidP="00EB6A9A">
            <w:pPr>
              <w:suppressAutoHyphens w:val="0"/>
              <w:spacing w:before="80" w:after="80" w:line="200" w:lineRule="exact"/>
              <w:jc w:val="right"/>
              <w:rPr>
                <w:i/>
                <w:sz w:val="16"/>
              </w:rPr>
            </w:pPr>
            <w:r w:rsidRPr="00AF44DA">
              <w:rPr>
                <w:i/>
                <w:sz w:val="16"/>
                <w:lang w:val="fr-FR"/>
              </w:rPr>
              <w:t>2007</w:t>
            </w:r>
          </w:p>
        </w:tc>
        <w:tc>
          <w:tcPr>
            <w:tcW w:w="851"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2008</w:t>
            </w:r>
          </w:p>
        </w:tc>
        <w:tc>
          <w:tcPr>
            <w:tcW w:w="850"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2009</w:t>
            </w:r>
          </w:p>
        </w:tc>
        <w:tc>
          <w:tcPr>
            <w:tcW w:w="851"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2010</w:t>
            </w:r>
          </w:p>
        </w:tc>
        <w:tc>
          <w:tcPr>
            <w:tcW w:w="850"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2011</w:t>
            </w:r>
          </w:p>
        </w:tc>
        <w:tc>
          <w:tcPr>
            <w:tcW w:w="851"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2012</w:t>
            </w:r>
          </w:p>
        </w:tc>
        <w:tc>
          <w:tcPr>
            <w:tcW w:w="850"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2013</w:t>
            </w:r>
          </w:p>
        </w:tc>
        <w:tc>
          <w:tcPr>
            <w:tcW w:w="851"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2014</w:t>
            </w:r>
          </w:p>
        </w:tc>
        <w:tc>
          <w:tcPr>
            <w:tcW w:w="850"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2015</w:t>
            </w:r>
          </w:p>
        </w:tc>
        <w:tc>
          <w:tcPr>
            <w:tcW w:w="851"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2016</w:t>
            </w:r>
          </w:p>
        </w:tc>
      </w:tr>
      <w:tr w:rsidR="00AF44DA" w:rsidRPr="00AF44DA" w:rsidTr="00AF44DA">
        <w:tc>
          <w:tcPr>
            <w:tcW w:w="850" w:type="dxa"/>
            <w:shd w:val="clear" w:color="auto" w:fill="auto"/>
            <w:noWrap/>
          </w:tcPr>
          <w:p w:rsidR="00FD6BA8" w:rsidRPr="00AF44DA" w:rsidRDefault="00FD6BA8" w:rsidP="00EB6A9A">
            <w:pPr>
              <w:suppressAutoHyphens w:val="0"/>
              <w:spacing w:before="40" w:after="40" w:line="220" w:lineRule="exact"/>
              <w:jc w:val="right"/>
              <w:rPr>
                <w:sz w:val="18"/>
              </w:rPr>
            </w:pPr>
            <w:r w:rsidRPr="00AF44DA">
              <w:rPr>
                <w:sz w:val="18"/>
                <w:lang w:val="fr-FR"/>
              </w:rPr>
              <w:t>34,1</w:t>
            </w:r>
            <w:r w:rsidR="00AF44DA">
              <w:rPr>
                <w:sz w:val="18"/>
                <w:lang w:val="fr-FR"/>
              </w:rPr>
              <w:t> </w:t>
            </w:r>
            <w:r w:rsidRPr="00AF44DA">
              <w:rPr>
                <w:sz w:val="18"/>
                <w:lang w:val="fr-FR"/>
              </w:rPr>
              <w:t>%</w:t>
            </w:r>
          </w:p>
        </w:tc>
        <w:tc>
          <w:tcPr>
            <w:tcW w:w="851"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39,7 </w:t>
            </w:r>
            <w:r w:rsidR="00FD6BA8" w:rsidRPr="00AF44DA">
              <w:rPr>
                <w:sz w:val="18"/>
                <w:lang w:val="fr-FR"/>
              </w:rPr>
              <w:t>%</w:t>
            </w:r>
          </w:p>
        </w:tc>
        <w:tc>
          <w:tcPr>
            <w:tcW w:w="850"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46,1 </w:t>
            </w:r>
            <w:r w:rsidR="00FD6BA8" w:rsidRPr="00AF44DA">
              <w:rPr>
                <w:sz w:val="18"/>
                <w:lang w:val="fr-FR"/>
              </w:rPr>
              <w:t>%</w:t>
            </w:r>
          </w:p>
        </w:tc>
        <w:tc>
          <w:tcPr>
            <w:tcW w:w="851"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40,5 </w:t>
            </w:r>
            <w:r w:rsidR="00FD6BA8" w:rsidRPr="00AF44DA">
              <w:rPr>
                <w:sz w:val="18"/>
                <w:lang w:val="fr-FR"/>
              </w:rPr>
              <w:t>%</w:t>
            </w:r>
          </w:p>
        </w:tc>
        <w:tc>
          <w:tcPr>
            <w:tcW w:w="850"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37,4 </w:t>
            </w:r>
            <w:r w:rsidR="00FD6BA8" w:rsidRPr="00AF44DA">
              <w:rPr>
                <w:sz w:val="18"/>
                <w:lang w:val="fr-FR"/>
              </w:rPr>
              <w:t>%</w:t>
            </w:r>
          </w:p>
        </w:tc>
        <w:tc>
          <w:tcPr>
            <w:tcW w:w="851"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39,3 </w:t>
            </w:r>
            <w:r w:rsidR="00FD6BA8" w:rsidRPr="00AF44DA">
              <w:rPr>
                <w:sz w:val="18"/>
                <w:lang w:val="fr-FR"/>
              </w:rPr>
              <w:t>%</w:t>
            </w:r>
          </w:p>
        </w:tc>
        <w:tc>
          <w:tcPr>
            <w:tcW w:w="850"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38,5 </w:t>
            </w:r>
            <w:r w:rsidR="00FD6BA8" w:rsidRPr="00AF44DA">
              <w:rPr>
                <w:sz w:val="18"/>
                <w:lang w:val="fr-FR"/>
              </w:rPr>
              <w:t>%</w:t>
            </w:r>
          </w:p>
        </w:tc>
        <w:tc>
          <w:tcPr>
            <w:tcW w:w="851"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37,9 </w:t>
            </w:r>
            <w:r w:rsidR="00FD6BA8" w:rsidRPr="00AF44DA">
              <w:rPr>
                <w:sz w:val="18"/>
                <w:lang w:val="fr-FR"/>
              </w:rPr>
              <w:t>%</w:t>
            </w:r>
          </w:p>
        </w:tc>
        <w:tc>
          <w:tcPr>
            <w:tcW w:w="850"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39,6 </w:t>
            </w:r>
            <w:r w:rsidR="00FD6BA8" w:rsidRPr="00AF44DA">
              <w:rPr>
                <w:sz w:val="18"/>
                <w:lang w:val="fr-FR"/>
              </w:rPr>
              <w:t>%</w:t>
            </w:r>
          </w:p>
        </w:tc>
        <w:tc>
          <w:tcPr>
            <w:tcW w:w="851"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39,5 </w:t>
            </w:r>
            <w:r w:rsidR="00FD6BA8" w:rsidRPr="00AF44DA">
              <w:rPr>
                <w:sz w:val="18"/>
                <w:lang w:val="fr-FR"/>
              </w:rPr>
              <w:t>%</w:t>
            </w:r>
          </w:p>
        </w:tc>
      </w:tr>
    </w:tbl>
    <w:p w:rsidR="00FD6BA8" w:rsidRPr="00692634" w:rsidRDefault="00FD6BA8" w:rsidP="00AF44DA">
      <w:pPr>
        <w:pStyle w:val="H23G"/>
        <w:rPr>
          <w:lang w:val="fr-FR"/>
        </w:rPr>
      </w:pPr>
      <w:r>
        <w:rPr>
          <w:lang w:val="fr-FR"/>
        </w:rPr>
        <w:tab/>
      </w:r>
      <w:r>
        <w:rPr>
          <w:lang w:val="fr-FR"/>
        </w:rPr>
        <w:tab/>
        <w:t>Part du budget public allouée à des dépenses sociales (COFOG 06, 07, 09 et 10)</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37"/>
        <w:gridCol w:w="737"/>
        <w:gridCol w:w="737"/>
        <w:gridCol w:w="737"/>
        <w:gridCol w:w="737"/>
        <w:gridCol w:w="737"/>
        <w:gridCol w:w="737"/>
        <w:gridCol w:w="737"/>
        <w:gridCol w:w="737"/>
        <w:gridCol w:w="737"/>
      </w:tblGrid>
      <w:tr w:rsidR="00AF44DA" w:rsidRPr="00AF44DA" w:rsidTr="004301D0">
        <w:trPr>
          <w:tblHeader/>
        </w:trPr>
        <w:tc>
          <w:tcPr>
            <w:tcW w:w="737" w:type="dxa"/>
            <w:shd w:val="clear" w:color="auto" w:fill="auto"/>
            <w:noWrap/>
            <w:vAlign w:val="bottom"/>
            <w:hideMark/>
          </w:tcPr>
          <w:p w:rsidR="00FD6BA8" w:rsidRPr="00AF44DA" w:rsidRDefault="00FD6BA8" w:rsidP="00EB6A9A">
            <w:pPr>
              <w:suppressAutoHyphens w:val="0"/>
              <w:spacing w:before="80" w:after="80" w:line="200" w:lineRule="exact"/>
              <w:jc w:val="right"/>
              <w:rPr>
                <w:i/>
                <w:sz w:val="16"/>
              </w:rPr>
            </w:pPr>
            <w:r w:rsidRPr="00AF44DA">
              <w:rPr>
                <w:i/>
                <w:sz w:val="16"/>
                <w:lang w:val="fr-FR"/>
              </w:rPr>
              <w:t>2007</w:t>
            </w:r>
          </w:p>
        </w:tc>
        <w:tc>
          <w:tcPr>
            <w:tcW w:w="737"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2008</w:t>
            </w:r>
          </w:p>
        </w:tc>
        <w:tc>
          <w:tcPr>
            <w:tcW w:w="737"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2009</w:t>
            </w:r>
          </w:p>
        </w:tc>
        <w:tc>
          <w:tcPr>
            <w:tcW w:w="737"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2010</w:t>
            </w:r>
          </w:p>
        </w:tc>
        <w:tc>
          <w:tcPr>
            <w:tcW w:w="737"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2011</w:t>
            </w:r>
          </w:p>
        </w:tc>
        <w:tc>
          <w:tcPr>
            <w:tcW w:w="737"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2012</w:t>
            </w:r>
          </w:p>
        </w:tc>
        <w:tc>
          <w:tcPr>
            <w:tcW w:w="737"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2013</w:t>
            </w:r>
          </w:p>
        </w:tc>
        <w:tc>
          <w:tcPr>
            <w:tcW w:w="737"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2014</w:t>
            </w:r>
          </w:p>
        </w:tc>
        <w:tc>
          <w:tcPr>
            <w:tcW w:w="737"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2015</w:t>
            </w:r>
          </w:p>
        </w:tc>
        <w:tc>
          <w:tcPr>
            <w:tcW w:w="737" w:type="dxa"/>
            <w:shd w:val="clear" w:color="auto" w:fill="auto"/>
            <w:noWrap/>
            <w:vAlign w:val="bottom"/>
            <w:hideMark/>
          </w:tcPr>
          <w:p w:rsidR="00FD6BA8" w:rsidRPr="00AF44DA" w:rsidRDefault="00FD6BA8" w:rsidP="00AF44DA">
            <w:pPr>
              <w:suppressAutoHyphens w:val="0"/>
              <w:spacing w:before="80" w:after="80" w:line="200" w:lineRule="exact"/>
              <w:jc w:val="right"/>
              <w:rPr>
                <w:i/>
                <w:sz w:val="16"/>
              </w:rPr>
            </w:pPr>
            <w:r w:rsidRPr="00AF44DA">
              <w:rPr>
                <w:i/>
                <w:sz w:val="16"/>
                <w:lang w:val="fr-FR"/>
              </w:rPr>
              <w:t>2016</w:t>
            </w:r>
          </w:p>
        </w:tc>
      </w:tr>
      <w:tr w:rsidR="00AF44DA" w:rsidRPr="00AF44DA" w:rsidTr="004301D0">
        <w:tc>
          <w:tcPr>
            <w:tcW w:w="737" w:type="dxa"/>
            <w:shd w:val="clear" w:color="auto" w:fill="auto"/>
            <w:noWrap/>
          </w:tcPr>
          <w:p w:rsidR="00FD6BA8" w:rsidRPr="00AF44DA" w:rsidRDefault="00AF44DA" w:rsidP="00EB6A9A">
            <w:pPr>
              <w:suppressAutoHyphens w:val="0"/>
              <w:spacing w:before="40" w:after="40" w:line="220" w:lineRule="exact"/>
              <w:jc w:val="right"/>
              <w:rPr>
                <w:sz w:val="18"/>
              </w:rPr>
            </w:pPr>
            <w:r>
              <w:rPr>
                <w:sz w:val="18"/>
                <w:lang w:val="fr-FR"/>
              </w:rPr>
              <w:t>59,0 </w:t>
            </w:r>
            <w:r w:rsidR="00FD6BA8" w:rsidRPr="00AF44DA">
              <w:rPr>
                <w:sz w:val="18"/>
                <w:lang w:val="fr-FR"/>
              </w:rPr>
              <w:t>%</w:t>
            </w:r>
          </w:p>
        </w:tc>
        <w:tc>
          <w:tcPr>
            <w:tcW w:w="737"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60,2 </w:t>
            </w:r>
            <w:r w:rsidR="00FD6BA8" w:rsidRPr="00AF44DA">
              <w:rPr>
                <w:sz w:val="18"/>
                <w:lang w:val="fr-FR"/>
              </w:rPr>
              <w:t>%</w:t>
            </w:r>
          </w:p>
        </w:tc>
        <w:tc>
          <w:tcPr>
            <w:tcW w:w="737"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61,4 </w:t>
            </w:r>
            <w:r w:rsidR="00FD6BA8" w:rsidRPr="00AF44DA">
              <w:rPr>
                <w:sz w:val="18"/>
                <w:lang w:val="fr-FR"/>
              </w:rPr>
              <w:t>%</w:t>
            </w:r>
          </w:p>
        </w:tc>
        <w:tc>
          <w:tcPr>
            <w:tcW w:w="737"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65,9 </w:t>
            </w:r>
            <w:r w:rsidR="00FD6BA8" w:rsidRPr="00AF44DA">
              <w:rPr>
                <w:sz w:val="18"/>
                <w:lang w:val="fr-FR"/>
              </w:rPr>
              <w:t>%</w:t>
            </w:r>
          </w:p>
        </w:tc>
        <w:tc>
          <w:tcPr>
            <w:tcW w:w="737" w:type="dxa"/>
            <w:shd w:val="clear" w:color="auto" w:fill="auto"/>
            <w:noWrap/>
            <w:vAlign w:val="bottom"/>
          </w:tcPr>
          <w:p w:rsidR="00FD6BA8" w:rsidRPr="00AF44DA" w:rsidRDefault="00FD6BA8" w:rsidP="00AF44DA">
            <w:pPr>
              <w:suppressAutoHyphens w:val="0"/>
              <w:spacing w:before="40" w:after="40" w:line="220" w:lineRule="exact"/>
              <w:jc w:val="right"/>
              <w:rPr>
                <w:sz w:val="18"/>
              </w:rPr>
            </w:pPr>
            <w:r w:rsidRPr="00AF44DA">
              <w:rPr>
                <w:sz w:val="18"/>
                <w:lang w:val="fr-FR"/>
              </w:rPr>
              <w:t>6</w:t>
            </w:r>
            <w:r w:rsidR="00AF44DA">
              <w:rPr>
                <w:sz w:val="18"/>
                <w:lang w:val="fr-FR"/>
              </w:rPr>
              <w:t>4,9 </w:t>
            </w:r>
            <w:r w:rsidRPr="00AF44DA">
              <w:rPr>
                <w:sz w:val="18"/>
                <w:lang w:val="fr-FR"/>
              </w:rPr>
              <w:t>%</w:t>
            </w:r>
          </w:p>
        </w:tc>
        <w:tc>
          <w:tcPr>
            <w:tcW w:w="737"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61,5 </w:t>
            </w:r>
            <w:r w:rsidR="00FD6BA8" w:rsidRPr="00AF44DA">
              <w:rPr>
                <w:sz w:val="18"/>
                <w:lang w:val="fr-FR"/>
              </w:rPr>
              <w:t>%</w:t>
            </w:r>
          </w:p>
        </w:tc>
        <w:tc>
          <w:tcPr>
            <w:tcW w:w="737"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60,9 </w:t>
            </w:r>
            <w:r w:rsidR="00FD6BA8" w:rsidRPr="00AF44DA">
              <w:rPr>
                <w:sz w:val="18"/>
                <w:lang w:val="fr-FR"/>
              </w:rPr>
              <w:t>%</w:t>
            </w:r>
          </w:p>
        </w:tc>
        <w:tc>
          <w:tcPr>
            <w:tcW w:w="737"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60,5 </w:t>
            </w:r>
            <w:r w:rsidR="00FD6BA8" w:rsidRPr="00AF44DA">
              <w:rPr>
                <w:sz w:val="18"/>
                <w:lang w:val="fr-FR"/>
              </w:rPr>
              <w:t>%</w:t>
            </w:r>
          </w:p>
        </w:tc>
        <w:tc>
          <w:tcPr>
            <w:tcW w:w="737"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61,9 </w:t>
            </w:r>
            <w:r w:rsidR="00FD6BA8" w:rsidRPr="00AF44DA">
              <w:rPr>
                <w:sz w:val="18"/>
                <w:lang w:val="fr-FR"/>
              </w:rPr>
              <w:t>%</w:t>
            </w:r>
          </w:p>
        </w:tc>
        <w:tc>
          <w:tcPr>
            <w:tcW w:w="737" w:type="dxa"/>
            <w:shd w:val="clear" w:color="auto" w:fill="auto"/>
            <w:noWrap/>
            <w:vAlign w:val="bottom"/>
          </w:tcPr>
          <w:p w:rsidR="00FD6BA8" w:rsidRPr="00AF44DA" w:rsidRDefault="00AF44DA" w:rsidP="00AF44DA">
            <w:pPr>
              <w:suppressAutoHyphens w:val="0"/>
              <w:spacing w:before="40" w:after="40" w:line="220" w:lineRule="exact"/>
              <w:jc w:val="right"/>
              <w:rPr>
                <w:sz w:val="18"/>
              </w:rPr>
            </w:pPr>
            <w:r>
              <w:rPr>
                <w:sz w:val="18"/>
                <w:lang w:val="fr-FR"/>
              </w:rPr>
              <w:t>61,8 </w:t>
            </w:r>
            <w:r w:rsidR="00FD6BA8" w:rsidRPr="00AF44DA">
              <w:rPr>
                <w:sz w:val="18"/>
                <w:lang w:val="fr-FR"/>
              </w:rPr>
              <w:t>%</w:t>
            </w:r>
          </w:p>
        </w:tc>
      </w:tr>
    </w:tbl>
    <w:p w:rsidR="00FD6BA8" w:rsidRPr="00692634" w:rsidRDefault="00AF44DA" w:rsidP="00AF44DA">
      <w:pPr>
        <w:pStyle w:val="H23G"/>
        <w:rPr>
          <w:lang w:val="fr-FR"/>
        </w:rPr>
      </w:pPr>
      <w:r>
        <w:rPr>
          <w:lang w:val="fr-FR"/>
        </w:rPr>
        <w:tab/>
        <w:t>e)</w:t>
      </w:r>
      <w:r w:rsidR="00FD6BA8">
        <w:rPr>
          <w:lang w:val="fr-FR"/>
        </w:rPr>
        <w:tab/>
        <w:t>Montant des dépenses sociales corrigé de l</w:t>
      </w:r>
      <w:r w:rsidR="004301D0">
        <w:rPr>
          <w:lang w:val="fr-FR"/>
        </w:rPr>
        <w:t>’inflation, en millions d’euros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37"/>
        <w:gridCol w:w="737"/>
        <w:gridCol w:w="737"/>
        <w:gridCol w:w="737"/>
        <w:gridCol w:w="737"/>
        <w:gridCol w:w="737"/>
        <w:gridCol w:w="737"/>
        <w:gridCol w:w="737"/>
        <w:gridCol w:w="737"/>
        <w:gridCol w:w="737"/>
      </w:tblGrid>
      <w:tr w:rsidR="004301D0" w:rsidRPr="004301D0" w:rsidTr="004301D0">
        <w:trPr>
          <w:tblHeader/>
        </w:trPr>
        <w:tc>
          <w:tcPr>
            <w:tcW w:w="737" w:type="dxa"/>
            <w:shd w:val="clear" w:color="auto" w:fill="auto"/>
            <w:noWrap/>
            <w:vAlign w:val="bottom"/>
            <w:hideMark/>
          </w:tcPr>
          <w:p w:rsidR="00FD6BA8" w:rsidRPr="004301D0" w:rsidRDefault="00FD6BA8" w:rsidP="00EB6A9A">
            <w:pPr>
              <w:suppressAutoHyphens w:val="0"/>
              <w:spacing w:before="80" w:after="80" w:line="200" w:lineRule="exact"/>
              <w:jc w:val="right"/>
              <w:rPr>
                <w:i/>
                <w:sz w:val="16"/>
              </w:rPr>
            </w:pPr>
            <w:r w:rsidRPr="004301D0">
              <w:rPr>
                <w:i/>
                <w:sz w:val="16"/>
                <w:lang w:val="fr-FR"/>
              </w:rPr>
              <w:t>2007</w:t>
            </w:r>
          </w:p>
        </w:tc>
        <w:tc>
          <w:tcPr>
            <w:tcW w:w="737" w:type="dxa"/>
            <w:shd w:val="clear" w:color="auto" w:fill="auto"/>
            <w:noWrap/>
            <w:vAlign w:val="bottom"/>
            <w:hideMark/>
          </w:tcPr>
          <w:p w:rsidR="00FD6BA8" w:rsidRPr="004301D0" w:rsidRDefault="00FD6BA8" w:rsidP="004301D0">
            <w:pPr>
              <w:suppressAutoHyphens w:val="0"/>
              <w:spacing w:before="80" w:after="80" w:line="200" w:lineRule="exact"/>
              <w:jc w:val="right"/>
              <w:rPr>
                <w:i/>
                <w:sz w:val="16"/>
              </w:rPr>
            </w:pPr>
            <w:r w:rsidRPr="004301D0">
              <w:rPr>
                <w:i/>
                <w:sz w:val="16"/>
                <w:lang w:val="fr-FR"/>
              </w:rPr>
              <w:t>2008</w:t>
            </w:r>
          </w:p>
        </w:tc>
        <w:tc>
          <w:tcPr>
            <w:tcW w:w="737" w:type="dxa"/>
            <w:shd w:val="clear" w:color="auto" w:fill="auto"/>
            <w:noWrap/>
            <w:vAlign w:val="bottom"/>
            <w:hideMark/>
          </w:tcPr>
          <w:p w:rsidR="00FD6BA8" w:rsidRPr="004301D0" w:rsidRDefault="00FD6BA8" w:rsidP="004301D0">
            <w:pPr>
              <w:suppressAutoHyphens w:val="0"/>
              <w:spacing w:before="80" w:after="80" w:line="200" w:lineRule="exact"/>
              <w:jc w:val="right"/>
              <w:rPr>
                <w:i/>
                <w:sz w:val="16"/>
              </w:rPr>
            </w:pPr>
            <w:r w:rsidRPr="004301D0">
              <w:rPr>
                <w:i/>
                <w:sz w:val="16"/>
                <w:lang w:val="fr-FR"/>
              </w:rPr>
              <w:t>2009</w:t>
            </w:r>
          </w:p>
        </w:tc>
        <w:tc>
          <w:tcPr>
            <w:tcW w:w="737" w:type="dxa"/>
            <w:shd w:val="clear" w:color="auto" w:fill="auto"/>
            <w:noWrap/>
            <w:vAlign w:val="bottom"/>
            <w:hideMark/>
          </w:tcPr>
          <w:p w:rsidR="00FD6BA8" w:rsidRPr="004301D0" w:rsidRDefault="00FD6BA8" w:rsidP="004301D0">
            <w:pPr>
              <w:suppressAutoHyphens w:val="0"/>
              <w:spacing w:before="80" w:after="80" w:line="200" w:lineRule="exact"/>
              <w:jc w:val="right"/>
              <w:rPr>
                <w:i/>
                <w:sz w:val="16"/>
              </w:rPr>
            </w:pPr>
            <w:r w:rsidRPr="004301D0">
              <w:rPr>
                <w:i/>
                <w:sz w:val="16"/>
                <w:lang w:val="fr-FR"/>
              </w:rPr>
              <w:t>2010</w:t>
            </w:r>
          </w:p>
        </w:tc>
        <w:tc>
          <w:tcPr>
            <w:tcW w:w="737" w:type="dxa"/>
            <w:shd w:val="clear" w:color="auto" w:fill="auto"/>
            <w:noWrap/>
            <w:vAlign w:val="bottom"/>
            <w:hideMark/>
          </w:tcPr>
          <w:p w:rsidR="00FD6BA8" w:rsidRPr="004301D0" w:rsidRDefault="00FD6BA8" w:rsidP="004301D0">
            <w:pPr>
              <w:suppressAutoHyphens w:val="0"/>
              <w:spacing w:before="80" w:after="80" w:line="200" w:lineRule="exact"/>
              <w:jc w:val="right"/>
              <w:rPr>
                <w:i/>
                <w:sz w:val="16"/>
              </w:rPr>
            </w:pPr>
            <w:r w:rsidRPr="004301D0">
              <w:rPr>
                <w:i/>
                <w:sz w:val="16"/>
                <w:lang w:val="fr-FR"/>
              </w:rPr>
              <w:t>2011</w:t>
            </w:r>
          </w:p>
        </w:tc>
        <w:tc>
          <w:tcPr>
            <w:tcW w:w="737" w:type="dxa"/>
            <w:shd w:val="clear" w:color="auto" w:fill="auto"/>
            <w:noWrap/>
            <w:vAlign w:val="bottom"/>
            <w:hideMark/>
          </w:tcPr>
          <w:p w:rsidR="00FD6BA8" w:rsidRPr="004301D0" w:rsidRDefault="00FD6BA8" w:rsidP="004301D0">
            <w:pPr>
              <w:suppressAutoHyphens w:val="0"/>
              <w:spacing w:before="80" w:after="80" w:line="200" w:lineRule="exact"/>
              <w:jc w:val="right"/>
              <w:rPr>
                <w:i/>
                <w:sz w:val="16"/>
              </w:rPr>
            </w:pPr>
            <w:r w:rsidRPr="004301D0">
              <w:rPr>
                <w:i/>
                <w:sz w:val="16"/>
                <w:lang w:val="fr-FR"/>
              </w:rPr>
              <w:t>2012</w:t>
            </w:r>
          </w:p>
        </w:tc>
        <w:tc>
          <w:tcPr>
            <w:tcW w:w="737" w:type="dxa"/>
            <w:shd w:val="clear" w:color="auto" w:fill="auto"/>
            <w:noWrap/>
            <w:vAlign w:val="bottom"/>
            <w:hideMark/>
          </w:tcPr>
          <w:p w:rsidR="00FD6BA8" w:rsidRPr="004301D0" w:rsidRDefault="00FD6BA8" w:rsidP="004301D0">
            <w:pPr>
              <w:suppressAutoHyphens w:val="0"/>
              <w:spacing w:before="80" w:after="80" w:line="200" w:lineRule="exact"/>
              <w:jc w:val="right"/>
              <w:rPr>
                <w:i/>
                <w:sz w:val="16"/>
              </w:rPr>
            </w:pPr>
            <w:r w:rsidRPr="004301D0">
              <w:rPr>
                <w:i/>
                <w:sz w:val="16"/>
                <w:lang w:val="fr-FR"/>
              </w:rPr>
              <w:t>2013</w:t>
            </w:r>
          </w:p>
        </w:tc>
        <w:tc>
          <w:tcPr>
            <w:tcW w:w="737" w:type="dxa"/>
            <w:shd w:val="clear" w:color="auto" w:fill="auto"/>
            <w:noWrap/>
            <w:vAlign w:val="bottom"/>
            <w:hideMark/>
          </w:tcPr>
          <w:p w:rsidR="00FD6BA8" w:rsidRPr="004301D0" w:rsidRDefault="00FD6BA8" w:rsidP="004301D0">
            <w:pPr>
              <w:suppressAutoHyphens w:val="0"/>
              <w:spacing w:before="80" w:after="80" w:line="200" w:lineRule="exact"/>
              <w:jc w:val="right"/>
              <w:rPr>
                <w:i/>
                <w:sz w:val="16"/>
              </w:rPr>
            </w:pPr>
            <w:r w:rsidRPr="004301D0">
              <w:rPr>
                <w:i/>
                <w:sz w:val="16"/>
                <w:lang w:val="fr-FR"/>
              </w:rPr>
              <w:t>2014</w:t>
            </w:r>
          </w:p>
        </w:tc>
        <w:tc>
          <w:tcPr>
            <w:tcW w:w="737" w:type="dxa"/>
            <w:shd w:val="clear" w:color="auto" w:fill="auto"/>
            <w:noWrap/>
            <w:vAlign w:val="bottom"/>
            <w:hideMark/>
          </w:tcPr>
          <w:p w:rsidR="00FD6BA8" w:rsidRPr="004301D0" w:rsidRDefault="00FD6BA8" w:rsidP="004301D0">
            <w:pPr>
              <w:suppressAutoHyphens w:val="0"/>
              <w:spacing w:before="80" w:after="80" w:line="200" w:lineRule="exact"/>
              <w:jc w:val="right"/>
              <w:rPr>
                <w:i/>
                <w:sz w:val="16"/>
              </w:rPr>
            </w:pPr>
            <w:r w:rsidRPr="004301D0">
              <w:rPr>
                <w:i/>
                <w:sz w:val="16"/>
                <w:lang w:val="fr-FR"/>
              </w:rPr>
              <w:t>2015</w:t>
            </w:r>
          </w:p>
        </w:tc>
        <w:tc>
          <w:tcPr>
            <w:tcW w:w="737" w:type="dxa"/>
            <w:shd w:val="clear" w:color="auto" w:fill="auto"/>
            <w:noWrap/>
            <w:vAlign w:val="bottom"/>
            <w:hideMark/>
          </w:tcPr>
          <w:p w:rsidR="00FD6BA8" w:rsidRPr="004301D0" w:rsidRDefault="00FD6BA8" w:rsidP="004301D0">
            <w:pPr>
              <w:suppressAutoHyphens w:val="0"/>
              <w:spacing w:before="80" w:after="80" w:line="200" w:lineRule="exact"/>
              <w:jc w:val="right"/>
              <w:rPr>
                <w:i/>
                <w:sz w:val="16"/>
              </w:rPr>
            </w:pPr>
            <w:r w:rsidRPr="004301D0">
              <w:rPr>
                <w:i/>
                <w:sz w:val="16"/>
                <w:lang w:val="fr-FR"/>
              </w:rPr>
              <w:t>2016</w:t>
            </w:r>
          </w:p>
        </w:tc>
      </w:tr>
      <w:tr w:rsidR="004301D0" w:rsidRPr="004301D0" w:rsidTr="004301D0">
        <w:tc>
          <w:tcPr>
            <w:tcW w:w="737" w:type="dxa"/>
            <w:shd w:val="clear" w:color="auto" w:fill="auto"/>
            <w:noWrap/>
          </w:tcPr>
          <w:p w:rsidR="00FD6BA8" w:rsidRPr="004301D0" w:rsidRDefault="004301D0" w:rsidP="00EB6A9A">
            <w:pPr>
              <w:suppressAutoHyphens w:val="0"/>
              <w:spacing w:before="40" w:after="40" w:line="220" w:lineRule="exact"/>
              <w:jc w:val="right"/>
              <w:rPr>
                <w:sz w:val="18"/>
              </w:rPr>
            </w:pPr>
            <w:r>
              <w:rPr>
                <w:sz w:val="18"/>
                <w:lang w:val="fr-FR"/>
              </w:rPr>
              <w:t>3 </w:t>
            </w:r>
            <w:r w:rsidR="00FD6BA8" w:rsidRPr="004301D0">
              <w:rPr>
                <w:sz w:val="18"/>
                <w:lang w:val="fr-FR"/>
              </w:rPr>
              <w:t>269,1</w:t>
            </w:r>
          </w:p>
        </w:tc>
        <w:tc>
          <w:tcPr>
            <w:tcW w:w="737" w:type="dxa"/>
            <w:shd w:val="clear" w:color="auto" w:fill="auto"/>
            <w:noWrap/>
            <w:vAlign w:val="bottom"/>
          </w:tcPr>
          <w:p w:rsidR="00FD6BA8" w:rsidRPr="004301D0" w:rsidRDefault="004301D0" w:rsidP="004301D0">
            <w:pPr>
              <w:suppressAutoHyphens w:val="0"/>
              <w:spacing w:before="40" w:after="40" w:line="220" w:lineRule="exact"/>
              <w:jc w:val="right"/>
              <w:rPr>
                <w:sz w:val="18"/>
              </w:rPr>
            </w:pPr>
            <w:r>
              <w:rPr>
                <w:sz w:val="18"/>
                <w:lang w:val="fr-FR"/>
              </w:rPr>
              <w:t>3 </w:t>
            </w:r>
            <w:r w:rsidR="00FD6BA8" w:rsidRPr="004301D0">
              <w:rPr>
                <w:sz w:val="18"/>
                <w:lang w:val="fr-FR"/>
              </w:rPr>
              <w:t>578,2</w:t>
            </w:r>
          </w:p>
        </w:tc>
        <w:tc>
          <w:tcPr>
            <w:tcW w:w="737" w:type="dxa"/>
            <w:shd w:val="clear" w:color="auto" w:fill="auto"/>
            <w:noWrap/>
            <w:vAlign w:val="bottom"/>
          </w:tcPr>
          <w:p w:rsidR="00FD6BA8" w:rsidRPr="004301D0" w:rsidRDefault="004301D0" w:rsidP="004301D0">
            <w:pPr>
              <w:suppressAutoHyphens w:val="0"/>
              <w:spacing w:before="40" w:after="40" w:line="220" w:lineRule="exact"/>
              <w:jc w:val="right"/>
              <w:rPr>
                <w:sz w:val="18"/>
              </w:rPr>
            </w:pPr>
            <w:r>
              <w:rPr>
                <w:sz w:val="18"/>
                <w:lang w:val="fr-FR"/>
              </w:rPr>
              <w:t>3 </w:t>
            </w:r>
            <w:r w:rsidR="00FD6BA8" w:rsidRPr="004301D0">
              <w:rPr>
                <w:sz w:val="18"/>
                <w:lang w:val="fr-FR"/>
              </w:rPr>
              <w:t>623,8</w:t>
            </w:r>
          </w:p>
        </w:tc>
        <w:tc>
          <w:tcPr>
            <w:tcW w:w="737" w:type="dxa"/>
            <w:shd w:val="clear" w:color="auto" w:fill="auto"/>
            <w:noWrap/>
            <w:vAlign w:val="bottom"/>
          </w:tcPr>
          <w:p w:rsidR="00FD6BA8" w:rsidRPr="004301D0" w:rsidRDefault="004301D0" w:rsidP="004301D0">
            <w:pPr>
              <w:suppressAutoHyphens w:val="0"/>
              <w:spacing w:before="40" w:after="40" w:line="220" w:lineRule="exact"/>
              <w:jc w:val="right"/>
              <w:rPr>
                <w:sz w:val="18"/>
              </w:rPr>
            </w:pPr>
            <w:r>
              <w:rPr>
                <w:sz w:val="18"/>
                <w:lang w:val="fr-FR"/>
              </w:rPr>
              <w:t>3 </w:t>
            </w:r>
            <w:r w:rsidR="00FD6BA8" w:rsidRPr="004301D0">
              <w:rPr>
                <w:sz w:val="18"/>
                <w:lang w:val="fr-FR"/>
              </w:rPr>
              <w:t>457,7</w:t>
            </w:r>
          </w:p>
        </w:tc>
        <w:tc>
          <w:tcPr>
            <w:tcW w:w="737" w:type="dxa"/>
            <w:shd w:val="clear" w:color="auto" w:fill="auto"/>
            <w:noWrap/>
            <w:vAlign w:val="bottom"/>
          </w:tcPr>
          <w:p w:rsidR="00FD6BA8" w:rsidRPr="004301D0" w:rsidRDefault="004301D0" w:rsidP="004301D0">
            <w:pPr>
              <w:suppressAutoHyphens w:val="0"/>
              <w:spacing w:before="40" w:after="40" w:line="220" w:lineRule="exact"/>
              <w:jc w:val="right"/>
              <w:rPr>
                <w:sz w:val="18"/>
              </w:rPr>
            </w:pPr>
            <w:r>
              <w:rPr>
                <w:sz w:val="18"/>
                <w:lang w:val="fr-FR"/>
              </w:rPr>
              <w:t>3 </w:t>
            </w:r>
            <w:r w:rsidR="00FD6BA8" w:rsidRPr="004301D0">
              <w:rPr>
                <w:sz w:val="18"/>
                <w:lang w:val="fr-FR"/>
              </w:rPr>
              <w:t>394,2</w:t>
            </w:r>
          </w:p>
        </w:tc>
        <w:tc>
          <w:tcPr>
            <w:tcW w:w="737" w:type="dxa"/>
            <w:shd w:val="clear" w:color="auto" w:fill="auto"/>
            <w:noWrap/>
            <w:vAlign w:val="bottom"/>
          </w:tcPr>
          <w:p w:rsidR="00FD6BA8" w:rsidRPr="004301D0" w:rsidRDefault="004301D0" w:rsidP="004301D0">
            <w:pPr>
              <w:suppressAutoHyphens w:val="0"/>
              <w:spacing w:before="40" w:after="40" w:line="220" w:lineRule="exact"/>
              <w:jc w:val="right"/>
              <w:rPr>
                <w:sz w:val="18"/>
              </w:rPr>
            </w:pPr>
            <w:r>
              <w:rPr>
                <w:sz w:val="18"/>
                <w:lang w:val="fr-FR"/>
              </w:rPr>
              <w:t>3 </w:t>
            </w:r>
            <w:r w:rsidR="00FD6BA8" w:rsidRPr="004301D0">
              <w:rPr>
                <w:sz w:val="18"/>
                <w:lang w:val="fr-FR"/>
              </w:rPr>
              <w:t>500,0</w:t>
            </w:r>
          </w:p>
        </w:tc>
        <w:tc>
          <w:tcPr>
            <w:tcW w:w="737" w:type="dxa"/>
            <w:shd w:val="clear" w:color="auto" w:fill="auto"/>
            <w:noWrap/>
            <w:vAlign w:val="bottom"/>
          </w:tcPr>
          <w:p w:rsidR="00FD6BA8" w:rsidRPr="004301D0" w:rsidRDefault="004301D0" w:rsidP="004301D0">
            <w:pPr>
              <w:suppressAutoHyphens w:val="0"/>
              <w:spacing w:before="40" w:after="40" w:line="220" w:lineRule="exact"/>
              <w:jc w:val="right"/>
              <w:rPr>
                <w:sz w:val="18"/>
              </w:rPr>
            </w:pPr>
            <w:r>
              <w:rPr>
                <w:sz w:val="18"/>
                <w:lang w:val="fr-FR"/>
              </w:rPr>
              <w:t>3 </w:t>
            </w:r>
            <w:r w:rsidR="00FD6BA8" w:rsidRPr="004301D0">
              <w:rPr>
                <w:sz w:val="18"/>
                <w:lang w:val="fr-FR"/>
              </w:rPr>
              <w:t>480,7</w:t>
            </w:r>
          </w:p>
        </w:tc>
        <w:tc>
          <w:tcPr>
            <w:tcW w:w="737" w:type="dxa"/>
            <w:shd w:val="clear" w:color="auto" w:fill="auto"/>
            <w:noWrap/>
            <w:vAlign w:val="bottom"/>
          </w:tcPr>
          <w:p w:rsidR="00FD6BA8" w:rsidRPr="004301D0" w:rsidRDefault="004301D0" w:rsidP="004301D0">
            <w:pPr>
              <w:suppressAutoHyphens w:val="0"/>
              <w:spacing w:before="40" w:after="40" w:line="220" w:lineRule="exact"/>
              <w:jc w:val="right"/>
              <w:rPr>
                <w:sz w:val="18"/>
              </w:rPr>
            </w:pPr>
            <w:r>
              <w:rPr>
                <w:sz w:val="18"/>
                <w:lang w:val="fr-FR"/>
              </w:rPr>
              <w:t>3 </w:t>
            </w:r>
            <w:r w:rsidR="00FD6BA8" w:rsidRPr="004301D0">
              <w:rPr>
                <w:sz w:val="18"/>
                <w:lang w:val="fr-FR"/>
              </w:rPr>
              <w:t>610,5</w:t>
            </w:r>
          </w:p>
        </w:tc>
        <w:tc>
          <w:tcPr>
            <w:tcW w:w="737" w:type="dxa"/>
            <w:shd w:val="clear" w:color="auto" w:fill="auto"/>
            <w:noWrap/>
            <w:vAlign w:val="bottom"/>
          </w:tcPr>
          <w:p w:rsidR="00FD6BA8" w:rsidRPr="004301D0" w:rsidRDefault="004301D0" w:rsidP="004301D0">
            <w:pPr>
              <w:suppressAutoHyphens w:val="0"/>
              <w:spacing w:before="40" w:after="40" w:line="220" w:lineRule="exact"/>
              <w:jc w:val="right"/>
              <w:rPr>
                <w:sz w:val="18"/>
              </w:rPr>
            </w:pPr>
            <w:r>
              <w:rPr>
                <w:sz w:val="18"/>
                <w:lang w:val="fr-FR"/>
              </w:rPr>
              <w:t>4 </w:t>
            </w:r>
            <w:r w:rsidR="00FD6BA8" w:rsidRPr="004301D0">
              <w:rPr>
                <w:sz w:val="18"/>
                <w:lang w:val="fr-FR"/>
              </w:rPr>
              <w:t>000,4</w:t>
            </w:r>
          </w:p>
        </w:tc>
        <w:tc>
          <w:tcPr>
            <w:tcW w:w="737" w:type="dxa"/>
            <w:shd w:val="clear" w:color="auto" w:fill="auto"/>
            <w:noWrap/>
            <w:vAlign w:val="bottom"/>
          </w:tcPr>
          <w:p w:rsidR="00FD6BA8" w:rsidRPr="004301D0" w:rsidRDefault="004301D0" w:rsidP="004301D0">
            <w:pPr>
              <w:suppressAutoHyphens w:val="0"/>
              <w:spacing w:before="40" w:after="40" w:line="220" w:lineRule="exact"/>
              <w:jc w:val="right"/>
              <w:rPr>
                <w:sz w:val="18"/>
              </w:rPr>
            </w:pPr>
            <w:r>
              <w:rPr>
                <w:sz w:val="18"/>
                <w:lang w:val="fr-FR"/>
              </w:rPr>
              <w:t>4 </w:t>
            </w:r>
            <w:r w:rsidR="00FD6BA8" w:rsidRPr="004301D0">
              <w:rPr>
                <w:sz w:val="18"/>
                <w:lang w:val="fr-FR"/>
              </w:rPr>
              <w:t>179,6</w:t>
            </w:r>
          </w:p>
        </w:tc>
      </w:tr>
    </w:tbl>
    <w:p w:rsidR="00FD6BA8" w:rsidRPr="003D1522" w:rsidRDefault="00FD6BA8" w:rsidP="004301D0">
      <w:pPr>
        <w:pStyle w:val="H1G"/>
      </w:pPr>
      <w:r>
        <w:rPr>
          <w:lang w:val="fr-FR"/>
        </w:rPr>
        <w:tab/>
      </w:r>
      <w:r>
        <w:rPr>
          <w:lang w:val="fr-FR"/>
        </w:rPr>
        <w:tab/>
        <w:t>Prévention de la corruption</w:t>
      </w:r>
    </w:p>
    <w:p w:rsidR="00FD6BA8" w:rsidRPr="00692634" w:rsidRDefault="00FD6BA8" w:rsidP="00FD6BA8">
      <w:pPr>
        <w:pStyle w:val="SingleTxtG"/>
        <w:rPr>
          <w:lang w:val="fr-FR"/>
        </w:rPr>
      </w:pPr>
      <w:r w:rsidRPr="00F94D2E">
        <w:rPr>
          <w:lang w:val="fr-FR"/>
        </w:rPr>
        <w:t>6.</w:t>
      </w:r>
      <w:r w:rsidRPr="00F94D2E">
        <w:rPr>
          <w:lang w:val="fr-FR"/>
        </w:rPr>
        <w:tab/>
        <w:t>La loi de 2013 relative à la lutte contre la corruption a pour obje</w:t>
      </w:r>
      <w:r>
        <w:rPr>
          <w:lang w:val="fr-FR"/>
        </w:rPr>
        <w:t xml:space="preserve">t </w:t>
      </w:r>
      <w:r w:rsidRPr="00F94D2E">
        <w:rPr>
          <w:lang w:val="fr-FR"/>
        </w:rPr>
        <w:t>d</w:t>
      </w:r>
      <w:r>
        <w:rPr>
          <w:lang w:val="fr-FR"/>
        </w:rPr>
        <w:t>’</w:t>
      </w:r>
      <w:r w:rsidRPr="00F94D2E">
        <w:rPr>
          <w:lang w:val="fr-FR"/>
        </w:rPr>
        <w:t>énoncer</w:t>
      </w:r>
      <w:r>
        <w:rPr>
          <w:lang w:val="fr-FR"/>
        </w:rPr>
        <w:t xml:space="preserve"> l</w:t>
      </w:r>
      <w:r w:rsidRPr="00F94D2E">
        <w:rPr>
          <w:lang w:val="fr-FR"/>
        </w:rPr>
        <w:t xml:space="preserve">es </w:t>
      </w:r>
      <w:r>
        <w:rPr>
          <w:lang w:val="fr-FR"/>
        </w:rPr>
        <w:t xml:space="preserve">principales </w:t>
      </w:r>
      <w:r w:rsidRPr="00F94D2E">
        <w:rPr>
          <w:lang w:val="fr-FR"/>
        </w:rPr>
        <w:t xml:space="preserve">mesures </w:t>
      </w:r>
      <w:r>
        <w:rPr>
          <w:lang w:val="fr-FR"/>
        </w:rPr>
        <w:t>permettant de</w:t>
      </w:r>
      <w:r w:rsidRPr="00F94D2E">
        <w:rPr>
          <w:lang w:val="fr-FR"/>
        </w:rPr>
        <w:t xml:space="preserve"> gérer et </w:t>
      </w:r>
      <w:r>
        <w:rPr>
          <w:lang w:val="fr-FR"/>
        </w:rPr>
        <w:t>d’</w:t>
      </w:r>
      <w:r w:rsidRPr="00F94D2E">
        <w:rPr>
          <w:lang w:val="fr-FR"/>
        </w:rPr>
        <w:t>écarter le</w:t>
      </w:r>
      <w:r>
        <w:rPr>
          <w:lang w:val="fr-FR"/>
        </w:rPr>
        <w:t>s</w:t>
      </w:r>
      <w:r w:rsidRPr="00F94D2E">
        <w:rPr>
          <w:lang w:val="fr-FR"/>
        </w:rPr>
        <w:t xml:space="preserve"> risque</w:t>
      </w:r>
      <w:r>
        <w:rPr>
          <w:lang w:val="fr-FR"/>
        </w:rPr>
        <w:t>s</w:t>
      </w:r>
      <w:r w:rsidRPr="00F94D2E">
        <w:rPr>
          <w:lang w:val="fr-FR"/>
        </w:rPr>
        <w:t xml:space="preserve"> de corruption </w:t>
      </w:r>
      <w:r>
        <w:rPr>
          <w:lang w:val="fr-FR"/>
        </w:rPr>
        <w:t>dans la fonction</w:t>
      </w:r>
      <w:r w:rsidRPr="00F94D2E">
        <w:rPr>
          <w:lang w:val="fr-FR"/>
        </w:rPr>
        <w:t xml:space="preserve"> publi</w:t>
      </w:r>
      <w:r>
        <w:rPr>
          <w:lang w:val="fr-FR"/>
        </w:rPr>
        <w:t>que</w:t>
      </w:r>
      <w:r w:rsidRPr="00F94D2E">
        <w:rPr>
          <w:lang w:val="fr-FR"/>
        </w:rPr>
        <w:t>. Elle s</w:t>
      </w:r>
      <w:r>
        <w:rPr>
          <w:lang w:val="fr-FR"/>
        </w:rPr>
        <w:t>’</w:t>
      </w:r>
      <w:r w:rsidRPr="00F94D2E">
        <w:rPr>
          <w:lang w:val="fr-FR"/>
        </w:rPr>
        <w:t>applique aux autorités législatives, exécutives et judiciaires</w:t>
      </w:r>
      <w:r>
        <w:rPr>
          <w:lang w:val="fr-FR"/>
        </w:rPr>
        <w:t xml:space="preserve">, ainsi qu’aux municipalités locales, aux personnes morales de droit public (comme les universités, les organismes </w:t>
      </w:r>
      <w:r w:rsidRPr="00F94D2E">
        <w:rPr>
          <w:lang w:val="fr-FR"/>
        </w:rPr>
        <w:t xml:space="preserve">professionnels reconnus comme tels, les fondations </w:t>
      </w:r>
      <w:r>
        <w:rPr>
          <w:lang w:val="fr-FR"/>
        </w:rPr>
        <w:t>publiques</w:t>
      </w:r>
      <w:r w:rsidRPr="00F94D2E">
        <w:rPr>
          <w:lang w:val="fr-FR"/>
        </w:rPr>
        <w:t>) et aux dirigeants des entreprises appartenant à l</w:t>
      </w:r>
      <w:r>
        <w:rPr>
          <w:lang w:val="fr-FR"/>
        </w:rPr>
        <w:t>’</w:t>
      </w:r>
      <w:r w:rsidRPr="00F94D2E">
        <w:rPr>
          <w:lang w:val="fr-FR"/>
        </w:rPr>
        <w:t xml:space="preserve">État ou </w:t>
      </w:r>
      <w:r>
        <w:rPr>
          <w:lang w:val="fr-FR"/>
        </w:rPr>
        <w:t>à des</w:t>
      </w:r>
      <w:r w:rsidRPr="00F94D2E">
        <w:rPr>
          <w:lang w:val="fr-FR"/>
        </w:rPr>
        <w:t xml:space="preserve"> municipalités. Cette loi ne s</w:t>
      </w:r>
      <w:r>
        <w:rPr>
          <w:lang w:val="fr-FR"/>
        </w:rPr>
        <w:t>’</w:t>
      </w:r>
      <w:r w:rsidRPr="00F94D2E">
        <w:rPr>
          <w:lang w:val="fr-FR"/>
        </w:rPr>
        <w:t>applique pas aux entreprises et associations purement privée</w:t>
      </w:r>
      <w:r>
        <w:rPr>
          <w:lang w:val="fr-FR"/>
        </w:rPr>
        <w:t>s</w:t>
      </w:r>
      <w:r w:rsidRPr="00F94D2E">
        <w:rPr>
          <w:lang w:val="fr-FR"/>
        </w:rPr>
        <w:t xml:space="preserve">, </w:t>
      </w:r>
      <w:r>
        <w:rPr>
          <w:lang w:val="fr-FR"/>
        </w:rPr>
        <w:t xml:space="preserve">à </w:t>
      </w:r>
      <w:r w:rsidRPr="00F94D2E">
        <w:rPr>
          <w:lang w:val="fr-FR"/>
        </w:rPr>
        <w:t>l</w:t>
      </w:r>
      <w:r>
        <w:rPr>
          <w:lang w:val="fr-FR"/>
        </w:rPr>
        <w:t>’</w:t>
      </w:r>
      <w:r w:rsidRPr="00F94D2E">
        <w:rPr>
          <w:lang w:val="fr-FR"/>
        </w:rPr>
        <w:t>exception des dispositions relatives à la protection des lanceurs d</w:t>
      </w:r>
      <w:r>
        <w:rPr>
          <w:lang w:val="fr-FR"/>
        </w:rPr>
        <w:t>’alerte</w:t>
      </w:r>
      <w:r w:rsidRPr="00F94D2E">
        <w:rPr>
          <w:lang w:val="fr-FR"/>
        </w:rPr>
        <w:t>.</w:t>
      </w:r>
      <w:r>
        <w:rPr>
          <w:lang w:val="fr-FR"/>
        </w:rPr>
        <w:t xml:space="preserve"> Les délits et infractions font en principe l’objet d’une enquête par le Bureau spécialisé dans la lutte contre la corruption, qui relève de la police criminelle centrale. Les </w:t>
      </w:r>
      <w:r w:rsidRPr="00F94D2E">
        <w:rPr>
          <w:lang w:val="fr-FR"/>
        </w:rPr>
        <w:t>poursuites pour corruption sont traitées par des procureurs spécialisés du Bureau central du Procureur ou des bureaux régionaux.</w:t>
      </w:r>
    </w:p>
    <w:p w:rsidR="00FD6BA8" w:rsidRPr="003D1522" w:rsidRDefault="00FD6BA8" w:rsidP="00FD6BA8">
      <w:pPr>
        <w:pStyle w:val="SingleTxtG"/>
      </w:pPr>
      <w:r>
        <w:rPr>
          <w:lang w:val="fr-FR"/>
        </w:rPr>
        <w:t>7.</w:t>
      </w:r>
      <w:r>
        <w:rPr>
          <w:lang w:val="fr-FR"/>
        </w:rPr>
        <w:tab/>
        <w:t xml:space="preserve">Au </w:t>
      </w:r>
      <w:r w:rsidRPr="00F94D2E">
        <w:rPr>
          <w:lang w:val="fr-FR"/>
        </w:rPr>
        <w:t>niveau national, le Ministère de la justice est chargé de l</w:t>
      </w:r>
      <w:r>
        <w:rPr>
          <w:lang w:val="fr-FR"/>
        </w:rPr>
        <w:t>’</w:t>
      </w:r>
      <w:r w:rsidRPr="00F94D2E">
        <w:rPr>
          <w:lang w:val="fr-FR"/>
        </w:rPr>
        <w:t>élaboration d</w:t>
      </w:r>
      <w:r>
        <w:rPr>
          <w:lang w:val="fr-FR"/>
        </w:rPr>
        <w:t>’</w:t>
      </w:r>
      <w:r w:rsidRPr="00F94D2E">
        <w:rPr>
          <w:lang w:val="fr-FR"/>
        </w:rPr>
        <w:t xml:space="preserve">une stratégie de lutte contre la corruption. La troisième </w:t>
      </w:r>
      <w:r w:rsidR="00490EF7">
        <w:rPr>
          <w:lang w:val="fr-FR"/>
        </w:rPr>
        <w:t>S</w:t>
      </w:r>
      <w:r w:rsidRPr="00F94D2E">
        <w:rPr>
          <w:lang w:val="fr-FR"/>
        </w:rPr>
        <w:t>tratégie de lutte contre la corruption (2013-2020</w:t>
      </w:r>
      <w:r w:rsidR="00713439">
        <w:rPr>
          <w:lang w:val="fr-FR"/>
        </w:rPr>
        <w:t>)</w:t>
      </w:r>
      <w:r w:rsidRPr="000C524A">
        <w:rPr>
          <w:rStyle w:val="Appelnotedebasdep"/>
        </w:rPr>
        <w:footnoteReference w:id="4"/>
      </w:r>
      <w:r w:rsidRPr="00F94D2E">
        <w:rPr>
          <w:lang w:val="fr-FR"/>
        </w:rPr>
        <w:t xml:space="preserve"> est mise en œuvre par tous les ministères et organismes concernés. Elle est axée sur des questions qui se sont révélées particulièrement importantes lors de diverses </w:t>
      </w:r>
      <w:r>
        <w:rPr>
          <w:lang w:val="fr-FR"/>
        </w:rPr>
        <w:t>études</w:t>
      </w:r>
      <w:r w:rsidRPr="00F94D2E">
        <w:rPr>
          <w:lang w:val="fr-FR"/>
        </w:rPr>
        <w:t xml:space="preserve"> (par exemple</w:t>
      </w:r>
      <w:r w:rsidR="00490EF7">
        <w:rPr>
          <w:lang w:val="fr-FR"/>
        </w:rPr>
        <w:t>,</w:t>
      </w:r>
      <w:r w:rsidRPr="00F94D2E">
        <w:rPr>
          <w:lang w:val="fr-FR"/>
        </w:rPr>
        <w:t xml:space="preserve"> les marchés publics, les soins de santé, les activités de sensibilisation dans le secteur privé, etc.). Plusieurs organismes et entités ont formé leurs fonctionnaires en matière de </w:t>
      </w:r>
      <w:r>
        <w:rPr>
          <w:lang w:val="fr-FR"/>
        </w:rPr>
        <w:t>lutte contre la corruption</w:t>
      </w:r>
      <w:r w:rsidRPr="00F94D2E">
        <w:rPr>
          <w:lang w:val="fr-FR"/>
        </w:rPr>
        <w:t xml:space="preserve"> et adopté des directives et des mécanismes internes pour repérer les situations </w:t>
      </w:r>
      <w:r>
        <w:rPr>
          <w:lang w:val="fr-FR"/>
        </w:rPr>
        <w:t>dans lesquelles</w:t>
      </w:r>
      <w:r w:rsidRPr="00F94D2E">
        <w:rPr>
          <w:lang w:val="fr-FR"/>
        </w:rPr>
        <w:t xml:space="preserve"> il existe un risque de corruption</w:t>
      </w:r>
      <w:r>
        <w:rPr>
          <w:lang w:val="fr-FR"/>
        </w:rPr>
        <w:t xml:space="preserve"> et résoudre les problèmes</w:t>
      </w:r>
      <w:r w:rsidR="00713439">
        <w:rPr>
          <w:lang w:val="fr-FR"/>
        </w:rPr>
        <w:t>. Voici quelques exemples </w:t>
      </w:r>
      <w:r w:rsidRPr="00F94D2E">
        <w:rPr>
          <w:lang w:val="fr-FR"/>
        </w:rPr>
        <w:t>:</w:t>
      </w:r>
    </w:p>
    <w:p w:rsidR="00FD6BA8" w:rsidRPr="00F94D2E" w:rsidRDefault="00FD6BA8" w:rsidP="00713439">
      <w:pPr>
        <w:pStyle w:val="Bullet1G"/>
        <w:rPr>
          <w:lang w:val="fr-FR"/>
        </w:rPr>
      </w:pPr>
      <w:r>
        <w:rPr>
          <w:lang w:val="fr-FR"/>
        </w:rPr>
        <w:t xml:space="preserve">L’Académie estonienne des sciences de la sécurité a organisé 10 activités de formation en 2017, </w:t>
      </w:r>
      <w:r w:rsidRPr="00F94D2E">
        <w:rPr>
          <w:lang w:val="fr-FR"/>
        </w:rPr>
        <w:t>auxquel</w:t>
      </w:r>
      <w:r w:rsidR="00713439">
        <w:rPr>
          <w:lang w:val="fr-FR"/>
        </w:rPr>
        <w:t>les ont participé 199 </w:t>
      </w:r>
      <w:r>
        <w:rPr>
          <w:lang w:val="fr-FR"/>
        </w:rPr>
        <w:t>personnes </w:t>
      </w:r>
      <w:r w:rsidRPr="00F94D2E">
        <w:rPr>
          <w:lang w:val="fr-FR"/>
        </w:rPr>
        <w:t>;</w:t>
      </w:r>
    </w:p>
    <w:p w:rsidR="00FD6BA8" w:rsidRPr="00F94D2E" w:rsidRDefault="00FD6BA8" w:rsidP="00713439">
      <w:pPr>
        <w:pStyle w:val="Bullet1G"/>
        <w:rPr>
          <w:lang w:val="fr-FR"/>
        </w:rPr>
      </w:pPr>
      <w:r w:rsidRPr="00F94D2E">
        <w:rPr>
          <w:lang w:val="fr-FR"/>
        </w:rPr>
        <w:t>Des lignes directrices pour l</w:t>
      </w:r>
      <w:r>
        <w:rPr>
          <w:lang w:val="fr-FR"/>
        </w:rPr>
        <w:t>’</w:t>
      </w:r>
      <w:r w:rsidRPr="00F94D2E">
        <w:rPr>
          <w:lang w:val="fr-FR"/>
        </w:rPr>
        <w:t>élaboration de principes généraux applicables au dispositif de contrôle interne et à la prévention de la corruption ont été établies en 2017 à l</w:t>
      </w:r>
      <w:r>
        <w:rPr>
          <w:lang w:val="fr-FR"/>
        </w:rPr>
        <w:t>’</w:t>
      </w:r>
      <w:r w:rsidRPr="00F94D2E">
        <w:rPr>
          <w:lang w:val="fr-FR"/>
        </w:rPr>
        <w:t>intention des conseils des collectivités locales, des maires des villes et municipalités, et des membres et fonctionnaires des administrations des villes et des municipalités ;</w:t>
      </w:r>
    </w:p>
    <w:p w:rsidR="00FD6BA8" w:rsidRPr="00F94D2E" w:rsidRDefault="00FD6BA8" w:rsidP="00C25685">
      <w:pPr>
        <w:pStyle w:val="Bullet1G"/>
        <w:rPr>
          <w:lang w:val="fr-FR"/>
        </w:rPr>
      </w:pPr>
      <w:r>
        <w:rPr>
          <w:lang w:val="fr-FR"/>
        </w:rPr>
        <w:lastRenderedPageBreak/>
        <w:t xml:space="preserve">En 2018, le Ministère des finances a élaboré des directives et des recommandations pratiques visant à mettre au point un dispositif de contrôle interne destiné aux </w:t>
      </w:r>
      <w:r w:rsidR="00C25685">
        <w:rPr>
          <w:lang w:val="fr-FR"/>
        </w:rPr>
        <w:t>collectivités locales </w:t>
      </w:r>
      <w:r w:rsidRPr="00F94D2E">
        <w:rPr>
          <w:lang w:val="fr-FR"/>
        </w:rPr>
        <w:t>;</w:t>
      </w:r>
    </w:p>
    <w:p w:rsidR="00FD6BA8" w:rsidRPr="00F94D2E" w:rsidRDefault="00FD6BA8" w:rsidP="00C25685">
      <w:pPr>
        <w:pStyle w:val="Bullet1G"/>
        <w:rPr>
          <w:lang w:val="fr-FR"/>
        </w:rPr>
      </w:pPr>
      <w:r w:rsidRPr="00F94D2E">
        <w:rPr>
          <w:lang w:val="fr-FR"/>
        </w:rPr>
        <w:t>La part des procédures électroniques dans le cadre de la passation de marchés publics n</w:t>
      </w:r>
      <w:r>
        <w:rPr>
          <w:lang w:val="fr-FR"/>
        </w:rPr>
        <w:t>’</w:t>
      </w:r>
      <w:r w:rsidRPr="00F94D2E">
        <w:rPr>
          <w:lang w:val="fr-FR"/>
        </w:rPr>
        <w:t>a cessé d</w:t>
      </w:r>
      <w:r>
        <w:rPr>
          <w:lang w:val="fr-FR"/>
        </w:rPr>
        <w:t>’</w:t>
      </w:r>
      <w:r w:rsidRPr="00F94D2E">
        <w:rPr>
          <w:lang w:val="fr-FR"/>
        </w:rPr>
        <w:t xml:space="preserve">augmenter. </w:t>
      </w:r>
      <w:r w:rsidR="00C25685">
        <w:rPr>
          <w:lang w:val="fr-FR"/>
        </w:rPr>
        <w:t>Elle était de 90 % en 2016 et de 96 </w:t>
      </w:r>
      <w:r w:rsidRPr="00F94D2E">
        <w:rPr>
          <w:lang w:val="fr-FR"/>
        </w:rPr>
        <w:t>%</w:t>
      </w:r>
      <w:r w:rsidR="00C25685">
        <w:rPr>
          <w:lang w:val="fr-FR"/>
        </w:rPr>
        <w:t xml:space="preserve"> au quatrième trimestre de 2017 </w:t>
      </w:r>
      <w:r w:rsidRPr="00F94D2E">
        <w:rPr>
          <w:lang w:val="fr-FR"/>
        </w:rPr>
        <w:t>;</w:t>
      </w:r>
    </w:p>
    <w:p w:rsidR="00FD6BA8" w:rsidRPr="00F94D2E" w:rsidRDefault="00FD6BA8" w:rsidP="00C25685">
      <w:pPr>
        <w:pStyle w:val="Bullet1G"/>
        <w:rPr>
          <w:lang w:val="fr-FR"/>
        </w:rPr>
      </w:pPr>
      <w:r w:rsidRPr="00F94D2E">
        <w:rPr>
          <w:lang w:val="fr-FR"/>
        </w:rPr>
        <w:t>Le Bureau des affaires internes du Service des gardes</w:t>
      </w:r>
      <w:r w:rsidR="00D761A1">
        <w:rPr>
          <w:lang w:val="fr-FR"/>
        </w:rPr>
        <w:t> </w:t>
      </w:r>
      <w:r w:rsidRPr="00F94D2E">
        <w:rPr>
          <w:lang w:val="fr-FR"/>
        </w:rPr>
        <w:t>frontière et de la police a organisé 51</w:t>
      </w:r>
      <w:r w:rsidR="00C25685">
        <w:rPr>
          <w:lang w:val="fr-FR"/>
        </w:rPr>
        <w:t> </w:t>
      </w:r>
      <w:r w:rsidRPr="00F94D2E">
        <w:rPr>
          <w:lang w:val="fr-FR"/>
        </w:rPr>
        <w:t>formations en 201</w:t>
      </w:r>
      <w:r w:rsidR="00C25685">
        <w:rPr>
          <w:lang w:val="fr-FR"/>
        </w:rPr>
        <w:t>7, auxquelles ont participé 987 </w:t>
      </w:r>
      <w:r w:rsidRPr="00F94D2E">
        <w:rPr>
          <w:lang w:val="fr-FR"/>
        </w:rPr>
        <w:t xml:space="preserve">agents. Toute personne nouvellement recrutée par le Service </w:t>
      </w:r>
      <w:r>
        <w:rPr>
          <w:lang w:val="fr-FR"/>
        </w:rPr>
        <w:t>doit suivre</w:t>
      </w:r>
      <w:r w:rsidRPr="00F94D2E">
        <w:rPr>
          <w:lang w:val="fr-FR"/>
        </w:rPr>
        <w:t xml:space="preserve"> une présentation d</w:t>
      </w:r>
      <w:r>
        <w:rPr>
          <w:lang w:val="fr-FR"/>
        </w:rPr>
        <w:t>’</w:t>
      </w:r>
      <w:r w:rsidRPr="00F94D2E">
        <w:rPr>
          <w:lang w:val="fr-FR"/>
        </w:rPr>
        <w:t>une heure et demie sur les sujets mentionnés ci-dessus.</w:t>
      </w:r>
    </w:p>
    <w:p w:rsidR="00FD6BA8" w:rsidRPr="00692634" w:rsidRDefault="00FD6BA8" w:rsidP="00FD6BA8">
      <w:pPr>
        <w:pStyle w:val="SingleTxtG"/>
        <w:rPr>
          <w:lang w:val="fr-FR"/>
        </w:rPr>
      </w:pPr>
      <w:r>
        <w:rPr>
          <w:lang w:val="fr-FR"/>
        </w:rPr>
        <w:t>8.</w:t>
      </w:r>
      <w:r>
        <w:rPr>
          <w:lang w:val="fr-FR"/>
        </w:rPr>
        <w:tab/>
        <w:t xml:space="preserve">Il n’existe pas de </w:t>
      </w:r>
      <w:r w:rsidRPr="00F94D2E">
        <w:rPr>
          <w:lang w:val="fr-FR"/>
        </w:rPr>
        <w:t>lo</w:t>
      </w:r>
      <w:r>
        <w:rPr>
          <w:lang w:val="fr-FR"/>
        </w:rPr>
        <w:t>i spécifique visant à protéger l</w:t>
      </w:r>
      <w:r w:rsidRPr="00F94D2E">
        <w:rPr>
          <w:lang w:val="fr-FR"/>
        </w:rPr>
        <w:t>es lanceurs d</w:t>
      </w:r>
      <w:r>
        <w:rPr>
          <w:lang w:val="fr-FR"/>
        </w:rPr>
        <w:t>’</w:t>
      </w:r>
      <w:r w:rsidRPr="00F94D2E">
        <w:rPr>
          <w:lang w:val="fr-FR"/>
        </w:rPr>
        <w:t>alerte, mais des modifications législatives sont en cours d</w:t>
      </w:r>
      <w:r>
        <w:rPr>
          <w:lang w:val="fr-FR"/>
        </w:rPr>
        <w:t>’</w:t>
      </w:r>
      <w:r w:rsidRPr="00F94D2E">
        <w:rPr>
          <w:lang w:val="fr-FR"/>
        </w:rPr>
        <w:t>élaboration. La protection des lanceurs d</w:t>
      </w:r>
      <w:r>
        <w:rPr>
          <w:lang w:val="fr-FR"/>
        </w:rPr>
        <w:t>’</w:t>
      </w:r>
      <w:r w:rsidRPr="00F94D2E">
        <w:rPr>
          <w:lang w:val="fr-FR"/>
        </w:rPr>
        <w:t>alerte est actuellement réglementée par l</w:t>
      </w:r>
      <w:r>
        <w:rPr>
          <w:lang w:val="fr-FR"/>
        </w:rPr>
        <w:t>’</w:t>
      </w:r>
      <w:r w:rsidR="000B460D">
        <w:rPr>
          <w:lang w:val="fr-FR"/>
        </w:rPr>
        <w:t>article </w:t>
      </w:r>
      <w:r w:rsidRPr="00F94D2E">
        <w:rPr>
          <w:lang w:val="fr-FR"/>
        </w:rPr>
        <w:t>6 de la loi anticorruption (notification des cas de corruption dans le secteur public ou privé).</w:t>
      </w:r>
    </w:p>
    <w:p w:rsidR="00FD6BA8" w:rsidRPr="00692634" w:rsidRDefault="00FD6BA8" w:rsidP="000B460D">
      <w:pPr>
        <w:pStyle w:val="H1G"/>
        <w:rPr>
          <w:lang w:val="fr-FR"/>
        </w:rPr>
      </w:pPr>
      <w:r>
        <w:rPr>
          <w:lang w:val="fr-FR"/>
        </w:rPr>
        <w:tab/>
      </w:r>
      <w:r>
        <w:rPr>
          <w:lang w:val="fr-FR"/>
        </w:rPr>
        <w:tab/>
        <w:t>Non-discrimination (art.</w:t>
      </w:r>
      <w:r w:rsidR="000B460D">
        <w:rPr>
          <w:lang w:val="fr-FR"/>
        </w:rPr>
        <w:t> 2, par. </w:t>
      </w:r>
      <w:r>
        <w:rPr>
          <w:lang w:val="fr-FR"/>
        </w:rPr>
        <w:t>2)</w:t>
      </w:r>
    </w:p>
    <w:p w:rsidR="00FD6BA8" w:rsidRPr="00692634" w:rsidRDefault="00FD6BA8" w:rsidP="000B460D">
      <w:pPr>
        <w:pStyle w:val="H23G"/>
        <w:rPr>
          <w:lang w:val="fr-FR"/>
        </w:rPr>
      </w:pPr>
      <w:r>
        <w:rPr>
          <w:lang w:val="fr-FR"/>
        </w:rPr>
        <w:tab/>
      </w:r>
      <w:r>
        <w:rPr>
          <w:lang w:val="fr-FR"/>
        </w:rPr>
        <w:tab/>
        <w:t>Loi sur l’égalité de traitement</w:t>
      </w:r>
    </w:p>
    <w:p w:rsidR="00FD6BA8" w:rsidRPr="00692634" w:rsidRDefault="00FD6BA8" w:rsidP="00FD6BA8">
      <w:pPr>
        <w:pStyle w:val="SingleTxtG"/>
        <w:rPr>
          <w:lang w:val="fr-FR"/>
        </w:rPr>
      </w:pPr>
      <w:r>
        <w:rPr>
          <w:lang w:val="fr-FR"/>
        </w:rPr>
        <w:t>9.</w:t>
      </w:r>
      <w:r>
        <w:rPr>
          <w:lang w:val="fr-FR"/>
        </w:rPr>
        <w:tab/>
        <w:t>Un projet de modification de la loi sur l’égalité de traitement a été soumis à des organismes publics pour consultation. Le but est d’étendre le champ d’application des dispositions relatives à la discrimination fondée sur la religion ou d’autres croyances, l’âge, le handicap ou l’orientation sexuelle au-delà du monde professionnel, afin que la loi soit également applicable dans le cadre des services de protection sociale, de sécurité sociale et de soins de santé, notamment dans les domaines de l’éducation et de l’accès aux biens et</w:t>
      </w:r>
      <w:r w:rsidR="00D2687E">
        <w:rPr>
          <w:lang w:val="fr-FR"/>
        </w:rPr>
        <w:t xml:space="preserve"> services proposés au public, y </w:t>
      </w:r>
      <w:r>
        <w:rPr>
          <w:lang w:val="fr-FR"/>
        </w:rPr>
        <w:t>compris le logement.</w:t>
      </w:r>
      <w:bookmarkStart w:id="0" w:name="para2lg1p5"/>
      <w:bookmarkEnd w:id="0"/>
    </w:p>
    <w:p w:rsidR="00FD6BA8" w:rsidRPr="00692634" w:rsidRDefault="00FD6BA8" w:rsidP="00D2687E">
      <w:pPr>
        <w:pStyle w:val="H23G"/>
        <w:rPr>
          <w:lang w:val="fr-FR"/>
        </w:rPr>
      </w:pPr>
      <w:r>
        <w:rPr>
          <w:lang w:val="fr-FR"/>
        </w:rPr>
        <w:tab/>
      </w:r>
      <w:r>
        <w:rPr>
          <w:lang w:val="fr-FR"/>
        </w:rPr>
        <w:tab/>
        <w:t>Plaintes adressées au Commissaire à l’égalité des sexes et à l’égalité de traitement</w:t>
      </w:r>
    </w:p>
    <w:p w:rsidR="00FD6BA8" w:rsidRPr="00692634" w:rsidRDefault="00FD6BA8" w:rsidP="00FD6BA8">
      <w:pPr>
        <w:pStyle w:val="SingleTxtG"/>
        <w:rPr>
          <w:lang w:val="fr-FR"/>
        </w:rPr>
      </w:pPr>
      <w:r>
        <w:rPr>
          <w:lang w:val="fr-FR"/>
        </w:rPr>
        <w:t>10.</w:t>
      </w:r>
      <w:r>
        <w:rPr>
          <w:lang w:val="fr-FR"/>
        </w:rPr>
        <w:tab/>
        <w:t>Le nombre de plaintes adressées au Commissaire augmente, ce qui montre que la population est de mieux en mieux informée de ses droits et de ses possibilités de recourir à la justice.</w:t>
      </w:r>
    </w:p>
    <w:p w:rsidR="00FD6BA8" w:rsidRPr="003D1522" w:rsidRDefault="00D2687E" w:rsidP="00D2687E">
      <w:pPr>
        <w:pStyle w:val="H23G"/>
      </w:pPr>
      <w:r w:rsidRPr="00D2687E">
        <w:rPr>
          <w:b w:val="0"/>
          <w:lang w:val="fr-FR"/>
        </w:rPr>
        <w:tab/>
      </w:r>
      <w:r w:rsidRPr="00D2687E">
        <w:rPr>
          <w:b w:val="0"/>
          <w:lang w:val="fr-FR"/>
        </w:rPr>
        <w:tab/>
      </w:r>
      <w:r w:rsidR="00FD6BA8" w:rsidRPr="00D2687E">
        <w:rPr>
          <w:b w:val="0"/>
          <w:lang w:val="fr-FR"/>
        </w:rPr>
        <w:t>Tableau 1</w:t>
      </w:r>
      <w:r w:rsidR="00FD6BA8">
        <w:rPr>
          <w:lang w:val="fr-FR"/>
        </w:rPr>
        <w:t xml:space="preserve"> </w:t>
      </w:r>
      <w:r>
        <w:rPr>
          <w:lang w:val="fr-FR"/>
        </w:rPr>
        <w:br/>
      </w:r>
      <w:r w:rsidR="00FD6BA8">
        <w:rPr>
          <w:lang w:val="fr-FR"/>
        </w:rPr>
        <w:t>Nombre de plaintes déposées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8"/>
        <w:gridCol w:w="4482"/>
      </w:tblGrid>
      <w:tr w:rsidR="00FB4FAA" w:rsidRPr="00FB4FAA" w:rsidTr="00FB4FAA">
        <w:trPr>
          <w:tblHeader/>
        </w:trPr>
        <w:tc>
          <w:tcPr>
            <w:tcW w:w="2888" w:type="dxa"/>
            <w:tcBorders>
              <w:top w:val="single" w:sz="4" w:space="0" w:color="auto"/>
              <w:bottom w:val="single" w:sz="12" w:space="0" w:color="auto"/>
            </w:tcBorders>
            <w:shd w:val="clear" w:color="auto" w:fill="auto"/>
            <w:vAlign w:val="bottom"/>
          </w:tcPr>
          <w:p w:rsidR="00FD6BA8" w:rsidRPr="00FB4FAA" w:rsidRDefault="00FD6BA8" w:rsidP="00FB4FAA">
            <w:pPr>
              <w:suppressAutoHyphens w:val="0"/>
              <w:spacing w:before="80" w:after="80" w:line="200" w:lineRule="exact"/>
              <w:rPr>
                <w:i/>
                <w:sz w:val="16"/>
              </w:rPr>
            </w:pPr>
            <w:r w:rsidRPr="00FB4FAA">
              <w:rPr>
                <w:i/>
                <w:sz w:val="16"/>
                <w:lang w:val="fr-FR"/>
              </w:rPr>
              <w:t>Année</w:t>
            </w:r>
          </w:p>
        </w:tc>
        <w:tc>
          <w:tcPr>
            <w:tcW w:w="4482" w:type="dxa"/>
            <w:tcBorders>
              <w:top w:val="single" w:sz="4" w:space="0" w:color="auto"/>
              <w:bottom w:val="single" w:sz="12" w:space="0" w:color="auto"/>
            </w:tcBorders>
            <w:shd w:val="clear" w:color="auto" w:fill="auto"/>
            <w:vAlign w:val="bottom"/>
          </w:tcPr>
          <w:p w:rsidR="00FD6BA8" w:rsidRPr="00FB4FAA" w:rsidRDefault="00FD6BA8" w:rsidP="00FB4FAA">
            <w:pPr>
              <w:suppressAutoHyphens w:val="0"/>
              <w:spacing w:before="80" w:after="80" w:line="200" w:lineRule="exact"/>
              <w:jc w:val="right"/>
              <w:rPr>
                <w:i/>
                <w:sz w:val="16"/>
              </w:rPr>
            </w:pPr>
            <w:r w:rsidRPr="00FB4FAA">
              <w:rPr>
                <w:i/>
                <w:sz w:val="16"/>
                <w:lang w:val="fr-FR"/>
              </w:rPr>
              <w:t>Nombre de plaintes</w:t>
            </w:r>
          </w:p>
        </w:tc>
      </w:tr>
      <w:tr w:rsidR="00FB4FAA" w:rsidRPr="00FB4FAA" w:rsidTr="00FB4FAA">
        <w:tc>
          <w:tcPr>
            <w:tcW w:w="2888" w:type="dxa"/>
            <w:tcBorders>
              <w:top w:val="single" w:sz="12" w:space="0" w:color="auto"/>
            </w:tcBorders>
            <w:shd w:val="clear" w:color="auto" w:fill="auto"/>
          </w:tcPr>
          <w:p w:rsidR="00FD6BA8" w:rsidRPr="00FB4FAA" w:rsidRDefault="00FD6BA8" w:rsidP="00FB4FAA">
            <w:pPr>
              <w:suppressAutoHyphens w:val="0"/>
              <w:spacing w:before="40" w:after="40" w:line="220" w:lineRule="exact"/>
              <w:rPr>
                <w:sz w:val="18"/>
              </w:rPr>
            </w:pPr>
            <w:r w:rsidRPr="00FB4FAA">
              <w:rPr>
                <w:sz w:val="18"/>
                <w:lang w:val="fr-FR"/>
              </w:rPr>
              <w:t>2009</w:t>
            </w:r>
          </w:p>
        </w:tc>
        <w:tc>
          <w:tcPr>
            <w:tcW w:w="4482" w:type="dxa"/>
            <w:tcBorders>
              <w:top w:val="single" w:sz="12" w:space="0" w:color="auto"/>
            </w:tcBorders>
            <w:shd w:val="clear" w:color="auto" w:fill="auto"/>
            <w:vAlign w:val="bottom"/>
          </w:tcPr>
          <w:p w:rsidR="00FD6BA8" w:rsidRPr="00FB4FAA" w:rsidRDefault="00FD6BA8" w:rsidP="00FB4FAA">
            <w:pPr>
              <w:suppressAutoHyphens w:val="0"/>
              <w:spacing w:before="40" w:after="40" w:line="220" w:lineRule="exact"/>
              <w:jc w:val="right"/>
              <w:rPr>
                <w:sz w:val="18"/>
              </w:rPr>
            </w:pPr>
            <w:r w:rsidRPr="00FB4FAA">
              <w:rPr>
                <w:sz w:val="18"/>
                <w:lang w:val="fr-FR"/>
              </w:rPr>
              <w:t>51</w:t>
            </w:r>
          </w:p>
        </w:tc>
      </w:tr>
      <w:tr w:rsidR="00FD6BA8" w:rsidRPr="00FB4FAA" w:rsidTr="00FB4FAA">
        <w:tc>
          <w:tcPr>
            <w:tcW w:w="2888" w:type="dxa"/>
            <w:shd w:val="clear" w:color="auto" w:fill="auto"/>
          </w:tcPr>
          <w:p w:rsidR="00FD6BA8" w:rsidRPr="00FB4FAA" w:rsidRDefault="00FD6BA8" w:rsidP="00FB4FAA">
            <w:pPr>
              <w:suppressAutoHyphens w:val="0"/>
              <w:spacing w:before="40" w:after="40" w:line="220" w:lineRule="exact"/>
              <w:rPr>
                <w:sz w:val="18"/>
              </w:rPr>
            </w:pPr>
            <w:r w:rsidRPr="00FB4FAA">
              <w:rPr>
                <w:sz w:val="18"/>
                <w:lang w:val="fr-FR"/>
              </w:rPr>
              <w:t>2010</w:t>
            </w:r>
          </w:p>
        </w:tc>
        <w:tc>
          <w:tcPr>
            <w:tcW w:w="4482" w:type="dxa"/>
            <w:shd w:val="clear" w:color="auto" w:fill="auto"/>
            <w:vAlign w:val="bottom"/>
          </w:tcPr>
          <w:p w:rsidR="00FD6BA8" w:rsidRPr="00FB4FAA" w:rsidRDefault="00FD6BA8" w:rsidP="00FB4FAA">
            <w:pPr>
              <w:suppressAutoHyphens w:val="0"/>
              <w:spacing w:before="40" w:after="40" w:line="220" w:lineRule="exact"/>
              <w:jc w:val="right"/>
              <w:rPr>
                <w:sz w:val="18"/>
              </w:rPr>
            </w:pPr>
            <w:r w:rsidRPr="00FB4FAA">
              <w:rPr>
                <w:sz w:val="18"/>
                <w:lang w:val="fr-FR"/>
              </w:rPr>
              <w:t>47</w:t>
            </w:r>
          </w:p>
        </w:tc>
      </w:tr>
      <w:tr w:rsidR="00FD6BA8" w:rsidRPr="00FB4FAA" w:rsidTr="00FB4FAA">
        <w:tc>
          <w:tcPr>
            <w:tcW w:w="2888" w:type="dxa"/>
            <w:shd w:val="clear" w:color="auto" w:fill="auto"/>
          </w:tcPr>
          <w:p w:rsidR="00FD6BA8" w:rsidRPr="00FB4FAA" w:rsidRDefault="00FD6BA8" w:rsidP="00FB4FAA">
            <w:pPr>
              <w:suppressAutoHyphens w:val="0"/>
              <w:spacing w:before="40" w:after="40" w:line="220" w:lineRule="exact"/>
              <w:rPr>
                <w:sz w:val="18"/>
              </w:rPr>
            </w:pPr>
            <w:r w:rsidRPr="00FB4FAA">
              <w:rPr>
                <w:sz w:val="18"/>
                <w:lang w:val="fr-FR"/>
              </w:rPr>
              <w:t>2011</w:t>
            </w:r>
          </w:p>
        </w:tc>
        <w:tc>
          <w:tcPr>
            <w:tcW w:w="4482" w:type="dxa"/>
            <w:shd w:val="clear" w:color="auto" w:fill="auto"/>
            <w:vAlign w:val="bottom"/>
          </w:tcPr>
          <w:p w:rsidR="00FD6BA8" w:rsidRPr="00FB4FAA" w:rsidRDefault="00FD6BA8" w:rsidP="00FB4FAA">
            <w:pPr>
              <w:suppressAutoHyphens w:val="0"/>
              <w:spacing w:before="40" w:after="40" w:line="220" w:lineRule="exact"/>
              <w:jc w:val="right"/>
              <w:rPr>
                <w:sz w:val="18"/>
              </w:rPr>
            </w:pPr>
            <w:r w:rsidRPr="00FB4FAA">
              <w:rPr>
                <w:sz w:val="18"/>
                <w:lang w:val="fr-FR"/>
              </w:rPr>
              <w:t>90</w:t>
            </w:r>
          </w:p>
        </w:tc>
      </w:tr>
      <w:tr w:rsidR="00FD6BA8" w:rsidRPr="00FB4FAA" w:rsidTr="00FB4FAA">
        <w:tc>
          <w:tcPr>
            <w:tcW w:w="2888" w:type="dxa"/>
            <w:shd w:val="clear" w:color="auto" w:fill="auto"/>
          </w:tcPr>
          <w:p w:rsidR="00FD6BA8" w:rsidRPr="00FB4FAA" w:rsidRDefault="00FD6BA8" w:rsidP="00FB4FAA">
            <w:pPr>
              <w:suppressAutoHyphens w:val="0"/>
              <w:spacing w:before="40" w:after="40" w:line="220" w:lineRule="exact"/>
              <w:rPr>
                <w:sz w:val="18"/>
              </w:rPr>
            </w:pPr>
            <w:r w:rsidRPr="00FB4FAA">
              <w:rPr>
                <w:sz w:val="18"/>
                <w:lang w:val="fr-FR"/>
              </w:rPr>
              <w:t>2012</w:t>
            </w:r>
          </w:p>
        </w:tc>
        <w:tc>
          <w:tcPr>
            <w:tcW w:w="4482" w:type="dxa"/>
            <w:shd w:val="clear" w:color="auto" w:fill="auto"/>
            <w:vAlign w:val="bottom"/>
          </w:tcPr>
          <w:p w:rsidR="00FD6BA8" w:rsidRPr="00FB4FAA" w:rsidRDefault="00FD6BA8" w:rsidP="00FB4FAA">
            <w:pPr>
              <w:suppressAutoHyphens w:val="0"/>
              <w:spacing w:before="40" w:after="40" w:line="220" w:lineRule="exact"/>
              <w:jc w:val="right"/>
              <w:rPr>
                <w:sz w:val="18"/>
              </w:rPr>
            </w:pPr>
            <w:r w:rsidRPr="00FB4FAA">
              <w:rPr>
                <w:sz w:val="18"/>
                <w:lang w:val="fr-FR"/>
              </w:rPr>
              <w:t>95</w:t>
            </w:r>
          </w:p>
        </w:tc>
      </w:tr>
      <w:tr w:rsidR="00FD6BA8" w:rsidRPr="00FB4FAA" w:rsidTr="00FB4FAA">
        <w:tc>
          <w:tcPr>
            <w:tcW w:w="2888" w:type="dxa"/>
            <w:shd w:val="clear" w:color="auto" w:fill="auto"/>
          </w:tcPr>
          <w:p w:rsidR="00FD6BA8" w:rsidRPr="00FB4FAA" w:rsidRDefault="00FD6BA8" w:rsidP="00FB4FAA">
            <w:pPr>
              <w:suppressAutoHyphens w:val="0"/>
              <w:spacing w:before="40" w:after="40" w:line="220" w:lineRule="exact"/>
              <w:rPr>
                <w:sz w:val="18"/>
              </w:rPr>
            </w:pPr>
            <w:r w:rsidRPr="00FB4FAA">
              <w:rPr>
                <w:sz w:val="18"/>
                <w:lang w:val="fr-FR"/>
              </w:rPr>
              <w:t>2013</w:t>
            </w:r>
          </w:p>
        </w:tc>
        <w:tc>
          <w:tcPr>
            <w:tcW w:w="4482" w:type="dxa"/>
            <w:shd w:val="clear" w:color="auto" w:fill="auto"/>
            <w:vAlign w:val="bottom"/>
          </w:tcPr>
          <w:p w:rsidR="00FD6BA8" w:rsidRPr="00FB4FAA" w:rsidRDefault="00FD6BA8" w:rsidP="00FB4FAA">
            <w:pPr>
              <w:suppressAutoHyphens w:val="0"/>
              <w:spacing w:before="40" w:after="40" w:line="220" w:lineRule="exact"/>
              <w:jc w:val="right"/>
              <w:rPr>
                <w:sz w:val="18"/>
              </w:rPr>
            </w:pPr>
            <w:r w:rsidRPr="00FB4FAA">
              <w:rPr>
                <w:sz w:val="18"/>
                <w:lang w:val="fr-FR"/>
              </w:rPr>
              <w:t>116</w:t>
            </w:r>
          </w:p>
        </w:tc>
      </w:tr>
      <w:tr w:rsidR="00FD6BA8" w:rsidRPr="00FB4FAA" w:rsidTr="00FB4FAA">
        <w:tc>
          <w:tcPr>
            <w:tcW w:w="2888" w:type="dxa"/>
            <w:shd w:val="clear" w:color="auto" w:fill="auto"/>
          </w:tcPr>
          <w:p w:rsidR="00FD6BA8" w:rsidRPr="00FB4FAA" w:rsidRDefault="00FD6BA8" w:rsidP="00FB4FAA">
            <w:pPr>
              <w:suppressAutoHyphens w:val="0"/>
              <w:spacing w:before="40" w:after="40" w:line="220" w:lineRule="exact"/>
              <w:rPr>
                <w:sz w:val="18"/>
              </w:rPr>
            </w:pPr>
            <w:r w:rsidRPr="00FB4FAA">
              <w:rPr>
                <w:sz w:val="18"/>
                <w:lang w:val="fr-FR"/>
              </w:rPr>
              <w:t>2014</w:t>
            </w:r>
          </w:p>
        </w:tc>
        <w:tc>
          <w:tcPr>
            <w:tcW w:w="4482" w:type="dxa"/>
            <w:shd w:val="clear" w:color="auto" w:fill="auto"/>
            <w:vAlign w:val="bottom"/>
          </w:tcPr>
          <w:p w:rsidR="00FD6BA8" w:rsidRPr="00FB4FAA" w:rsidRDefault="00FD6BA8" w:rsidP="00FB4FAA">
            <w:pPr>
              <w:suppressAutoHyphens w:val="0"/>
              <w:spacing w:before="40" w:after="40" w:line="220" w:lineRule="exact"/>
              <w:jc w:val="right"/>
              <w:rPr>
                <w:sz w:val="18"/>
              </w:rPr>
            </w:pPr>
            <w:r w:rsidRPr="00FB4FAA">
              <w:rPr>
                <w:sz w:val="18"/>
                <w:lang w:val="fr-FR"/>
              </w:rPr>
              <w:t>192</w:t>
            </w:r>
          </w:p>
        </w:tc>
      </w:tr>
      <w:tr w:rsidR="00FD6BA8" w:rsidRPr="00FB4FAA" w:rsidTr="00FB4FAA">
        <w:tc>
          <w:tcPr>
            <w:tcW w:w="2888" w:type="dxa"/>
            <w:shd w:val="clear" w:color="auto" w:fill="auto"/>
          </w:tcPr>
          <w:p w:rsidR="00FD6BA8" w:rsidRPr="00FB4FAA" w:rsidRDefault="00FD6BA8" w:rsidP="00FB4FAA">
            <w:pPr>
              <w:suppressAutoHyphens w:val="0"/>
              <w:spacing w:before="40" w:after="40" w:line="220" w:lineRule="exact"/>
              <w:rPr>
                <w:sz w:val="18"/>
              </w:rPr>
            </w:pPr>
            <w:r w:rsidRPr="00FB4FAA">
              <w:rPr>
                <w:sz w:val="18"/>
                <w:lang w:val="fr-FR"/>
              </w:rPr>
              <w:t>2015</w:t>
            </w:r>
          </w:p>
        </w:tc>
        <w:tc>
          <w:tcPr>
            <w:tcW w:w="4482" w:type="dxa"/>
            <w:shd w:val="clear" w:color="auto" w:fill="auto"/>
            <w:vAlign w:val="bottom"/>
          </w:tcPr>
          <w:p w:rsidR="00FD6BA8" w:rsidRPr="00FB4FAA" w:rsidRDefault="00FD6BA8" w:rsidP="00FB4FAA">
            <w:pPr>
              <w:suppressAutoHyphens w:val="0"/>
              <w:spacing w:before="40" w:after="40" w:line="220" w:lineRule="exact"/>
              <w:jc w:val="right"/>
              <w:rPr>
                <w:sz w:val="18"/>
              </w:rPr>
            </w:pPr>
            <w:r w:rsidRPr="00FB4FAA">
              <w:rPr>
                <w:sz w:val="18"/>
                <w:lang w:val="fr-FR"/>
              </w:rPr>
              <w:t>209</w:t>
            </w:r>
          </w:p>
        </w:tc>
      </w:tr>
      <w:tr w:rsidR="00FD6BA8" w:rsidRPr="00FB4FAA" w:rsidTr="00FB4FAA">
        <w:tc>
          <w:tcPr>
            <w:tcW w:w="2888" w:type="dxa"/>
            <w:shd w:val="clear" w:color="auto" w:fill="auto"/>
          </w:tcPr>
          <w:p w:rsidR="00FD6BA8" w:rsidRPr="00FB4FAA" w:rsidRDefault="00FD6BA8" w:rsidP="00FB4FAA">
            <w:pPr>
              <w:suppressAutoHyphens w:val="0"/>
              <w:spacing w:before="40" w:after="40" w:line="220" w:lineRule="exact"/>
              <w:rPr>
                <w:sz w:val="18"/>
              </w:rPr>
            </w:pPr>
            <w:r w:rsidRPr="00FB4FAA">
              <w:rPr>
                <w:sz w:val="18"/>
                <w:lang w:val="fr-FR"/>
              </w:rPr>
              <w:t>2016</w:t>
            </w:r>
          </w:p>
        </w:tc>
        <w:tc>
          <w:tcPr>
            <w:tcW w:w="4482" w:type="dxa"/>
            <w:shd w:val="clear" w:color="auto" w:fill="auto"/>
            <w:vAlign w:val="bottom"/>
          </w:tcPr>
          <w:p w:rsidR="00FD6BA8" w:rsidRPr="00FB4FAA" w:rsidRDefault="00FD6BA8" w:rsidP="00FB4FAA">
            <w:pPr>
              <w:suppressAutoHyphens w:val="0"/>
              <w:spacing w:before="40" w:after="40" w:line="220" w:lineRule="exact"/>
              <w:jc w:val="right"/>
              <w:rPr>
                <w:sz w:val="18"/>
              </w:rPr>
            </w:pPr>
            <w:r w:rsidRPr="00FB4FAA">
              <w:rPr>
                <w:sz w:val="18"/>
                <w:lang w:val="fr-FR"/>
              </w:rPr>
              <w:t>332</w:t>
            </w:r>
          </w:p>
        </w:tc>
      </w:tr>
      <w:tr w:rsidR="00FB4FAA" w:rsidRPr="00FB4FAA" w:rsidTr="00FB4FAA">
        <w:tc>
          <w:tcPr>
            <w:tcW w:w="2888" w:type="dxa"/>
            <w:tcBorders>
              <w:bottom w:val="single" w:sz="12" w:space="0" w:color="auto"/>
            </w:tcBorders>
            <w:shd w:val="clear" w:color="auto" w:fill="auto"/>
          </w:tcPr>
          <w:p w:rsidR="00FD6BA8" w:rsidRPr="00FB4FAA" w:rsidRDefault="00FD6BA8" w:rsidP="00FB4FAA">
            <w:pPr>
              <w:suppressAutoHyphens w:val="0"/>
              <w:spacing w:before="40" w:after="40" w:line="220" w:lineRule="exact"/>
              <w:rPr>
                <w:sz w:val="18"/>
              </w:rPr>
            </w:pPr>
            <w:r w:rsidRPr="00FB4FAA">
              <w:rPr>
                <w:sz w:val="18"/>
                <w:lang w:val="fr-FR"/>
              </w:rPr>
              <w:t>2017</w:t>
            </w:r>
          </w:p>
        </w:tc>
        <w:tc>
          <w:tcPr>
            <w:tcW w:w="4482" w:type="dxa"/>
            <w:tcBorders>
              <w:bottom w:val="single" w:sz="12" w:space="0" w:color="auto"/>
            </w:tcBorders>
            <w:shd w:val="clear" w:color="auto" w:fill="auto"/>
            <w:vAlign w:val="bottom"/>
          </w:tcPr>
          <w:p w:rsidR="00FD6BA8" w:rsidRPr="00FB4FAA" w:rsidRDefault="00FD6BA8" w:rsidP="00FB4FAA">
            <w:pPr>
              <w:suppressAutoHyphens w:val="0"/>
              <w:spacing w:before="40" w:after="40" w:line="220" w:lineRule="exact"/>
              <w:jc w:val="right"/>
              <w:rPr>
                <w:sz w:val="18"/>
              </w:rPr>
            </w:pPr>
            <w:r w:rsidRPr="00FB4FAA">
              <w:rPr>
                <w:sz w:val="18"/>
                <w:lang w:val="fr-FR"/>
              </w:rPr>
              <w:t>440</w:t>
            </w:r>
          </w:p>
        </w:tc>
      </w:tr>
    </w:tbl>
    <w:p w:rsidR="00FD6BA8" w:rsidRDefault="00FB4FAA" w:rsidP="00D15E84">
      <w:pPr>
        <w:pStyle w:val="H23G"/>
        <w:rPr>
          <w:lang w:val="fr-FR"/>
        </w:rPr>
      </w:pPr>
      <w:r w:rsidRPr="00FB4FAA">
        <w:rPr>
          <w:b w:val="0"/>
          <w:lang w:val="fr-FR"/>
        </w:rPr>
        <w:lastRenderedPageBreak/>
        <w:tab/>
      </w:r>
      <w:r w:rsidRPr="00FB4FAA">
        <w:rPr>
          <w:b w:val="0"/>
          <w:lang w:val="fr-FR"/>
        </w:rPr>
        <w:tab/>
      </w:r>
      <w:r w:rsidR="00FD6BA8" w:rsidRPr="00FB4FAA">
        <w:rPr>
          <w:b w:val="0"/>
          <w:lang w:val="fr-FR"/>
        </w:rPr>
        <w:t xml:space="preserve">Tableau 2 </w:t>
      </w:r>
      <w:r w:rsidRPr="00FB4FAA">
        <w:rPr>
          <w:b w:val="0"/>
          <w:lang w:val="fr-FR"/>
        </w:rPr>
        <w:br/>
      </w:r>
      <w:r w:rsidR="00FD6BA8">
        <w:rPr>
          <w:lang w:val="fr-FR"/>
        </w:rPr>
        <w:t>Plaintes déposées, par catégorie (catégories les plus fréquentes)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699"/>
        <w:gridCol w:w="1045"/>
        <w:gridCol w:w="1191"/>
        <w:gridCol w:w="1147"/>
        <w:gridCol w:w="2008"/>
        <w:gridCol w:w="1280"/>
      </w:tblGrid>
      <w:tr w:rsidR="00D15E84" w:rsidRPr="00FB4FAA" w:rsidTr="00B356BC">
        <w:trPr>
          <w:tblHeader/>
        </w:trPr>
        <w:tc>
          <w:tcPr>
            <w:tcW w:w="7515" w:type="dxa"/>
            <w:gridSpan w:val="6"/>
            <w:tcBorders>
              <w:top w:val="single" w:sz="4" w:space="0" w:color="auto"/>
            </w:tcBorders>
            <w:shd w:val="clear" w:color="auto" w:fill="auto"/>
            <w:vAlign w:val="bottom"/>
          </w:tcPr>
          <w:p w:rsidR="00D15E84" w:rsidRPr="00FB4FAA" w:rsidRDefault="00D15E84" w:rsidP="00D15E84">
            <w:pPr>
              <w:keepNext/>
              <w:keepLines/>
              <w:spacing w:before="80" w:after="80" w:line="200" w:lineRule="exact"/>
              <w:jc w:val="center"/>
              <w:rPr>
                <w:i/>
                <w:sz w:val="16"/>
                <w:lang w:val="fr-FR"/>
              </w:rPr>
            </w:pPr>
            <w:r>
              <w:rPr>
                <w:i/>
                <w:sz w:val="16"/>
                <w:lang w:val="fr-FR"/>
              </w:rPr>
              <w:t>Nombre de plaintes</w:t>
            </w:r>
          </w:p>
        </w:tc>
      </w:tr>
      <w:tr w:rsidR="00B356BC" w:rsidRPr="00FB4FAA" w:rsidTr="00B356BC">
        <w:trPr>
          <w:tblHeader/>
        </w:trPr>
        <w:tc>
          <w:tcPr>
            <w:tcW w:w="712" w:type="dxa"/>
            <w:tcBorders>
              <w:bottom w:val="single" w:sz="12" w:space="0" w:color="auto"/>
            </w:tcBorders>
            <w:shd w:val="clear" w:color="auto" w:fill="auto"/>
            <w:vAlign w:val="bottom"/>
          </w:tcPr>
          <w:p w:rsidR="00D15E84" w:rsidRPr="00FB4FAA" w:rsidRDefault="00D15E84" w:rsidP="00D15E84">
            <w:pPr>
              <w:keepNext/>
              <w:keepLines/>
              <w:spacing w:before="80" w:after="80" w:line="200" w:lineRule="exact"/>
              <w:rPr>
                <w:i/>
                <w:sz w:val="16"/>
                <w:lang w:val="fr-FR"/>
              </w:rPr>
            </w:pPr>
            <w:r>
              <w:rPr>
                <w:i/>
                <w:sz w:val="16"/>
                <w:lang w:val="fr-FR"/>
              </w:rPr>
              <w:t>Année</w:t>
            </w:r>
          </w:p>
        </w:tc>
        <w:tc>
          <w:tcPr>
            <w:tcW w:w="1066" w:type="dxa"/>
            <w:tcBorders>
              <w:top w:val="single" w:sz="4" w:space="0" w:color="auto"/>
              <w:bottom w:val="single" w:sz="12" w:space="0" w:color="auto"/>
            </w:tcBorders>
            <w:shd w:val="clear" w:color="auto" w:fill="auto"/>
            <w:vAlign w:val="bottom"/>
          </w:tcPr>
          <w:p w:rsidR="00D15E84" w:rsidRPr="00FB4FAA" w:rsidRDefault="00D15E84" w:rsidP="00D15E84">
            <w:pPr>
              <w:keepNext/>
              <w:keepLines/>
              <w:spacing w:before="80" w:after="80" w:line="200" w:lineRule="exact"/>
              <w:jc w:val="right"/>
              <w:rPr>
                <w:i/>
                <w:sz w:val="16"/>
                <w:lang w:val="fr-FR"/>
              </w:rPr>
            </w:pPr>
            <w:r>
              <w:rPr>
                <w:i/>
                <w:sz w:val="16"/>
                <w:lang w:val="fr-FR"/>
              </w:rPr>
              <w:t>Égalité des sexes</w:t>
            </w:r>
          </w:p>
        </w:tc>
        <w:tc>
          <w:tcPr>
            <w:tcW w:w="1215" w:type="dxa"/>
            <w:tcBorders>
              <w:top w:val="single" w:sz="4" w:space="0" w:color="auto"/>
              <w:bottom w:val="single" w:sz="12" w:space="0" w:color="auto"/>
            </w:tcBorders>
            <w:shd w:val="clear" w:color="auto" w:fill="auto"/>
            <w:vAlign w:val="bottom"/>
          </w:tcPr>
          <w:p w:rsidR="00D15E84" w:rsidRPr="00FB4FAA" w:rsidRDefault="00D15E84" w:rsidP="00D15E84">
            <w:pPr>
              <w:keepNext/>
              <w:keepLines/>
              <w:spacing w:before="80" w:after="80" w:line="200" w:lineRule="exact"/>
              <w:jc w:val="right"/>
              <w:rPr>
                <w:i/>
                <w:sz w:val="16"/>
                <w:lang w:val="fr-FR"/>
              </w:rPr>
            </w:pPr>
            <w:r>
              <w:rPr>
                <w:i/>
                <w:sz w:val="16"/>
                <w:lang w:val="fr-FR"/>
              </w:rPr>
              <w:t>Appartenance ethnique</w:t>
            </w:r>
            <w:r w:rsidRPr="00812789">
              <w:rPr>
                <w:rStyle w:val="Appelnotedebasdep"/>
              </w:rPr>
              <w:footnoteReference w:id="5"/>
            </w:r>
          </w:p>
        </w:tc>
        <w:tc>
          <w:tcPr>
            <w:tcW w:w="1170" w:type="dxa"/>
            <w:tcBorders>
              <w:top w:val="single" w:sz="4" w:space="0" w:color="auto"/>
              <w:bottom w:val="single" w:sz="12" w:space="0" w:color="auto"/>
            </w:tcBorders>
            <w:shd w:val="clear" w:color="auto" w:fill="auto"/>
            <w:vAlign w:val="bottom"/>
          </w:tcPr>
          <w:p w:rsidR="00D15E84" w:rsidRPr="00FB4FAA" w:rsidRDefault="00D15E84" w:rsidP="00812789">
            <w:pPr>
              <w:keepNext/>
              <w:keepLines/>
              <w:spacing w:before="80" w:after="80" w:line="200" w:lineRule="exact"/>
              <w:jc w:val="right"/>
              <w:rPr>
                <w:i/>
                <w:sz w:val="16"/>
                <w:lang w:val="fr-FR"/>
              </w:rPr>
            </w:pPr>
            <w:r>
              <w:rPr>
                <w:i/>
                <w:sz w:val="16"/>
                <w:lang w:val="fr-FR"/>
              </w:rPr>
              <w:t>Handicap</w:t>
            </w:r>
          </w:p>
        </w:tc>
        <w:tc>
          <w:tcPr>
            <w:tcW w:w="2048" w:type="dxa"/>
            <w:tcBorders>
              <w:top w:val="single" w:sz="4" w:space="0" w:color="auto"/>
              <w:bottom w:val="single" w:sz="12" w:space="0" w:color="auto"/>
            </w:tcBorders>
            <w:shd w:val="clear" w:color="auto" w:fill="auto"/>
            <w:vAlign w:val="bottom"/>
          </w:tcPr>
          <w:p w:rsidR="00D15E84" w:rsidRPr="00FB4FAA" w:rsidRDefault="00D15E84" w:rsidP="00D15E84">
            <w:pPr>
              <w:keepNext/>
              <w:keepLines/>
              <w:spacing w:before="80" w:after="80" w:line="200" w:lineRule="exact"/>
              <w:jc w:val="right"/>
              <w:rPr>
                <w:i/>
                <w:sz w:val="16"/>
                <w:lang w:val="fr-FR"/>
              </w:rPr>
            </w:pPr>
            <w:r>
              <w:rPr>
                <w:i/>
                <w:sz w:val="16"/>
                <w:lang w:val="fr-FR"/>
              </w:rPr>
              <w:t>Minorités sexuelles</w:t>
            </w:r>
            <w:r w:rsidR="00812789" w:rsidRPr="00812789">
              <w:rPr>
                <w:rStyle w:val="Appelnotedebasdep"/>
              </w:rPr>
              <w:footnoteReference w:id="6"/>
            </w:r>
          </w:p>
        </w:tc>
        <w:tc>
          <w:tcPr>
            <w:tcW w:w="1306" w:type="dxa"/>
            <w:tcBorders>
              <w:top w:val="single" w:sz="4" w:space="0" w:color="auto"/>
              <w:bottom w:val="single" w:sz="12" w:space="0" w:color="auto"/>
            </w:tcBorders>
            <w:shd w:val="clear" w:color="auto" w:fill="auto"/>
            <w:vAlign w:val="bottom"/>
          </w:tcPr>
          <w:p w:rsidR="00D15E84" w:rsidRPr="00FB4FAA" w:rsidRDefault="00336E28" w:rsidP="00D15E84">
            <w:pPr>
              <w:keepNext/>
              <w:keepLines/>
              <w:spacing w:before="80" w:after="80" w:line="200" w:lineRule="exact"/>
              <w:jc w:val="right"/>
              <w:rPr>
                <w:i/>
                <w:sz w:val="16"/>
                <w:lang w:val="fr-FR"/>
              </w:rPr>
            </w:pPr>
            <w:r>
              <w:rPr>
                <w:i/>
                <w:sz w:val="16"/>
                <w:lang w:val="fr-FR"/>
              </w:rPr>
              <w:t>Âge</w:t>
            </w:r>
          </w:p>
        </w:tc>
      </w:tr>
      <w:tr w:rsidR="00D15E84" w:rsidTr="00B356BC">
        <w:tc>
          <w:tcPr>
            <w:tcW w:w="712" w:type="dxa"/>
            <w:tcBorders>
              <w:top w:val="single" w:sz="12" w:space="0" w:color="auto"/>
            </w:tcBorders>
            <w:shd w:val="clear" w:color="auto" w:fill="auto"/>
            <w:vAlign w:val="bottom"/>
          </w:tcPr>
          <w:p w:rsidR="00D15E84" w:rsidRPr="00FB4FAA" w:rsidRDefault="00D15E84" w:rsidP="00D15E84">
            <w:pPr>
              <w:keepNext/>
              <w:keepLines/>
              <w:spacing w:before="40" w:after="40" w:line="220" w:lineRule="exact"/>
              <w:rPr>
                <w:sz w:val="18"/>
                <w:lang w:val="fr-FR"/>
              </w:rPr>
            </w:pPr>
            <w:r>
              <w:rPr>
                <w:sz w:val="18"/>
                <w:lang w:val="fr-FR"/>
              </w:rPr>
              <w:t>2009</w:t>
            </w:r>
          </w:p>
        </w:tc>
        <w:tc>
          <w:tcPr>
            <w:tcW w:w="1066" w:type="dxa"/>
            <w:shd w:val="clear" w:color="auto" w:fill="auto"/>
            <w:vAlign w:val="bottom"/>
          </w:tcPr>
          <w:p w:rsidR="00D15E84" w:rsidRPr="00FB4FAA" w:rsidRDefault="00D15E84" w:rsidP="00D15E84">
            <w:pPr>
              <w:keepNext/>
              <w:keepLines/>
              <w:suppressAutoHyphens w:val="0"/>
              <w:spacing w:before="40" w:after="40" w:line="220" w:lineRule="exact"/>
              <w:jc w:val="right"/>
              <w:rPr>
                <w:sz w:val="18"/>
              </w:rPr>
            </w:pPr>
            <w:r w:rsidRPr="00FB4FAA">
              <w:rPr>
                <w:sz w:val="18"/>
                <w:lang w:val="fr-FR"/>
              </w:rPr>
              <w:t>28</w:t>
            </w:r>
          </w:p>
        </w:tc>
        <w:tc>
          <w:tcPr>
            <w:tcW w:w="1215" w:type="dxa"/>
            <w:shd w:val="clear" w:color="auto" w:fill="auto"/>
            <w:vAlign w:val="bottom"/>
          </w:tcPr>
          <w:p w:rsidR="00D15E84" w:rsidRPr="00FB4FAA" w:rsidRDefault="00D15E84" w:rsidP="00D15E84">
            <w:pPr>
              <w:keepNext/>
              <w:keepLines/>
              <w:suppressAutoHyphens w:val="0"/>
              <w:spacing w:before="40" w:after="40" w:line="220" w:lineRule="exact"/>
              <w:jc w:val="right"/>
              <w:rPr>
                <w:sz w:val="18"/>
              </w:rPr>
            </w:pPr>
            <w:r w:rsidRPr="00FB4FAA">
              <w:rPr>
                <w:sz w:val="18"/>
                <w:lang w:val="fr-FR"/>
              </w:rPr>
              <w:t>10</w:t>
            </w:r>
          </w:p>
        </w:tc>
        <w:tc>
          <w:tcPr>
            <w:tcW w:w="1170" w:type="dxa"/>
            <w:shd w:val="clear" w:color="auto" w:fill="auto"/>
            <w:vAlign w:val="bottom"/>
          </w:tcPr>
          <w:p w:rsidR="00D15E84" w:rsidRPr="00FB4FAA" w:rsidRDefault="00D15E84" w:rsidP="00D15E84">
            <w:pPr>
              <w:keepNext/>
              <w:keepLines/>
              <w:suppressAutoHyphens w:val="0"/>
              <w:spacing w:before="40" w:after="40" w:line="220" w:lineRule="exact"/>
              <w:jc w:val="right"/>
              <w:rPr>
                <w:sz w:val="18"/>
              </w:rPr>
            </w:pPr>
            <w:r w:rsidRPr="00FB4FAA">
              <w:rPr>
                <w:sz w:val="18"/>
                <w:lang w:val="fr-FR"/>
              </w:rPr>
              <w:t>3</w:t>
            </w:r>
          </w:p>
        </w:tc>
        <w:tc>
          <w:tcPr>
            <w:tcW w:w="2048" w:type="dxa"/>
            <w:shd w:val="clear" w:color="auto" w:fill="auto"/>
            <w:vAlign w:val="bottom"/>
          </w:tcPr>
          <w:p w:rsidR="00D15E84" w:rsidRPr="00FB4FAA" w:rsidRDefault="00D15E84" w:rsidP="00D15E84">
            <w:pPr>
              <w:keepNext/>
              <w:keepLines/>
              <w:suppressAutoHyphens w:val="0"/>
              <w:spacing w:before="40" w:after="40" w:line="220" w:lineRule="exact"/>
              <w:jc w:val="right"/>
              <w:rPr>
                <w:sz w:val="18"/>
              </w:rPr>
            </w:pPr>
            <w:r w:rsidRPr="00FB4FAA">
              <w:rPr>
                <w:sz w:val="18"/>
                <w:lang w:val="fr-FR"/>
              </w:rPr>
              <w:t>Comprises dans d’</w:t>
            </w:r>
            <w:r>
              <w:rPr>
                <w:sz w:val="18"/>
                <w:lang w:val="fr-FR"/>
              </w:rPr>
              <w:t>autres </w:t>
            </w:r>
            <w:r w:rsidRPr="00FB4FAA">
              <w:rPr>
                <w:sz w:val="18"/>
                <w:lang w:val="fr-FR"/>
              </w:rPr>
              <w:t>catégories</w:t>
            </w:r>
          </w:p>
        </w:tc>
        <w:tc>
          <w:tcPr>
            <w:tcW w:w="1306" w:type="dxa"/>
            <w:shd w:val="clear" w:color="auto" w:fill="auto"/>
            <w:vAlign w:val="bottom"/>
          </w:tcPr>
          <w:p w:rsidR="00D15E84" w:rsidRPr="00FB4FAA" w:rsidRDefault="00D15E84" w:rsidP="00D15E84">
            <w:pPr>
              <w:keepNext/>
              <w:keepLines/>
              <w:suppressAutoHyphens w:val="0"/>
              <w:spacing w:before="40" w:after="40" w:line="220" w:lineRule="exact"/>
              <w:jc w:val="right"/>
              <w:rPr>
                <w:sz w:val="18"/>
              </w:rPr>
            </w:pPr>
            <w:r w:rsidRPr="00FB4FAA">
              <w:rPr>
                <w:sz w:val="18"/>
                <w:lang w:val="fr-FR"/>
              </w:rPr>
              <w:t>1</w:t>
            </w:r>
          </w:p>
        </w:tc>
      </w:tr>
      <w:tr w:rsidR="00D15E84" w:rsidTr="00D15E84">
        <w:tc>
          <w:tcPr>
            <w:tcW w:w="712" w:type="dxa"/>
            <w:shd w:val="clear" w:color="auto" w:fill="auto"/>
            <w:vAlign w:val="bottom"/>
          </w:tcPr>
          <w:p w:rsidR="00D15E84" w:rsidRPr="00FB4FAA" w:rsidRDefault="00D15E84" w:rsidP="00D15E84">
            <w:pPr>
              <w:spacing w:before="40" w:after="40" w:line="220" w:lineRule="exact"/>
              <w:rPr>
                <w:sz w:val="18"/>
                <w:lang w:val="fr-FR"/>
              </w:rPr>
            </w:pPr>
            <w:r>
              <w:rPr>
                <w:sz w:val="18"/>
                <w:lang w:val="fr-FR"/>
              </w:rPr>
              <w:t>2010</w:t>
            </w:r>
          </w:p>
        </w:tc>
        <w:tc>
          <w:tcPr>
            <w:tcW w:w="106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28</w:t>
            </w:r>
          </w:p>
        </w:tc>
        <w:tc>
          <w:tcPr>
            <w:tcW w:w="1215"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4</w:t>
            </w:r>
          </w:p>
        </w:tc>
        <w:tc>
          <w:tcPr>
            <w:tcW w:w="1170"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3</w:t>
            </w:r>
          </w:p>
        </w:tc>
        <w:tc>
          <w:tcPr>
            <w:tcW w:w="2048"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2</w:t>
            </w:r>
          </w:p>
        </w:tc>
        <w:tc>
          <w:tcPr>
            <w:tcW w:w="130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2</w:t>
            </w:r>
          </w:p>
        </w:tc>
      </w:tr>
      <w:tr w:rsidR="00D15E84" w:rsidTr="00D15E84">
        <w:tc>
          <w:tcPr>
            <w:tcW w:w="712" w:type="dxa"/>
            <w:shd w:val="clear" w:color="auto" w:fill="auto"/>
            <w:vAlign w:val="bottom"/>
          </w:tcPr>
          <w:p w:rsidR="00D15E84" w:rsidRPr="00FB4FAA" w:rsidRDefault="00D15E84" w:rsidP="00D15E84">
            <w:pPr>
              <w:spacing w:before="40" w:after="40" w:line="220" w:lineRule="exact"/>
              <w:rPr>
                <w:sz w:val="18"/>
                <w:lang w:val="fr-FR"/>
              </w:rPr>
            </w:pPr>
            <w:r>
              <w:rPr>
                <w:sz w:val="18"/>
                <w:lang w:val="fr-FR"/>
              </w:rPr>
              <w:t>2011</w:t>
            </w:r>
          </w:p>
        </w:tc>
        <w:tc>
          <w:tcPr>
            <w:tcW w:w="106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45</w:t>
            </w:r>
          </w:p>
        </w:tc>
        <w:tc>
          <w:tcPr>
            <w:tcW w:w="1215"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8</w:t>
            </w:r>
          </w:p>
        </w:tc>
        <w:tc>
          <w:tcPr>
            <w:tcW w:w="1170"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2</w:t>
            </w:r>
          </w:p>
        </w:tc>
        <w:tc>
          <w:tcPr>
            <w:tcW w:w="2048"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5</w:t>
            </w:r>
          </w:p>
        </w:tc>
        <w:tc>
          <w:tcPr>
            <w:tcW w:w="130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w:t>
            </w:r>
          </w:p>
        </w:tc>
      </w:tr>
      <w:tr w:rsidR="00D15E84" w:rsidTr="00D15E84">
        <w:tc>
          <w:tcPr>
            <w:tcW w:w="712" w:type="dxa"/>
            <w:shd w:val="clear" w:color="auto" w:fill="auto"/>
            <w:vAlign w:val="bottom"/>
          </w:tcPr>
          <w:p w:rsidR="00D15E84" w:rsidRPr="00FB4FAA" w:rsidRDefault="00D15E84" w:rsidP="00D15E84">
            <w:pPr>
              <w:spacing w:before="40" w:after="40" w:line="220" w:lineRule="exact"/>
              <w:rPr>
                <w:sz w:val="18"/>
                <w:lang w:val="fr-FR"/>
              </w:rPr>
            </w:pPr>
            <w:r>
              <w:rPr>
                <w:sz w:val="18"/>
                <w:lang w:val="fr-FR"/>
              </w:rPr>
              <w:t>2012</w:t>
            </w:r>
          </w:p>
        </w:tc>
        <w:tc>
          <w:tcPr>
            <w:tcW w:w="106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58</w:t>
            </w:r>
          </w:p>
        </w:tc>
        <w:tc>
          <w:tcPr>
            <w:tcW w:w="1215"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4</w:t>
            </w:r>
          </w:p>
        </w:tc>
        <w:tc>
          <w:tcPr>
            <w:tcW w:w="1170"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12</w:t>
            </w:r>
          </w:p>
        </w:tc>
        <w:tc>
          <w:tcPr>
            <w:tcW w:w="2048"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4</w:t>
            </w:r>
          </w:p>
        </w:tc>
        <w:tc>
          <w:tcPr>
            <w:tcW w:w="130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11</w:t>
            </w:r>
          </w:p>
        </w:tc>
      </w:tr>
      <w:tr w:rsidR="00D15E84" w:rsidTr="00D15E84">
        <w:tc>
          <w:tcPr>
            <w:tcW w:w="712" w:type="dxa"/>
            <w:shd w:val="clear" w:color="auto" w:fill="auto"/>
            <w:vAlign w:val="bottom"/>
          </w:tcPr>
          <w:p w:rsidR="00D15E84" w:rsidRPr="00FB4FAA" w:rsidRDefault="00D15E84" w:rsidP="00D15E84">
            <w:pPr>
              <w:spacing w:before="40" w:after="40" w:line="220" w:lineRule="exact"/>
              <w:rPr>
                <w:sz w:val="18"/>
                <w:lang w:val="fr-FR"/>
              </w:rPr>
            </w:pPr>
            <w:r>
              <w:rPr>
                <w:sz w:val="18"/>
                <w:lang w:val="fr-FR"/>
              </w:rPr>
              <w:t>2013</w:t>
            </w:r>
          </w:p>
        </w:tc>
        <w:tc>
          <w:tcPr>
            <w:tcW w:w="106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57</w:t>
            </w:r>
          </w:p>
        </w:tc>
        <w:tc>
          <w:tcPr>
            <w:tcW w:w="1215"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4</w:t>
            </w:r>
          </w:p>
        </w:tc>
        <w:tc>
          <w:tcPr>
            <w:tcW w:w="1170"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12</w:t>
            </w:r>
          </w:p>
        </w:tc>
        <w:tc>
          <w:tcPr>
            <w:tcW w:w="2048"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5</w:t>
            </w:r>
          </w:p>
        </w:tc>
        <w:tc>
          <w:tcPr>
            <w:tcW w:w="130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w:t>
            </w:r>
          </w:p>
        </w:tc>
      </w:tr>
      <w:tr w:rsidR="00D15E84" w:rsidTr="00D15E84">
        <w:tc>
          <w:tcPr>
            <w:tcW w:w="712" w:type="dxa"/>
            <w:shd w:val="clear" w:color="auto" w:fill="auto"/>
            <w:vAlign w:val="bottom"/>
          </w:tcPr>
          <w:p w:rsidR="00D15E84" w:rsidRPr="00FB4FAA" w:rsidRDefault="00D15E84" w:rsidP="00D15E84">
            <w:pPr>
              <w:spacing w:before="40" w:after="40" w:line="220" w:lineRule="exact"/>
              <w:rPr>
                <w:sz w:val="18"/>
                <w:lang w:val="fr-FR"/>
              </w:rPr>
            </w:pPr>
            <w:r>
              <w:rPr>
                <w:sz w:val="18"/>
                <w:lang w:val="fr-FR"/>
              </w:rPr>
              <w:t>2014</w:t>
            </w:r>
          </w:p>
        </w:tc>
        <w:tc>
          <w:tcPr>
            <w:tcW w:w="106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91</w:t>
            </w:r>
          </w:p>
        </w:tc>
        <w:tc>
          <w:tcPr>
            <w:tcW w:w="1215"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6</w:t>
            </w:r>
          </w:p>
        </w:tc>
        <w:tc>
          <w:tcPr>
            <w:tcW w:w="1170"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8</w:t>
            </w:r>
          </w:p>
        </w:tc>
        <w:tc>
          <w:tcPr>
            <w:tcW w:w="2048"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1</w:t>
            </w:r>
          </w:p>
        </w:tc>
        <w:tc>
          <w:tcPr>
            <w:tcW w:w="130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14</w:t>
            </w:r>
          </w:p>
        </w:tc>
      </w:tr>
      <w:tr w:rsidR="00D15E84" w:rsidTr="00D15E84">
        <w:tc>
          <w:tcPr>
            <w:tcW w:w="712" w:type="dxa"/>
            <w:shd w:val="clear" w:color="auto" w:fill="auto"/>
            <w:vAlign w:val="bottom"/>
          </w:tcPr>
          <w:p w:rsidR="00D15E84" w:rsidRPr="00FB4FAA" w:rsidRDefault="00D15E84" w:rsidP="00D15E84">
            <w:pPr>
              <w:spacing w:before="40" w:after="40" w:line="220" w:lineRule="exact"/>
              <w:rPr>
                <w:sz w:val="18"/>
                <w:lang w:val="fr-FR"/>
              </w:rPr>
            </w:pPr>
            <w:r>
              <w:rPr>
                <w:sz w:val="18"/>
                <w:lang w:val="fr-FR"/>
              </w:rPr>
              <w:t>2015</w:t>
            </w:r>
          </w:p>
        </w:tc>
        <w:tc>
          <w:tcPr>
            <w:tcW w:w="106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70</w:t>
            </w:r>
          </w:p>
        </w:tc>
        <w:tc>
          <w:tcPr>
            <w:tcW w:w="1215"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13</w:t>
            </w:r>
          </w:p>
        </w:tc>
        <w:tc>
          <w:tcPr>
            <w:tcW w:w="1170"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35</w:t>
            </w:r>
          </w:p>
        </w:tc>
        <w:tc>
          <w:tcPr>
            <w:tcW w:w="2048"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8</w:t>
            </w:r>
          </w:p>
        </w:tc>
        <w:tc>
          <w:tcPr>
            <w:tcW w:w="130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16</w:t>
            </w:r>
          </w:p>
        </w:tc>
      </w:tr>
      <w:tr w:rsidR="00D15E84" w:rsidTr="00D15E84">
        <w:tc>
          <w:tcPr>
            <w:tcW w:w="712" w:type="dxa"/>
            <w:shd w:val="clear" w:color="auto" w:fill="auto"/>
            <w:vAlign w:val="bottom"/>
          </w:tcPr>
          <w:p w:rsidR="00D15E84" w:rsidRPr="00FB4FAA" w:rsidRDefault="00D15E84" w:rsidP="00D15E84">
            <w:pPr>
              <w:spacing w:before="40" w:after="40" w:line="220" w:lineRule="exact"/>
              <w:rPr>
                <w:sz w:val="18"/>
                <w:lang w:val="fr-FR"/>
              </w:rPr>
            </w:pPr>
            <w:r>
              <w:rPr>
                <w:sz w:val="18"/>
                <w:lang w:val="fr-FR"/>
              </w:rPr>
              <w:t>2016</w:t>
            </w:r>
          </w:p>
        </w:tc>
        <w:tc>
          <w:tcPr>
            <w:tcW w:w="106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158</w:t>
            </w:r>
          </w:p>
        </w:tc>
        <w:tc>
          <w:tcPr>
            <w:tcW w:w="1215"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22</w:t>
            </w:r>
          </w:p>
        </w:tc>
        <w:tc>
          <w:tcPr>
            <w:tcW w:w="1170"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55</w:t>
            </w:r>
          </w:p>
        </w:tc>
        <w:tc>
          <w:tcPr>
            <w:tcW w:w="2048"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7</w:t>
            </w:r>
          </w:p>
        </w:tc>
        <w:tc>
          <w:tcPr>
            <w:tcW w:w="1306" w:type="dxa"/>
            <w:shd w:val="clear" w:color="auto" w:fill="auto"/>
            <w:vAlign w:val="bottom"/>
          </w:tcPr>
          <w:p w:rsidR="00D15E84" w:rsidRPr="00FB4FAA" w:rsidRDefault="00D15E84" w:rsidP="00D15E84">
            <w:pPr>
              <w:suppressAutoHyphens w:val="0"/>
              <w:spacing w:before="40" w:after="40" w:line="220" w:lineRule="exact"/>
              <w:jc w:val="right"/>
              <w:rPr>
                <w:sz w:val="18"/>
              </w:rPr>
            </w:pPr>
            <w:r w:rsidRPr="00FB4FAA">
              <w:rPr>
                <w:sz w:val="18"/>
                <w:lang w:val="fr-FR"/>
              </w:rPr>
              <w:t>31</w:t>
            </w:r>
          </w:p>
        </w:tc>
      </w:tr>
      <w:tr w:rsidR="00D15E84" w:rsidTr="00D15E84">
        <w:tc>
          <w:tcPr>
            <w:tcW w:w="712" w:type="dxa"/>
            <w:tcBorders>
              <w:bottom w:val="single" w:sz="12" w:space="0" w:color="auto"/>
            </w:tcBorders>
            <w:shd w:val="clear" w:color="auto" w:fill="auto"/>
            <w:vAlign w:val="bottom"/>
          </w:tcPr>
          <w:p w:rsidR="00FB4FAA" w:rsidRPr="00FB4FAA" w:rsidRDefault="00FB4FAA" w:rsidP="00FB4FAA">
            <w:pPr>
              <w:spacing w:before="40" w:after="40" w:line="220" w:lineRule="exact"/>
              <w:rPr>
                <w:sz w:val="18"/>
                <w:lang w:val="fr-FR"/>
              </w:rPr>
            </w:pPr>
            <w:r>
              <w:rPr>
                <w:sz w:val="18"/>
                <w:lang w:val="fr-FR"/>
              </w:rPr>
              <w:t>2017</w:t>
            </w:r>
          </w:p>
        </w:tc>
        <w:tc>
          <w:tcPr>
            <w:tcW w:w="1066" w:type="dxa"/>
            <w:tcBorders>
              <w:bottom w:val="single" w:sz="12" w:space="0" w:color="auto"/>
            </w:tcBorders>
            <w:shd w:val="clear" w:color="auto" w:fill="auto"/>
            <w:vAlign w:val="bottom"/>
          </w:tcPr>
          <w:p w:rsidR="00FB4FAA" w:rsidRPr="00FB4FAA" w:rsidRDefault="00D15E84" w:rsidP="00FB4FAA">
            <w:pPr>
              <w:spacing w:before="40" w:after="40" w:line="220" w:lineRule="exact"/>
              <w:jc w:val="right"/>
              <w:rPr>
                <w:sz w:val="18"/>
                <w:lang w:val="fr-FR"/>
              </w:rPr>
            </w:pPr>
            <w:r>
              <w:rPr>
                <w:sz w:val="18"/>
                <w:lang w:val="fr-FR"/>
              </w:rPr>
              <w:t>213</w:t>
            </w:r>
          </w:p>
        </w:tc>
        <w:tc>
          <w:tcPr>
            <w:tcW w:w="1215" w:type="dxa"/>
            <w:tcBorders>
              <w:bottom w:val="single" w:sz="12" w:space="0" w:color="auto"/>
            </w:tcBorders>
            <w:shd w:val="clear" w:color="auto" w:fill="auto"/>
            <w:vAlign w:val="bottom"/>
          </w:tcPr>
          <w:p w:rsidR="00FB4FAA" w:rsidRPr="00FB4FAA" w:rsidRDefault="00D15E84" w:rsidP="00FB4FAA">
            <w:pPr>
              <w:spacing w:before="40" w:after="40" w:line="220" w:lineRule="exact"/>
              <w:jc w:val="right"/>
              <w:rPr>
                <w:sz w:val="18"/>
                <w:lang w:val="fr-FR"/>
              </w:rPr>
            </w:pPr>
            <w:r>
              <w:rPr>
                <w:sz w:val="18"/>
                <w:lang w:val="fr-FR"/>
              </w:rPr>
              <w:t>18</w:t>
            </w:r>
          </w:p>
        </w:tc>
        <w:tc>
          <w:tcPr>
            <w:tcW w:w="1170" w:type="dxa"/>
            <w:tcBorders>
              <w:bottom w:val="single" w:sz="12" w:space="0" w:color="auto"/>
            </w:tcBorders>
            <w:shd w:val="clear" w:color="auto" w:fill="auto"/>
            <w:vAlign w:val="bottom"/>
          </w:tcPr>
          <w:p w:rsidR="00FB4FAA" w:rsidRPr="00FB4FAA" w:rsidRDefault="00D15E84" w:rsidP="00FB4FAA">
            <w:pPr>
              <w:spacing w:before="40" w:after="40" w:line="220" w:lineRule="exact"/>
              <w:jc w:val="right"/>
              <w:rPr>
                <w:sz w:val="18"/>
                <w:lang w:val="fr-FR"/>
              </w:rPr>
            </w:pPr>
            <w:r>
              <w:rPr>
                <w:sz w:val="18"/>
                <w:lang w:val="fr-FR"/>
              </w:rPr>
              <w:t>87</w:t>
            </w:r>
          </w:p>
        </w:tc>
        <w:tc>
          <w:tcPr>
            <w:tcW w:w="2048" w:type="dxa"/>
            <w:tcBorders>
              <w:bottom w:val="single" w:sz="12" w:space="0" w:color="auto"/>
            </w:tcBorders>
            <w:shd w:val="clear" w:color="auto" w:fill="auto"/>
            <w:vAlign w:val="bottom"/>
          </w:tcPr>
          <w:p w:rsidR="00FB4FAA" w:rsidRPr="00FB4FAA" w:rsidRDefault="00D15E84" w:rsidP="00FB4FAA">
            <w:pPr>
              <w:spacing w:before="40" w:after="40" w:line="220" w:lineRule="exact"/>
              <w:jc w:val="right"/>
              <w:rPr>
                <w:sz w:val="18"/>
                <w:lang w:val="fr-FR"/>
              </w:rPr>
            </w:pPr>
            <w:r>
              <w:rPr>
                <w:sz w:val="18"/>
                <w:lang w:val="fr-FR"/>
              </w:rPr>
              <w:t>0</w:t>
            </w:r>
          </w:p>
        </w:tc>
        <w:tc>
          <w:tcPr>
            <w:tcW w:w="1306" w:type="dxa"/>
            <w:tcBorders>
              <w:bottom w:val="single" w:sz="12" w:space="0" w:color="auto"/>
            </w:tcBorders>
            <w:shd w:val="clear" w:color="auto" w:fill="auto"/>
            <w:vAlign w:val="bottom"/>
          </w:tcPr>
          <w:p w:rsidR="00FB4FAA" w:rsidRPr="00FB4FAA" w:rsidRDefault="00D15E84" w:rsidP="00FB4FAA">
            <w:pPr>
              <w:spacing w:before="40" w:after="40" w:line="220" w:lineRule="exact"/>
              <w:jc w:val="right"/>
              <w:rPr>
                <w:sz w:val="18"/>
                <w:lang w:val="fr-FR"/>
              </w:rPr>
            </w:pPr>
            <w:r>
              <w:rPr>
                <w:sz w:val="18"/>
                <w:lang w:val="fr-FR"/>
              </w:rPr>
              <w:t>22</w:t>
            </w:r>
          </w:p>
        </w:tc>
      </w:tr>
    </w:tbl>
    <w:p w:rsidR="00FD6BA8" w:rsidRPr="00692634" w:rsidRDefault="00FD6BA8" w:rsidP="00D15E84">
      <w:pPr>
        <w:pStyle w:val="SingleTxtG"/>
        <w:spacing w:before="120"/>
        <w:rPr>
          <w:lang w:val="fr-FR"/>
        </w:rPr>
      </w:pPr>
      <w:r>
        <w:rPr>
          <w:lang w:val="fr-FR"/>
        </w:rPr>
        <w:t>11.</w:t>
      </w:r>
      <w:r>
        <w:rPr>
          <w:lang w:val="fr-FR"/>
        </w:rPr>
        <w:tab/>
        <w:t xml:space="preserve">Bon nombre des actions en justice portent sur des affaires liées au statut de parent ou au fait de devenir parent. Certaines employées ont par </w:t>
      </w:r>
      <w:r w:rsidRPr="00F94D2E">
        <w:rPr>
          <w:lang w:val="fr-FR"/>
        </w:rPr>
        <w:t>exemple été licenciées après avoir annoncé à leur employeur qu</w:t>
      </w:r>
      <w:r>
        <w:rPr>
          <w:lang w:val="fr-FR"/>
        </w:rPr>
        <w:t>’</w:t>
      </w:r>
      <w:r w:rsidRPr="00F94D2E">
        <w:rPr>
          <w:lang w:val="fr-FR"/>
        </w:rPr>
        <w:t xml:space="preserve">elles étaient enceintes ou à la fin de leur congé parental. </w:t>
      </w:r>
      <w:r w:rsidR="00B45CDB">
        <w:rPr>
          <w:lang w:val="fr-FR"/>
        </w:rPr>
        <w:t xml:space="preserve">On peut notamment citer des cas d’inégalité de traitement en matière de rémunération lors du retour au travail après un congé parental. </w:t>
      </w:r>
      <w:r w:rsidRPr="00F94D2E">
        <w:rPr>
          <w:lang w:val="fr-FR"/>
        </w:rPr>
        <w:t xml:space="preserve">Ont en outre été enregistrés des cas de harcèlement sexuel sur le lieu de travail et des affaires </w:t>
      </w:r>
      <w:r>
        <w:rPr>
          <w:lang w:val="fr-FR"/>
        </w:rPr>
        <w:t>ayant trait à l’</w:t>
      </w:r>
      <w:r w:rsidRPr="00F94D2E">
        <w:rPr>
          <w:lang w:val="fr-FR"/>
        </w:rPr>
        <w:t>égalité de traitement des personnes transgenres.</w:t>
      </w:r>
    </w:p>
    <w:p w:rsidR="00FD6BA8" w:rsidRPr="00692634" w:rsidRDefault="00FB4FAA" w:rsidP="00FD6BA8">
      <w:pPr>
        <w:pStyle w:val="SingleTxtG"/>
        <w:rPr>
          <w:lang w:val="fr-FR"/>
        </w:rPr>
      </w:pPr>
      <w:r>
        <w:rPr>
          <w:lang w:val="fr-FR"/>
        </w:rPr>
        <w:t>12.</w:t>
      </w:r>
      <w:r>
        <w:rPr>
          <w:lang w:val="fr-FR"/>
        </w:rPr>
        <w:tab/>
        <w:t>Voir également le point </w:t>
      </w:r>
      <w:r w:rsidR="00FD6BA8">
        <w:rPr>
          <w:lang w:val="fr-FR"/>
        </w:rPr>
        <w:t>1.</w:t>
      </w:r>
    </w:p>
    <w:p w:rsidR="00FD6BA8" w:rsidRPr="00692634" w:rsidRDefault="00FD6BA8" w:rsidP="00686861">
      <w:pPr>
        <w:pStyle w:val="H23G"/>
        <w:rPr>
          <w:lang w:val="fr-FR"/>
        </w:rPr>
      </w:pPr>
      <w:r>
        <w:rPr>
          <w:lang w:val="fr-FR"/>
        </w:rPr>
        <w:tab/>
      </w:r>
      <w:r>
        <w:rPr>
          <w:lang w:val="fr-FR"/>
        </w:rPr>
        <w:tab/>
        <w:t>Projet de loi 472</w:t>
      </w:r>
      <w:r w:rsidR="00686861">
        <w:rPr>
          <w:lang w:val="fr-FR"/>
        </w:rPr>
        <w:t> </w:t>
      </w:r>
      <w:r>
        <w:rPr>
          <w:lang w:val="fr-FR"/>
        </w:rPr>
        <w:t>SE</w:t>
      </w:r>
      <w:r w:rsidR="00962C9C">
        <w:rPr>
          <w:lang w:val="fr-FR"/>
        </w:rPr>
        <w:t xml:space="preserve"> −</w:t>
      </w:r>
      <w:r>
        <w:rPr>
          <w:lang w:val="fr-FR"/>
        </w:rPr>
        <w:t xml:space="preserve"> Réfugiés et demandeurs d’asile</w:t>
      </w:r>
    </w:p>
    <w:p w:rsidR="00FD6BA8" w:rsidRPr="00692634" w:rsidRDefault="00FD6BA8" w:rsidP="00FD6BA8">
      <w:pPr>
        <w:pStyle w:val="SingleTxtG"/>
        <w:rPr>
          <w:lang w:val="fr-FR"/>
        </w:rPr>
      </w:pPr>
      <w:r>
        <w:rPr>
          <w:lang w:val="fr-FR"/>
        </w:rPr>
        <w:t>13.</w:t>
      </w:r>
      <w:r>
        <w:rPr>
          <w:lang w:val="fr-FR"/>
        </w:rPr>
        <w:tab/>
        <w:t>Le projet de loi 472 est actuellement examiné par le Parlement. La directive de l’Union européenne relative aux conditions d’accueil a été pleinement transposée dans la législation nationale et les principes relatifs à la détention qui y sont consacrés sont appliqués en conséquence. L’accès aux soins de santé et à d’autre</w:t>
      </w:r>
      <w:r w:rsidR="00686861">
        <w:rPr>
          <w:lang w:val="fr-FR"/>
        </w:rPr>
        <w:t>s services de base est garanti.</w:t>
      </w:r>
    </w:p>
    <w:p w:rsidR="00FD6BA8" w:rsidRPr="00692634" w:rsidRDefault="00FD6BA8" w:rsidP="00FD6BA8">
      <w:pPr>
        <w:pStyle w:val="SingleTxtG"/>
        <w:rPr>
          <w:lang w:val="fr-FR"/>
        </w:rPr>
      </w:pPr>
      <w:r>
        <w:rPr>
          <w:lang w:val="fr-FR"/>
        </w:rPr>
        <w:t>14.</w:t>
      </w:r>
      <w:r>
        <w:rPr>
          <w:lang w:val="fr-FR"/>
        </w:rPr>
        <w:tab/>
        <w:t xml:space="preserve">Tous les demandeurs d’asile reçoivent des informations gratuites sur leurs droits et leurs obligations, et peuvent </w:t>
      </w:r>
      <w:r w:rsidRPr="00F94D2E">
        <w:rPr>
          <w:lang w:val="fr-FR"/>
        </w:rPr>
        <w:t>bénéficier d</w:t>
      </w:r>
      <w:r>
        <w:rPr>
          <w:lang w:val="fr-FR"/>
        </w:rPr>
        <w:t>’</w:t>
      </w:r>
      <w:r w:rsidRPr="00F94D2E">
        <w:rPr>
          <w:lang w:val="fr-FR"/>
        </w:rPr>
        <w:t>une assistance juridique. Des conseillers juridiques (deux personnes employées à plein temps) travaillent en centre de détention et en centre d</w:t>
      </w:r>
      <w:r>
        <w:rPr>
          <w:lang w:val="fr-FR"/>
        </w:rPr>
        <w:t>’</w:t>
      </w:r>
      <w:r w:rsidRPr="00F94D2E">
        <w:rPr>
          <w:lang w:val="fr-FR"/>
        </w:rPr>
        <w:t>accueil. Tous les demandeurs d</w:t>
      </w:r>
      <w:r>
        <w:rPr>
          <w:lang w:val="fr-FR"/>
        </w:rPr>
        <w:t>’</w:t>
      </w:r>
      <w:r w:rsidRPr="00F94D2E">
        <w:rPr>
          <w:lang w:val="fr-FR"/>
        </w:rPr>
        <w:t>asile déboutés qui souhaitent former un recours peuvent bénéficier gratuitement d</w:t>
      </w:r>
      <w:r>
        <w:rPr>
          <w:lang w:val="fr-FR"/>
        </w:rPr>
        <w:t>’</w:t>
      </w:r>
      <w:r w:rsidRPr="00F94D2E">
        <w:rPr>
          <w:lang w:val="fr-FR"/>
        </w:rPr>
        <w:t xml:space="preserve">une aide </w:t>
      </w:r>
      <w:r>
        <w:rPr>
          <w:lang w:val="fr-FR"/>
        </w:rPr>
        <w:t>juridictionnelle</w:t>
      </w:r>
      <w:r w:rsidRPr="00F94D2E">
        <w:rPr>
          <w:lang w:val="fr-FR"/>
        </w:rPr>
        <w:t xml:space="preserve"> et de l</w:t>
      </w:r>
      <w:r>
        <w:rPr>
          <w:lang w:val="fr-FR"/>
        </w:rPr>
        <w:t>’</w:t>
      </w:r>
      <w:r w:rsidRPr="00F94D2E">
        <w:rPr>
          <w:lang w:val="fr-FR"/>
        </w:rPr>
        <w:t>assistance d</w:t>
      </w:r>
      <w:r>
        <w:rPr>
          <w:lang w:val="fr-FR"/>
        </w:rPr>
        <w:t>’</w:t>
      </w:r>
      <w:r w:rsidRPr="00F94D2E">
        <w:rPr>
          <w:lang w:val="fr-FR"/>
        </w:rPr>
        <w:t>un avocat. Pendant la période 2015-2017, l</w:t>
      </w:r>
      <w:r>
        <w:rPr>
          <w:lang w:val="fr-FR"/>
        </w:rPr>
        <w:t>’</w:t>
      </w:r>
      <w:r w:rsidRPr="00F94D2E">
        <w:rPr>
          <w:lang w:val="fr-FR"/>
        </w:rPr>
        <w:t xml:space="preserve">aide </w:t>
      </w:r>
      <w:r>
        <w:rPr>
          <w:lang w:val="fr-FR"/>
        </w:rPr>
        <w:t>juridictionnelle</w:t>
      </w:r>
      <w:r w:rsidRPr="00F94D2E">
        <w:rPr>
          <w:lang w:val="fr-FR"/>
        </w:rPr>
        <w:t xml:space="preserve"> d</w:t>
      </w:r>
      <w:r>
        <w:rPr>
          <w:lang w:val="fr-FR"/>
        </w:rPr>
        <w:t>’</w:t>
      </w:r>
      <w:r w:rsidRPr="00F94D2E">
        <w:rPr>
          <w:lang w:val="fr-FR"/>
        </w:rPr>
        <w:t xml:space="preserve">État a été demandée et accordée </w:t>
      </w:r>
      <w:r w:rsidR="00CE16D6">
        <w:rPr>
          <w:lang w:val="fr-FR"/>
        </w:rPr>
        <w:t>118 </w:t>
      </w:r>
      <w:r w:rsidRPr="00F94D2E">
        <w:rPr>
          <w:lang w:val="fr-FR"/>
        </w:rPr>
        <w:t>fois (à 94</w:t>
      </w:r>
      <w:r w:rsidR="00A67A14">
        <w:rPr>
          <w:lang w:val="fr-FR"/>
        </w:rPr>
        <w:t> </w:t>
      </w:r>
      <w:r w:rsidRPr="00F94D2E">
        <w:rPr>
          <w:lang w:val="fr-FR"/>
        </w:rPr>
        <w:t>personnes).</w:t>
      </w:r>
    </w:p>
    <w:p w:rsidR="00FD6BA8" w:rsidRPr="00692634" w:rsidRDefault="00FD6BA8" w:rsidP="00A67A14">
      <w:pPr>
        <w:pStyle w:val="H23G"/>
        <w:rPr>
          <w:lang w:val="fr-FR"/>
        </w:rPr>
      </w:pPr>
      <w:r>
        <w:rPr>
          <w:lang w:val="fr-FR"/>
        </w:rPr>
        <w:tab/>
      </w:r>
      <w:r>
        <w:rPr>
          <w:lang w:val="fr-FR"/>
        </w:rPr>
        <w:tab/>
        <w:t>Statistiques sur l’octroi de la nationalité estonienne à des mineurs</w:t>
      </w:r>
    </w:p>
    <w:p w:rsidR="00FD6BA8" w:rsidRPr="00692634" w:rsidRDefault="00FD6BA8" w:rsidP="00FD6BA8">
      <w:pPr>
        <w:pStyle w:val="SingleTxtG"/>
        <w:rPr>
          <w:lang w:val="fr-FR"/>
        </w:rPr>
      </w:pPr>
      <w:r>
        <w:rPr>
          <w:lang w:val="fr-FR"/>
        </w:rPr>
        <w:t>15.</w:t>
      </w:r>
      <w:r>
        <w:rPr>
          <w:lang w:val="fr-FR"/>
        </w:rPr>
        <w:tab/>
        <w:t>La nationalité estonienne n’est pas octroyée de manière automatique. Conformément à la loi sur la citoyenne</w:t>
      </w:r>
      <w:r w:rsidR="00A67A14">
        <w:rPr>
          <w:lang w:val="fr-FR"/>
        </w:rPr>
        <w:t>té, les mineurs âgés de 15 à 17 </w:t>
      </w:r>
      <w:r>
        <w:rPr>
          <w:lang w:val="fr-FR"/>
        </w:rPr>
        <w:t>ans peuvent la demander</w:t>
      </w:r>
      <w:r w:rsidRPr="00E64DF4">
        <w:rPr>
          <w:lang w:val="fr-FR"/>
        </w:rPr>
        <w:t xml:space="preserve"> </w:t>
      </w:r>
      <w:r>
        <w:rPr>
          <w:lang w:val="fr-FR"/>
        </w:rPr>
        <w:t>eu</w:t>
      </w:r>
      <w:r w:rsidR="00A67A14">
        <w:rPr>
          <w:lang w:val="fr-FR"/>
        </w:rPr>
        <w:t>x-mêmes.</w:t>
      </w:r>
    </w:p>
    <w:p w:rsidR="00FD6BA8" w:rsidRPr="00692634" w:rsidRDefault="00A67A14" w:rsidP="00A67A14">
      <w:pPr>
        <w:pStyle w:val="H23G"/>
        <w:rPr>
          <w:lang w:val="fr-FR"/>
        </w:rPr>
      </w:pPr>
      <w:r w:rsidRPr="00A67A14">
        <w:rPr>
          <w:b w:val="0"/>
          <w:lang w:val="fr-FR"/>
        </w:rPr>
        <w:tab/>
      </w:r>
      <w:r w:rsidRPr="00A67A14">
        <w:rPr>
          <w:b w:val="0"/>
          <w:lang w:val="fr-FR"/>
        </w:rPr>
        <w:tab/>
      </w:r>
      <w:r w:rsidR="00FD6BA8" w:rsidRPr="00A67A14">
        <w:rPr>
          <w:b w:val="0"/>
          <w:lang w:val="fr-FR"/>
        </w:rPr>
        <w:t>Tableau 1</w:t>
      </w:r>
      <w:r w:rsidR="00FD6BA8">
        <w:rPr>
          <w:lang w:val="fr-FR"/>
        </w:rPr>
        <w:t xml:space="preserve"> </w:t>
      </w:r>
      <w:r>
        <w:rPr>
          <w:lang w:val="fr-FR"/>
        </w:rPr>
        <w:br/>
      </w:r>
      <w:r w:rsidR="00FD6BA8">
        <w:rPr>
          <w:lang w:val="fr-FR"/>
        </w:rPr>
        <w:t>Personnes de nationalité indéterminée pour la période 2016-2018</w:t>
      </w:r>
    </w:p>
    <w:tbl>
      <w:tblPr>
        <w:tblW w:w="7359" w:type="dxa"/>
        <w:tblInd w:w="1134" w:type="dxa"/>
        <w:tblLayout w:type="fixed"/>
        <w:tblCellMar>
          <w:left w:w="0" w:type="dxa"/>
          <w:right w:w="0" w:type="dxa"/>
        </w:tblCellMar>
        <w:tblLook w:val="04A0" w:firstRow="1" w:lastRow="0" w:firstColumn="1" w:lastColumn="0" w:noHBand="0" w:noVBand="1"/>
      </w:tblPr>
      <w:tblGrid>
        <w:gridCol w:w="1410"/>
        <w:gridCol w:w="858"/>
        <w:gridCol w:w="1089"/>
        <w:gridCol w:w="1083"/>
        <w:gridCol w:w="882"/>
        <w:gridCol w:w="1006"/>
        <w:gridCol w:w="1031"/>
      </w:tblGrid>
      <w:tr w:rsidR="00D03A6F" w:rsidRPr="00E15440" w:rsidTr="00336E28">
        <w:trPr>
          <w:tblHeader/>
        </w:trPr>
        <w:tc>
          <w:tcPr>
            <w:tcW w:w="1410" w:type="dxa"/>
            <w:vMerge w:val="restart"/>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FD6BA8" w:rsidRPr="00E15440" w:rsidRDefault="00FD6BA8" w:rsidP="00E15440">
            <w:pPr>
              <w:suppressAutoHyphens w:val="0"/>
              <w:spacing w:before="80" w:after="80" w:line="200" w:lineRule="exact"/>
              <w:rPr>
                <w:i/>
                <w:sz w:val="16"/>
                <w:lang w:val="fr-FR"/>
              </w:rPr>
            </w:pPr>
            <w:r w:rsidRPr="00D03A6F">
              <w:rPr>
                <w:i/>
                <w:sz w:val="16"/>
                <w:lang w:val="fr-FR"/>
              </w:rPr>
              <w:t>Âge</w:t>
            </w:r>
          </w:p>
        </w:tc>
        <w:tc>
          <w:tcPr>
            <w:tcW w:w="1947"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FD6BA8" w:rsidRPr="00E15440" w:rsidRDefault="00FD6BA8" w:rsidP="00D03A6F">
            <w:pPr>
              <w:suppressAutoHyphens w:val="0"/>
              <w:spacing w:before="80" w:after="80" w:line="200" w:lineRule="exact"/>
              <w:jc w:val="right"/>
              <w:rPr>
                <w:i/>
                <w:sz w:val="16"/>
                <w:lang w:val="fr-FR"/>
              </w:rPr>
            </w:pPr>
            <w:r w:rsidRPr="00D03A6F">
              <w:rPr>
                <w:i/>
                <w:sz w:val="16"/>
                <w:lang w:val="fr-FR"/>
              </w:rPr>
              <w:t>1</w:t>
            </w:r>
            <w:r w:rsidRPr="00E15440">
              <w:rPr>
                <w:i/>
                <w:sz w:val="16"/>
                <w:vertAlign w:val="superscript"/>
                <w:lang w:val="fr-FR"/>
              </w:rPr>
              <w:t>er</w:t>
            </w:r>
            <w:r w:rsidR="00D03A6F">
              <w:rPr>
                <w:i/>
                <w:sz w:val="16"/>
                <w:lang w:val="fr-FR"/>
              </w:rPr>
              <w:t> </w:t>
            </w:r>
            <w:r w:rsidRPr="00D03A6F">
              <w:rPr>
                <w:i/>
                <w:sz w:val="16"/>
                <w:lang w:val="fr-FR"/>
              </w:rPr>
              <w:t>janvier 2016</w:t>
            </w:r>
          </w:p>
        </w:tc>
        <w:tc>
          <w:tcPr>
            <w:tcW w:w="1965"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FD6BA8" w:rsidRPr="00E15440" w:rsidRDefault="00FD6BA8" w:rsidP="00D03A6F">
            <w:pPr>
              <w:suppressAutoHyphens w:val="0"/>
              <w:spacing w:before="80" w:after="80" w:line="200" w:lineRule="exact"/>
              <w:jc w:val="right"/>
              <w:rPr>
                <w:i/>
                <w:sz w:val="16"/>
                <w:lang w:val="fr-FR"/>
              </w:rPr>
            </w:pPr>
            <w:r w:rsidRPr="00D03A6F">
              <w:rPr>
                <w:i/>
                <w:sz w:val="16"/>
                <w:lang w:val="fr-FR"/>
              </w:rPr>
              <w:t>1</w:t>
            </w:r>
            <w:r w:rsidRPr="00E15440">
              <w:rPr>
                <w:i/>
                <w:sz w:val="16"/>
                <w:vertAlign w:val="superscript"/>
                <w:lang w:val="fr-FR"/>
              </w:rPr>
              <w:t>er</w:t>
            </w:r>
            <w:r w:rsidR="00D03A6F">
              <w:rPr>
                <w:i/>
                <w:sz w:val="16"/>
                <w:lang w:val="fr-FR"/>
              </w:rPr>
              <w:t> </w:t>
            </w:r>
            <w:r w:rsidRPr="00D03A6F">
              <w:rPr>
                <w:i/>
                <w:sz w:val="16"/>
                <w:lang w:val="fr-FR"/>
              </w:rPr>
              <w:t>janvier 2017</w:t>
            </w:r>
          </w:p>
        </w:tc>
        <w:tc>
          <w:tcPr>
            <w:tcW w:w="2037"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tcPr>
          <w:p w:rsidR="00FD6BA8" w:rsidRPr="00E15440" w:rsidRDefault="00FD6BA8" w:rsidP="00D03A6F">
            <w:pPr>
              <w:suppressAutoHyphens w:val="0"/>
              <w:spacing w:before="80" w:after="80" w:line="200" w:lineRule="exact"/>
              <w:jc w:val="right"/>
              <w:rPr>
                <w:i/>
                <w:sz w:val="16"/>
                <w:lang w:val="fr-FR"/>
              </w:rPr>
            </w:pPr>
            <w:r w:rsidRPr="00D03A6F">
              <w:rPr>
                <w:i/>
                <w:sz w:val="16"/>
                <w:lang w:val="fr-FR"/>
              </w:rPr>
              <w:t>1</w:t>
            </w:r>
            <w:r w:rsidRPr="00E15440">
              <w:rPr>
                <w:i/>
                <w:sz w:val="16"/>
                <w:vertAlign w:val="superscript"/>
                <w:lang w:val="fr-FR"/>
              </w:rPr>
              <w:t>er</w:t>
            </w:r>
            <w:r w:rsidR="00D03A6F">
              <w:rPr>
                <w:i/>
                <w:sz w:val="16"/>
                <w:lang w:val="fr-FR"/>
              </w:rPr>
              <w:t> </w:t>
            </w:r>
            <w:r w:rsidRPr="00D03A6F">
              <w:rPr>
                <w:i/>
                <w:sz w:val="16"/>
                <w:lang w:val="fr-FR"/>
              </w:rPr>
              <w:t>janvier 2018</w:t>
            </w:r>
          </w:p>
        </w:tc>
      </w:tr>
      <w:tr w:rsidR="00D03A6F" w:rsidRPr="00D03A6F" w:rsidTr="00336E28">
        <w:trPr>
          <w:tblHeader/>
        </w:trPr>
        <w:tc>
          <w:tcPr>
            <w:tcW w:w="1410" w:type="dxa"/>
            <w:vMerge/>
            <w:tcBorders>
              <w:top w:val="single" w:sz="4" w:space="0" w:color="auto"/>
              <w:bottom w:val="single" w:sz="12" w:space="0" w:color="auto"/>
            </w:tcBorders>
            <w:shd w:val="clear" w:color="auto" w:fill="auto"/>
            <w:vAlign w:val="bottom"/>
            <w:hideMark/>
          </w:tcPr>
          <w:p w:rsidR="00FD6BA8" w:rsidRPr="00D03A6F" w:rsidRDefault="00FD6BA8" w:rsidP="00D03A6F">
            <w:pPr>
              <w:suppressAutoHyphens w:val="0"/>
              <w:spacing w:before="40" w:after="40" w:line="220" w:lineRule="exact"/>
              <w:rPr>
                <w:sz w:val="18"/>
              </w:rPr>
            </w:pPr>
          </w:p>
        </w:tc>
        <w:tc>
          <w:tcPr>
            <w:tcW w:w="85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E15440" w:rsidRDefault="00FD6BA8" w:rsidP="00E15440">
            <w:pPr>
              <w:suppressAutoHyphens w:val="0"/>
              <w:spacing w:before="80" w:after="80" w:line="200" w:lineRule="exact"/>
              <w:jc w:val="right"/>
              <w:rPr>
                <w:i/>
                <w:sz w:val="16"/>
                <w:lang w:val="fr-FR"/>
              </w:rPr>
            </w:pPr>
            <w:r w:rsidRPr="00E15440">
              <w:rPr>
                <w:i/>
                <w:sz w:val="16"/>
                <w:lang w:val="fr-FR"/>
              </w:rPr>
              <w:t>Sexe masculin</w:t>
            </w:r>
          </w:p>
        </w:tc>
        <w:tc>
          <w:tcPr>
            <w:tcW w:w="108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E15440" w:rsidRDefault="00FD6BA8" w:rsidP="00D03A6F">
            <w:pPr>
              <w:suppressAutoHyphens w:val="0"/>
              <w:spacing w:before="40" w:after="40" w:line="220" w:lineRule="exact"/>
              <w:jc w:val="right"/>
              <w:rPr>
                <w:i/>
                <w:sz w:val="16"/>
                <w:lang w:val="fr-FR"/>
              </w:rPr>
            </w:pPr>
            <w:r w:rsidRPr="00E15440">
              <w:rPr>
                <w:i/>
                <w:sz w:val="16"/>
                <w:lang w:val="fr-FR"/>
              </w:rPr>
              <w:t xml:space="preserve">Sexe </w:t>
            </w:r>
            <w:r w:rsidR="00DD1763">
              <w:rPr>
                <w:i/>
                <w:sz w:val="16"/>
                <w:lang w:val="fr-FR"/>
              </w:rPr>
              <w:br/>
            </w:r>
            <w:r w:rsidRPr="00E15440">
              <w:rPr>
                <w:i/>
                <w:sz w:val="16"/>
                <w:lang w:val="fr-FR"/>
              </w:rPr>
              <w:t>féminin</w:t>
            </w:r>
          </w:p>
        </w:tc>
        <w:tc>
          <w:tcPr>
            <w:tcW w:w="108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E15440" w:rsidRDefault="00FD6BA8" w:rsidP="00D03A6F">
            <w:pPr>
              <w:suppressAutoHyphens w:val="0"/>
              <w:spacing w:before="40" w:after="40" w:line="220" w:lineRule="exact"/>
              <w:jc w:val="right"/>
              <w:rPr>
                <w:i/>
                <w:sz w:val="16"/>
                <w:lang w:val="fr-FR"/>
              </w:rPr>
            </w:pPr>
            <w:r w:rsidRPr="00E15440">
              <w:rPr>
                <w:i/>
                <w:sz w:val="16"/>
                <w:lang w:val="fr-FR"/>
              </w:rPr>
              <w:t>Sexe masculin</w:t>
            </w:r>
          </w:p>
        </w:tc>
        <w:tc>
          <w:tcPr>
            <w:tcW w:w="88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E15440" w:rsidRDefault="00FD6BA8" w:rsidP="00D03A6F">
            <w:pPr>
              <w:suppressAutoHyphens w:val="0"/>
              <w:spacing w:before="40" w:after="40" w:line="220" w:lineRule="exact"/>
              <w:jc w:val="right"/>
              <w:rPr>
                <w:i/>
                <w:sz w:val="16"/>
                <w:lang w:val="fr-FR"/>
              </w:rPr>
            </w:pPr>
            <w:r w:rsidRPr="00E15440">
              <w:rPr>
                <w:i/>
                <w:sz w:val="16"/>
                <w:lang w:val="fr-FR"/>
              </w:rPr>
              <w:t>Sexe féminin</w:t>
            </w:r>
          </w:p>
        </w:tc>
        <w:tc>
          <w:tcPr>
            <w:tcW w:w="100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E15440" w:rsidRDefault="00FD6BA8" w:rsidP="00D03A6F">
            <w:pPr>
              <w:suppressAutoHyphens w:val="0"/>
              <w:spacing w:before="40" w:after="40" w:line="220" w:lineRule="exact"/>
              <w:jc w:val="right"/>
              <w:rPr>
                <w:i/>
                <w:sz w:val="16"/>
                <w:lang w:val="fr-FR"/>
              </w:rPr>
            </w:pPr>
            <w:r w:rsidRPr="00E15440">
              <w:rPr>
                <w:i/>
                <w:sz w:val="16"/>
                <w:lang w:val="fr-FR"/>
              </w:rPr>
              <w:t>Sexe masculin</w:t>
            </w:r>
          </w:p>
        </w:tc>
        <w:tc>
          <w:tcPr>
            <w:tcW w:w="103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E15440" w:rsidRDefault="00FD6BA8" w:rsidP="00D03A6F">
            <w:pPr>
              <w:suppressAutoHyphens w:val="0"/>
              <w:spacing w:before="40" w:after="40" w:line="220" w:lineRule="exact"/>
              <w:jc w:val="right"/>
              <w:rPr>
                <w:i/>
                <w:sz w:val="16"/>
                <w:lang w:val="fr-FR"/>
              </w:rPr>
            </w:pPr>
            <w:r w:rsidRPr="00E15440">
              <w:rPr>
                <w:i/>
                <w:sz w:val="16"/>
                <w:lang w:val="fr-FR"/>
              </w:rPr>
              <w:t xml:space="preserve">Sexe </w:t>
            </w:r>
            <w:r w:rsidR="00DD1763">
              <w:rPr>
                <w:i/>
                <w:sz w:val="16"/>
                <w:lang w:val="fr-FR"/>
              </w:rPr>
              <w:br/>
            </w:r>
            <w:r w:rsidRPr="00E15440">
              <w:rPr>
                <w:i/>
                <w:sz w:val="16"/>
                <w:lang w:val="fr-FR"/>
              </w:rPr>
              <w:t>féminin</w:t>
            </w:r>
          </w:p>
        </w:tc>
      </w:tr>
      <w:tr w:rsidR="00D03A6F" w:rsidRPr="00D03A6F" w:rsidTr="00336E28">
        <w:tc>
          <w:tcPr>
            <w:tcW w:w="1410" w:type="dxa"/>
            <w:tcBorders>
              <w:top w:val="single" w:sz="12" w:space="0" w:color="auto"/>
            </w:tcBorders>
            <w:shd w:val="clear" w:color="auto" w:fill="auto"/>
            <w:tcMar>
              <w:top w:w="0" w:type="dxa"/>
              <w:left w:w="108" w:type="dxa"/>
              <w:bottom w:w="0" w:type="dxa"/>
              <w:right w:w="108" w:type="dxa"/>
            </w:tcMar>
            <w:hideMark/>
          </w:tcPr>
          <w:p w:rsidR="00FD6BA8" w:rsidRPr="00D03A6F" w:rsidRDefault="00336E28" w:rsidP="00336E28">
            <w:pPr>
              <w:suppressAutoHyphens w:val="0"/>
              <w:spacing w:before="40" w:after="40" w:line="220" w:lineRule="exact"/>
              <w:rPr>
                <w:sz w:val="18"/>
              </w:rPr>
            </w:pPr>
            <w:r>
              <w:rPr>
                <w:sz w:val="18"/>
                <w:lang w:val="fr-FR"/>
              </w:rPr>
              <w:lastRenderedPageBreak/>
              <w:t>M</w:t>
            </w:r>
            <w:r w:rsidR="00736F95">
              <w:rPr>
                <w:sz w:val="18"/>
                <w:lang w:val="fr-FR"/>
              </w:rPr>
              <w:t>oins de 15 </w:t>
            </w:r>
            <w:r w:rsidR="00FD6BA8" w:rsidRPr="00D03A6F">
              <w:rPr>
                <w:sz w:val="18"/>
                <w:lang w:val="fr-FR"/>
              </w:rPr>
              <w:t>ans</w:t>
            </w:r>
          </w:p>
        </w:tc>
        <w:tc>
          <w:tcPr>
            <w:tcW w:w="858" w:type="dxa"/>
            <w:tcBorders>
              <w:top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391</w:t>
            </w:r>
          </w:p>
        </w:tc>
        <w:tc>
          <w:tcPr>
            <w:tcW w:w="1089" w:type="dxa"/>
            <w:tcBorders>
              <w:top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320</w:t>
            </w:r>
          </w:p>
        </w:tc>
        <w:tc>
          <w:tcPr>
            <w:tcW w:w="1083" w:type="dxa"/>
            <w:tcBorders>
              <w:top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94</w:t>
            </w:r>
          </w:p>
        </w:tc>
        <w:tc>
          <w:tcPr>
            <w:tcW w:w="882" w:type="dxa"/>
            <w:tcBorders>
              <w:top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66</w:t>
            </w:r>
          </w:p>
        </w:tc>
        <w:tc>
          <w:tcPr>
            <w:tcW w:w="1006" w:type="dxa"/>
            <w:tcBorders>
              <w:top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68</w:t>
            </w:r>
          </w:p>
        </w:tc>
        <w:tc>
          <w:tcPr>
            <w:tcW w:w="1031" w:type="dxa"/>
            <w:tcBorders>
              <w:top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49</w:t>
            </w:r>
          </w:p>
        </w:tc>
      </w:tr>
      <w:tr w:rsidR="00736F95" w:rsidRPr="00D03A6F" w:rsidTr="00336E28">
        <w:tc>
          <w:tcPr>
            <w:tcW w:w="1410" w:type="dxa"/>
            <w:shd w:val="clear" w:color="auto" w:fill="auto"/>
            <w:tcMar>
              <w:top w:w="0" w:type="dxa"/>
              <w:left w:w="108" w:type="dxa"/>
              <w:bottom w:w="0" w:type="dxa"/>
              <w:right w:w="108" w:type="dxa"/>
            </w:tcMar>
            <w:hideMark/>
          </w:tcPr>
          <w:p w:rsidR="00FD6BA8" w:rsidRPr="00D03A6F" w:rsidRDefault="00736F95" w:rsidP="00D03A6F">
            <w:pPr>
              <w:suppressAutoHyphens w:val="0"/>
              <w:spacing w:before="40" w:after="40" w:line="220" w:lineRule="exact"/>
              <w:rPr>
                <w:sz w:val="18"/>
              </w:rPr>
            </w:pPr>
            <w:r>
              <w:rPr>
                <w:sz w:val="18"/>
                <w:lang w:val="fr-FR"/>
              </w:rPr>
              <w:t>15 à 18 </w:t>
            </w:r>
            <w:r w:rsidR="00FD6BA8" w:rsidRPr="00D03A6F">
              <w:rPr>
                <w:sz w:val="18"/>
                <w:lang w:val="fr-FR"/>
              </w:rPr>
              <w:t>ans</w:t>
            </w:r>
          </w:p>
        </w:tc>
        <w:tc>
          <w:tcPr>
            <w:tcW w:w="858"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187</w:t>
            </w:r>
          </w:p>
        </w:tc>
        <w:tc>
          <w:tcPr>
            <w:tcW w:w="1089"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184</w:t>
            </w:r>
          </w:p>
        </w:tc>
        <w:tc>
          <w:tcPr>
            <w:tcW w:w="1083"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170</w:t>
            </w:r>
          </w:p>
        </w:tc>
        <w:tc>
          <w:tcPr>
            <w:tcW w:w="882"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151</w:t>
            </w:r>
          </w:p>
        </w:tc>
        <w:tc>
          <w:tcPr>
            <w:tcW w:w="1006"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144</w:t>
            </w:r>
          </w:p>
        </w:tc>
        <w:tc>
          <w:tcPr>
            <w:tcW w:w="1031"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135</w:t>
            </w:r>
          </w:p>
        </w:tc>
      </w:tr>
      <w:tr w:rsidR="00736F95" w:rsidRPr="00D03A6F" w:rsidTr="00336E28">
        <w:tc>
          <w:tcPr>
            <w:tcW w:w="1410" w:type="dxa"/>
            <w:shd w:val="clear" w:color="auto" w:fill="auto"/>
            <w:tcMar>
              <w:top w:w="0" w:type="dxa"/>
              <w:left w:w="108" w:type="dxa"/>
              <w:bottom w:w="0" w:type="dxa"/>
              <w:right w:w="108" w:type="dxa"/>
            </w:tcMar>
            <w:hideMark/>
          </w:tcPr>
          <w:p w:rsidR="00FD6BA8" w:rsidRPr="00D03A6F" w:rsidRDefault="00736F95" w:rsidP="00D03A6F">
            <w:pPr>
              <w:suppressAutoHyphens w:val="0"/>
              <w:spacing w:before="40" w:after="40" w:line="220" w:lineRule="exact"/>
              <w:rPr>
                <w:sz w:val="18"/>
              </w:rPr>
            </w:pPr>
            <w:r>
              <w:rPr>
                <w:sz w:val="18"/>
                <w:lang w:val="fr-FR"/>
              </w:rPr>
              <w:t>19 à 65 </w:t>
            </w:r>
            <w:r w:rsidR="00FD6BA8" w:rsidRPr="00D03A6F">
              <w:rPr>
                <w:sz w:val="18"/>
                <w:lang w:val="fr-FR"/>
              </w:rPr>
              <w:t>ans</w:t>
            </w:r>
          </w:p>
        </w:tc>
        <w:tc>
          <w:tcPr>
            <w:tcW w:w="858"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39 344</w:t>
            </w:r>
          </w:p>
        </w:tc>
        <w:tc>
          <w:tcPr>
            <w:tcW w:w="1089"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29 546</w:t>
            </w:r>
          </w:p>
        </w:tc>
        <w:tc>
          <w:tcPr>
            <w:tcW w:w="1083"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37 822</w:t>
            </w:r>
          </w:p>
        </w:tc>
        <w:tc>
          <w:tcPr>
            <w:tcW w:w="882"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28 213</w:t>
            </w:r>
          </w:p>
        </w:tc>
        <w:tc>
          <w:tcPr>
            <w:tcW w:w="1006"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36 505</w:t>
            </w:r>
          </w:p>
        </w:tc>
        <w:tc>
          <w:tcPr>
            <w:tcW w:w="1031" w:type="dxa"/>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26 285</w:t>
            </w:r>
          </w:p>
        </w:tc>
      </w:tr>
      <w:tr w:rsidR="00D03A6F" w:rsidRPr="00D03A6F" w:rsidTr="00336E28">
        <w:tc>
          <w:tcPr>
            <w:tcW w:w="1410" w:type="dxa"/>
            <w:tcBorders>
              <w:bottom w:val="single" w:sz="12" w:space="0" w:color="auto"/>
            </w:tcBorders>
            <w:shd w:val="clear" w:color="auto" w:fill="auto"/>
            <w:tcMar>
              <w:top w:w="0" w:type="dxa"/>
              <w:left w:w="108" w:type="dxa"/>
              <w:bottom w:w="0" w:type="dxa"/>
              <w:right w:w="108" w:type="dxa"/>
            </w:tcMar>
            <w:hideMark/>
          </w:tcPr>
          <w:p w:rsidR="00FD6BA8" w:rsidRPr="00D03A6F" w:rsidRDefault="00736F95" w:rsidP="00D03A6F">
            <w:pPr>
              <w:suppressAutoHyphens w:val="0"/>
              <w:spacing w:before="40" w:after="40" w:line="220" w:lineRule="exact"/>
              <w:rPr>
                <w:sz w:val="18"/>
              </w:rPr>
            </w:pPr>
            <w:r>
              <w:rPr>
                <w:sz w:val="18"/>
                <w:lang w:val="fr-FR"/>
              </w:rPr>
              <w:t>66 </w:t>
            </w:r>
            <w:r w:rsidR="00FD6BA8" w:rsidRPr="00D03A6F">
              <w:rPr>
                <w:sz w:val="18"/>
                <w:lang w:val="fr-FR"/>
              </w:rPr>
              <w:t>ans et plus</w:t>
            </w:r>
          </w:p>
        </w:tc>
        <w:tc>
          <w:tcPr>
            <w:tcW w:w="858" w:type="dxa"/>
            <w:tcBorders>
              <w:bottom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5 487</w:t>
            </w:r>
          </w:p>
        </w:tc>
        <w:tc>
          <w:tcPr>
            <w:tcW w:w="1089" w:type="dxa"/>
            <w:tcBorders>
              <w:bottom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9 839</w:t>
            </w:r>
          </w:p>
        </w:tc>
        <w:tc>
          <w:tcPr>
            <w:tcW w:w="1083" w:type="dxa"/>
            <w:tcBorders>
              <w:bottom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5 695</w:t>
            </w:r>
          </w:p>
        </w:tc>
        <w:tc>
          <w:tcPr>
            <w:tcW w:w="882" w:type="dxa"/>
            <w:tcBorders>
              <w:bottom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10 054</w:t>
            </w:r>
          </w:p>
        </w:tc>
        <w:tc>
          <w:tcPr>
            <w:tcW w:w="1006" w:type="dxa"/>
            <w:tcBorders>
              <w:bottom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5 927</w:t>
            </w:r>
          </w:p>
        </w:tc>
        <w:tc>
          <w:tcPr>
            <w:tcW w:w="1031" w:type="dxa"/>
            <w:tcBorders>
              <w:bottom w:val="single" w:sz="12" w:space="0" w:color="auto"/>
            </w:tcBorders>
            <w:shd w:val="clear" w:color="auto" w:fill="auto"/>
            <w:tcMar>
              <w:top w:w="0" w:type="dxa"/>
              <w:left w:w="108" w:type="dxa"/>
              <w:bottom w:w="0" w:type="dxa"/>
              <w:right w:w="108" w:type="dxa"/>
            </w:tcMar>
            <w:vAlign w:val="bottom"/>
            <w:hideMark/>
          </w:tcPr>
          <w:p w:rsidR="00FD6BA8" w:rsidRPr="00D03A6F" w:rsidRDefault="00FD6BA8" w:rsidP="00D03A6F">
            <w:pPr>
              <w:suppressAutoHyphens w:val="0"/>
              <w:spacing w:before="40" w:after="40" w:line="220" w:lineRule="exact"/>
              <w:jc w:val="right"/>
              <w:rPr>
                <w:sz w:val="18"/>
              </w:rPr>
            </w:pPr>
            <w:r w:rsidRPr="00D03A6F">
              <w:rPr>
                <w:sz w:val="18"/>
                <w:lang w:val="fr-FR"/>
              </w:rPr>
              <w:t>10 274</w:t>
            </w:r>
          </w:p>
        </w:tc>
      </w:tr>
    </w:tbl>
    <w:p w:rsidR="00FD6BA8" w:rsidRPr="00692634" w:rsidRDefault="00EC5BA7" w:rsidP="003A17E0">
      <w:pPr>
        <w:pStyle w:val="H23G"/>
        <w:spacing w:before="200"/>
        <w:rPr>
          <w:lang w:val="fr-FR"/>
        </w:rPr>
      </w:pPr>
      <w:r w:rsidRPr="00EC5BA7">
        <w:rPr>
          <w:b w:val="0"/>
          <w:lang w:val="fr-FR"/>
        </w:rPr>
        <w:tab/>
      </w:r>
      <w:r w:rsidRPr="00EC5BA7">
        <w:rPr>
          <w:b w:val="0"/>
          <w:lang w:val="fr-FR"/>
        </w:rPr>
        <w:tab/>
      </w:r>
      <w:r w:rsidR="00FD6BA8" w:rsidRPr="00EC5BA7">
        <w:rPr>
          <w:b w:val="0"/>
          <w:lang w:val="fr-FR"/>
        </w:rPr>
        <w:t xml:space="preserve">Tableau 2 </w:t>
      </w:r>
      <w:r w:rsidRPr="00EC5BA7">
        <w:rPr>
          <w:b w:val="0"/>
          <w:lang w:val="fr-FR"/>
        </w:rPr>
        <w:br/>
      </w:r>
      <w:r w:rsidR="00FD6BA8">
        <w:rPr>
          <w:lang w:val="fr-FR"/>
        </w:rPr>
        <w:t xml:space="preserve">Personnes de nationalité indéterminée ayant obtenu la nationalité estonienne </w:t>
      </w:r>
      <w:r>
        <w:rPr>
          <w:lang w:val="fr-FR"/>
        </w:rPr>
        <w:br/>
      </w:r>
      <w:r w:rsidR="00FD6BA8">
        <w:rPr>
          <w:lang w:val="fr-FR"/>
        </w:rPr>
        <w:t>pendant la période 2016-2018</w:t>
      </w:r>
    </w:p>
    <w:tbl>
      <w:tblPr>
        <w:tblW w:w="7370" w:type="dxa"/>
        <w:tblInd w:w="1134" w:type="dxa"/>
        <w:tblLayout w:type="fixed"/>
        <w:tblCellMar>
          <w:left w:w="0" w:type="dxa"/>
          <w:right w:w="0" w:type="dxa"/>
        </w:tblCellMar>
        <w:tblLook w:val="04A0" w:firstRow="1" w:lastRow="0" w:firstColumn="1" w:lastColumn="0" w:noHBand="0" w:noVBand="1"/>
      </w:tblPr>
      <w:tblGrid>
        <w:gridCol w:w="1424"/>
        <w:gridCol w:w="865"/>
        <w:gridCol w:w="1010"/>
        <w:gridCol w:w="1009"/>
        <w:gridCol w:w="1010"/>
        <w:gridCol w:w="952"/>
        <w:gridCol w:w="1100"/>
      </w:tblGrid>
      <w:tr w:rsidR="00396A4F" w:rsidRPr="00396A4F" w:rsidTr="009174BE">
        <w:trPr>
          <w:tblHeader/>
        </w:trPr>
        <w:tc>
          <w:tcPr>
            <w:tcW w:w="1424" w:type="dxa"/>
            <w:vMerge w:val="restart"/>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80" w:after="80" w:line="200" w:lineRule="exact"/>
              <w:rPr>
                <w:i/>
                <w:sz w:val="16"/>
              </w:rPr>
            </w:pPr>
            <w:r w:rsidRPr="00396A4F">
              <w:rPr>
                <w:i/>
                <w:sz w:val="16"/>
                <w:lang w:val="fr-FR"/>
              </w:rPr>
              <w:t>Âge</w:t>
            </w:r>
          </w:p>
        </w:tc>
        <w:tc>
          <w:tcPr>
            <w:tcW w:w="1875"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FD6BA8" w:rsidRPr="00396A4F" w:rsidRDefault="00FD6BA8" w:rsidP="00F2058F">
            <w:pPr>
              <w:suppressAutoHyphens w:val="0"/>
              <w:spacing w:before="80" w:after="80" w:line="200" w:lineRule="exact"/>
              <w:jc w:val="center"/>
              <w:rPr>
                <w:i/>
                <w:sz w:val="16"/>
              </w:rPr>
            </w:pPr>
            <w:r w:rsidRPr="00396A4F">
              <w:rPr>
                <w:i/>
                <w:sz w:val="16"/>
                <w:lang w:val="fr-FR"/>
              </w:rPr>
              <w:t>2016</w:t>
            </w:r>
          </w:p>
        </w:tc>
        <w:tc>
          <w:tcPr>
            <w:tcW w:w="2019"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FD6BA8" w:rsidRPr="00396A4F" w:rsidRDefault="00FD6BA8" w:rsidP="00F2058F">
            <w:pPr>
              <w:suppressAutoHyphens w:val="0"/>
              <w:spacing w:before="80" w:after="80" w:line="200" w:lineRule="exact"/>
              <w:jc w:val="center"/>
              <w:rPr>
                <w:i/>
                <w:sz w:val="16"/>
              </w:rPr>
            </w:pPr>
            <w:r w:rsidRPr="00396A4F">
              <w:rPr>
                <w:i/>
                <w:sz w:val="16"/>
                <w:lang w:val="fr-FR"/>
              </w:rPr>
              <w:t>2017</w:t>
            </w:r>
          </w:p>
        </w:tc>
        <w:tc>
          <w:tcPr>
            <w:tcW w:w="2052"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tcPr>
          <w:p w:rsidR="00FD6BA8" w:rsidRPr="00396A4F" w:rsidRDefault="00396A4F" w:rsidP="00F2058F">
            <w:pPr>
              <w:suppressAutoHyphens w:val="0"/>
              <w:spacing w:before="80" w:after="80" w:line="200" w:lineRule="exact"/>
              <w:jc w:val="center"/>
              <w:rPr>
                <w:i/>
                <w:sz w:val="16"/>
              </w:rPr>
            </w:pPr>
            <w:r>
              <w:rPr>
                <w:i/>
                <w:sz w:val="16"/>
                <w:lang w:val="fr-FR"/>
              </w:rPr>
              <w:t>6 </w:t>
            </w:r>
            <w:r w:rsidR="00FD6BA8" w:rsidRPr="00396A4F">
              <w:rPr>
                <w:i/>
                <w:sz w:val="16"/>
                <w:lang w:val="fr-FR"/>
              </w:rPr>
              <w:t>novembre 2018</w:t>
            </w:r>
          </w:p>
        </w:tc>
      </w:tr>
      <w:tr w:rsidR="00396A4F" w:rsidRPr="00396A4F" w:rsidTr="009174BE">
        <w:trPr>
          <w:tblHeader/>
        </w:trPr>
        <w:tc>
          <w:tcPr>
            <w:tcW w:w="1424" w:type="dxa"/>
            <w:vMerge/>
            <w:tcBorders>
              <w:top w:val="single" w:sz="4" w:space="0" w:color="auto"/>
              <w:bottom w:val="single" w:sz="12" w:space="0" w:color="auto"/>
            </w:tcBorders>
            <w:shd w:val="clear" w:color="auto" w:fill="auto"/>
            <w:vAlign w:val="bottom"/>
            <w:hideMark/>
          </w:tcPr>
          <w:p w:rsidR="00FD6BA8" w:rsidRPr="00396A4F" w:rsidRDefault="00FD6BA8" w:rsidP="00396A4F">
            <w:pPr>
              <w:suppressAutoHyphens w:val="0"/>
              <w:spacing w:before="40" w:after="40" w:line="220" w:lineRule="exact"/>
              <w:rPr>
                <w:sz w:val="18"/>
              </w:rPr>
            </w:pPr>
          </w:p>
        </w:tc>
        <w:tc>
          <w:tcPr>
            <w:tcW w:w="86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9174BE" w:rsidRDefault="00FD6BA8" w:rsidP="009174BE">
            <w:pPr>
              <w:suppressAutoHyphens w:val="0"/>
              <w:spacing w:before="80" w:after="80" w:line="200" w:lineRule="exact"/>
              <w:jc w:val="right"/>
              <w:rPr>
                <w:i/>
                <w:sz w:val="16"/>
                <w:lang w:val="fr-FR"/>
              </w:rPr>
            </w:pPr>
            <w:r w:rsidRPr="009174BE">
              <w:rPr>
                <w:i/>
                <w:sz w:val="16"/>
                <w:lang w:val="fr-FR"/>
              </w:rPr>
              <w:t>Sexe masculin</w:t>
            </w:r>
          </w:p>
        </w:tc>
        <w:tc>
          <w:tcPr>
            <w:tcW w:w="101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9174BE" w:rsidRDefault="00FD6BA8" w:rsidP="009174BE">
            <w:pPr>
              <w:suppressAutoHyphens w:val="0"/>
              <w:spacing w:before="80" w:after="80" w:line="200" w:lineRule="exact"/>
              <w:jc w:val="right"/>
              <w:rPr>
                <w:i/>
                <w:sz w:val="16"/>
                <w:lang w:val="fr-FR"/>
              </w:rPr>
            </w:pPr>
            <w:r w:rsidRPr="009174BE">
              <w:rPr>
                <w:i/>
                <w:sz w:val="16"/>
                <w:lang w:val="fr-FR"/>
              </w:rPr>
              <w:t>Sexe féminin</w:t>
            </w:r>
          </w:p>
        </w:tc>
        <w:tc>
          <w:tcPr>
            <w:tcW w:w="100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9174BE" w:rsidRDefault="00FD6BA8" w:rsidP="009174BE">
            <w:pPr>
              <w:suppressAutoHyphens w:val="0"/>
              <w:spacing w:before="80" w:after="80" w:line="200" w:lineRule="exact"/>
              <w:jc w:val="right"/>
              <w:rPr>
                <w:i/>
                <w:sz w:val="16"/>
                <w:lang w:val="fr-FR"/>
              </w:rPr>
            </w:pPr>
            <w:r w:rsidRPr="009174BE">
              <w:rPr>
                <w:i/>
                <w:sz w:val="16"/>
                <w:lang w:val="fr-FR"/>
              </w:rPr>
              <w:t>Sexe masculin</w:t>
            </w:r>
          </w:p>
        </w:tc>
        <w:tc>
          <w:tcPr>
            <w:tcW w:w="100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9174BE" w:rsidRDefault="00FD6BA8" w:rsidP="009174BE">
            <w:pPr>
              <w:suppressAutoHyphens w:val="0"/>
              <w:spacing w:before="80" w:after="80" w:line="200" w:lineRule="exact"/>
              <w:jc w:val="right"/>
              <w:rPr>
                <w:i/>
                <w:sz w:val="16"/>
                <w:lang w:val="fr-FR"/>
              </w:rPr>
            </w:pPr>
            <w:r w:rsidRPr="009174BE">
              <w:rPr>
                <w:i/>
                <w:sz w:val="16"/>
                <w:lang w:val="fr-FR"/>
              </w:rPr>
              <w:t>Sexe féminin</w:t>
            </w:r>
          </w:p>
        </w:tc>
        <w:tc>
          <w:tcPr>
            <w:tcW w:w="95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9174BE" w:rsidRDefault="00FD6BA8" w:rsidP="009174BE">
            <w:pPr>
              <w:suppressAutoHyphens w:val="0"/>
              <w:spacing w:before="80" w:after="80" w:line="200" w:lineRule="exact"/>
              <w:jc w:val="right"/>
              <w:rPr>
                <w:i/>
                <w:sz w:val="16"/>
                <w:lang w:val="fr-FR"/>
              </w:rPr>
            </w:pPr>
            <w:r w:rsidRPr="009174BE">
              <w:rPr>
                <w:i/>
                <w:sz w:val="16"/>
                <w:lang w:val="fr-FR"/>
              </w:rPr>
              <w:t>Sexe masculin</w:t>
            </w:r>
          </w:p>
        </w:tc>
        <w:tc>
          <w:tcPr>
            <w:tcW w:w="110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9174BE" w:rsidRDefault="00FD6BA8" w:rsidP="009174BE">
            <w:pPr>
              <w:suppressAutoHyphens w:val="0"/>
              <w:spacing w:before="80" w:after="80" w:line="200" w:lineRule="exact"/>
              <w:jc w:val="right"/>
              <w:rPr>
                <w:i/>
                <w:sz w:val="16"/>
                <w:lang w:val="fr-FR"/>
              </w:rPr>
            </w:pPr>
            <w:r w:rsidRPr="009174BE">
              <w:rPr>
                <w:i/>
                <w:sz w:val="16"/>
                <w:lang w:val="fr-FR"/>
              </w:rPr>
              <w:t xml:space="preserve">Sexe </w:t>
            </w:r>
            <w:r w:rsidR="00B0561B">
              <w:rPr>
                <w:i/>
                <w:sz w:val="16"/>
                <w:lang w:val="fr-FR"/>
              </w:rPr>
              <w:br/>
            </w:r>
            <w:r w:rsidRPr="009174BE">
              <w:rPr>
                <w:i/>
                <w:sz w:val="16"/>
                <w:lang w:val="fr-FR"/>
              </w:rPr>
              <w:t>féminin</w:t>
            </w:r>
          </w:p>
        </w:tc>
      </w:tr>
      <w:tr w:rsidR="00396A4F" w:rsidRPr="00396A4F" w:rsidTr="009174BE">
        <w:tc>
          <w:tcPr>
            <w:tcW w:w="1424" w:type="dxa"/>
            <w:tcBorders>
              <w:top w:val="single" w:sz="12" w:space="0" w:color="auto"/>
            </w:tcBorders>
            <w:shd w:val="clear" w:color="auto" w:fill="auto"/>
            <w:tcMar>
              <w:top w:w="0" w:type="dxa"/>
              <w:left w:w="108" w:type="dxa"/>
              <w:bottom w:w="0" w:type="dxa"/>
              <w:right w:w="108" w:type="dxa"/>
            </w:tcMar>
            <w:hideMark/>
          </w:tcPr>
          <w:p w:rsidR="00FD6BA8" w:rsidRPr="00396A4F" w:rsidRDefault="00FD6BA8" w:rsidP="0078033B">
            <w:pPr>
              <w:suppressAutoHyphens w:val="0"/>
              <w:spacing w:before="40" w:after="40" w:line="220" w:lineRule="exact"/>
              <w:rPr>
                <w:sz w:val="18"/>
              </w:rPr>
            </w:pPr>
            <w:r w:rsidRPr="00396A4F">
              <w:rPr>
                <w:sz w:val="18"/>
                <w:lang w:val="fr-FR"/>
              </w:rPr>
              <w:t>Moins de 15</w:t>
            </w:r>
            <w:r w:rsidR="0078033B">
              <w:rPr>
                <w:sz w:val="18"/>
                <w:lang w:val="fr-FR"/>
              </w:rPr>
              <w:t> </w:t>
            </w:r>
            <w:r w:rsidRPr="00396A4F">
              <w:rPr>
                <w:sz w:val="18"/>
                <w:lang w:val="fr-FR"/>
              </w:rPr>
              <w:t>ans</w:t>
            </w:r>
          </w:p>
        </w:tc>
        <w:tc>
          <w:tcPr>
            <w:tcW w:w="865" w:type="dxa"/>
            <w:tcBorders>
              <w:top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10</w:t>
            </w:r>
          </w:p>
        </w:tc>
        <w:tc>
          <w:tcPr>
            <w:tcW w:w="1010" w:type="dxa"/>
            <w:tcBorders>
              <w:top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4</w:t>
            </w:r>
          </w:p>
        </w:tc>
        <w:tc>
          <w:tcPr>
            <w:tcW w:w="1009" w:type="dxa"/>
            <w:tcBorders>
              <w:top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3</w:t>
            </w:r>
          </w:p>
        </w:tc>
        <w:tc>
          <w:tcPr>
            <w:tcW w:w="1009" w:type="dxa"/>
            <w:tcBorders>
              <w:top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7</w:t>
            </w:r>
          </w:p>
        </w:tc>
        <w:tc>
          <w:tcPr>
            <w:tcW w:w="952" w:type="dxa"/>
            <w:tcBorders>
              <w:top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1</w:t>
            </w:r>
          </w:p>
        </w:tc>
        <w:tc>
          <w:tcPr>
            <w:tcW w:w="1100" w:type="dxa"/>
            <w:tcBorders>
              <w:top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1</w:t>
            </w:r>
          </w:p>
        </w:tc>
      </w:tr>
      <w:tr w:rsidR="009174BE" w:rsidRPr="00396A4F" w:rsidTr="009174BE">
        <w:tc>
          <w:tcPr>
            <w:tcW w:w="1424" w:type="dxa"/>
            <w:shd w:val="clear" w:color="auto" w:fill="auto"/>
            <w:tcMar>
              <w:top w:w="0" w:type="dxa"/>
              <w:left w:w="108" w:type="dxa"/>
              <w:bottom w:w="0" w:type="dxa"/>
              <w:right w:w="108" w:type="dxa"/>
            </w:tcMar>
            <w:hideMark/>
          </w:tcPr>
          <w:p w:rsidR="00FD6BA8" w:rsidRPr="00396A4F" w:rsidRDefault="0078033B" w:rsidP="00396A4F">
            <w:pPr>
              <w:suppressAutoHyphens w:val="0"/>
              <w:spacing w:before="40" w:after="40" w:line="220" w:lineRule="exact"/>
              <w:rPr>
                <w:sz w:val="18"/>
              </w:rPr>
            </w:pPr>
            <w:r>
              <w:rPr>
                <w:sz w:val="18"/>
                <w:lang w:val="fr-FR"/>
              </w:rPr>
              <w:t>15-18 </w:t>
            </w:r>
            <w:r w:rsidR="00FD6BA8" w:rsidRPr="00396A4F">
              <w:rPr>
                <w:sz w:val="18"/>
                <w:lang w:val="fr-FR"/>
              </w:rPr>
              <w:t>ans</w:t>
            </w:r>
          </w:p>
        </w:tc>
        <w:tc>
          <w:tcPr>
            <w:tcW w:w="865"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4</w:t>
            </w:r>
          </w:p>
        </w:tc>
        <w:tc>
          <w:tcPr>
            <w:tcW w:w="1010"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12</w:t>
            </w:r>
          </w:p>
        </w:tc>
        <w:tc>
          <w:tcPr>
            <w:tcW w:w="1009"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2</w:t>
            </w:r>
          </w:p>
        </w:tc>
        <w:tc>
          <w:tcPr>
            <w:tcW w:w="1009"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6</w:t>
            </w:r>
          </w:p>
        </w:tc>
        <w:tc>
          <w:tcPr>
            <w:tcW w:w="952"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0</w:t>
            </w:r>
          </w:p>
        </w:tc>
        <w:tc>
          <w:tcPr>
            <w:tcW w:w="1100"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2</w:t>
            </w:r>
          </w:p>
        </w:tc>
      </w:tr>
      <w:tr w:rsidR="009174BE" w:rsidRPr="00396A4F" w:rsidTr="009174BE">
        <w:tc>
          <w:tcPr>
            <w:tcW w:w="1424" w:type="dxa"/>
            <w:shd w:val="clear" w:color="auto" w:fill="auto"/>
            <w:tcMar>
              <w:top w:w="0" w:type="dxa"/>
              <w:left w:w="108" w:type="dxa"/>
              <w:bottom w:w="0" w:type="dxa"/>
              <w:right w:w="108" w:type="dxa"/>
            </w:tcMar>
            <w:hideMark/>
          </w:tcPr>
          <w:p w:rsidR="00FD6BA8" w:rsidRPr="00396A4F" w:rsidRDefault="0078033B" w:rsidP="00396A4F">
            <w:pPr>
              <w:suppressAutoHyphens w:val="0"/>
              <w:spacing w:before="40" w:after="40" w:line="220" w:lineRule="exact"/>
              <w:rPr>
                <w:sz w:val="18"/>
              </w:rPr>
            </w:pPr>
            <w:r>
              <w:rPr>
                <w:sz w:val="18"/>
                <w:lang w:val="fr-FR"/>
              </w:rPr>
              <w:t>19 à 64 </w:t>
            </w:r>
            <w:r w:rsidR="00FD6BA8" w:rsidRPr="00396A4F">
              <w:rPr>
                <w:sz w:val="18"/>
                <w:lang w:val="fr-FR"/>
              </w:rPr>
              <w:t>ans</w:t>
            </w:r>
          </w:p>
        </w:tc>
        <w:tc>
          <w:tcPr>
            <w:tcW w:w="865"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203</w:t>
            </w:r>
          </w:p>
        </w:tc>
        <w:tc>
          <w:tcPr>
            <w:tcW w:w="1010"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245</w:t>
            </w:r>
          </w:p>
        </w:tc>
        <w:tc>
          <w:tcPr>
            <w:tcW w:w="1009"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187</w:t>
            </w:r>
          </w:p>
        </w:tc>
        <w:tc>
          <w:tcPr>
            <w:tcW w:w="1009"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202</w:t>
            </w:r>
          </w:p>
        </w:tc>
        <w:tc>
          <w:tcPr>
            <w:tcW w:w="952"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119</w:t>
            </w:r>
          </w:p>
        </w:tc>
        <w:tc>
          <w:tcPr>
            <w:tcW w:w="1100" w:type="dxa"/>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128</w:t>
            </w:r>
          </w:p>
        </w:tc>
      </w:tr>
      <w:tr w:rsidR="00396A4F" w:rsidRPr="00396A4F" w:rsidTr="009174BE">
        <w:tc>
          <w:tcPr>
            <w:tcW w:w="1424" w:type="dxa"/>
            <w:tcBorders>
              <w:bottom w:val="single" w:sz="12" w:space="0" w:color="auto"/>
            </w:tcBorders>
            <w:shd w:val="clear" w:color="auto" w:fill="auto"/>
            <w:tcMar>
              <w:top w:w="0" w:type="dxa"/>
              <w:left w:w="108" w:type="dxa"/>
              <w:bottom w:w="0" w:type="dxa"/>
              <w:right w:w="108" w:type="dxa"/>
            </w:tcMar>
            <w:hideMark/>
          </w:tcPr>
          <w:p w:rsidR="00FD6BA8" w:rsidRPr="00396A4F" w:rsidRDefault="0078033B" w:rsidP="00396A4F">
            <w:pPr>
              <w:suppressAutoHyphens w:val="0"/>
              <w:spacing w:before="40" w:after="40" w:line="220" w:lineRule="exact"/>
              <w:rPr>
                <w:sz w:val="18"/>
              </w:rPr>
            </w:pPr>
            <w:r>
              <w:rPr>
                <w:sz w:val="18"/>
                <w:lang w:val="fr-FR"/>
              </w:rPr>
              <w:t>65 </w:t>
            </w:r>
            <w:r w:rsidR="00FD6BA8" w:rsidRPr="00396A4F">
              <w:rPr>
                <w:sz w:val="18"/>
                <w:lang w:val="fr-FR"/>
              </w:rPr>
              <w:t>ans et plus</w:t>
            </w:r>
          </w:p>
        </w:tc>
        <w:tc>
          <w:tcPr>
            <w:tcW w:w="865" w:type="dxa"/>
            <w:tcBorders>
              <w:bottom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4</w:t>
            </w:r>
          </w:p>
        </w:tc>
        <w:tc>
          <w:tcPr>
            <w:tcW w:w="1010" w:type="dxa"/>
            <w:tcBorders>
              <w:bottom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6</w:t>
            </w:r>
          </w:p>
        </w:tc>
        <w:tc>
          <w:tcPr>
            <w:tcW w:w="1009" w:type="dxa"/>
            <w:tcBorders>
              <w:bottom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2</w:t>
            </w:r>
          </w:p>
        </w:tc>
        <w:tc>
          <w:tcPr>
            <w:tcW w:w="1009" w:type="dxa"/>
            <w:tcBorders>
              <w:bottom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5</w:t>
            </w:r>
          </w:p>
        </w:tc>
        <w:tc>
          <w:tcPr>
            <w:tcW w:w="952" w:type="dxa"/>
            <w:tcBorders>
              <w:bottom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0</w:t>
            </w:r>
          </w:p>
        </w:tc>
        <w:tc>
          <w:tcPr>
            <w:tcW w:w="1100" w:type="dxa"/>
            <w:tcBorders>
              <w:bottom w:val="single" w:sz="12" w:space="0" w:color="auto"/>
            </w:tcBorders>
            <w:shd w:val="clear" w:color="auto" w:fill="auto"/>
            <w:tcMar>
              <w:top w:w="0" w:type="dxa"/>
              <w:left w:w="108" w:type="dxa"/>
              <w:bottom w:w="0" w:type="dxa"/>
              <w:right w:w="108" w:type="dxa"/>
            </w:tcMar>
            <w:vAlign w:val="bottom"/>
            <w:hideMark/>
          </w:tcPr>
          <w:p w:rsidR="00FD6BA8" w:rsidRPr="00396A4F" w:rsidRDefault="00FD6BA8" w:rsidP="00396A4F">
            <w:pPr>
              <w:suppressAutoHyphens w:val="0"/>
              <w:spacing w:before="40" w:after="40" w:line="220" w:lineRule="exact"/>
              <w:jc w:val="right"/>
              <w:rPr>
                <w:sz w:val="18"/>
              </w:rPr>
            </w:pPr>
            <w:r w:rsidRPr="00396A4F">
              <w:rPr>
                <w:sz w:val="18"/>
                <w:lang w:val="fr-FR"/>
              </w:rPr>
              <w:t>4</w:t>
            </w:r>
          </w:p>
        </w:tc>
      </w:tr>
    </w:tbl>
    <w:p w:rsidR="00FD6BA8" w:rsidRPr="00692634" w:rsidRDefault="0078033B" w:rsidP="003A17E0">
      <w:pPr>
        <w:pStyle w:val="H23G"/>
        <w:spacing w:before="200"/>
        <w:rPr>
          <w:lang w:val="fr-FR"/>
        </w:rPr>
      </w:pPr>
      <w:r>
        <w:rPr>
          <w:lang w:val="fr-FR"/>
        </w:rPr>
        <w:tab/>
      </w:r>
      <w:r w:rsidRPr="0078033B">
        <w:rPr>
          <w:b w:val="0"/>
          <w:lang w:val="fr-FR"/>
        </w:rPr>
        <w:tab/>
      </w:r>
      <w:r w:rsidR="00FD6BA8" w:rsidRPr="0078033B">
        <w:rPr>
          <w:b w:val="0"/>
          <w:lang w:val="fr-FR"/>
        </w:rPr>
        <w:t xml:space="preserve">Tableau 3 </w:t>
      </w:r>
      <w:r w:rsidRPr="0078033B">
        <w:rPr>
          <w:b w:val="0"/>
          <w:lang w:val="fr-FR"/>
        </w:rPr>
        <w:br/>
      </w:r>
      <w:r w:rsidR="00FD6BA8" w:rsidRPr="00E64DF4">
        <w:rPr>
          <w:lang w:val="fr-FR"/>
        </w:rPr>
        <w:t>Personnes de nationalité indéterminée ayant dem</w:t>
      </w:r>
      <w:r>
        <w:rPr>
          <w:lang w:val="fr-FR"/>
        </w:rPr>
        <w:t xml:space="preserve">andé la nationalité estonienne </w:t>
      </w:r>
      <w:r w:rsidR="00FD6BA8" w:rsidRPr="00E64DF4">
        <w:rPr>
          <w:lang w:val="fr-FR"/>
        </w:rPr>
        <w:t>pendant la période 2016-2018</w:t>
      </w:r>
    </w:p>
    <w:tbl>
      <w:tblPr>
        <w:tblW w:w="7370" w:type="dxa"/>
        <w:tblInd w:w="1134" w:type="dxa"/>
        <w:tblLayout w:type="fixed"/>
        <w:tblCellMar>
          <w:left w:w="0" w:type="dxa"/>
          <w:right w:w="0" w:type="dxa"/>
        </w:tblCellMar>
        <w:tblLook w:val="04A0" w:firstRow="1" w:lastRow="0" w:firstColumn="1" w:lastColumn="0" w:noHBand="0" w:noVBand="1"/>
      </w:tblPr>
      <w:tblGrid>
        <w:gridCol w:w="1526"/>
        <w:gridCol w:w="850"/>
        <w:gridCol w:w="993"/>
        <w:gridCol w:w="992"/>
        <w:gridCol w:w="992"/>
        <w:gridCol w:w="936"/>
        <w:gridCol w:w="1081"/>
      </w:tblGrid>
      <w:tr w:rsidR="00027E5C" w:rsidRPr="00027E5C" w:rsidTr="000D55AF">
        <w:trPr>
          <w:tblHeader/>
        </w:trPr>
        <w:tc>
          <w:tcPr>
            <w:tcW w:w="1526" w:type="dxa"/>
            <w:vMerge w:val="restart"/>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80" w:after="80" w:line="200" w:lineRule="exact"/>
              <w:rPr>
                <w:i/>
                <w:sz w:val="16"/>
              </w:rPr>
            </w:pPr>
            <w:r w:rsidRPr="00027E5C">
              <w:rPr>
                <w:i/>
                <w:sz w:val="16"/>
                <w:lang w:val="fr-FR"/>
              </w:rPr>
              <w:t>Âge</w:t>
            </w:r>
          </w:p>
        </w:tc>
        <w:tc>
          <w:tcPr>
            <w:tcW w:w="1843"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80" w:after="80" w:line="200" w:lineRule="exact"/>
              <w:jc w:val="right"/>
              <w:rPr>
                <w:i/>
                <w:sz w:val="16"/>
              </w:rPr>
            </w:pPr>
            <w:r w:rsidRPr="00027E5C">
              <w:rPr>
                <w:i/>
                <w:sz w:val="16"/>
                <w:lang w:val="fr-FR"/>
              </w:rPr>
              <w:t>1</w:t>
            </w:r>
            <w:r w:rsidRPr="00027E5C">
              <w:rPr>
                <w:i/>
                <w:sz w:val="16"/>
                <w:vertAlign w:val="superscript"/>
                <w:lang w:val="fr-FR"/>
              </w:rPr>
              <w:t>er</w:t>
            </w:r>
            <w:r w:rsidR="00027E5C">
              <w:rPr>
                <w:i/>
                <w:sz w:val="16"/>
                <w:lang w:val="fr-FR"/>
              </w:rPr>
              <w:t> </w:t>
            </w:r>
            <w:r w:rsidRPr="00027E5C">
              <w:rPr>
                <w:i/>
                <w:sz w:val="16"/>
                <w:lang w:val="fr-FR"/>
              </w:rPr>
              <w:t>janvier 2016</w:t>
            </w:r>
          </w:p>
        </w:tc>
        <w:tc>
          <w:tcPr>
            <w:tcW w:w="1984"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80" w:after="80" w:line="200" w:lineRule="exact"/>
              <w:jc w:val="right"/>
              <w:rPr>
                <w:i/>
                <w:sz w:val="16"/>
              </w:rPr>
            </w:pPr>
            <w:r w:rsidRPr="00027E5C">
              <w:rPr>
                <w:i/>
                <w:sz w:val="16"/>
                <w:lang w:val="fr-FR"/>
              </w:rPr>
              <w:t>1</w:t>
            </w:r>
            <w:r w:rsidRPr="00027E5C">
              <w:rPr>
                <w:i/>
                <w:sz w:val="16"/>
                <w:vertAlign w:val="superscript"/>
                <w:lang w:val="fr-FR"/>
              </w:rPr>
              <w:t>er</w:t>
            </w:r>
            <w:r w:rsidR="00027E5C">
              <w:rPr>
                <w:i/>
                <w:sz w:val="16"/>
                <w:lang w:val="fr-FR"/>
              </w:rPr>
              <w:t> </w:t>
            </w:r>
            <w:r w:rsidRPr="00027E5C">
              <w:rPr>
                <w:i/>
                <w:sz w:val="16"/>
                <w:lang w:val="fr-FR"/>
              </w:rPr>
              <w:t>janvier 2017</w:t>
            </w:r>
          </w:p>
        </w:tc>
        <w:tc>
          <w:tcPr>
            <w:tcW w:w="2017"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FD6BA8" w:rsidRPr="00027E5C" w:rsidRDefault="00027E5C" w:rsidP="00027E5C">
            <w:pPr>
              <w:suppressAutoHyphens w:val="0"/>
              <w:spacing w:before="80" w:after="80" w:line="200" w:lineRule="exact"/>
              <w:jc w:val="right"/>
              <w:rPr>
                <w:i/>
                <w:sz w:val="16"/>
              </w:rPr>
            </w:pPr>
            <w:r>
              <w:rPr>
                <w:i/>
                <w:sz w:val="16"/>
                <w:lang w:val="fr-FR"/>
              </w:rPr>
              <w:t>6 </w:t>
            </w:r>
            <w:r w:rsidR="00FD6BA8" w:rsidRPr="00027E5C">
              <w:rPr>
                <w:i/>
                <w:sz w:val="16"/>
                <w:lang w:val="fr-FR"/>
              </w:rPr>
              <w:t>novembre 2018</w:t>
            </w:r>
          </w:p>
        </w:tc>
      </w:tr>
      <w:tr w:rsidR="00027E5C" w:rsidRPr="00027E5C" w:rsidTr="000D55AF">
        <w:trPr>
          <w:tblHeader/>
        </w:trPr>
        <w:tc>
          <w:tcPr>
            <w:tcW w:w="1526" w:type="dxa"/>
            <w:vMerge/>
            <w:tcBorders>
              <w:top w:val="single" w:sz="4" w:space="0" w:color="auto"/>
              <w:bottom w:val="single" w:sz="12" w:space="0" w:color="auto"/>
            </w:tcBorders>
            <w:shd w:val="clear" w:color="auto" w:fill="auto"/>
            <w:vAlign w:val="bottom"/>
            <w:hideMark/>
          </w:tcPr>
          <w:p w:rsidR="00FD6BA8" w:rsidRPr="00027E5C" w:rsidRDefault="00FD6BA8" w:rsidP="00027E5C">
            <w:pPr>
              <w:suppressAutoHyphens w:val="0"/>
              <w:spacing w:before="40" w:after="40" w:line="220" w:lineRule="exact"/>
              <w:rPr>
                <w:sz w:val="18"/>
              </w:rPr>
            </w:pPr>
          </w:p>
        </w:tc>
        <w:tc>
          <w:tcPr>
            <w:tcW w:w="85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0D55AF" w:rsidRDefault="00FD6BA8" w:rsidP="000D55AF">
            <w:pPr>
              <w:suppressAutoHyphens w:val="0"/>
              <w:spacing w:before="80" w:after="80" w:line="200" w:lineRule="exact"/>
              <w:jc w:val="right"/>
              <w:rPr>
                <w:i/>
                <w:sz w:val="16"/>
                <w:lang w:val="fr-FR"/>
              </w:rPr>
            </w:pPr>
            <w:r w:rsidRPr="000D55AF">
              <w:rPr>
                <w:i/>
                <w:sz w:val="16"/>
                <w:lang w:val="fr-FR"/>
              </w:rPr>
              <w:t>Sexe masculin</w:t>
            </w:r>
          </w:p>
        </w:tc>
        <w:tc>
          <w:tcPr>
            <w:tcW w:w="99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0D55AF" w:rsidRDefault="00FD6BA8" w:rsidP="000D55AF">
            <w:pPr>
              <w:suppressAutoHyphens w:val="0"/>
              <w:spacing w:before="80" w:after="80" w:line="200" w:lineRule="exact"/>
              <w:jc w:val="right"/>
              <w:rPr>
                <w:i/>
                <w:sz w:val="16"/>
                <w:lang w:val="fr-FR"/>
              </w:rPr>
            </w:pPr>
            <w:r w:rsidRPr="000D55AF">
              <w:rPr>
                <w:i/>
                <w:sz w:val="16"/>
                <w:lang w:val="fr-FR"/>
              </w:rPr>
              <w:t>Sexe féminin</w:t>
            </w:r>
          </w:p>
        </w:tc>
        <w:tc>
          <w:tcPr>
            <w:tcW w:w="99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0D55AF" w:rsidRDefault="00FD6BA8" w:rsidP="000D55AF">
            <w:pPr>
              <w:suppressAutoHyphens w:val="0"/>
              <w:spacing w:before="80" w:after="80" w:line="200" w:lineRule="exact"/>
              <w:jc w:val="right"/>
              <w:rPr>
                <w:i/>
                <w:sz w:val="16"/>
                <w:lang w:val="fr-FR"/>
              </w:rPr>
            </w:pPr>
            <w:r w:rsidRPr="000D55AF">
              <w:rPr>
                <w:i/>
                <w:sz w:val="16"/>
                <w:lang w:val="fr-FR"/>
              </w:rPr>
              <w:t>Sexe masculin</w:t>
            </w:r>
          </w:p>
        </w:tc>
        <w:tc>
          <w:tcPr>
            <w:tcW w:w="99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0D55AF" w:rsidRDefault="00FD6BA8" w:rsidP="000D55AF">
            <w:pPr>
              <w:suppressAutoHyphens w:val="0"/>
              <w:spacing w:before="80" w:after="80" w:line="200" w:lineRule="exact"/>
              <w:jc w:val="right"/>
              <w:rPr>
                <w:i/>
                <w:sz w:val="16"/>
                <w:lang w:val="fr-FR"/>
              </w:rPr>
            </w:pPr>
            <w:r w:rsidRPr="000D55AF">
              <w:rPr>
                <w:i/>
                <w:sz w:val="16"/>
                <w:lang w:val="fr-FR"/>
              </w:rPr>
              <w:t>Sexe féminin</w:t>
            </w:r>
          </w:p>
        </w:tc>
        <w:tc>
          <w:tcPr>
            <w:tcW w:w="93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0D55AF" w:rsidRDefault="00FD6BA8" w:rsidP="000D55AF">
            <w:pPr>
              <w:suppressAutoHyphens w:val="0"/>
              <w:spacing w:before="80" w:after="80" w:line="200" w:lineRule="exact"/>
              <w:jc w:val="right"/>
              <w:rPr>
                <w:i/>
                <w:sz w:val="16"/>
                <w:lang w:val="fr-FR"/>
              </w:rPr>
            </w:pPr>
            <w:r w:rsidRPr="000D55AF">
              <w:rPr>
                <w:i/>
                <w:sz w:val="16"/>
                <w:lang w:val="fr-FR"/>
              </w:rPr>
              <w:t>Sexe masculin</w:t>
            </w:r>
          </w:p>
        </w:tc>
        <w:tc>
          <w:tcPr>
            <w:tcW w:w="108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FD6BA8" w:rsidRPr="000D55AF" w:rsidRDefault="00FD6BA8" w:rsidP="000D55AF">
            <w:pPr>
              <w:suppressAutoHyphens w:val="0"/>
              <w:spacing w:before="80" w:after="80" w:line="200" w:lineRule="exact"/>
              <w:jc w:val="right"/>
              <w:rPr>
                <w:i/>
                <w:sz w:val="16"/>
                <w:lang w:val="fr-FR"/>
              </w:rPr>
            </w:pPr>
            <w:r w:rsidRPr="000D55AF">
              <w:rPr>
                <w:i/>
                <w:sz w:val="16"/>
                <w:lang w:val="fr-FR"/>
              </w:rPr>
              <w:t xml:space="preserve">Sexe </w:t>
            </w:r>
            <w:r w:rsidR="000D55AF">
              <w:rPr>
                <w:i/>
                <w:sz w:val="16"/>
                <w:lang w:val="fr-FR"/>
              </w:rPr>
              <w:br/>
            </w:r>
            <w:r w:rsidRPr="000D55AF">
              <w:rPr>
                <w:i/>
                <w:sz w:val="16"/>
                <w:lang w:val="fr-FR"/>
              </w:rPr>
              <w:t>féminin</w:t>
            </w:r>
          </w:p>
        </w:tc>
      </w:tr>
      <w:tr w:rsidR="00027E5C" w:rsidRPr="00027E5C" w:rsidTr="000D55AF">
        <w:tc>
          <w:tcPr>
            <w:tcW w:w="1526" w:type="dxa"/>
            <w:tcBorders>
              <w:top w:val="single" w:sz="12" w:space="0" w:color="auto"/>
            </w:tcBorders>
            <w:shd w:val="clear" w:color="auto" w:fill="auto"/>
            <w:tcMar>
              <w:top w:w="0" w:type="dxa"/>
              <w:left w:w="108" w:type="dxa"/>
              <w:bottom w:w="0" w:type="dxa"/>
              <w:right w:w="108" w:type="dxa"/>
            </w:tcMar>
            <w:hideMark/>
          </w:tcPr>
          <w:p w:rsidR="00FD6BA8" w:rsidRPr="00027E5C" w:rsidRDefault="00FD6BA8" w:rsidP="00027E5C">
            <w:pPr>
              <w:suppressAutoHyphens w:val="0"/>
              <w:spacing w:before="40" w:after="40" w:line="220" w:lineRule="exact"/>
              <w:rPr>
                <w:sz w:val="18"/>
              </w:rPr>
            </w:pPr>
            <w:r w:rsidRPr="00027E5C">
              <w:rPr>
                <w:sz w:val="18"/>
                <w:lang w:val="fr-FR"/>
              </w:rPr>
              <w:t>Moins de 1</w:t>
            </w:r>
            <w:r w:rsidR="00E72DC6">
              <w:rPr>
                <w:sz w:val="18"/>
                <w:lang w:val="fr-FR"/>
              </w:rPr>
              <w:t>5 </w:t>
            </w:r>
            <w:r w:rsidRPr="00027E5C">
              <w:rPr>
                <w:sz w:val="18"/>
                <w:lang w:val="fr-FR"/>
              </w:rPr>
              <w:t>ans</w:t>
            </w:r>
          </w:p>
        </w:tc>
        <w:tc>
          <w:tcPr>
            <w:tcW w:w="850" w:type="dxa"/>
            <w:tcBorders>
              <w:top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5</w:t>
            </w:r>
          </w:p>
        </w:tc>
        <w:tc>
          <w:tcPr>
            <w:tcW w:w="993" w:type="dxa"/>
            <w:tcBorders>
              <w:top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6</w:t>
            </w:r>
          </w:p>
        </w:tc>
        <w:tc>
          <w:tcPr>
            <w:tcW w:w="992" w:type="dxa"/>
            <w:tcBorders>
              <w:top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4</w:t>
            </w:r>
          </w:p>
        </w:tc>
        <w:tc>
          <w:tcPr>
            <w:tcW w:w="992" w:type="dxa"/>
            <w:tcBorders>
              <w:top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4</w:t>
            </w:r>
          </w:p>
        </w:tc>
        <w:tc>
          <w:tcPr>
            <w:tcW w:w="936" w:type="dxa"/>
            <w:tcBorders>
              <w:top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0</w:t>
            </w:r>
          </w:p>
        </w:tc>
        <w:tc>
          <w:tcPr>
            <w:tcW w:w="1081" w:type="dxa"/>
            <w:tcBorders>
              <w:top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1</w:t>
            </w:r>
          </w:p>
        </w:tc>
      </w:tr>
      <w:tr w:rsidR="00027E5C" w:rsidRPr="00027E5C" w:rsidTr="00027E5C">
        <w:tc>
          <w:tcPr>
            <w:tcW w:w="1526" w:type="dxa"/>
            <w:shd w:val="clear" w:color="auto" w:fill="auto"/>
            <w:tcMar>
              <w:top w:w="0" w:type="dxa"/>
              <w:left w:w="108" w:type="dxa"/>
              <w:bottom w:w="0" w:type="dxa"/>
              <w:right w:w="108" w:type="dxa"/>
            </w:tcMar>
            <w:hideMark/>
          </w:tcPr>
          <w:p w:rsidR="00FD6BA8" w:rsidRPr="00027E5C" w:rsidRDefault="00FD6BA8" w:rsidP="00E72DC6">
            <w:pPr>
              <w:suppressAutoHyphens w:val="0"/>
              <w:spacing w:before="40" w:after="40" w:line="220" w:lineRule="exact"/>
              <w:rPr>
                <w:sz w:val="18"/>
              </w:rPr>
            </w:pPr>
            <w:r w:rsidRPr="00027E5C">
              <w:rPr>
                <w:sz w:val="18"/>
                <w:lang w:val="fr-FR"/>
              </w:rPr>
              <w:t>15-18</w:t>
            </w:r>
            <w:r w:rsidR="00E72DC6">
              <w:rPr>
                <w:sz w:val="18"/>
                <w:lang w:val="fr-FR"/>
              </w:rPr>
              <w:t> </w:t>
            </w:r>
            <w:r w:rsidRPr="00027E5C">
              <w:rPr>
                <w:sz w:val="18"/>
                <w:lang w:val="fr-FR"/>
              </w:rPr>
              <w:t>ans</w:t>
            </w:r>
          </w:p>
        </w:tc>
        <w:tc>
          <w:tcPr>
            <w:tcW w:w="850"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3</w:t>
            </w:r>
          </w:p>
        </w:tc>
        <w:tc>
          <w:tcPr>
            <w:tcW w:w="993"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10</w:t>
            </w:r>
          </w:p>
        </w:tc>
        <w:tc>
          <w:tcPr>
            <w:tcW w:w="992"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1</w:t>
            </w:r>
          </w:p>
        </w:tc>
        <w:tc>
          <w:tcPr>
            <w:tcW w:w="992"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1</w:t>
            </w:r>
          </w:p>
        </w:tc>
        <w:tc>
          <w:tcPr>
            <w:tcW w:w="936"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1</w:t>
            </w:r>
          </w:p>
        </w:tc>
        <w:tc>
          <w:tcPr>
            <w:tcW w:w="1081"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4</w:t>
            </w:r>
          </w:p>
        </w:tc>
      </w:tr>
      <w:tr w:rsidR="00027E5C" w:rsidRPr="00027E5C" w:rsidTr="00027E5C">
        <w:tc>
          <w:tcPr>
            <w:tcW w:w="1526" w:type="dxa"/>
            <w:shd w:val="clear" w:color="auto" w:fill="auto"/>
            <w:tcMar>
              <w:top w:w="0" w:type="dxa"/>
              <w:left w:w="108" w:type="dxa"/>
              <w:bottom w:w="0" w:type="dxa"/>
              <w:right w:w="108" w:type="dxa"/>
            </w:tcMar>
            <w:hideMark/>
          </w:tcPr>
          <w:p w:rsidR="00FD6BA8" w:rsidRPr="00027E5C" w:rsidRDefault="00E72DC6" w:rsidP="00027E5C">
            <w:pPr>
              <w:suppressAutoHyphens w:val="0"/>
              <w:spacing w:before="40" w:after="40" w:line="220" w:lineRule="exact"/>
              <w:rPr>
                <w:sz w:val="18"/>
              </w:rPr>
            </w:pPr>
            <w:r>
              <w:rPr>
                <w:sz w:val="18"/>
                <w:lang w:val="fr-FR"/>
              </w:rPr>
              <w:t>19 à 65 </w:t>
            </w:r>
            <w:r w:rsidR="00FD6BA8" w:rsidRPr="00027E5C">
              <w:rPr>
                <w:sz w:val="18"/>
                <w:lang w:val="fr-FR"/>
              </w:rPr>
              <w:t>ans</w:t>
            </w:r>
          </w:p>
        </w:tc>
        <w:tc>
          <w:tcPr>
            <w:tcW w:w="850"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217</w:t>
            </w:r>
          </w:p>
        </w:tc>
        <w:tc>
          <w:tcPr>
            <w:tcW w:w="993"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197</w:t>
            </w:r>
          </w:p>
        </w:tc>
        <w:tc>
          <w:tcPr>
            <w:tcW w:w="992"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197</w:t>
            </w:r>
          </w:p>
        </w:tc>
        <w:tc>
          <w:tcPr>
            <w:tcW w:w="992"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175</w:t>
            </w:r>
          </w:p>
        </w:tc>
        <w:tc>
          <w:tcPr>
            <w:tcW w:w="936"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162</w:t>
            </w:r>
          </w:p>
        </w:tc>
        <w:tc>
          <w:tcPr>
            <w:tcW w:w="1081" w:type="dxa"/>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154</w:t>
            </w:r>
          </w:p>
        </w:tc>
      </w:tr>
      <w:tr w:rsidR="00027E5C" w:rsidRPr="00027E5C" w:rsidTr="00027E5C">
        <w:tc>
          <w:tcPr>
            <w:tcW w:w="1526" w:type="dxa"/>
            <w:tcBorders>
              <w:bottom w:val="single" w:sz="12" w:space="0" w:color="auto"/>
            </w:tcBorders>
            <w:shd w:val="clear" w:color="auto" w:fill="auto"/>
            <w:tcMar>
              <w:top w:w="0" w:type="dxa"/>
              <w:left w:w="108" w:type="dxa"/>
              <w:bottom w:w="0" w:type="dxa"/>
              <w:right w:w="108" w:type="dxa"/>
            </w:tcMar>
            <w:hideMark/>
          </w:tcPr>
          <w:p w:rsidR="00FD6BA8" w:rsidRPr="00027E5C" w:rsidRDefault="00E72DC6" w:rsidP="00027E5C">
            <w:pPr>
              <w:suppressAutoHyphens w:val="0"/>
              <w:spacing w:before="40" w:after="40" w:line="220" w:lineRule="exact"/>
              <w:rPr>
                <w:sz w:val="18"/>
              </w:rPr>
            </w:pPr>
            <w:r>
              <w:rPr>
                <w:sz w:val="18"/>
                <w:lang w:val="fr-FR"/>
              </w:rPr>
              <w:t>66 </w:t>
            </w:r>
            <w:r w:rsidR="00FD6BA8" w:rsidRPr="00027E5C">
              <w:rPr>
                <w:sz w:val="18"/>
                <w:lang w:val="fr-FR"/>
              </w:rPr>
              <w:t>ans et plus</w:t>
            </w:r>
          </w:p>
        </w:tc>
        <w:tc>
          <w:tcPr>
            <w:tcW w:w="850" w:type="dxa"/>
            <w:tcBorders>
              <w:bottom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4</w:t>
            </w:r>
          </w:p>
        </w:tc>
        <w:tc>
          <w:tcPr>
            <w:tcW w:w="993" w:type="dxa"/>
            <w:tcBorders>
              <w:bottom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3</w:t>
            </w:r>
          </w:p>
        </w:tc>
        <w:tc>
          <w:tcPr>
            <w:tcW w:w="992" w:type="dxa"/>
            <w:tcBorders>
              <w:bottom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2</w:t>
            </w:r>
          </w:p>
        </w:tc>
        <w:tc>
          <w:tcPr>
            <w:tcW w:w="992" w:type="dxa"/>
            <w:tcBorders>
              <w:bottom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5</w:t>
            </w:r>
          </w:p>
        </w:tc>
        <w:tc>
          <w:tcPr>
            <w:tcW w:w="936" w:type="dxa"/>
            <w:tcBorders>
              <w:bottom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0</w:t>
            </w:r>
          </w:p>
        </w:tc>
        <w:tc>
          <w:tcPr>
            <w:tcW w:w="1081" w:type="dxa"/>
            <w:tcBorders>
              <w:bottom w:val="single" w:sz="12" w:space="0" w:color="auto"/>
            </w:tcBorders>
            <w:shd w:val="clear" w:color="auto" w:fill="auto"/>
            <w:tcMar>
              <w:top w:w="0" w:type="dxa"/>
              <w:left w:w="108" w:type="dxa"/>
              <w:bottom w:w="0" w:type="dxa"/>
              <w:right w:w="108" w:type="dxa"/>
            </w:tcMar>
            <w:vAlign w:val="bottom"/>
            <w:hideMark/>
          </w:tcPr>
          <w:p w:rsidR="00FD6BA8" w:rsidRPr="00027E5C" w:rsidRDefault="00FD6BA8" w:rsidP="00027E5C">
            <w:pPr>
              <w:suppressAutoHyphens w:val="0"/>
              <w:spacing w:before="40" w:after="40" w:line="220" w:lineRule="exact"/>
              <w:jc w:val="right"/>
              <w:rPr>
                <w:sz w:val="18"/>
              </w:rPr>
            </w:pPr>
            <w:r w:rsidRPr="00027E5C">
              <w:rPr>
                <w:sz w:val="18"/>
                <w:lang w:val="fr-FR"/>
              </w:rPr>
              <w:t>5</w:t>
            </w:r>
          </w:p>
        </w:tc>
      </w:tr>
    </w:tbl>
    <w:p w:rsidR="00FD6BA8" w:rsidRPr="00692634" w:rsidRDefault="00FD6BA8" w:rsidP="003A17E0">
      <w:pPr>
        <w:pStyle w:val="H1G"/>
        <w:spacing w:before="320" w:after="200" w:line="230" w:lineRule="exact"/>
        <w:rPr>
          <w:lang w:val="fr-FR"/>
        </w:rPr>
      </w:pPr>
      <w:r>
        <w:rPr>
          <w:lang w:val="fr-FR"/>
        </w:rPr>
        <w:tab/>
      </w:r>
      <w:r>
        <w:rPr>
          <w:lang w:val="fr-FR"/>
        </w:rPr>
        <w:tab/>
        <w:t>Égalité de droits entre les hommes et les femmes (art.</w:t>
      </w:r>
      <w:r w:rsidR="00E72DC6">
        <w:rPr>
          <w:lang w:val="fr-FR"/>
        </w:rPr>
        <w:t> </w:t>
      </w:r>
      <w:r>
        <w:rPr>
          <w:lang w:val="fr-FR"/>
        </w:rPr>
        <w:t>3)</w:t>
      </w:r>
    </w:p>
    <w:p w:rsidR="00FD6BA8" w:rsidRPr="00692634" w:rsidRDefault="00FD6BA8" w:rsidP="00E72DC6">
      <w:pPr>
        <w:pStyle w:val="H23G"/>
        <w:rPr>
          <w:lang w:val="fr-FR"/>
        </w:rPr>
      </w:pPr>
      <w:r>
        <w:rPr>
          <w:lang w:val="fr-FR"/>
        </w:rPr>
        <w:tab/>
      </w:r>
      <w:r>
        <w:rPr>
          <w:lang w:val="fr-FR"/>
        </w:rPr>
        <w:tab/>
        <w:t>Mise en œuvre de</w:t>
      </w:r>
      <w:r w:rsidR="000D55AF">
        <w:rPr>
          <w:lang w:val="fr-FR"/>
        </w:rPr>
        <w:t xml:space="preserve"> la loi sur l’égalité des sexes</w:t>
      </w:r>
    </w:p>
    <w:p w:rsidR="00FD6BA8" w:rsidRPr="003A17E0" w:rsidRDefault="00FD6BA8" w:rsidP="00FD6BA8">
      <w:pPr>
        <w:pStyle w:val="SingleTxtG"/>
        <w:rPr>
          <w:spacing w:val="-1"/>
          <w:lang w:val="fr-FR"/>
        </w:rPr>
      </w:pPr>
      <w:r w:rsidRPr="003A17E0">
        <w:rPr>
          <w:spacing w:val="-1"/>
          <w:lang w:val="fr-FR"/>
        </w:rPr>
        <w:t>16.</w:t>
      </w:r>
      <w:r w:rsidRPr="003A17E0">
        <w:rPr>
          <w:spacing w:val="-1"/>
          <w:lang w:val="fr-FR"/>
        </w:rPr>
        <w:tab/>
        <w:t>En 2015, on a réalisé une étude</w:t>
      </w:r>
      <w:r w:rsidRPr="003A17E0">
        <w:rPr>
          <w:rStyle w:val="Appelnotedebasdep"/>
          <w:spacing w:val="-1"/>
        </w:rPr>
        <w:footnoteReference w:id="7"/>
      </w:r>
      <w:r w:rsidRPr="003A17E0">
        <w:rPr>
          <w:spacing w:val="-1"/>
        </w:rPr>
        <w:t xml:space="preserve"> qui </w:t>
      </w:r>
      <w:r w:rsidRPr="003A17E0">
        <w:rPr>
          <w:spacing w:val="-1"/>
          <w:lang w:val="fr-FR"/>
        </w:rPr>
        <w:t>rend compte de la mise en œuvre de la loi sur l’égalité des sexes dans le secteur de l’emploi public, privé et à but non lucratif, et propose des indicateurs permettant d’évaluer son degré d’application dans le domaine des ressources humaines, indicateurs dont on pourrait se servir pour assurer un suivi régulier de la question. Des méthodes de recherche combinées, à savoir qualitatives et quantitatives, ont été utilisées.</w:t>
      </w:r>
    </w:p>
    <w:p w:rsidR="00FD6BA8" w:rsidRPr="008019CF" w:rsidRDefault="00FD6BA8" w:rsidP="00FD6BA8">
      <w:pPr>
        <w:pStyle w:val="SingleTxtG"/>
        <w:rPr>
          <w:spacing w:val="-1"/>
          <w:lang w:val="fr-FR"/>
        </w:rPr>
      </w:pPr>
      <w:r w:rsidRPr="008019CF">
        <w:rPr>
          <w:spacing w:val="-1"/>
          <w:lang w:val="fr-FR"/>
        </w:rPr>
        <w:t>17.</w:t>
      </w:r>
      <w:r w:rsidRPr="008019CF">
        <w:rPr>
          <w:spacing w:val="-1"/>
          <w:lang w:val="fr-FR"/>
        </w:rPr>
        <w:tab/>
        <w:t>La principale conclusion de l’étude est que peu d’employeurs avaient connaissance de la loi sur l’égalité des sexes</w:t>
      </w:r>
      <w:r w:rsidR="00F35215" w:rsidRPr="008019CF">
        <w:rPr>
          <w:spacing w:val="-1"/>
          <w:lang w:val="fr-FR"/>
        </w:rPr>
        <w:t> ; en effet, seuls 4 </w:t>
      </w:r>
      <w:r w:rsidRPr="008019CF">
        <w:rPr>
          <w:spacing w:val="-1"/>
          <w:lang w:val="fr-FR"/>
        </w:rPr>
        <w:t>% on</w:t>
      </w:r>
      <w:r w:rsidR="00F35215" w:rsidRPr="008019CF">
        <w:rPr>
          <w:spacing w:val="-1"/>
          <w:lang w:val="fr-FR"/>
        </w:rPr>
        <w:t>t indiqué bien la connaître. La </w:t>
      </w:r>
      <w:r w:rsidRPr="008019CF">
        <w:rPr>
          <w:spacing w:val="-1"/>
          <w:lang w:val="fr-FR"/>
        </w:rPr>
        <w:t>majorit</w:t>
      </w:r>
      <w:r w:rsidR="00F35215" w:rsidRPr="008019CF">
        <w:rPr>
          <w:spacing w:val="-1"/>
          <w:lang w:val="fr-FR"/>
        </w:rPr>
        <w:t>é des personnes interrogées (46 </w:t>
      </w:r>
      <w:r w:rsidRPr="008019CF">
        <w:rPr>
          <w:spacing w:val="-1"/>
          <w:lang w:val="fr-FR"/>
        </w:rPr>
        <w:t>%) savaient que la loi existait, mais en ignoraient le contenu. L’étude a en outre montré que peu d’employeurs avaient connaissance de la législation interdisant la discrimination fondée sur le sexe lors du recrutement et que le phénomène était courant. Point positif, les employeurs avaient généralement conscience qu’il leur incombait de s’occuper des cas de harcèlement sexiste ou sexuel sur le lieu de travail.</w:t>
      </w:r>
    </w:p>
    <w:p w:rsidR="00FD6BA8" w:rsidRPr="00692634" w:rsidRDefault="00FD6BA8" w:rsidP="00FD6BA8">
      <w:pPr>
        <w:pStyle w:val="SingleTxtG"/>
        <w:rPr>
          <w:lang w:val="fr-FR"/>
        </w:rPr>
      </w:pPr>
      <w:r>
        <w:rPr>
          <w:lang w:val="fr-FR"/>
        </w:rPr>
        <w:lastRenderedPageBreak/>
        <w:t>18.</w:t>
      </w:r>
      <w:r>
        <w:rPr>
          <w:lang w:val="fr-FR"/>
        </w:rPr>
        <w:tab/>
        <w:t xml:space="preserve">L’étude a montré </w:t>
      </w:r>
      <w:r w:rsidRPr="00D60582">
        <w:rPr>
          <w:lang w:val="fr-FR"/>
        </w:rPr>
        <w:t>que la plupart des employeurs (90</w:t>
      </w:r>
      <w:r w:rsidR="0076147A">
        <w:rPr>
          <w:lang w:val="fr-FR"/>
        </w:rPr>
        <w:t> </w:t>
      </w:r>
      <w:r w:rsidRPr="00D60582">
        <w:rPr>
          <w:lang w:val="fr-FR"/>
        </w:rPr>
        <w:t>%) disposaient de d</w:t>
      </w:r>
      <w:r w:rsidR="0076147A">
        <w:rPr>
          <w:lang w:val="fr-FR"/>
        </w:rPr>
        <w:t>escriptions de postes et que 64 </w:t>
      </w:r>
      <w:r w:rsidRPr="00D60582">
        <w:rPr>
          <w:lang w:val="fr-FR"/>
        </w:rPr>
        <w:t>% des organisations avaient réglementé l</w:t>
      </w:r>
      <w:r w:rsidR="0076147A">
        <w:rPr>
          <w:lang w:val="fr-FR"/>
        </w:rPr>
        <w:t>es principes salariaux (dont 82 % comptaient 50 </w:t>
      </w:r>
      <w:r w:rsidRPr="00D60582">
        <w:rPr>
          <w:lang w:val="fr-FR"/>
        </w:rPr>
        <w:t>employés ou plus). Dans les documents régissant les relations et les conditions de travail, les principes et objectifs en matière d</w:t>
      </w:r>
      <w:r>
        <w:rPr>
          <w:lang w:val="fr-FR"/>
        </w:rPr>
        <w:t>’</w:t>
      </w:r>
      <w:r w:rsidRPr="00D60582">
        <w:rPr>
          <w:lang w:val="fr-FR"/>
        </w:rPr>
        <w:t xml:space="preserve">égalité des sexes étaient </w:t>
      </w:r>
      <w:r>
        <w:rPr>
          <w:lang w:val="fr-FR"/>
        </w:rPr>
        <w:t xml:space="preserve">très </w:t>
      </w:r>
      <w:r w:rsidRPr="00D60582">
        <w:rPr>
          <w:lang w:val="fr-FR"/>
        </w:rPr>
        <w:t xml:space="preserve">rarement </w:t>
      </w:r>
      <w:r>
        <w:rPr>
          <w:lang w:val="fr-FR"/>
        </w:rPr>
        <w:t>définis</w:t>
      </w:r>
      <w:r w:rsidR="0076147A">
        <w:rPr>
          <w:lang w:val="fr-FR"/>
        </w:rPr>
        <w:t xml:space="preserve"> (4 %). Dans 33 </w:t>
      </w:r>
      <w:r w:rsidRPr="00D60582">
        <w:rPr>
          <w:lang w:val="fr-FR"/>
        </w:rPr>
        <w:t>% des organisations, les salaires étaient entièr</w:t>
      </w:r>
      <w:r w:rsidR="0076147A">
        <w:rPr>
          <w:lang w:val="fr-FR"/>
        </w:rPr>
        <w:t>ement négociables, alors que 19 </w:t>
      </w:r>
      <w:r w:rsidRPr="00D60582">
        <w:rPr>
          <w:lang w:val="fr-FR"/>
        </w:rPr>
        <w:t>% d</w:t>
      </w:r>
      <w:r>
        <w:rPr>
          <w:lang w:val="fr-FR"/>
        </w:rPr>
        <w:t>’</w:t>
      </w:r>
      <w:r w:rsidRPr="00D60582">
        <w:rPr>
          <w:lang w:val="fr-FR"/>
        </w:rPr>
        <w:t>entre elles prévoyaient des</w:t>
      </w:r>
      <w:r w:rsidR="0076147A">
        <w:rPr>
          <w:lang w:val="fr-FR"/>
        </w:rPr>
        <w:t xml:space="preserve"> salaires fixes.</w:t>
      </w:r>
    </w:p>
    <w:p w:rsidR="00FD6BA8" w:rsidRPr="00692634" w:rsidRDefault="00FD6BA8" w:rsidP="00FD6BA8">
      <w:pPr>
        <w:pStyle w:val="SingleTxtG"/>
        <w:rPr>
          <w:lang w:val="fr-FR"/>
        </w:rPr>
      </w:pPr>
      <w:r>
        <w:rPr>
          <w:lang w:val="fr-FR"/>
        </w:rPr>
        <w:t>19.</w:t>
      </w:r>
      <w:r>
        <w:rPr>
          <w:lang w:val="fr-FR"/>
        </w:rPr>
        <w:tab/>
        <w:t>L’ensemble des mesures publiques visant à promouvoir l’égalité des sexes sont regroupées dans le Plan de développement de la protection sociale 2016-2023</w:t>
      </w:r>
      <w:r w:rsidRPr="000C524A">
        <w:rPr>
          <w:rStyle w:val="Appelnotedebasdep"/>
        </w:rPr>
        <w:footnoteReference w:id="8"/>
      </w:r>
      <w:r w:rsidR="008B67F9">
        <w:rPr>
          <w:lang w:val="fr-FR"/>
        </w:rPr>
        <w:t>.</w:t>
      </w:r>
    </w:p>
    <w:p w:rsidR="00FD6BA8" w:rsidRPr="00692634" w:rsidRDefault="00FD6BA8" w:rsidP="00FD6BA8">
      <w:pPr>
        <w:pStyle w:val="SingleTxtG"/>
        <w:rPr>
          <w:lang w:val="fr-FR"/>
        </w:rPr>
      </w:pPr>
      <w:r>
        <w:rPr>
          <w:lang w:val="fr-FR"/>
        </w:rPr>
        <w:t>20.</w:t>
      </w:r>
      <w:r>
        <w:rPr>
          <w:lang w:val="fr-FR"/>
        </w:rPr>
        <w:tab/>
        <w:t>Jusqu’à récemment, les fonds alloués à l’égalité des sexes provenaient principalement de sources étrangères, notamment du Fonds social européen et du Mécanisme financier norvégien. À partir de 2019, le Gouvernement prévoi</w:t>
      </w:r>
      <w:r w:rsidR="008B67F9">
        <w:rPr>
          <w:lang w:val="fr-FR"/>
        </w:rPr>
        <w:t>t un financement de base de 500 000 </w:t>
      </w:r>
      <w:r>
        <w:rPr>
          <w:lang w:val="fr-FR"/>
        </w:rPr>
        <w:t>euros par année en faveur de l’égalité des sexes, ce qui montre qu’une priorité plus éle</w:t>
      </w:r>
      <w:r w:rsidR="008B67F9">
        <w:rPr>
          <w:lang w:val="fr-FR"/>
        </w:rPr>
        <w:t>vée est accordée à la question.</w:t>
      </w:r>
    </w:p>
    <w:p w:rsidR="00FD6BA8" w:rsidRPr="00D60582" w:rsidRDefault="00FD6BA8" w:rsidP="008B67F9">
      <w:pPr>
        <w:pStyle w:val="H23G"/>
        <w:rPr>
          <w:lang w:val="fr-FR"/>
        </w:rPr>
      </w:pPr>
      <w:r>
        <w:rPr>
          <w:lang w:val="fr-FR"/>
        </w:rPr>
        <w:tab/>
      </w:r>
      <w:r>
        <w:rPr>
          <w:lang w:val="fr-FR"/>
        </w:rPr>
        <w:tab/>
      </w:r>
      <w:r w:rsidRPr="00D60582">
        <w:rPr>
          <w:lang w:val="fr-FR"/>
        </w:rPr>
        <w:t>Représentation des femmes</w:t>
      </w:r>
    </w:p>
    <w:p w:rsidR="00FD6BA8" w:rsidRPr="00692634" w:rsidRDefault="00FD6BA8" w:rsidP="00FD6BA8">
      <w:pPr>
        <w:pStyle w:val="SingleTxtG"/>
        <w:rPr>
          <w:lang w:val="fr-FR"/>
        </w:rPr>
      </w:pPr>
      <w:r w:rsidRPr="00D60582">
        <w:rPr>
          <w:lang w:val="fr-FR"/>
        </w:rPr>
        <w:t>21.</w:t>
      </w:r>
      <w:r w:rsidRPr="00D60582">
        <w:rPr>
          <w:lang w:val="fr-FR"/>
        </w:rPr>
        <w:tab/>
        <w:t xml:space="preserve">La participation équilibrée des femmes et des hommes à la vie politique à tous les échelons du processus décisionnel est </w:t>
      </w:r>
      <w:r>
        <w:rPr>
          <w:lang w:val="fr-FR"/>
        </w:rPr>
        <w:t>l’</w:t>
      </w:r>
      <w:r w:rsidRPr="00D60582">
        <w:rPr>
          <w:lang w:val="fr-FR"/>
        </w:rPr>
        <w:t>un des domaines d</w:t>
      </w:r>
      <w:r>
        <w:rPr>
          <w:lang w:val="fr-FR"/>
        </w:rPr>
        <w:t>’</w:t>
      </w:r>
      <w:r w:rsidRPr="00D60582">
        <w:rPr>
          <w:lang w:val="fr-FR"/>
        </w:rPr>
        <w:t>intervention définis dans le cadre du sous-objectif relatif à l</w:t>
      </w:r>
      <w:r>
        <w:rPr>
          <w:lang w:val="fr-FR"/>
        </w:rPr>
        <w:t>’</w:t>
      </w:r>
      <w:r w:rsidRPr="00D60582">
        <w:rPr>
          <w:lang w:val="fr-FR"/>
        </w:rPr>
        <w:t>égalité des sexes du Plan de développement de la protection sociale 2016-2023 et de son plan d</w:t>
      </w:r>
      <w:r>
        <w:rPr>
          <w:lang w:val="fr-FR"/>
        </w:rPr>
        <w:t>’</w:t>
      </w:r>
      <w:r w:rsidRPr="00D60582">
        <w:rPr>
          <w:lang w:val="fr-FR"/>
        </w:rPr>
        <w:t>action. Des mesures seront mises en œuvre dans les années à venir pour sensibiliser les entrepreneurs à la</w:t>
      </w:r>
      <w:r>
        <w:rPr>
          <w:lang w:val="fr-FR"/>
        </w:rPr>
        <w:t xml:space="preserve"> nécessité de parvenir à une représentation plus équilibrée des femmes et des hommes aux postes de direction,</w:t>
      </w:r>
      <w:r w:rsidRPr="00DA1737">
        <w:rPr>
          <w:lang w:val="fr-FR"/>
        </w:rPr>
        <w:t xml:space="preserve"> </w:t>
      </w:r>
      <w:r>
        <w:rPr>
          <w:lang w:val="fr-FR"/>
        </w:rPr>
        <w:t>et aux possibilités qui s’offrent aux deux sexes dans ce domaine. Des activités seront prévues pour soutenir le recours éventuel à une alternance hommes-fem</w:t>
      </w:r>
      <w:r w:rsidR="008B67F9">
        <w:rPr>
          <w:lang w:val="fr-FR"/>
        </w:rPr>
        <w:t>mes sur les listes électorales.</w:t>
      </w:r>
    </w:p>
    <w:p w:rsidR="00FD6BA8" w:rsidRPr="00692634" w:rsidRDefault="00FD6BA8" w:rsidP="00242132">
      <w:pPr>
        <w:pStyle w:val="H23G"/>
        <w:ind w:left="0" w:firstLine="0"/>
        <w:rPr>
          <w:lang w:val="fr-FR"/>
        </w:rPr>
      </w:pPr>
      <w:r>
        <w:rPr>
          <w:lang w:val="fr-FR"/>
        </w:rPr>
        <w:t>Proportion d’hommes et de femmes cadres et entreprene</w:t>
      </w:r>
      <w:r w:rsidR="008B67F9">
        <w:rPr>
          <w:lang w:val="fr-FR"/>
        </w:rPr>
        <w:t>urs dans les secteurs public et</w:t>
      </w:r>
      <w:r w:rsidR="00242132">
        <w:rPr>
          <w:lang w:val="fr-FR"/>
        </w:rPr>
        <w:t xml:space="preserve"> </w:t>
      </w:r>
      <w:r>
        <w:rPr>
          <w:lang w:val="fr-FR"/>
        </w:rPr>
        <w:t xml:space="preserve">privé, </w:t>
      </w:r>
      <w:r w:rsidR="00242132">
        <w:rPr>
          <w:lang w:val="fr-FR"/>
        </w:rPr>
        <w:br/>
      </w:r>
      <w:r>
        <w:rPr>
          <w:lang w:val="fr-FR"/>
        </w:rPr>
        <w:t>2006-2017</w:t>
      </w:r>
      <w:r w:rsidR="00BB08CD">
        <w:rPr>
          <w:lang w:val="fr-FR"/>
        </w:rPr>
        <w:t xml:space="preserve"> </w:t>
      </w:r>
      <w:r w:rsidR="00BB08CD">
        <w:rPr>
          <w:lang w:val="fr-FR"/>
        </w:rPr>
        <w:br/>
      </w:r>
      <w:r w:rsidR="00BB08CD" w:rsidRPr="00BB08CD">
        <w:rPr>
          <w:b w:val="0"/>
          <w:sz w:val="16"/>
          <w:szCs w:val="16"/>
          <w:lang w:val="fr-FR"/>
        </w:rPr>
        <w:t>(En pourcentage)</w:t>
      </w:r>
    </w:p>
    <w:tbl>
      <w:tblPr>
        <w:tblOverlap w:val="never"/>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1"/>
        <w:gridCol w:w="1280"/>
        <w:gridCol w:w="616"/>
        <w:gridCol w:w="616"/>
        <w:gridCol w:w="617"/>
        <w:gridCol w:w="616"/>
        <w:gridCol w:w="616"/>
        <w:gridCol w:w="617"/>
        <w:gridCol w:w="616"/>
        <w:gridCol w:w="616"/>
        <w:gridCol w:w="617"/>
        <w:gridCol w:w="616"/>
        <w:gridCol w:w="616"/>
        <w:gridCol w:w="617"/>
      </w:tblGrid>
      <w:tr w:rsidR="00242132" w:rsidRPr="00242132" w:rsidTr="001B60B2">
        <w:trPr>
          <w:tblHeader/>
        </w:trPr>
        <w:tc>
          <w:tcPr>
            <w:tcW w:w="961" w:type="dxa"/>
            <w:tcBorders>
              <w:bottom w:val="nil"/>
            </w:tcBorders>
            <w:shd w:val="clear" w:color="auto" w:fill="auto"/>
            <w:vAlign w:val="bottom"/>
          </w:tcPr>
          <w:p w:rsidR="00FD6BA8" w:rsidRPr="00242132" w:rsidRDefault="00FD6BA8" w:rsidP="00242132">
            <w:pPr>
              <w:suppressAutoHyphens w:val="0"/>
              <w:spacing w:before="80" w:after="80" w:line="200" w:lineRule="exact"/>
              <w:rPr>
                <w:i/>
                <w:sz w:val="16"/>
                <w:lang w:val="fr-FR"/>
              </w:rPr>
            </w:pPr>
          </w:p>
        </w:tc>
        <w:tc>
          <w:tcPr>
            <w:tcW w:w="1280" w:type="dxa"/>
            <w:tcBorders>
              <w:top w:val="single" w:sz="4" w:space="0" w:color="auto"/>
              <w:bottom w:val="nil"/>
            </w:tcBorders>
            <w:shd w:val="clear" w:color="auto" w:fill="auto"/>
          </w:tcPr>
          <w:p w:rsidR="00FD6BA8" w:rsidRPr="00242132" w:rsidRDefault="00FD6BA8" w:rsidP="00903181">
            <w:pPr>
              <w:suppressAutoHyphens w:val="0"/>
              <w:spacing w:before="80" w:after="80" w:line="200" w:lineRule="exact"/>
              <w:rPr>
                <w:i/>
                <w:sz w:val="16"/>
              </w:rPr>
            </w:pPr>
            <w:r w:rsidRPr="00242132">
              <w:rPr>
                <w:i/>
                <w:iCs/>
                <w:sz w:val="16"/>
                <w:lang w:val="fr-FR"/>
              </w:rPr>
              <w:t>Année</w:t>
            </w:r>
          </w:p>
        </w:tc>
        <w:tc>
          <w:tcPr>
            <w:tcW w:w="616"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2006</w:t>
            </w:r>
          </w:p>
        </w:tc>
        <w:tc>
          <w:tcPr>
            <w:tcW w:w="616"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2007</w:t>
            </w:r>
          </w:p>
        </w:tc>
        <w:tc>
          <w:tcPr>
            <w:tcW w:w="617"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2008</w:t>
            </w:r>
          </w:p>
        </w:tc>
        <w:tc>
          <w:tcPr>
            <w:tcW w:w="616"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2009</w:t>
            </w:r>
          </w:p>
        </w:tc>
        <w:tc>
          <w:tcPr>
            <w:tcW w:w="616"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2010</w:t>
            </w:r>
          </w:p>
        </w:tc>
        <w:tc>
          <w:tcPr>
            <w:tcW w:w="617"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2011</w:t>
            </w:r>
          </w:p>
        </w:tc>
        <w:tc>
          <w:tcPr>
            <w:tcW w:w="616"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2012</w:t>
            </w:r>
          </w:p>
        </w:tc>
        <w:tc>
          <w:tcPr>
            <w:tcW w:w="616"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2013</w:t>
            </w:r>
          </w:p>
        </w:tc>
        <w:tc>
          <w:tcPr>
            <w:tcW w:w="617"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2014</w:t>
            </w:r>
          </w:p>
        </w:tc>
        <w:tc>
          <w:tcPr>
            <w:tcW w:w="616"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2015</w:t>
            </w:r>
          </w:p>
        </w:tc>
        <w:tc>
          <w:tcPr>
            <w:tcW w:w="616"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2016</w:t>
            </w:r>
          </w:p>
        </w:tc>
        <w:tc>
          <w:tcPr>
            <w:tcW w:w="617" w:type="dxa"/>
            <w:tcBorders>
              <w:top w:val="single" w:sz="4" w:space="0" w:color="auto"/>
              <w:bottom w:val="nil"/>
            </w:tcBorders>
            <w:shd w:val="clear" w:color="auto" w:fill="auto"/>
            <w:vAlign w:val="bottom"/>
          </w:tcPr>
          <w:p w:rsidR="00FD6BA8" w:rsidRPr="00242132" w:rsidRDefault="00FD6BA8" w:rsidP="00242132">
            <w:pPr>
              <w:suppressAutoHyphens w:val="0"/>
              <w:spacing w:before="80" w:after="80" w:line="200" w:lineRule="exact"/>
              <w:jc w:val="right"/>
              <w:rPr>
                <w:i/>
                <w:sz w:val="16"/>
              </w:rPr>
            </w:pPr>
            <w:r w:rsidRPr="00242132">
              <w:rPr>
                <w:i/>
                <w:iCs/>
                <w:sz w:val="16"/>
                <w:lang w:val="fr-FR"/>
              </w:rPr>
              <w:t>2017</w:t>
            </w:r>
          </w:p>
        </w:tc>
      </w:tr>
      <w:tr w:rsidR="00242132" w:rsidRPr="004A66BA" w:rsidTr="001B60B2">
        <w:tc>
          <w:tcPr>
            <w:tcW w:w="961" w:type="dxa"/>
            <w:tcBorders>
              <w:top w:val="nil"/>
              <w:bottom w:val="single" w:sz="12" w:space="0" w:color="auto"/>
            </w:tcBorders>
            <w:shd w:val="clear" w:color="auto" w:fill="auto"/>
          </w:tcPr>
          <w:p w:rsidR="00FD6BA8" w:rsidRPr="004A66BA" w:rsidRDefault="00FD6BA8" w:rsidP="004A66BA">
            <w:pPr>
              <w:suppressAutoHyphens w:val="0"/>
              <w:spacing w:before="80" w:after="80" w:line="200" w:lineRule="exact"/>
              <w:rPr>
                <w:i/>
                <w:iCs/>
                <w:sz w:val="16"/>
                <w:lang w:val="fr-FR"/>
              </w:rPr>
            </w:pPr>
            <w:r w:rsidRPr="004A66BA">
              <w:rPr>
                <w:i/>
                <w:iCs/>
                <w:sz w:val="16"/>
                <w:lang w:val="fr-FR"/>
              </w:rPr>
              <w:t>Sexe</w:t>
            </w:r>
          </w:p>
        </w:tc>
        <w:tc>
          <w:tcPr>
            <w:tcW w:w="1280" w:type="dxa"/>
            <w:tcBorders>
              <w:top w:val="nil"/>
              <w:bottom w:val="single" w:sz="12" w:space="0" w:color="auto"/>
            </w:tcBorders>
            <w:shd w:val="clear" w:color="auto" w:fill="auto"/>
          </w:tcPr>
          <w:p w:rsidR="00FD6BA8" w:rsidRPr="004A66BA" w:rsidRDefault="00FD6BA8" w:rsidP="00903181">
            <w:pPr>
              <w:suppressAutoHyphens w:val="0"/>
              <w:spacing w:before="80" w:after="80" w:line="200" w:lineRule="exact"/>
              <w:rPr>
                <w:i/>
                <w:iCs/>
                <w:sz w:val="16"/>
                <w:lang w:val="fr-FR"/>
              </w:rPr>
            </w:pPr>
            <w:r w:rsidRPr="004A66BA">
              <w:rPr>
                <w:i/>
                <w:iCs/>
                <w:sz w:val="16"/>
                <w:lang w:val="fr-FR"/>
              </w:rPr>
              <w:t>Indicateur</w:t>
            </w:r>
          </w:p>
        </w:tc>
        <w:tc>
          <w:tcPr>
            <w:tcW w:w="616"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c>
          <w:tcPr>
            <w:tcW w:w="616"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c>
          <w:tcPr>
            <w:tcW w:w="617"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c>
          <w:tcPr>
            <w:tcW w:w="616"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c>
          <w:tcPr>
            <w:tcW w:w="616"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c>
          <w:tcPr>
            <w:tcW w:w="617"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c>
          <w:tcPr>
            <w:tcW w:w="616"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c>
          <w:tcPr>
            <w:tcW w:w="616"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c>
          <w:tcPr>
            <w:tcW w:w="617"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c>
          <w:tcPr>
            <w:tcW w:w="616"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c>
          <w:tcPr>
            <w:tcW w:w="616"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c>
          <w:tcPr>
            <w:tcW w:w="617" w:type="dxa"/>
            <w:tcBorders>
              <w:top w:val="nil"/>
              <w:bottom w:val="single" w:sz="12" w:space="0" w:color="auto"/>
            </w:tcBorders>
            <w:shd w:val="clear" w:color="auto" w:fill="auto"/>
            <w:vAlign w:val="bottom"/>
          </w:tcPr>
          <w:p w:rsidR="00FD6BA8" w:rsidRPr="004A66BA" w:rsidRDefault="00FD6BA8" w:rsidP="004A66BA">
            <w:pPr>
              <w:suppressAutoHyphens w:val="0"/>
              <w:spacing w:before="80" w:after="80" w:line="200" w:lineRule="exact"/>
              <w:jc w:val="right"/>
              <w:rPr>
                <w:i/>
                <w:iCs/>
                <w:sz w:val="16"/>
                <w:lang w:val="fr-FR"/>
              </w:rPr>
            </w:pPr>
          </w:p>
        </w:tc>
      </w:tr>
      <w:tr w:rsidR="00903181" w:rsidRPr="00242132" w:rsidTr="001B60B2">
        <w:tc>
          <w:tcPr>
            <w:tcW w:w="961" w:type="dxa"/>
            <w:tcBorders>
              <w:top w:val="single" w:sz="12" w:space="0" w:color="auto"/>
            </w:tcBorders>
            <w:shd w:val="clear" w:color="auto" w:fill="auto"/>
          </w:tcPr>
          <w:p w:rsidR="00903181" w:rsidRPr="00242132" w:rsidRDefault="00903181" w:rsidP="00242132">
            <w:pPr>
              <w:suppressAutoHyphens w:val="0"/>
              <w:spacing w:before="40" w:after="40" w:line="220" w:lineRule="exact"/>
              <w:rPr>
                <w:sz w:val="18"/>
              </w:rPr>
            </w:pPr>
            <w:r>
              <w:rPr>
                <w:sz w:val="18"/>
                <w:lang w:val="fr-FR"/>
              </w:rPr>
              <w:t>Hommes et </w:t>
            </w:r>
            <w:r w:rsidRPr="00242132">
              <w:rPr>
                <w:sz w:val="18"/>
                <w:lang w:val="fr-FR"/>
              </w:rPr>
              <w:t>femmes</w:t>
            </w:r>
          </w:p>
        </w:tc>
        <w:tc>
          <w:tcPr>
            <w:tcW w:w="1280" w:type="dxa"/>
            <w:vMerge w:val="restart"/>
            <w:tcBorders>
              <w:top w:val="single" w:sz="12" w:space="0" w:color="auto"/>
            </w:tcBorders>
            <w:shd w:val="clear" w:color="auto" w:fill="auto"/>
          </w:tcPr>
          <w:p w:rsidR="00903181" w:rsidRPr="00242132" w:rsidRDefault="00903181" w:rsidP="00903181">
            <w:pPr>
              <w:suppressAutoHyphens w:val="0"/>
              <w:spacing w:before="40" w:after="40" w:line="220" w:lineRule="exact"/>
              <w:rPr>
                <w:sz w:val="18"/>
              </w:rPr>
            </w:pPr>
            <w:r w:rsidRPr="00242132">
              <w:rPr>
                <w:sz w:val="18"/>
                <w:lang w:val="fr-FR"/>
              </w:rPr>
              <w:t>Cadres</w:t>
            </w:r>
          </w:p>
        </w:tc>
        <w:tc>
          <w:tcPr>
            <w:tcW w:w="616"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7"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7"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7"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7" w:type="dxa"/>
            <w:tcBorders>
              <w:top w:val="single" w:sz="12" w:space="0" w:color="auto"/>
            </w:tcBorders>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r>
      <w:tr w:rsidR="00903181" w:rsidRPr="00242132" w:rsidTr="001B60B2">
        <w:tc>
          <w:tcPr>
            <w:tcW w:w="961" w:type="dxa"/>
            <w:shd w:val="clear" w:color="auto" w:fill="auto"/>
          </w:tcPr>
          <w:p w:rsidR="00903181" w:rsidRPr="00242132" w:rsidRDefault="00903181" w:rsidP="00242132">
            <w:pPr>
              <w:suppressAutoHyphens w:val="0"/>
              <w:spacing w:before="40" w:after="40" w:line="220" w:lineRule="exact"/>
              <w:rPr>
                <w:sz w:val="18"/>
              </w:rPr>
            </w:pPr>
            <w:r w:rsidRPr="00242132">
              <w:rPr>
                <w:sz w:val="18"/>
                <w:lang w:val="fr-FR"/>
              </w:rPr>
              <w:t>Hommes</w:t>
            </w:r>
          </w:p>
        </w:tc>
        <w:tc>
          <w:tcPr>
            <w:tcW w:w="1280" w:type="dxa"/>
            <w:vMerge/>
            <w:shd w:val="clear" w:color="auto" w:fill="auto"/>
            <w:vAlign w:val="bottom"/>
          </w:tcPr>
          <w:p w:rsidR="00903181" w:rsidRPr="00242132" w:rsidRDefault="00903181" w:rsidP="00242132">
            <w:pPr>
              <w:suppressAutoHyphens w:val="0"/>
              <w:spacing w:before="40" w:after="40" w:line="220" w:lineRule="exact"/>
              <w:jc w:val="right"/>
              <w:rPr>
                <w:sz w:val="18"/>
              </w:rPr>
            </w:pP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62,9</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60,8</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59,1</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59,3</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61,9</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57,3</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57,6</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58,2</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66,2</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69,5</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64,0</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63,2</w:t>
            </w:r>
          </w:p>
        </w:tc>
      </w:tr>
      <w:tr w:rsidR="00903181" w:rsidRPr="00242132" w:rsidTr="001B60B2">
        <w:tc>
          <w:tcPr>
            <w:tcW w:w="961" w:type="dxa"/>
            <w:shd w:val="clear" w:color="auto" w:fill="auto"/>
          </w:tcPr>
          <w:p w:rsidR="00903181" w:rsidRPr="00242132" w:rsidRDefault="00903181" w:rsidP="00242132">
            <w:pPr>
              <w:suppressAutoHyphens w:val="0"/>
              <w:spacing w:before="40" w:after="40" w:line="220" w:lineRule="exact"/>
              <w:rPr>
                <w:sz w:val="18"/>
              </w:rPr>
            </w:pPr>
            <w:r w:rsidRPr="00242132">
              <w:rPr>
                <w:sz w:val="18"/>
                <w:lang w:val="fr-FR"/>
              </w:rPr>
              <w:t>Femmes</w:t>
            </w:r>
          </w:p>
        </w:tc>
        <w:tc>
          <w:tcPr>
            <w:tcW w:w="1280" w:type="dxa"/>
            <w:vMerge/>
            <w:shd w:val="clear" w:color="auto" w:fill="auto"/>
            <w:vAlign w:val="bottom"/>
          </w:tcPr>
          <w:p w:rsidR="00903181" w:rsidRPr="00242132" w:rsidRDefault="00903181" w:rsidP="00242132">
            <w:pPr>
              <w:suppressAutoHyphens w:val="0"/>
              <w:spacing w:before="40" w:after="40" w:line="220" w:lineRule="exact"/>
              <w:jc w:val="right"/>
              <w:rPr>
                <w:sz w:val="18"/>
              </w:rPr>
            </w:pP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37,1</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39,2</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40,9</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40,7</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38,1</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42,7</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42,4</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41,8</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33,8</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30,5</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36,0</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36,8</w:t>
            </w:r>
          </w:p>
        </w:tc>
      </w:tr>
      <w:tr w:rsidR="00903181" w:rsidRPr="00242132" w:rsidTr="001B60B2">
        <w:tc>
          <w:tcPr>
            <w:tcW w:w="961" w:type="dxa"/>
            <w:shd w:val="clear" w:color="auto" w:fill="auto"/>
          </w:tcPr>
          <w:p w:rsidR="00903181" w:rsidRPr="00242132" w:rsidRDefault="00903181" w:rsidP="00242132">
            <w:pPr>
              <w:suppressAutoHyphens w:val="0"/>
              <w:spacing w:before="40" w:after="40" w:line="220" w:lineRule="exact"/>
              <w:rPr>
                <w:sz w:val="18"/>
              </w:rPr>
            </w:pPr>
            <w:r>
              <w:rPr>
                <w:sz w:val="18"/>
                <w:lang w:val="fr-FR"/>
              </w:rPr>
              <w:t>Hommes et </w:t>
            </w:r>
            <w:r w:rsidRPr="00242132">
              <w:rPr>
                <w:sz w:val="18"/>
                <w:lang w:val="fr-FR"/>
              </w:rPr>
              <w:t>femmes</w:t>
            </w:r>
          </w:p>
        </w:tc>
        <w:tc>
          <w:tcPr>
            <w:tcW w:w="1280" w:type="dxa"/>
            <w:vMerge w:val="restart"/>
            <w:shd w:val="clear" w:color="auto" w:fill="auto"/>
          </w:tcPr>
          <w:p w:rsidR="00903181" w:rsidRPr="00242132" w:rsidRDefault="00903181" w:rsidP="00903181">
            <w:pPr>
              <w:suppressAutoHyphens w:val="0"/>
              <w:spacing w:before="40" w:after="40" w:line="220" w:lineRule="exact"/>
              <w:rPr>
                <w:sz w:val="18"/>
              </w:rPr>
            </w:pPr>
            <w:r w:rsidRPr="00242132">
              <w:rPr>
                <w:sz w:val="18"/>
                <w:lang w:val="fr-FR"/>
              </w:rPr>
              <w:t>Entrepreneurs</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100,0</w:t>
            </w:r>
          </w:p>
        </w:tc>
      </w:tr>
      <w:tr w:rsidR="00903181" w:rsidRPr="00242132" w:rsidTr="001B60B2">
        <w:tc>
          <w:tcPr>
            <w:tcW w:w="961" w:type="dxa"/>
            <w:shd w:val="clear" w:color="auto" w:fill="auto"/>
          </w:tcPr>
          <w:p w:rsidR="00903181" w:rsidRPr="00242132" w:rsidRDefault="00903181" w:rsidP="00242132">
            <w:pPr>
              <w:suppressAutoHyphens w:val="0"/>
              <w:spacing w:before="40" w:after="40" w:line="220" w:lineRule="exact"/>
              <w:rPr>
                <w:sz w:val="18"/>
              </w:rPr>
            </w:pPr>
            <w:r w:rsidRPr="00242132">
              <w:rPr>
                <w:sz w:val="18"/>
                <w:lang w:val="fr-FR"/>
              </w:rPr>
              <w:t>Hommes</w:t>
            </w:r>
          </w:p>
        </w:tc>
        <w:tc>
          <w:tcPr>
            <w:tcW w:w="1280" w:type="dxa"/>
            <w:vMerge/>
            <w:shd w:val="clear" w:color="auto" w:fill="auto"/>
            <w:vAlign w:val="bottom"/>
          </w:tcPr>
          <w:p w:rsidR="00903181" w:rsidRPr="00242132" w:rsidRDefault="00903181" w:rsidP="00242132">
            <w:pPr>
              <w:suppressAutoHyphens w:val="0"/>
              <w:spacing w:before="40" w:after="40" w:line="220" w:lineRule="exact"/>
              <w:jc w:val="right"/>
              <w:rPr>
                <w:sz w:val="18"/>
              </w:rPr>
            </w:pP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68,8</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68,6</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69,4</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67,2</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68,4</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67,3</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69,1</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68,1</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69,7</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65,5</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65,8</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69,2</w:t>
            </w:r>
          </w:p>
        </w:tc>
      </w:tr>
      <w:tr w:rsidR="00903181" w:rsidRPr="00242132" w:rsidTr="001B60B2">
        <w:tc>
          <w:tcPr>
            <w:tcW w:w="961" w:type="dxa"/>
            <w:shd w:val="clear" w:color="auto" w:fill="auto"/>
          </w:tcPr>
          <w:p w:rsidR="00903181" w:rsidRPr="00242132" w:rsidRDefault="00903181" w:rsidP="00242132">
            <w:pPr>
              <w:suppressAutoHyphens w:val="0"/>
              <w:spacing w:before="40" w:after="40" w:line="220" w:lineRule="exact"/>
              <w:rPr>
                <w:sz w:val="18"/>
              </w:rPr>
            </w:pPr>
            <w:r w:rsidRPr="00242132">
              <w:rPr>
                <w:sz w:val="18"/>
                <w:lang w:val="fr-FR"/>
              </w:rPr>
              <w:t>Femmes</w:t>
            </w:r>
          </w:p>
        </w:tc>
        <w:tc>
          <w:tcPr>
            <w:tcW w:w="1280" w:type="dxa"/>
            <w:vMerge/>
            <w:shd w:val="clear" w:color="auto" w:fill="auto"/>
            <w:vAlign w:val="bottom"/>
          </w:tcPr>
          <w:p w:rsidR="00903181" w:rsidRPr="00242132" w:rsidRDefault="00903181" w:rsidP="00242132">
            <w:pPr>
              <w:suppressAutoHyphens w:val="0"/>
              <w:spacing w:before="40" w:after="40" w:line="220" w:lineRule="exact"/>
              <w:jc w:val="right"/>
              <w:rPr>
                <w:sz w:val="18"/>
              </w:rPr>
            </w:pP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31,2</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31,4</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30,6</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32,8</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31,6</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32,7</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30,9</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31,9</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30,3</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34,5</w:t>
            </w:r>
          </w:p>
        </w:tc>
        <w:tc>
          <w:tcPr>
            <w:tcW w:w="616"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34,2</w:t>
            </w:r>
          </w:p>
        </w:tc>
        <w:tc>
          <w:tcPr>
            <w:tcW w:w="617" w:type="dxa"/>
            <w:shd w:val="clear" w:color="auto" w:fill="auto"/>
            <w:vAlign w:val="bottom"/>
          </w:tcPr>
          <w:p w:rsidR="00903181" w:rsidRPr="00242132" w:rsidRDefault="00903181" w:rsidP="00242132">
            <w:pPr>
              <w:suppressAutoHyphens w:val="0"/>
              <w:spacing w:before="40" w:after="40" w:line="220" w:lineRule="exact"/>
              <w:jc w:val="right"/>
              <w:rPr>
                <w:sz w:val="18"/>
              </w:rPr>
            </w:pPr>
            <w:r w:rsidRPr="00242132">
              <w:rPr>
                <w:sz w:val="18"/>
                <w:lang w:val="fr-FR"/>
              </w:rPr>
              <w:t>30,8</w:t>
            </w:r>
          </w:p>
        </w:tc>
      </w:tr>
    </w:tbl>
    <w:p w:rsidR="00FD6BA8" w:rsidRPr="00692634" w:rsidRDefault="00FD6BA8" w:rsidP="00BB08CD">
      <w:pPr>
        <w:pStyle w:val="SingleTxtG"/>
        <w:spacing w:before="120"/>
        <w:rPr>
          <w:lang w:val="fr-FR"/>
        </w:rPr>
      </w:pPr>
      <w:r>
        <w:rPr>
          <w:lang w:val="fr-FR"/>
        </w:rPr>
        <w:t>22.</w:t>
      </w:r>
      <w:r>
        <w:rPr>
          <w:lang w:val="fr-FR"/>
        </w:rPr>
        <w:tab/>
        <w:t xml:space="preserve">La proportion </w:t>
      </w:r>
      <w:r w:rsidRPr="00D60582">
        <w:rPr>
          <w:lang w:val="fr-FR"/>
        </w:rPr>
        <w:t>d</w:t>
      </w:r>
      <w:r>
        <w:rPr>
          <w:lang w:val="fr-FR"/>
        </w:rPr>
        <w:t>’</w:t>
      </w:r>
      <w:r w:rsidRPr="00D60582">
        <w:rPr>
          <w:lang w:val="fr-FR"/>
        </w:rPr>
        <w:t>hommes et de femmes à différents niveaux est régulièrement évaluée dans les secteurs public et privé. L</w:t>
      </w:r>
      <w:r>
        <w:rPr>
          <w:lang w:val="fr-FR"/>
        </w:rPr>
        <w:t>’</w:t>
      </w:r>
      <w:r w:rsidRPr="00D60582">
        <w:rPr>
          <w:lang w:val="fr-FR"/>
        </w:rPr>
        <w:t>inégalité entre les sexes aux niveaux décisionnels se reflète dans la représentation des hommes et des femmes en politique et à d</w:t>
      </w:r>
      <w:r>
        <w:rPr>
          <w:lang w:val="fr-FR"/>
        </w:rPr>
        <w:t>’</w:t>
      </w:r>
      <w:r w:rsidRPr="00D60582">
        <w:rPr>
          <w:lang w:val="fr-FR"/>
        </w:rPr>
        <w:t>autres niveaux de la prise de décision dans les secteu</w:t>
      </w:r>
      <w:r w:rsidR="003A3F8A">
        <w:rPr>
          <w:lang w:val="fr-FR"/>
        </w:rPr>
        <w:t>rs public et privé. Sur les 101 </w:t>
      </w:r>
      <w:r w:rsidRPr="00D60582">
        <w:rPr>
          <w:lang w:val="fr-FR"/>
        </w:rPr>
        <w:t xml:space="preserve">membres du Parlement estonien, 30 sont des femmes et </w:t>
      </w:r>
      <w:r w:rsidR="000F2774">
        <w:rPr>
          <w:lang w:val="fr-FR"/>
        </w:rPr>
        <w:t>5</w:t>
      </w:r>
      <w:r>
        <w:rPr>
          <w:lang w:val="fr-FR"/>
        </w:rPr>
        <w:t xml:space="preserve"> des 15</w:t>
      </w:r>
      <w:r w:rsidR="003A3F8A">
        <w:rPr>
          <w:lang w:val="fr-FR"/>
        </w:rPr>
        <w:t> </w:t>
      </w:r>
      <w:r>
        <w:rPr>
          <w:lang w:val="fr-FR"/>
        </w:rPr>
        <w:t xml:space="preserve">membres du Gouvernement </w:t>
      </w:r>
      <w:r w:rsidRPr="00D60582">
        <w:rPr>
          <w:lang w:val="fr-FR"/>
        </w:rPr>
        <w:t xml:space="preserve">sont des femmes. Dans le secteur public, plusieurs postes de haut rang sont occupés par des femmes, notamment ceux de </w:t>
      </w:r>
      <w:r w:rsidR="000F2774">
        <w:rPr>
          <w:lang w:val="fr-FR"/>
        </w:rPr>
        <w:t>P</w:t>
      </w:r>
      <w:r w:rsidRPr="00D60582">
        <w:rPr>
          <w:lang w:val="fr-FR"/>
        </w:rPr>
        <w:t xml:space="preserve">résident de la République, de </w:t>
      </w:r>
      <w:r w:rsidR="000F2774">
        <w:rPr>
          <w:lang w:val="fr-FR"/>
        </w:rPr>
        <w:t>C</w:t>
      </w:r>
      <w:r w:rsidRPr="00D60582">
        <w:rPr>
          <w:lang w:val="fr-FR"/>
        </w:rPr>
        <w:t xml:space="preserve">hancelier de justice et de </w:t>
      </w:r>
      <w:r w:rsidR="000F2774">
        <w:rPr>
          <w:lang w:val="fr-FR"/>
        </w:rPr>
        <w:t>P</w:t>
      </w:r>
      <w:r w:rsidRPr="00D60582">
        <w:rPr>
          <w:lang w:val="fr-FR"/>
        </w:rPr>
        <w:t>rocureur général. Le nombre de femmes juges</w:t>
      </w:r>
      <w:r w:rsidR="000F2774">
        <w:rPr>
          <w:lang w:val="fr-FR"/>
        </w:rPr>
        <w:t xml:space="preserve"> à la Cour suprême est passé de 2</w:t>
      </w:r>
      <w:r w:rsidRPr="00D60582">
        <w:rPr>
          <w:lang w:val="fr-FR"/>
        </w:rPr>
        <w:t xml:space="preserve"> à </w:t>
      </w:r>
      <w:r w:rsidR="000F2774">
        <w:rPr>
          <w:lang w:val="fr-FR"/>
        </w:rPr>
        <w:t>4</w:t>
      </w:r>
      <w:r w:rsidRPr="00D60582">
        <w:rPr>
          <w:lang w:val="fr-FR"/>
        </w:rPr>
        <w:t xml:space="preserve"> (sur un total de 19).</w:t>
      </w:r>
    </w:p>
    <w:p w:rsidR="00FD6BA8" w:rsidRPr="00D60582" w:rsidRDefault="00FD6BA8" w:rsidP="00FD6BA8">
      <w:pPr>
        <w:pStyle w:val="SingleTxtG"/>
        <w:rPr>
          <w:lang w:val="fr-FR"/>
        </w:rPr>
      </w:pPr>
      <w:r>
        <w:rPr>
          <w:lang w:val="fr-FR"/>
        </w:rPr>
        <w:t>23.</w:t>
      </w:r>
      <w:r>
        <w:rPr>
          <w:lang w:val="fr-FR"/>
        </w:rPr>
        <w:tab/>
        <w:t>Au 1</w:t>
      </w:r>
      <w:r>
        <w:rPr>
          <w:vertAlign w:val="superscript"/>
          <w:lang w:val="fr-FR"/>
        </w:rPr>
        <w:t>er</w:t>
      </w:r>
      <w:r w:rsidR="003A3F8A">
        <w:rPr>
          <w:lang w:val="fr-FR"/>
        </w:rPr>
        <w:t> </w:t>
      </w:r>
      <w:r>
        <w:rPr>
          <w:lang w:val="fr-FR"/>
        </w:rPr>
        <w:t>janvier 2018, 49 </w:t>
      </w:r>
      <w:r w:rsidRPr="00D60582">
        <w:rPr>
          <w:lang w:val="fr-FR"/>
        </w:rPr>
        <w:t>% des cadres de la fonction publique (</w:t>
      </w:r>
      <w:r>
        <w:rPr>
          <w:lang w:val="fr-FR"/>
        </w:rPr>
        <w:t>instances</w:t>
      </w:r>
      <w:r w:rsidRPr="00D60582">
        <w:rPr>
          <w:lang w:val="fr-FR"/>
        </w:rPr>
        <w:t xml:space="preserve"> de l</w:t>
      </w:r>
      <w:r>
        <w:rPr>
          <w:lang w:val="fr-FR"/>
        </w:rPr>
        <w:t>’</w:t>
      </w:r>
      <w:r w:rsidRPr="00D60582">
        <w:rPr>
          <w:lang w:val="fr-FR"/>
        </w:rPr>
        <w:t>État et administrations des villes et des municipalités) étaient des femmes et 51</w:t>
      </w:r>
      <w:r w:rsidR="003A3F8A">
        <w:rPr>
          <w:lang w:val="fr-FR"/>
        </w:rPr>
        <w:t> %, des hommes.</w:t>
      </w:r>
    </w:p>
    <w:p w:rsidR="00FD6BA8" w:rsidRPr="00692634" w:rsidRDefault="0067356E" w:rsidP="00927055">
      <w:pPr>
        <w:pStyle w:val="SingleTxtG"/>
        <w:keepNext/>
        <w:keepLines/>
        <w:rPr>
          <w:lang w:val="fr-FR"/>
        </w:rPr>
      </w:pPr>
      <w:r>
        <w:rPr>
          <w:lang w:val="fr-FR"/>
        </w:rPr>
        <w:lastRenderedPageBreak/>
        <w:t>24.</w:t>
      </w:r>
      <w:r>
        <w:rPr>
          <w:lang w:val="fr-FR"/>
        </w:rPr>
        <w:tab/>
        <w:t>En 2017, 55 </w:t>
      </w:r>
      <w:r w:rsidR="00FD6BA8" w:rsidRPr="00D60582">
        <w:rPr>
          <w:lang w:val="fr-FR"/>
        </w:rPr>
        <w:t>% des cadres intermédiaires</w:t>
      </w:r>
      <w:r w:rsidR="00FD6BA8">
        <w:rPr>
          <w:lang w:val="fr-FR"/>
        </w:rPr>
        <w:t xml:space="preserve"> ou chefs de service des ministères est</w:t>
      </w:r>
      <w:r>
        <w:rPr>
          <w:lang w:val="fr-FR"/>
        </w:rPr>
        <w:t>oniens étaient des femmes et 45 %, des hommes, et 21 </w:t>
      </w:r>
      <w:r w:rsidR="00FD6BA8">
        <w:rPr>
          <w:lang w:val="fr-FR"/>
        </w:rPr>
        <w:t>% des cadres supérieurs (à savoir secrétaires généraux et secrétaires généraux adj</w:t>
      </w:r>
      <w:r>
        <w:rPr>
          <w:lang w:val="fr-FR"/>
        </w:rPr>
        <w:t>oints) étaient des femmes et 79 </w:t>
      </w:r>
      <w:r w:rsidR="00FD6BA8">
        <w:rPr>
          <w:lang w:val="fr-FR"/>
        </w:rPr>
        <w:t>%, des hommes. Au niveau international, l’Institut européen pour l’égalité entre les hommes et les femmes (EIGE) publie des statistiques sur la proportion d’hommes et de femmes dans les différents ministères (https://eige.europa.eu/gende</w:t>
      </w:r>
      <w:r>
        <w:rPr>
          <w:lang w:val="fr-FR"/>
        </w:rPr>
        <w:t>r-statistics/dgs/browse/wmidm).</w:t>
      </w:r>
    </w:p>
    <w:p w:rsidR="00FD6BA8" w:rsidRPr="005C49DC" w:rsidRDefault="00FD6BA8" w:rsidP="00FD6BA8">
      <w:pPr>
        <w:pStyle w:val="SingleTxtG"/>
        <w:rPr>
          <w:lang w:val="fr-FR"/>
        </w:rPr>
      </w:pPr>
      <w:r>
        <w:rPr>
          <w:lang w:val="fr-FR"/>
        </w:rPr>
        <w:t>25.</w:t>
      </w:r>
      <w:r>
        <w:rPr>
          <w:lang w:val="fr-FR"/>
        </w:rPr>
        <w:tab/>
        <w:t xml:space="preserve">Dans les organisations, les femmes occupent également moins souvent des postes de direction que les hommes. La situation s’est certes améliorée au cours des dernières années, mais la proportion de femmes cadres </w:t>
      </w:r>
      <w:r w:rsidRPr="005C49DC">
        <w:rPr>
          <w:lang w:val="fr-FR"/>
        </w:rPr>
        <w:t>était de 39</w:t>
      </w:r>
      <w:r w:rsidR="0004780E">
        <w:rPr>
          <w:lang w:val="fr-FR"/>
        </w:rPr>
        <w:t> </w:t>
      </w:r>
      <w:r w:rsidRPr="005C49DC">
        <w:rPr>
          <w:lang w:val="fr-FR"/>
        </w:rPr>
        <w:t>% en 2017</w:t>
      </w:r>
      <w:r w:rsidRPr="000C524A">
        <w:rPr>
          <w:rStyle w:val="Appelnotedebasdep"/>
        </w:rPr>
        <w:footnoteReference w:id="9"/>
      </w:r>
      <w:r w:rsidR="0004780E">
        <w:rPr>
          <w:lang w:val="fr-FR"/>
        </w:rPr>
        <w:t>.</w:t>
      </w:r>
    </w:p>
    <w:p w:rsidR="00FD6BA8" w:rsidRPr="00692634" w:rsidRDefault="00FD6BA8" w:rsidP="00FD6BA8">
      <w:pPr>
        <w:pStyle w:val="SingleTxtG"/>
        <w:rPr>
          <w:lang w:val="fr-FR"/>
        </w:rPr>
      </w:pPr>
      <w:r w:rsidRPr="005C49DC">
        <w:rPr>
          <w:lang w:val="fr-FR"/>
        </w:rPr>
        <w:t>26.</w:t>
      </w:r>
      <w:r w:rsidRPr="005C49DC">
        <w:rPr>
          <w:lang w:val="fr-FR"/>
        </w:rPr>
        <w:tab/>
        <w:t>L</w:t>
      </w:r>
      <w:r>
        <w:rPr>
          <w:lang w:val="fr-FR"/>
        </w:rPr>
        <w:t>’</w:t>
      </w:r>
      <w:r w:rsidRPr="005C49DC">
        <w:rPr>
          <w:lang w:val="fr-FR"/>
        </w:rPr>
        <w:t>Association estonienne des femmes entrepreneurs et cadres d</w:t>
      </w:r>
      <w:r>
        <w:rPr>
          <w:lang w:val="fr-FR"/>
        </w:rPr>
        <w:t>’</w:t>
      </w:r>
      <w:r w:rsidRPr="005C49DC">
        <w:rPr>
          <w:lang w:val="fr-FR"/>
        </w:rPr>
        <w:t>entreprises (BWP Estonia) a mis en place, en collaboration avec divers partenaires, un programme destiné aux femmes entrepreneurs intitulé « Everything is Possible! » (Tout est possible</w:t>
      </w:r>
      <w:r w:rsidR="00072F29">
        <w:rPr>
          <w:lang w:val="fr-FR"/>
        </w:rPr>
        <w:t> !</w:t>
      </w:r>
      <w:r w:rsidRPr="005C49DC">
        <w:rPr>
          <w:lang w:val="fr-FR"/>
        </w:rPr>
        <w:t>), dans l</w:t>
      </w:r>
      <w:r>
        <w:rPr>
          <w:lang w:val="fr-FR"/>
        </w:rPr>
        <w:t>’</w:t>
      </w:r>
      <w:r w:rsidRPr="005C49DC">
        <w:rPr>
          <w:lang w:val="fr-FR"/>
        </w:rPr>
        <w:t>objectif d</w:t>
      </w:r>
      <w:r>
        <w:rPr>
          <w:lang w:val="fr-FR"/>
        </w:rPr>
        <w:t>’</w:t>
      </w:r>
      <w:r w:rsidR="0004780E">
        <w:rPr>
          <w:lang w:val="fr-FR"/>
        </w:rPr>
        <w:t>avoir 100 </w:t>
      </w:r>
      <w:r w:rsidRPr="005C49DC">
        <w:rPr>
          <w:lang w:val="fr-FR"/>
        </w:rPr>
        <w:t>nouvelles femmes entrepreneurs lors du centenaire de l</w:t>
      </w:r>
      <w:r>
        <w:rPr>
          <w:lang w:val="fr-FR"/>
        </w:rPr>
        <w:t>’</w:t>
      </w:r>
      <w:r w:rsidRPr="005C49DC">
        <w:rPr>
          <w:lang w:val="fr-FR"/>
        </w:rPr>
        <w:t xml:space="preserve">Estonie. </w:t>
      </w:r>
      <w:r>
        <w:rPr>
          <w:lang w:val="fr-FR"/>
        </w:rPr>
        <w:t>Il</w:t>
      </w:r>
      <w:r w:rsidR="0004780E">
        <w:rPr>
          <w:lang w:val="fr-FR"/>
        </w:rPr>
        <w:t> </w:t>
      </w:r>
      <w:r>
        <w:rPr>
          <w:lang w:val="fr-FR"/>
        </w:rPr>
        <w:t>s’agit</w:t>
      </w:r>
      <w:r w:rsidRPr="005C49DC">
        <w:rPr>
          <w:lang w:val="fr-FR"/>
        </w:rPr>
        <w:t xml:space="preserve"> d</w:t>
      </w:r>
      <w:r>
        <w:rPr>
          <w:lang w:val="fr-FR"/>
        </w:rPr>
        <w:t>’augmenter le pourcentage d’</w:t>
      </w:r>
      <w:r w:rsidRPr="005C49DC">
        <w:rPr>
          <w:lang w:val="fr-FR"/>
        </w:rPr>
        <w:t xml:space="preserve">entrepreneurs femmes en </w:t>
      </w:r>
      <w:r>
        <w:rPr>
          <w:lang w:val="fr-FR"/>
        </w:rPr>
        <w:t xml:space="preserve">permettant </w:t>
      </w:r>
      <w:r w:rsidR="0004780E">
        <w:rPr>
          <w:lang w:val="fr-FR"/>
        </w:rPr>
        <w:t>à 400 </w:t>
      </w:r>
      <w:r w:rsidRPr="005C49DC">
        <w:rPr>
          <w:lang w:val="fr-FR"/>
        </w:rPr>
        <w:t>femmes intéressées</w:t>
      </w:r>
      <w:r>
        <w:rPr>
          <w:lang w:val="fr-FR"/>
        </w:rPr>
        <w:t xml:space="preserve"> d’acquérir les</w:t>
      </w:r>
      <w:r w:rsidRPr="005C49DC">
        <w:rPr>
          <w:lang w:val="fr-FR"/>
        </w:rPr>
        <w:t xml:space="preserve"> compétences</w:t>
      </w:r>
      <w:r>
        <w:rPr>
          <w:lang w:val="fr-FR"/>
        </w:rPr>
        <w:t xml:space="preserve"> voulues et en les incitant </w:t>
      </w:r>
      <w:r w:rsidRPr="005C49DC">
        <w:rPr>
          <w:lang w:val="fr-FR"/>
        </w:rPr>
        <w:t>à créer une entreprise ou à développer une entreprise existante. Les activités de l</w:t>
      </w:r>
      <w:r>
        <w:rPr>
          <w:lang w:val="fr-FR"/>
        </w:rPr>
        <w:t>’</w:t>
      </w:r>
      <w:r w:rsidR="00072F29">
        <w:rPr>
          <w:lang w:val="fr-FR"/>
        </w:rPr>
        <w:t>a</w:t>
      </w:r>
      <w:r w:rsidRPr="005C49DC">
        <w:rPr>
          <w:lang w:val="fr-FR"/>
        </w:rPr>
        <w:t>ssociation</w:t>
      </w:r>
      <w:r>
        <w:rPr>
          <w:lang w:val="fr-FR"/>
        </w:rPr>
        <w:t xml:space="preserve"> visent à mettre en place et à sauvegarder des valeurs sociales en encourageant l’épanouissement des femmes entrepreneurs, en reconnaissant et en promouvant l’égalité des femmes et des hommes, ainsi que leur emploi, et en assu</w:t>
      </w:r>
      <w:r w:rsidR="0004780E">
        <w:rPr>
          <w:lang w:val="fr-FR"/>
        </w:rPr>
        <w:t>rant la protection des enfants.</w:t>
      </w:r>
    </w:p>
    <w:p w:rsidR="00FD6BA8" w:rsidRPr="008321D0" w:rsidRDefault="0004780E" w:rsidP="00AD6859">
      <w:pPr>
        <w:pStyle w:val="HChG"/>
        <w:spacing w:before="340" w:after="220" w:line="280" w:lineRule="exact"/>
        <w:rPr>
          <w:spacing w:val="-3"/>
          <w:lang w:val="fr-FR"/>
        </w:rPr>
      </w:pPr>
      <w:r w:rsidRPr="008321D0">
        <w:rPr>
          <w:spacing w:val="-3"/>
          <w:lang w:val="fr-FR"/>
        </w:rPr>
        <w:tab/>
      </w:r>
      <w:r w:rsidR="00FD6BA8" w:rsidRPr="008321D0">
        <w:rPr>
          <w:spacing w:val="-3"/>
          <w:lang w:val="fr-FR"/>
        </w:rPr>
        <w:t>III.</w:t>
      </w:r>
      <w:r w:rsidR="00FD6BA8" w:rsidRPr="008321D0">
        <w:rPr>
          <w:spacing w:val="-3"/>
          <w:lang w:val="fr-FR"/>
        </w:rPr>
        <w:tab/>
        <w:t xml:space="preserve">Points relatifs aux dispositions spécifiques du Pacte </w:t>
      </w:r>
      <w:r w:rsidR="002A6EA1" w:rsidRPr="008321D0">
        <w:rPr>
          <w:spacing w:val="-3"/>
          <w:lang w:val="fr-FR"/>
        </w:rPr>
        <w:t>(art. </w:t>
      </w:r>
      <w:r w:rsidR="00FD6BA8" w:rsidRPr="008321D0">
        <w:rPr>
          <w:spacing w:val="-3"/>
          <w:lang w:val="fr-FR"/>
        </w:rPr>
        <w:t>6 à 15)</w:t>
      </w:r>
    </w:p>
    <w:p w:rsidR="00FD6BA8" w:rsidRPr="00692634" w:rsidRDefault="00FD6BA8" w:rsidP="00AD6859">
      <w:pPr>
        <w:pStyle w:val="H1G"/>
        <w:spacing w:before="340" w:after="220" w:line="250" w:lineRule="exact"/>
        <w:rPr>
          <w:lang w:val="fr-FR"/>
        </w:rPr>
      </w:pPr>
      <w:r>
        <w:rPr>
          <w:lang w:val="fr-FR"/>
        </w:rPr>
        <w:tab/>
      </w:r>
      <w:r>
        <w:rPr>
          <w:lang w:val="fr-FR"/>
        </w:rPr>
        <w:tab/>
        <w:t>Droit au travail (art.</w:t>
      </w:r>
      <w:r w:rsidR="002A6EA1">
        <w:rPr>
          <w:lang w:val="fr-FR"/>
        </w:rPr>
        <w:t> </w:t>
      </w:r>
      <w:r>
        <w:rPr>
          <w:lang w:val="fr-FR"/>
        </w:rPr>
        <w:t>6)</w:t>
      </w:r>
    </w:p>
    <w:p w:rsidR="00FD6BA8" w:rsidRPr="00692634" w:rsidRDefault="00FD6BA8" w:rsidP="00B2449E">
      <w:pPr>
        <w:pStyle w:val="H23G"/>
        <w:rPr>
          <w:lang w:val="fr-FR"/>
        </w:rPr>
      </w:pPr>
      <w:r>
        <w:rPr>
          <w:lang w:val="fr-FR"/>
        </w:rPr>
        <w:tab/>
      </w:r>
      <w:r>
        <w:rPr>
          <w:lang w:val="fr-FR"/>
        </w:rPr>
        <w:tab/>
        <w:t xml:space="preserve">Enseignement et formation </w:t>
      </w:r>
      <w:r w:rsidRPr="00B2449E">
        <w:t>professionnels</w:t>
      </w:r>
    </w:p>
    <w:p w:rsidR="00FD6BA8" w:rsidRPr="001B5DFB" w:rsidRDefault="00FD6BA8" w:rsidP="00FD6BA8">
      <w:pPr>
        <w:pStyle w:val="SingleTxtG"/>
        <w:rPr>
          <w:lang w:val="fr-FR"/>
        </w:rPr>
      </w:pPr>
      <w:r w:rsidRPr="001B5DFB">
        <w:rPr>
          <w:lang w:val="fr-FR"/>
        </w:rPr>
        <w:t>27.</w:t>
      </w:r>
      <w:r w:rsidRPr="001B5DFB">
        <w:rPr>
          <w:lang w:val="fr-FR"/>
        </w:rPr>
        <w:tab/>
        <w:t>Promouvoir les apprentissages et la formation en cours d’emploi, et encourager la collaboration entre les employeurs et les établissements d’enseignement et de formation professionnels est l’un des principaux objectifs de la Stratégie estonienne 2020 d’appren</w:t>
      </w:r>
      <w:r w:rsidR="002A69F5" w:rsidRPr="001B5DFB">
        <w:rPr>
          <w:lang w:val="fr-FR"/>
        </w:rPr>
        <w:t>tissage tout au long de la vie.</w:t>
      </w:r>
    </w:p>
    <w:p w:rsidR="00FD6BA8" w:rsidRPr="00692634" w:rsidRDefault="00FD6BA8" w:rsidP="00FD6BA8">
      <w:pPr>
        <w:pStyle w:val="SingleTxtG"/>
        <w:rPr>
          <w:lang w:val="fr-FR"/>
        </w:rPr>
      </w:pPr>
      <w:r>
        <w:rPr>
          <w:lang w:val="fr-FR"/>
        </w:rPr>
        <w:t>28.</w:t>
      </w:r>
      <w:r>
        <w:rPr>
          <w:lang w:val="fr-FR"/>
        </w:rPr>
        <w:tab/>
        <w:t xml:space="preserve">Le Programme de coopération en matière de marché du travail et d’éducation, créé en 2015, propose une feuille de route et un cadre visant à accroître le niveau de qualification de la main-d’œuvre, réduire la pénurie </w:t>
      </w:r>
      <w:r w:rsidRPr="005C49DC">
        <w:rPr>
          <w:lang w:val="fr-FR"/>
        </w:rPr>
        <w:t>structurelle de main-d</w:t>
      </w:r>
      <w:r>
        <w:rPr>
          <w:lang w:val="fr-FR"/>
        </w:rPr>
        <w:t xml:space="preserve">’œuvre et </w:t>
      </w:r>
      <w:r w:rsidRPr="005C49DC">
        <w:rPr>
          <w:lang w:val="fr-FR"/>
        </w:rPr>
        <w:t>améliorer l</w:t>
      </w:r>
      <w:r>
        <w:rPr>
          <w:lang w:val="fr-FR"/>
        </w:rPr>
        <w:t>’</w:t>
      </w:r>
      <w:r w:rsidRPr="005C49DC">
        <w:rPr>
          <w:lang w:val="fr-FR"/>
        </w:rPr>
        <w:t xml:space="preserve">employabilité des diplômés en réagissant </w:t>
      </w:r>
      <w:r>
        <w:rPr>
          <w:lang w:val="fr-FR"/>
        </w:rPr>
        <w:t>de manière plus appropriée face</w:t>
      </w:r>
      <w:r w:rsidRPr="005C49DC">
        <w:rPr>
          <w:lang w:val="fr-FR"/>
        </w:rPr>
        <w:t xml:space="preserve"> à l</w:t>
      </w:r>
      <w:r>
        <w:rPr>
          <w:lang w:val="fr-FR"/>
        </w:rPr>
        <w:t>’</w:t>
      </w:r>
      <w:r w:rsidRPr="005C49DC">
        <w:rPr>
          <w:lang w:val="fr-FR"/>
        </w:rPr>
        <w:t>évolution de la demande de main</w:t>
      </w:r>
      <w:r w:rsidRPr="005C49DC">
        <w:rPr>
          <w:lang w:val="fr-FR"/>
        </w:rPr>
        <w:noBreakHyphen/>
        <w:t>d</w:t>
      </w:r>
      <w:r>
        <w:rPr>
          <w:lang w:val="fr-FR"/>
        </w:rPr>
        <w:t>’</w:t>
      </w:r>
      <w:r w:rsidRPr="005C49DC">
        <w:rPr>
          <w:lang w:val="fr-FR"/>
        </w:rPr>
        <w:t xml:space="preserve">œuvre. Il vise à améliorer la qualité et </w:t>
      </w:r>
      <w:r>
        <w:rPr>
          <w:lang w:val="fr-FR"/>
        </w:rPr>
        <w:t>l’</w:t>
      </w:r>
      <w:r w:rsidRPr="005C49DC">
        <w:rPr>
          <w:lang w:val="fr-FR"/>
        </w:rPr>
        <w:t>attracti</w:t>
      </w:r>
      <w:r>
        <w:rPr>
          <w:lang w:val="fr-FR"/>
        </w:rPr>
        <w:t>vité</w:t>
      </w:r>
      <w:r w:rsidRPr="005C49DC">
        <w:rPr>
          <w:lang w:val="fr-FR"/>
        </w:rPr>
        <w:t xml:space="preserve"> de l</w:t>
      </w:r>
      <w:r>
        <w:rPr>
          <w:lang w:val="fr-FR"/>
        </w:rPr>
        <w:t>’</w:t>
      </w:r>
      <w:r w:rsidRPr="005C49DC">
        <w:rPr>
          <w:lang w:val="fr-FR"/>
        </w:rPr>
        <w:t>enseignement</w:t>
      </w:r>
      <w:r>
        <w:rPr>
          <w:lang w:val="fr-FR"/>
        </w:rPr>
        <w:t xml:space="preserve"> et de la formation professionnels, ainsi que des apprentissages et de </w:t>
      </w:r>
      <w:r w:rsidR="002A69F5">
        <w:rPr>
          <w:lang w:val="fr-FR"/>
        </w:rPr>
        <w:t>la formation en cours d’emploi.</w:t>
      </w:r>
    </w:p>
    <w:p w:rsidR="00FD6BA8" w:rsidRPr="00692634" w:rsidRDefault="00FD6BA8" w:rsidP="00FD6BA8">
      <w:pPr>
        <w:pStyle w:val="SingleTxtG"/>
        <w:rPr>
          <w:lang w:val="fr-FR"/>
        </w:rPr>
      </w:pPr>
      <w:r>
        <w:rPr>
          <w:lang w:val="fr-FR"/>
        </w:rPr>
        <w:t>29.</w:t>
      </w:r>
      <w:r>
        <w:rPr>
          <w:lang w:val="fr-FR"/>
        </w:rPr>
        <w:tab/>
        <w:t xml:space="preserve">Le programme PRÕM (conditions d’octroi de l’aide du Fonds social européen dans le cadre du Programme de coopération en matière de marché du travail et d’éducation) contribue grandement au </w:t>
      </w:r>
      <w:r w:rsidRPr="006D008C">
        <w:rPr>
          <w:lang w:val="fr-FR"/>
        </w:rPr>
        <w:t>développement d</w:t>
      </w:r>
      <w:r>
        <w:rPr>
          <w:lang w:val="fr-FR"/>
        </w:rPr>
        <w:t>’</w:t>
      </w:r>
      <w:r w:rsidRPr="006D008C">
        <w:rPr>
          <w:lang w:val="fr-FR"/>
        </w:rPr>
        <w:t>une formation en cours d</w:t>
      </w:r>
      <w:r>
        <w:rPr>
          <w:lang w:val="fr-FR"/>
        </w:rPr>
        <w:t>’</w:t>
      </w:r>
      <w:r w:rsidRPr="006D008C">
        <w:rPr>
          <w:lang w:val="fr-FR"/>
        </w:rPr>
        <w:t>emploi de qualité, à l</w:t>
      </w:r>
      <w:r>
        <w:rPr>
          <w:lang w:val="fr-FR"/>
        </w:rPr>
        <w:t>’</w:t>
      </w:r>
      <w:r w:rsidRPr="006D008C">
        <w:rPr>
          <w:lang w:val="fr-FR"/>
        </w:rPr>
        <w:t>expansion des programmes d</w:t>
      </w:r>
      <w:r>
        <w:rPr>
          <w:lang w:val="fr-FR"/>
        </w:rPr>
        <w:t>’</w:t>
      </w:r>
      <w:r w:rsidRPr="006D008C">
        <w:rPr>
          <w:lang w:val="fr-FR"/>
        </w:rPr>
        <w:t>apprentissage, à la formation des enseignants et des formateurs et à la mise à l</w:t>
      </w:r>
      <w:r>
        <w:rPr>
          <w:lang w:val="fr-FR"/>
        </w:rPr>
        <w:t>’</w:t>
      </w:r>
      <w:r w:rsidRPr="006D008C">
        <w:rPr>
          <w:lang w:val="fr-FR"/>
        </w:rPr>
        <w:t>épreuve de différents modèles d</w:t>
      </w:r>
      <w:r>
        <w:rPr>
          <w:lang w:val="fr-FR"/>
        </w:rPr>
        <w:t>’</w:t>
      </w:r>
      <w:r w:rsidRPr="006D008C">
        <w:rPr>
          <w:lang w:val="fr-FR"/>
        </w:rPr>
        <w:t>appre</w:t>
      </w:r>
      <w:r w:rsidR="002A69F5">
        <w:rPr>
          <w:lang w:val="fr-FR"/>
        </w:rPr>
        <w:t>ntissage en Estonie. Quelque 22 </w:t>
      </w:r>
      <w:r w:rsidRPr="006D008C">
        <w:rPr>
          <w:lang w:val="fr-FR"/>
        </w:rPr>
        <w:t>établissements d</w:t>
      </w:r>
      <w:r>
        <w:rPr>
          <w:lang w:val="fr-FR"/>
        </w:rPr>
        <w:t>’</w:t>
      </w:r>
      <w:r w:rsidRPr="006D008C">
        <w:rPr>
          <w:lang w:val="fr-FR"/>
        </w:rPr>
        <w:t xml:space="preserve">enseignement et de formation professionnels ont reçu un soutien pour renforcer </w:t>
      </w:r>
      <w:r>
        <w:rPr>
          <w:lang w:val="fr-FR"/>
        </w:rPr>
        <w:t>la</w:t>
      </w:r>
      <w:r w:rsidRPr="006D008C">
        <w:rPr>
          <w:lang w:val="fr-FR"/>
        </w:rPr>
        <w:t xml:space="preserve"> coopération </w:t>
      </w:r>
      <w:r>
        <w:rPr>
          <w:lang w:val="fr-FR"/>
        </w:rPr>
        <w:t>entre</w:t>
      </w:r>
      <w:r w:rsidRPr="006D008C">
        <w:rPr>
          <w:lang w:val="fr-FR"/>
        </w:rPr>
        <w:t xml:space="preserve"> les employeurs et les établissements d</w:t>
      </w:r>
      <w:r>
        <w:rPr>
          <w:lang w:val="fr-FR"/>
        </w:rPr>
        <w:t>’</w:t>
      </w:r>
      <w:r w:rsidRPr="006D008C">
        <w:rPr>
          <w:lang w:val="fr-FR"/>
        </w:rPr>
        <w:t>enseignement afin de développer la formation en cours d</w:t>
      </w:r>
      <w:r>
        <w:rPr>
          <w:lang w:val="fr-FR"/>
        </w:rPr>
        <w:t>’</w:t>
      </w:r>
      <w:r w:rsidRPr="006D008C">
        <w:rPr>
          <w:lang w:val="fr-FR"/>
        </w:rPr>
        <w:t>emploi.</w:t>
      </w:r>
    </w:p>
    <w:p w:rsidR="00FD6BA8" w:rsidRPr="00692634" w:rsidRDefault="00FD6BA8" w:rsidP="00FD6BA8">
      <w:pPr>
        <w:pStyle w:val="SingleTxtG"/>
        <w:rPr>
          <w:lang w:val="fr-FR"/>
        </w:rPr>
      </w:pPr>
      <w:r>
        <w:rPr>
          <w:lang w:val="fr-FR"/>
        </w:rPr>
        <w:t>30.</w:t>
      </w:r>
      <w:r>
        <w:rPr>
          <w:lang w:val="fr-FR"/>
        </w:rPr>
        <w:tab/>
        <w:t xml:space="preserve">Le </w:t>
      </w:r>
      <w:r w:rsidRPr="006D008C">
        <w:rPr>
          <w:lang w:val="fr-FR"/>
        </w:rPr>
        <w:t>Ministère de l</w:t>
      </w:r>
      <w:r>
        <w:rPr>
          <w:lang w:val="fr-FR"/>
        </w:rPr>
        <w:t>’</w:t>
      </w:r>
      <w:r w:rsidRPr="006D008C">
        <w:rPr>
          <w:lang w:val="fr-FR"/>
        </w:rPr>
        <w:t>éducation et de la recherche a créé le système de prévisions OSKA (mis en œuvre par l</w:t>
      </w:r>
      <w:r>
        <w:rPr>
          <w:lang w:val="fr-FR"/>
        </w:rPr>
        <w:t>’</w:t>
      </w:r>
      <w:r w:rsidRPr="006D008C">
        <w:rPr>
          <w:lang w:val="fr-FR"/>
        </w:rPr>
        <w:t>Autorité estonienne responsable du niveau des qualifications) qui analyse les besoins en matière d</w:t>
      </w:r>
      <w:r>
        <w:rPr>
          <w:lang w:val="fr-FR"/>
        </w:rPr>
        <w:t>’</w:t>
      </w:r>
      <w:r w:rsidRPr="006D008C">
        <w:rPr>
          <w:lang w:val="fr-FR"/>
        </w:rPr>
        <w:t>emploi et les compétences nécessaires pour le développement économique de l</w:t>
      </w:r>
      <w:r>
        <w:rPr>
          <w:lang w:val="fr-FR"/>
        </w:rPr>
        <w:t>’</w:t>
      </w:r>
      <w:r w:rsidR="002A69F5">
        <w:rPr>
          <w:lang w:val="fr-FR"/>
        </w:rPr>
        <w:t xml:space="preserve">Estonie au cours des dix </w:t>
      </w:r>
      <w:r w:rsidRPr="006D008C">
        <w:rPr>
          <w:lang w:val="fr-FR"/>
        </w:rPr>
        <w:t xml:space="preserve">prochaines années. </w:t>
      </w:r>
      <w:r>
        <w:rPr>
          <w:lang w:val="fr-FR"/>
        </w:rPr>
        <w:t xml:space="preserve">Il s’agit de repérer les tendances futures du marché du travail pour favoriser, dans toutes les couches de la société, les débats sur les facteurs qui feront évoluer les conditions de travail, élaborer un cadre correspondant aux besoins </w:t>
      </w:r>
      <w:r w:rsidRPr="00D93BB5">
        <w:rPr>
          <w:lang w:val="fr-FR"/>
        </w:rPr>
        <w:t>en</w:t>
      </w:r>
      <w:r>
        <w:rPr>
          <w:lang w:val="fr-FR"/>
        </w:rPr>
        <w:t xml:space="preserve"> main</w:t>
      </w:r>
      <w:r>
        <w:rPr>
          <w:lang w:val="fr-FR"/>
        </w:rPr>
        <w:noBreakHyphen/>
        <w:t>d’œuvre dans différents secteurs et suggérer de nouvelles pistes de réflexion à cet égard, et alimenter les discussions relatives aux besoins futurs en matière de formation.</w:t>
      </w:r>
    </w:p>
    <w:p w:rsidR="00FD6BA8" w:rsidRPr="00692634" w:rsidRDefault="00FD6BA8" w:rsidP="00FD6BA8">
      <w:pPr>
        <w:pStyle w:val="SingleTxtG"/>
        <w:rPr>
          <w:lang w:val="fr-FR"/>
        </w:rPr>
      </w:pPr>
      <w:r>
        <w:rPr>
          <w:lang w:val="fr-FR"/>
        </w:rPr>
        <w:lastRenderedPageBreak/>
        <w:t>31.</w:t>
      </w:r>
      <w:r>
        <w:rPr>
          <w:lang w:val="fr-FR"/>
        </w:rPr>
        <w:tab/>
        <w:t xml:space="preserve">Les besoins économiques et sociaux sont étudiés avant que ne soient formulées les demandes de formation professionnelle subventionnée par l’État. Dans ce cadre, le nombre de personnes qui ont besoin </w:t>
      </w:r>
      <w:r w:rsidRPr="006D008C">
        <w:rPr>
          <w:lang w:val="fr-FR"/>
        </w:rPr>
        <w:t>d</w:t>
      </w:r>
      <w:r>
        <w:rPr>
          <w:lang w:val="fr-FR"/>
        </w:rPr>
        <w:t>’</w:t>
      </w:r>
      <w:r w:rsidRPr="006D008C">
        <w:rPr>
          <w:lang w:val="fr-FR"/>
        </w:rPr>
        <w:t xml:space="preserve">une formation professionnelle est pris en compte, ainsi que leurs préférences quant aux matières enseignées. Les prévisions relatives aux besoins de la société prendront en compte des facteurs démographiques tels que la taille de </w:t>
      </w:r>
      <w:r>
        <w:rPr>
          <w:lang w:val="fr-FR"/>
        </w:rPr>
        <w:t xml:space="preserve">la population </w:t>
      </w:r>
      <w:r w:rsidRPr="006D008C">
        <w:rPr>
          <w:lang w:val="fr-FR"/>
        </w:rPr>
        <w:t xml:space="preserve">jeune, le nombre </w:t>
      </w:r>
      <w:r>
        <w:rPr>
          <w:lang w:val="fr-FR"/>
        </w:rPr>
        <w:t xml:space="preserve">estimatif </w:t>
      </w:r>
      <w:r w:rsidRPr="006D008C">
        <w:rPr>
          <w:lang w:val="fr-FR"/>
        </w:rPr>
        <w:t>de futurs diplômés (proportion</w:t>
      </w:r>
      <w:r>
        <w:rPr>
          <w:lang w:val="fr-FR"/>
        </w:rPr>
        <w:t xml:space="preserve"> de diplômés des écoles primaires et de diplômés du deuxième cycle du secondaire), la répartition régionale de la population et les migrations pour raisons éducatives.</w:t>
      </w:r>
    </w:p>
    <w:p w:rsidR="00FD6BA8" w:rsidRPr="00692634" w:rsidRDefault="00FD6BA8" w:rsidP="00FD6BA8">
      <w:pPr>
        <w:pStyle w:val="SingleTxtG"/>
        <w:rPr>
          <w:lang w:val="fr-FR"/>
        </w:rPr>
      </w:pPr>
      <w:r>
        <w:rPr>
          <w:lang w:val="fr-FR"/>
        </w:rPr>
        <w:t>32.</w:t>
      </w:r>
      <w:r>
        <w:rPr>
          <w:lang w:val="fr-FR"/>
        </w:rPr>
        <w:tab/>
        <w:t xml:space="preserve">Les compétences </w:t>
      </w:r>
      <w:r w:rsidRPr="006D008C">
        <w:rPr>
          <w:lang w:val="fr-FR"/>
        </w:rPr>
        <w:t>linguistiques d</w:t>
      </w:r>
      <w:r>
        <w:rPr>
          <w:lang w:val="fr-FR"/>
        </w:rPr>
        <w:t>’</w:t>
      </w:r>
      <w:r w:rsidRPr="006D008C">
        <w:rPr>
          <w:lang w:val="fr-FR"/>
        </w:rPr>
        <w:t xml:space="preserve">une personne sont déterminantes pour </w:t>
      </w:r>
      <w:r>
        <w:rPr>
          <w:lang w:val="fr-FR"/>
        </w:rPr>
        <w:t>obtenir un emploi</w:t>
      </w:r>
      <w:r w:rsidRPr="006D008C">
        <w:rPr>
          <w:lang w:val="fr-FR"/>
        </w:rPr>
        <w:t xml:space="preserve"> sur le marché du travail. En 2017, le taux</w:t>
      </w:r>
      <w:r>
        <w:rPr>
          <w:lang w:val="fr-FR"/>
        </w:rPr>
        <w:t xml:space="preserve"> de chômage des non-Estoniens maîtrisant la langue estonienne était de 7,3</w:t>
      </w:r>
      <w:r w:rsidR="00BB3975">
        <w:rPr>
          <w:lang w:val="fr-FR"/>
        </w:rPr>
        <w:t> </w:t>
      </w:r>
      <w:r>
        <w:rPr>
          <w:lang w:val="fr-FR"/>
        </w:rPr>
        <w:t>%, tandis que celui des personnes ne la maîtrisant pas était presque deux fois plus élevé (13</w:t>
      </w:r>
      <w:r w:rsidR="00BB3975">
        <w:rPr>
          <w:lang w:val="fr-FR"/>
        </w:rPr>
        <w:t> </w:t>
      </w:r>
      <w:r>
        <w:rPr>
          <w:lang w:val="fr-FR"/>
        </w:rPr>
        <w:t>%). En 2018, le Conseil d’administration du Fonds estonien d’assurance chômage a adopté de nouveaux principes visant à développer les compétences de la main-d’œuvre. Ainsi, les personnes ne maîtrisant pas suffisamment bien l’estonien ont la possibilité d’atteindre le niveau</w:t>
      </w:r>
      <w:r w:rsidR="00BB3975">
        <w:rPr>
          <w:lang w:val="fr-FR"/>
        </w:rPr>
        <w:t> </w:t>
      </w:r>
      <w:r>
        <w:rPr>
          <w:lang w:val="fr-FR"/>
        </w:rPr>
        <w:t>B2. L’éventail de mesures préventives adoptées en 2017 comprend des cours de langue estonienne pour les employés dont les connaissances linguistiques sont insuffisantes. Ainsi,</w:t>
      </w:r>
      <w:r w:rsidRPr="006D008C">
        <w:rPr>
          <w:lang w:val="fr-FR"/>
        </w:rPr>
        <w:t xml:space="preserve"> les employés dont le revenu annuel est inférieur à </w:t>
      </w:r>
      <w:r>
        <w:rPr>
          <w:lang w:val="fr-FR"/>
        </w:rPr>
        <w:t>un certain montant</w:t>
      </w:r>
      <w:r w:rsidRPr="006D008C">
        <w:rPr>
          <w:lang w:val="fr-FR"/>
        </w:rPr>
        <w:t xml:space="preserve"> peuvent bénéficier d</w:t>
      </w:r>
      <w:r>
        <w:rPr>
          <w:lang w:val="fr-FR"/>
        </w:rPr>
        <w:t>’</w:t>
      </w:r>
      <w:r w:rsidRPr="006D008C">
        <w:rPr>
          <w:lang w:val="fr-FR"/>
        </w:rPr>
        <w:t xml:space="preserve">un bon de formation pour des cours </w:t>
      </w:r>
      <w:r>
        <w:rPr>
          <w:lang w:val="fr-FR"/>
        </w:rPr>
        <w:t>d’</w:t>
      </w:r>
      <w:r w:rsidRPr="006D008C">
        <w:rPr>
          <w:lang w:val="fr-FR"/>
        </w:rPr>
        <w:t>estonien, et les employeurs qui souhaitent que leurs employés améliorent leur maîtrise de l</w:t>
      </w:r>
      <w:r>
        <w:rPr>
          <w:lang w:val="fr-FR"/>
        </w:rPr>
        <w:t>’</w:t>
      </w:r>
      <w:r w:rsidRPr="006D008C">
        <w:rPr>
          <w:lang w:val="fr-FR"/>
        </w:rPr>
        <w:t>estonien peuvent en faire la demande.</w:t>
      </w:r>
    </w:p>
    <w:p w:rsidR="00FD6BA8" w:rsidRPr="00692634" w:rsidRDefault="00FD6BA8" w:rsidP="00BB3975">
      <w:pPr>
        <w:pStyle w:val="H1G"/>
        <w:rPr>
          <w:lang w:val="fr-FR"/>
        </w:rPr>
      </w:pPr>
      <w:r>
        <w:rPr>
          <w:lang w:val="fr-FR"/>
        </w:rPr>
        <w:tab/>
      </w:r>
      <w:r>
        <w:rPr>
          <w:lang w:val="fr-FR"/>
        </w:rPr>
        <w:tab/>
        <w:t>Droit à des conditions de travail justes et favorables (art.</w:t>
      </w:r>
      <w:r w:rsidR="00BB3975">
        <w:rPr>
          <w:lang w:val="fr-FR"/>
        </w:rPr>
        <w:t> </w:t>
      </w:r>
      <w:r>
        <w:rPr>
          <w:lang w:val="fr-FR"/>
        </w:rPr>
        <w:t>7)</w:t>
      </w:r>
    </w:p>
    <w:p w:rsidR="00FD6BA8" w:rsidRPr="00692634" w:rsidRDefault="00FD6BA8" w:rsidP="00BB3975">
      <w:pPr>
        <w:pStyle w:val="H23G"/>
        <w:rPr>
          <w:lang w:val="fr-FR"/>
        </w:rPr>
      </w:pPr>
      <w:r>
        <w:rPr>
          <w:lang w:val="fr-FR"/>
        </w:rPr>
        <w:tab/>
      </w:r>
      <w:r>
        <w:rPr>
          <w:lang w:val="fr-FR"/>
        </w:rPr>
        <w:tab/>
        <w:t>Salaire minimum</w:t>
      </w:r>
      <w:r w:rsidR="00E44FB0">
        <w:rPr>
          <w:lang w:val="fr-FR"/>
        </w:rPr>
        <w:t xml:space="preserve"> − </w:t>
      </w:r>
      <w:r>
        <w:rPr>
          <w:lang w:val="fr-FR"/>
        </w:rPr>
        <w:t>Inspection du travail</w:t>
      </w:r>
    </w:p>
    <w:p w:rsidR="00FD6BA8" w:rsidRPr="00692634" w:rsidRDefault="00FD6BA8" w:rsidP="00FD6BA8">
      <w:pPr>
        <w:pStyle w:val="SingleTxtG"/>
        <w:rPr>
          <w:lang w:val="fr-FR"/>
        </w:rPr>
      </w:pPr>
      <w:r>
        <w:rPr>
          <w:lang w:val="fr-FR"/>
        </w:rPr>
        <w:t>33.</w:t>
      </w:r>
      <w:r>
        <w:rPr>
          <w:lang w:val="fr-FR"/>
        </w:rPr>
        <w:tab/>
      </w:r>
      <w:r w:rsidRPr="006D008C">
        <w:rPr>
          <w:lang w:val="fr-FR"/>
        </w:rPr>
        <w:t>Le salaire minimum est établi d</w:t>
      </w:r>
      <w:r>
        <w:rPr>
          <w:lang w:val="fr-FR"/>
        </w:rPr>
        <w:t>’</w:t>
      </w:r>
      <w:r w:rsidRPr="006D008C">
        <w:rPr>
          <w:lang w:val="fr-FR"/>
        </w:rPr>
        <w:t>un commun accord par les partenaires sociaux et doit être fixé par le Gouvernement pour le même montant. En 2017</w:t>
      </w:r>
      <w:r>
        <w:rPr>
          <w:lang w:val="fr-FR"/>
        </w:rPr>
        <w:t>, il s’élevait à 470</w:t>
      </w:r>
      <w:r w:rsidR="00BB3975">
        <w:rPr>
          <w:lang w:val="fr-FR"/>
        </w:rPr>
        <w:t> euros ; en 2018, il est de 500 euros. En 2019, il sera de 540 </w:t>
      </w:r>
      <w:r>
        <w:rPr>
          <w:lang w:val="fr-FR"/>
        </w:rPr>
        <w:t>euros. En 2017, l’Association des employeurs estoniens et l’Association syndicale estonienne ont conclu un accord établissant que l’augmentation du salaire minimum correspondrait à deux fois la croissance de la productivité estimée de l’année pour laquelle le salaire minimum est défini. La limite supérieure équivaut à deux fois la croissance économique réelle prévu</w:t>
      </w:r>
      <w:r w:rsidR="00BB3975">
        <w:rPr>
          <w:lang w:val="fr-FR"/>
        </w:rPr>
        <w:t>e et la limite inférieure, à 40 </w:t>
      </w:r>
      <w:r>
        <w:rPr>
          <w:lang w:val="fr-FR"/>
        </w:rPr>
        <w:t>% du salaire brut moyen. Les données de référence sont les prévisions d’été publiées par la Banque d’Estonie. Depuis le 1</w:t>
      </w:r>
      <w:r>
        <w:rPr>
          <w:vertAlign w:val="superscript"/>
          <w:lang w:val="fr-FR"/>
        </w:rPr>
        <w:t>er</w:t>
      </w:r>
      <w:r w:rsidR="00BB3975">
        <w:rPr>
          <w:lang w:val="fr-FR"/>
        </w:rPr>
        <w:t> </w:t>
      </w:r>
      <w:r>
        <w:rPr>
          <w:lang w:val="fr-FR"/>
        </w:rPr>
        <w:t>janvier 2018, le montant global non imposable maximal (exonération de base) de 6</w:t>
      </w:r>
      <w:r w:rsidR="00BB3975">
        <w:rPr>
          <w:lang w:val="fr-FR"/>
        </w:rPr>
        <w:t> 000 euros par année ou de 500 </w:t>
      </w:r>
      <w:r>
        <w:rPr>
          <w:lang w:val="fr-FR"/>
        </w:rPr>
        <w:t>euros par mois est appliqué à tous les types de revenus.</w:t>
      </w:r>
    </w:p>
    <w:p w:rsidR="00FD6BA8" w:rsidRPr="00692634" w:rsidRDefault="00BB3975" w:rsidP="00BB3975">
      <w:pPr>
        <w:pStyle w:val="H23G"/>
        <w:rPr>
          <w:lang w:val="fr-FR"/>
        </w:rPr>
      </w:pPr>
      <w:r w:rsidRPr="00BB3975">
        <w:rPr>
          <w:b w:val="0"/>
          <w:lang w:val="fr-FR"/>
        </w:rPr>
        <w:tab/>
      </w:r>
      <w:r w:rsidRPr="00BB3975">
        <w:rPr>
          <w:b w:val="0"/>
          <w:lang w:val="fr-FR"/>
        </w:rPr>
        <w:tab/>
      </w:r>
      <w:r w:rsidR="00FD6BA8" w:rsidRPr="00BB3975">
        <w:rPr>
          <w:b w:val="0"/>
          <w:lang w:val="fr-FR"/>
        </w:rPr>
        <w:t>Tableau 1</w:t>
      </w:r>
      <w:r w:rsidR="00FD6BA8">
        <w:rPr>
          <w:lang w:val="fr-FR"/>
        </w:rPr>
        <w:t xml:space="preserve"> </w:t>
      </w:r>
      <w:r>
        <w:rPr>
          <w:lang w:val="fr-FR"/>
        </w:rPr>
        <w:br/>
      </w:r>
      <w:r w:rsidR="00FD6BA8">
        <w:rPr>
          <w:lang w:val="fr-FR"/>
        </w:rPr>
        <w:t>Non-respect du salaire minimum</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408"/>
        <w:gridCol w:w="827"/>
        <w:gridCol w:w="827"/>
        <w:gridCol w:w="827"/>
        <w:gridCol w:w="827"/>
        <w:gridCol w:w="827"/>
        <w:gridCol w:w="827"/>
      </w:tblGrid>
      <w:tr w:rsidR="00BB3975" w:rsidRPr="00BB3975" w:rsidTr="00CD1794">
        <w:trPr>
          <w:tblHeader/>
        </w:trPr>
        <w:tc>
          <w:tcPr>
            <w:tcW w:w="1634" w:type="pct"/>
            <w:shd w:val="clear" w:color="auto" w:fill="auto"/>
            <w:noWrap/>
            <w:vAlign w:val="bottom"/>
            <w:hideMark/>
          </w:tcPr>
          <w:p w:rsidR="00FD6BA8" w:rsidRPr="00BB3975" w:rsidRDefault="00FD6BA8" w:rsidP="00BB3975">
            <w:pPr>
              <w:suppressAutoHyphens w:val="0"/>
              <w:spacing w:before="80" w:after="80" w:line="200" w:lineRule="exact"/>
              <w:rPr>
                <w:i/>
                <w:sz w:val="16"/>
                <w:lang w:val="fr-FR"/>
              </w:rPr>
            </w:pPr>
          </w:p>
        </w:tc>
        <w:tc>
          <w:tcPr>
            <w:tcW w:w="561" w:type="pct"/>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2012</w:t>
            </w:r>
          </w:p>
        </w:tc>
        <w:tc>
          <w:tcPr>
            <w:tcW w:w="561" w:type="pct"/>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2013</w:t>
            </w:r>
          </w:p>
        </w:tc>
        <w:tc>
          <w:tcPr>
            <w:tcW w:w="561" w:type="pct"/>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2014</w:t>
            </w:r>
          </w:p>
        </w:tc>
        <w:tc>
          <w:tcPr>
            <w:tcW w:w="561" w:type="pct"/>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2015</w:t>
            </w:r>
          </w:p>
        </w:tc>
        <w:tc>
          <w:tcPr>
            <w:tcW w:w="561" w:type="pct"/>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2016</w:t>
            </w:r>
          </w:p>
        </w:tc>
        <w:tc>
          <w:tcPr>
            <w:tcW w:w="561" w:type="pct"/>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2017</w:t>
            </w:r>
          </w:p>
        </w:tc>
      </w:tr>
      <w:tr w:rsidR="00BB3975" w:rsidRPr="00BB3975" w:rsidTr="00CD1794">
        <w:tc>
          <w:tcPr>
            <w:tcW w:w="1634" w:type="pct"/>
            <w:shd w:val="clear" w:color="auto" w:fill="auto"/>
            <w:noWrap/>
            <w:hideMark/>
          </w:tcPr>
          <w:p w:rsidR="00FD6BA8" w:rsidRPr="00BB3975" w:rsidRDefault="00FD6BA8" w:rsidP="00634050">
            <w:pPr>
              <w:suppressAutoHyphens w:val="0"/>
              <w:spacing w:before="40" w:after="40" w:line="220" w:lineRule="exact"/>
              <w:rPr>
                <w:sz w:val="18"/>
                <w:lang w:val="fr-FR"/>
              </w:rPr>
            </w:pPr>
            <w:r w:rsidRPr="00BB3975">
              <w:rPr>
                <w:sz w:val="18"/>
                <w:lang w:val="fr-FR"/>
              </w:rPr>
              <w:t xml:space="preserve">Salaires inférieurs </w:t>
            </w:r>
            <w:r w:rsidR="00634050">
              <w:rPr>
                <w:sz w:val="18"/>
                <w:lang w:val="fr-FR"/>
              </w:rPr>
              <w:br/>
            </w:r>
            <w:r w:rsidRPr="00BB3975">
              <w:rPr>
                <w:sz w:val="18"/>
                <w:lang w:val="fr-FR"/>
              </w:rPr>
              <w:t>au salaire minimum</w:t>
            </w:r>
          </w:p>
        </w:tc>
        <w:tc>
          <w:tcPr>
            <w:tcW w:w="561" w:type="pct"/>
            <w:shd w:val="clear" w:color="auto" w:fill="auto"/>
            <w:noWrap/>
            <w:vAlign w:val="bottom"/>
            <w:hideMark/>
          </w:tcPr>
          <w:p w:rsidR="00FD6BA8" w:rsidRPr="00BB3975" w:rsidRDefault="00FD6BA8" w:rsidP="00BB3975">
            <w:pPr>
              <w:suppressAutoHyphens w:val="0"/>
              <w:spacing w:before="40" w:after="40" w:line="220" w:lineRule="exact"/>
              <w:jc w:val="right"/>
              <w:rPr>
                <w:sz w:val="18"/>
              </w:rPr>
            </w:pPr>
            <w:r w:rsidRPr="00BB3975">
              <w:rPr>
                <w:sz w:val="18"/>
                <w:lang w:val="fr-FR"/>
              </w:rPr>
              <w:t>9</w:t>
            </w:r>
          </w:p>
        </w:tc>
        <w:tc>
          <w:tcPr>
            <w:tcW w:w="561" w:type="pct"/>
            <w:shd w:val="clear" w:color="auto" w:fill="auto"/>
            <w:noWrap/>
            <w:vAlign w:val="bottom"/>
            <w:hideMark/>
          </w:tcPr>
          <w:p w:rsidR="00FD6BA8" w:rsidRPr="00BB3975" w:rsidRDefault="00FD6BA8" w:rsidP="00BB3975">
            <w:pPr>
              <w:suppressAutoHyphens w:val="0"/>
              <w:spacing w:before="40" w:after="40" w:line="220" w:lineRule="exact"/>
              <w:jc w:val="right"/>
              <w:rPr>
                <w:sz w:val="18"/>
              </w:rPr>
            </w:pPr>
            <w:r w:rsidRPr="00BB3975">
              <w:rPr>
                <w:sz w:val="18"/>
                <w:lang w:val="fr-FR"/>
              </w:rPr>
              <w:t>12</w:t>
            </w:r>
          </w:p>
        </w:tc>
        <w:tc>
          <w:tcPr>
            <w:tcW w:w="561" w:type="pct"/>
            <w:shd w:val="clear" w:color="auto" w:fill="auto"/>
            <w:noWrap/>
            <w:vAlign w:val="bottom"/>
            <w:hideMark/>
          </w:tcPr>
          <w:p w:rsidR="00FD6BA8" w:rsidRPr="00BB3975" w:rsidRDefault="00FD6BA8" w:rsidP="00BB3975">
            <w:pPr>
              <w:suppressAutoHyphens w:val="0"/>
              <w:spacing w:before="40" w:after="40" w:line="220" w:lineRule="exact"/>
              <w:jc w:val="right"/>
              <w:rPr>
                <w:sz w:val="18"/>
              </w:rPr>
            </w:pPr>
            <w:r w:rsidRPr="00BB3975">
              <w:rPr>
                <w:sz w:val="18"/>
                <w:lang w:val="fr-FR"/>
              </w:rPr>
              <w:t>19</w:t>
            </w:r>
          </w:p>
        </w:tc>
        <w:tc>
          <w:tcPr>
            <w:tcW w:w="561" w:type="pct"/>
            <w:shd w:val="clear" w:color="auto" w:fill="auto"/>
            <w:noWrap/>
            <w:vAlign w:val="bottom"/>
            <w:hideMark/>
          </w:tcPr>
          <w:p w:rsidR="00FD6BA8" w:rsidRPr="00BB3975" w:rsidRDefault="00FD6BA8" w:rsidP="00BB3975">
            <w:pPr>
              <w:suppressAutoHyphens w:val="0"/>
              <w:spacing w:before="40" w:after="40" w:line="220" w:lineRule="exact"/>
              <w:jc w:val="right"/>
              <w:rPr>
                <w:sz w:val="18"/>
              </w:rPr>
            </w:pPr>
            <w:r w:rsidRPr="00BB3975">
              <w:rPr>
                <w:sz w:val="18"/>
                <w:lang w:val="fr-FR"/>
              </w:rPr>
              <w:t>24</w:t>
            </w:r>
          </w:p>
        </w:tc>
        <w:tc>
          <w:tcPr>
            <w:tcW w:w="561" w:type="pct"/>
            <w:shd w:val="clear" w:color="auto" w:fill="auto"/>
            <w:noWrap/>
            <w:vAlign w:val="bottom"/>
            <w:hideMark/>
          </w:tcPr>
          <w:p w:rsidR="00FD6BA8" w:rsidRPr="00BB3975" w:rsidRDefault="00FD6BA8" w:rsidP="00BB3975">
            <w:pPr>
              <w:suppressAutoHyphens w:val="0"/>
              <w:spacing w:before="40" w:after="40" w:line="220" w:lineRule="exact"/>
              <w:jc w:val="right"/>
              <w:rPr>
                <w:sz w:val="18"/>
              </w:rPr>
            </w:pPr>
            <w:r w:rsidRPr="00BB3975">
              <w:rPr>
                <w:sz w:val="18"/>
                <w:lang w:val="fr-FR"/>
              </w:rPr>
              <w:t>46</w:t>
            </w:r>
          </w:p>
        </w:tc>
        <w:tc>
          <w:tcPr>
            <w:tcW w:w="561" w:type="pct"/>
            <w:shd w:val="clear" w:color="auto" w:fill="auto"/>
            <w:noWrap/>
            <w:vAlign w:val="bottom"/>
            <w:hideMark/>
          </w:tcPr>
          <w:p w:rsidR="00FD6BA8" w:rsidRPr="00BB3975" w:rsidRDefault="00FD6BA8" w:rsidP="00BB3975">
            <w:pPr>
              <w:suppressAutoHyphens w:val="0"/>
              <w:spacing w:before="40" w:after="40" w:line="220" w:lineRule="exact"/>
              <w:jc w:val="right"/>
              <w:rPr>
                <w:sz w:val="18"/>
              </w:rPr>
            </w:pPr>
            <w:r w:rsidRPr="00BB3975">
              <w:rPr>
                <w:sz w:val="18"/>
                <w:lang w:val="fr-FR"/>
              </w:rPr>
              <w:t>35</w:t>
            </w:r>
          </w:p>
        </w:tc>
      </w:tr>
    </w:tbl>
    <w:p w:rsidR="00FD6BA8" w:rsidRPr="00BB3975" w:rsidRDefault="00FD6BA8" w:rsidP="00BB3975">
      <w:pPr>
        <w:pStyle w:val="SingleTxtG"/>
        <w:spacing w:before="120" w:after="240"/>
        <w:ind w:firstLine="170"/>
        <w:rPr>
          <w:sz w:val="18"/>
          <w:szCs w:val="18"/>
        </w:rPr>
      </w:pPr>
      <w:r w:rsidRPr="00BB3975">
        <w:rPr>
          <w:i/>
          <w:iCs/>
          <w:sz w:val="18"/>
          <w:szCs w:val="18"/>
          <w:lang w:val="fr-FR"/>
        </w:rPr>
        <w:t>Source</w:t>
      </w:r>
      <w:r w:rsidR="00BB3975" w:rsidRPr="00BB3975">
        <w:rPr>
          <w:i/>
          <w:iCs/>
          <w:sz w:val="18"/>
          <w:szCs w:val="18"/>
          <w:lang w:val="fr-FR"/>
        </w:rPr>
        <w:t> </w:t>
      </w:r>
      <w:r w:rsidRPr="00BB3975">
        <w:rPr>
          <w:sz w:val="18"/>
          <w:szCs w:val="18"/>
          <w:lang w:val="fr-FR"/>
        </w:rPr>
        <w:t>: Inspection du travail.</w:t>
      </w:r>
    </w:p>
    <w:p w:rsidR="00FD6BA8" w:rsidRPr="003D1522" w:rsidRDefault="00BB3975" w:rsidP="00BB3975">
      <w:pPr>
        <w:pStyle w:val="H23G"/>
      </w:pPr>
      <w:r w:rsidRPr="00BB3975">
        <w:rPr>
          <w:b w:val="0"/>
          <w:lang w:val="fr-FR"/>
        </w:rPr>
        <w:tab/>
      </w:r>
      <w:r w:rsidRPr="00BB3975">
        <w:rPr>
          <w:b w:val="0"/>
          <w:lang w:val="fr-FR"/>
        </w:rPr>
        <w:tab/>
      </w:r>
      <w:r w:rsidR="00FD6BA8" w:rsidRPr="00BB3975">
        <w:rPr>
          <w:b w:val="0"/>
          <w:lang w:val="fr-FR"/>
        </w:rPr>
        <w:t>Tableau 2</w:t>
      </w:r>
      <w:r w:rsidR="00FD6BA8">
        <w:rPr>
          <w:lang w:val="fr-FR"/>
        </w:rPr>
        <w:t xml:space="preserve"> </w:t>
      </w:r>
      <w:r>
        <w:rPr>
          <w:lang w:val="fr-FR"/>
        </w:rPr>
        <w:br/>
      </w:r>
      <w:r w:rsidR="00FD6BA8">
        <w:rPr>
          <w:lang w:val="fr-FR"/>
        </w:rPr>
        <w:t>Nombre d’inspections</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059"/>
        <w:gridCol w:w="1051"/>
        <w:gridCol w:w="1052"/>
        <w:gridCol w:w="1052"/>
        <w:gridCol w:w="1052"/>
        <w:gridCol w:w="1052"/>
        <w:gridCol w:w="1052"/>
      </w:tblGrid>
      <w:tr w:rsidR="00BB3975" w:rsidRPr="00BB3975" w:rsidTr="00CD1794">
        <w:trPr>
          <w:tblHeader/>
        </w:trPr>
        <w:tc>
          <w:tcPr>
            <w:tcW w:w="1059" w:type="dxa"/>
            <w:tcBorders>
              <w:bottom w:val="single" w:sz="4" w:space="0" w:color="auto"/>
            </w:tcBorders>
            <w:shd w:val="clear" w:color="auto" w:fill="auto"/>
            <w:noWrap/>
            <w:vAlign w:val="bottom"/>
            <w:hideMark/>
          </w:tcPr>
          <w:p w:rsidR="00FD6BA8" w:rsidRPr="00BB3975" w:rsidRDefault="00FD6BA8" w:rsidP="00BB3975">
            <w:pPr>
              <w:suppressAutoHyphens w:val="0"/>
              <w:spacing w:before="80" w:after="80" w:line="200" w:lineRule="exact"/>
              <w:rPr>
                <w:i/>
                <w:sz w:val="16"/>
              </w:rPr>
            </w:pPr>
          </w:p>
        </w:tc>
        <w:tc>
          <w:tcPr>
            <w:tcW w:w="1051" w:type="dxa"/>
            <w:tcBorders>
              <w:bottom w:val="single" w:sz="4" w:space="0" w:color="auto"/>
            </w:tcBorders>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2012</w:t>
            </w:r>
          </w:p>
        </w:tc>
        <w:tc>
          <w:tcPr>
            <w:tcW w:w="1052" w:type="dxa"/>
            <w:tcBorders>
              <w:bottom w:val="single" w:sz="4" w:space="0" w:color="auto"/>
            </w:tcBorders>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2013</w:t>
            </w:r>
          </w:p>
        </w:tc>
        <w:tc>
          <w:tcPr>
            <w:tcW w:w="1052" w:type="dxa"/>
            <w:tcBorders>
              <w:bottom w:val="single" w:sz="4" w:space="0" w:color="auto"/>
            </w:tcBorders>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2014</w:t>
            </w:r>
          </w:p>
        </w:tc>
        <w:tc>
          <w:tcPr>
            <w:tcW w:w="1052" w:type="dxa"/>
            <w:tcBorders>
              <w:bottom w:val="single" w:sz="4" w:space="0" w:color="auto"/>
            </w:tcBorders>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2015</w:t>
            </w:r>
          </w:p>
        </w:tc>
        <w:tc>
          <w:tcPr>
            <w:tcW w:w="1052" w:type="dxa"/>
            <w:tcBorders>
              <w:bottom w:val="single" w:sz="4" w:space="0" w:color="auto"/>
            </w:tcBorders>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2016</w:t>
            </w:r>
          </w:p>
        </w:tc>
        <w:tc>
          <w:tcPr>
            <w:tcW w:w="1052" w:type="dxa"/>
            <w:tcBorders>
              <w:bottom w:val="single" w:sz="4" w:space="0" w:color="auto"/>
            </w:tcBorders>
            <w:shd w:val="clear" w:color="auto" w:fill="auto"/>
            <w:noWrap/>
            <w:vAlign w:val="bottom"/>
            <w:hideMark/>
          </w:tcPr>
          <w:p w:rsidR="00FD6BA8" w:rsidRPr="00BB3975" w:rsidRDefault="00FD6BA8" w:rsidP="00BB3975">
            <w:pPr>
              <w:suppressAutoHyphens w:val="0"/>
              <w:spacing w:before="80" w:after="80" w:line="200" w:lineRule="exact"/>
              <w:jc w:val="right"/>
              <w:rPr>
                <w:i/>
                <w:sz w:val="16"/>
              </w:rPr>
            </w:pPr>
            <w:r w:rsidRPr="00BB3975">
              <w:rPr>
                <w:i/>
                <w:iCs/>
                <w:sz w:val="16"/>
                <w:lang w:val="fr-FR"/>
              </w:rPr>
              <w:t>2017</w:t>
            </w:r>
          </w:p>
        </w:tc>
      </w:tr>
      <w:tr w:rsidR="00BB3975" w:rsidRPr="00634050" w:rsidTr="00CD1794">
        <w:tc>
          <w:tcPr>
            <w:tcW w:w="1059" w:type="dxa"/>
            <w:tcBorders>
              <w:top w:val="single" w:sz="4" w:space="0" w:color="auto"/>
            </w:tcBorders>
            <w:shd w:val="clear" w:color="auto" w:fill="auto"/>
            <w:noWrap/>
            <w:hideMark/>
          </w:tcPr>
          <w:p w:rsidR="00FD6BA8" w:rsidRPr="00634050" w:rsidRDefault="00FD6BA8" w:rsidP="00634050">
            <w:pPr>
              <w:suppressAutoHyphens w:val="0"/>
              <w:spacing w:before="80" w:after="80" w:line="220" w:lineRule="exact"/>
              <w:ind w:left="283"/>
              <w:rPr>
                <w:b/>
                <w:sz w:val="18"/>
              </w:rPr>
            </w:pPr>
            <w:r w:rsidRPr="00634050">
              <w:rPr>
                <w:b/>
                <w:sz w:val="18"/>
                <w:lang w:val="fr-FR"/>
              </w:rPr>
              <w:t>Total</w:t>
            </w:r>
          </w:p>
        </w:tc>
        <w:tc>
          <w:tcPr>
            <w:tcW w:w="1051" w:type="dxa"/>
            <w:tcBorders>
              <w:top w:val="single" w:sz="4" w:space="0" w:color="auto"/>
            </w:tcBorders>
            <w:shd w:val="clear" w:color="auto" w:fill="auto"/>
            <w:noWrap/>
            <w:vAlign w:val="bottom"/>
            <w:hideMark/>
          </w:tcPr>
          <w:p w:rsidR="00FD6BA8" w:rsidRPr="00634050" w:rsidRDefault="00FD6BA8" w:rsidP="00634050">
            <w:pPr>
              <w:suppressAutoHyphens w:val="0"/>
              <w:spacing w:before="80" w:after="80" w:line="220" w:lineRule="exact"/>
              <w:jc w:val="right"/>
              <w:rPr>
                <w:b/>
                <w:sz w:val="18"/>
              </w:rPr>
            </w:pPr>
            <w:r w:rsidRPr="00634050">
              <w:rPr>
                <w:b/>
                <w:sz w:val="18"/>
                <w:lang w:val="fr-FR"/>
              </w:rPr>
              <w:t>4</w:t>
            </w:r>
            <w:r w:rsidR="00634050" w:rsidRPr="00634050">
              <w:rPr>
                <w:b/>
                <w:sz w:val="18"/>
                <w:lang w:val="fr-FR"/>
              </w:rPr>
              <w:t> </w:t>
            </w:r>
            <w:r w:rsidRPr="00634050">
              <w:rPr>
                <w:b/>
                <w:sz w:val="18"/>
                <w:lang w:val="fr-FR"/>
              </w:rPr>
              <w:t>051</w:t>
            </w:r>
          </w:p>
        </w:tc>
        <w:tc>
          <w:tcPr>
            <w:tcW w:w="1052" w:type="dxa"/>
            <w:tcBorders>
              <w:top w:val="single" w:sz="4" w:space="0" w:color="auto"/>
            </w:tcBorders>
            <w:shd w:val="clear" w:color="auto" w:fill="auto"/>
            <w:noWrap/>
            <w:vAlign w:val="bottom"/>
            <w:hideMark/>
          </w:tcPr>
          <w:p w:rsidR="00FD6BA8" w:rsidRPr="00634050" w:rsidRDefault="00634050" w:rsidP="00634050">
            <w:pPr>
              <w:suppressAutoHyphens w:val="0"/>
              <w:spacing w:before="80" w:after="80" w:line="220" w:lineRule="exact"/>
              <w:jc w:val="right"/>
              <w:rPr>
                <w:b/>
                <w:sz w:val="18"/>
              </w:rPr>
            </w:pPr>
            <w:r w:rsidRPr="00634050">
              <w:rPr>
                <w:b/>
                <w:sz w:val="18"/>
                <w:lang w:val="fr-FR"/>
              </w:rPr>
              <w:t>3 </w:t>
            </w:r>
            <w:r w:rsidR="00FD6BA8" w:rsidRPr="00634050">
              <w:rPr>
                <w:b/>
                <w:sz w:val="18"/>
                <w:lang w:val="fr-FR"/>
              </w:rPr>
              <w:t>787</w:t>
            </w:r>
          </w:p>
        </w:tc>
        <w:tc>
          <w:tcPr>
            <w:tcW w:w="1052" w:type="dxa"/>
            <w:tcBorders>
              <w:top w:val="single" w:sz="4" w:space="0" w:color="auto"/>
            </w:tcBorders>
            <w:shd w:val="clear" w:color="auto" w:fill="auto"/>
            <w:noWrap/>
            <w:vAlign w:val="bottom"/>
            <w:hideMark/>
          </w:tcPr>
          <w:p w:rsidR="00FD6BA8" w:rsidRPr="00634050" w:rsidRDefault="00634050" w:rsidP="00634050">
            <w:pPr>
              <w:suppressAutoHyphens w:val="0"/>
              <w:spacing w:before="80" w:after="80" w:line="220" w:lineRule="exact"/>
              <w:jc w:val="right"/>
              <w:rPr>
                <w:b/>
                <w:sz w:val="18"/>
              </w:rPr>
            </w:pPr>
            <w:r w:rsidRPr="00634050">
              <w:rPr>
                <w:b/>
                <w:sz w:val="18"/>
                <w:lang w:val="fr-FR"/>
              </w:rPr>
              <w:t>4 </w:t>
            </w:r>
            <w:r w:rsidR="00FD6BA8" w:rsidRPr="00634050">
              <w:rPr>
                <w:b/>
                <w:sz w:val="18"/>
                <w:lang w:val="fr-FR"/>
              </w:rPr>
              <w:t>268</w:t>
            </w:r>
          </w:p>
        </w:tc>
        <w:tc>
          <w:tcPr>
            <w:tcW w:w="1052" w:type="dxa"/>
            <w:tcBorders>
              <w:top w:val="single" w:sz="4" w:space="0" w:color="auto"/>
            </w:tcBorders>
            <w:shd w:val="clear" w:color="auto" w:fill="auto"/>
            <w:noWrap/>
            <w:vAlign w:val="bottom"/>
            <w:hideMark/>
          </w:tcPr>
          <w:p w:rsidR="00FD6BA8" w:rsidRPr="00634050" w:rsidRDefault="00634050" w:rsidP="00634050">
            <w:pPr>
              <w:suppressAutoHyphens w:val="0"/>
              <w:spacing w:before="80" w:after="80" w:line="220" w:lineRule="exact"/>
              <w:jc w:val="right"/>
              <w:rPr>
                <w:b/>
                <w:sz w:val="18"/>
              </w:rPr>
            </w:pPr>
            <w:r w:rsidRPr="00634050">
              <w:rPr>
                <w:b/>
                <w:sz w:val="18"/>
                <w:lang w:val="fr-FR"/>
              </w:rPr>
              <w:t>4 </w:t>
            </w:r>
            <w:r w:rsidR="00FD6BA8" w:rsidRPr="00634050">
              <w:rPr>
                <w:b/>
                <w:sz w:val="18"/>
                <w:lang w:val="fr-FR"/>
              </w:rPr>
              <w:t>752</w:t>
            </w:r>
          </w:p>
        </w:tc>
        <w:tc>
          <w:tcPr>
            <w:tcW w:w="1052" w:type="dxa"/>
            <w:tcBorders>
              <w:top w:val="single" w:sz="4" w:space="0" w:color="auto"/>
            </w:tcBorders>
            <w:shd w:val="clear" w:color="auto" w:fill="auto"/>
            <w:noWrap/>
            <w:vAlign w:val="bottom"/>
            <w:hideMark/>
          </w:tcPr>
          <w:p w:rsidR="00FD6BA8" w:rsidRPr="00634050" w:rsidRDefault="00634050" w:rsidP="00634050">
            <w:pPr>
              <w:suppressAutoHyphens w:val="0"/>
              <w:spacing w:before="80" w:after="80" w:line="220" w:lineRule="exact"/>
              <w:jc w:val="right"/>
              <w:rPr>
                <w:b/>
                <w:sz w:val="18"/>
              </w:rPr>
            </w:pPr>
            <w:r w:rsidRPr="00634050">
              <w:rPr>
                <w:b/>
                <w:sz w:val="18"/>
                <w:lang w:val="fr-FR"/>
              </w:rPr>
              <w:t>5 </w:t>
            </w:r>
            <w:r w:rsidR="00FD6BA8" w:rsidRPr="00634050">
              <w:rPr>
                <w:b/>
                <w:sz w:val="18"/>
                <w:lang w:val="fr-FR"/>
              </w:rPr>
              <w:t>282</w:t>
            </w:r>
          </w:p>
        </w:tc>
        <w:tc>
          <w:tcPr>
            <w:tcW w:w="1052" w:type="dxa"/>
            <w:tcBorders>
              <w:top w:val="single" w:sz="4" w:space="0" w:color="auto"/>
            </w:tcBorders>
            <w:shd w:val="clear" w:color="auto" w:fill="auto"/>
            <w:noWrap/>
            <w:vAlign w:val="bottom"/>
            <w:hideMark/>
          </w:tcPr>
          <w:p w:rsidR="00FD6BA8" w:rsidRPr="00634050" w:rsidRDefault="00634050" w:rsidP="00634050">
            <w:pPr>
              <w:suppressAutoHyphens w:val="0"/>
              <w:spacing w:before="80" w:after="80" w:line="220" w:lineRule="exact"/>
              <w:jc w:val="right"/>
              <w:rPr>
                <w:b/>
                <w:sz w:val="18"/>
              </w:rPr>
            </w:pPr>
            <w:r w:rsidRPr="00634050">
              <w:rPr>
                <w:b/>
                <w:sz w:val="18"/>
                <w:lang w:val="fr-FR"/>
              </w:rPr>
              <w:t>4 </w:t>
            </w:r>
            <w:r w:rsidR="00FD6BA8" w:rsidRPr="00634050">
              <w:rPr>
                <w:b/>
                <w:sz w:val="18"/>
                <w:lang w:val="fr-FR"/>
              </w:rPr>
              <w:t>640</w:t>
            </w:r>
          </w:p>
        </w:tc>
      </w:tr>
    </w:tbl>
    <w:p w:rsidR="00FD6BA8" w:rsidRPr="00BB3975" w:rsidRDefault="00FD6BA8" w:rsidP="00BB3975">
      <w:pPr>
        <w:pStyle w:val="SingleTxtG"/>
        <w:spacing w:before="120" w:after="240"/>
        <w:ind w:firstLine="170"/>
        <w:rPr>
          <w:sz w:val="18"/>
          <w:szCs w:val="18"/>
        </w:rPr>
      </w:pPr>
      <w:r w:rsidRPr="00BB3975">
        <w:rPr>
          <w:i/>
          <w:iCs/>
          <w:sz w:val="18"/>
          <w:szCs w:val="18"/>
          <w:lang w:val="fr-FR"/>
        </w:rPr>
        <w:t>Source</w:t>
      </w:r>
      <w:r w:rsidR="00BB3975" w:rsidRPr="00BB3975">
        <w:rPr>
          <w:i/>
          <w:iCs/>
          <w:sz w:val="18"/>
          <w:szCs w:val="18"/>
          <w:lang w:val="fr-FR"/>
        </w:rPr>
        <w:t> </w:t>
      </w:r>
      <w:r w:rsidRPr="00BB3975">
        <w:rPr>
          <w:sz w:val="18"/>
          <w:szCs w:val="18"/>
          <w:lang w:val="fr-FR"/>
        </w:rPr>
        <w:t>: Inspection du travail.</w:t>
      </w:r>
    </w:p>
    <w:p w:rsidR="00FD6BA8" w:rsidRPr="005874D7" w:rsidRDefault="00FD6BA8" w:rsidP="008E057B">
      <w:pPr>
        <w:pStyle w:val="SingleTxtG"/>
        <w:keepNext/>
        <w:keepLines/>
        <w:rPr>
          <w:spacing w:val="-3"/>
          <w:lang w:val="fr-FR"/>
        </w:rPr>
      </w:pPr>
      <w:r w:rsidRPr="005874D7">
        <w:rPr>
          <w:spacing w:val="-3"/>
          <w:lang w:val="fr-FR"/>
        </w:rPr>
        <w:lastRenderedPageBreak/>
        <w:t>34.</w:t>
      </w:r>
      <w:r w:rsidRPr="005874D7">
        <w:rPr>
          <w:spacing w:val="-3"/>
          <w:lang w:val="fr-FR"/>
        </w:rPr>
        <w:tab/>
        <w:t>Compte tenu du nombre d’inspections réalisées, le taux de non-respect du salaire minimum est relativement faible. Si l’employeur n’a pas informé l’employé du salaire prévu dans un contrat de travail écrit ou si le salaire convenu dans le contrat est inférieur au salaire minimum, un inspecteur du travail est autorisé à sommer l’employeur de remédier à la situation. Une amende peut être imposée. P</w:t>
      </w:r>
      <w:r w:rsidR="0054560B">
        <w:rPr>
          <w:spacing w:val="-3"/>
          <w:lang w:val="fr-FR"/>
        </w:rPr>
        <w:t>endant la période 2010-2017, l’i</w:t>
      </w:r>
      <w:r w:rsidRPr="005874D7">
        <w:rPr>
          <w:spacing w:val="-3"/>
          <w:lang w:val="fr-FR"/>
        </w:rPr>
        <w:t>ns</w:t>
      </w:r>
      <w:r w:rsidR="00F73908" w:rsidRPr="005874D7">
        <w:rPr>
          <w:spacing w:val="-3"/>
          <w:lang w:val="fr-FR"/>
        </w:rPr>
        <w:t xml:space="preserve">pection du travail </w:t>
      </w:r>
      <w:r w:rsidR="00F73908" w:rsidRPr="005874D7">
        <w:rPr>
          <w:lang w:val="fr-FR"/>
        </w:rPr>
        <w:t>a recensé 39 </w:t>
      </w:r>
      <w:r w:rsidRPr="005874D7">
        <w:rPr>
          <w:lang w:val="fr-FR"/>
        </w:rPr>
        <w:t>cas de non-respect du salaire minimum, mais aucune amende n’a été infligée.</w:t>
      </w:r>
    </w:p>
    <w:p w:rsidR="004366C4" w:rsidRPr="002C7AB3" w:rsidRDefault="004366C4" w:rsidP="00B96338">
      <w:pPr>
        <w:pStyle w:val="H23G"/>
        <w:rPr>
          <w:lang w:val="fr-FR"/>
        </w:rPr>
      </w:pPr>
      <w:r w:rsidRPr="002C7AB3">
        <w:rPr>
          <w:lang w:val="fr-FR"/>
        </w:rPr>
        <w:tab/>
      </w:r>
      <w:r w:rsidRPr="002C7AB3">
        <w:rPr>
          <w:lang w:val="fr-FR"/>
        </w:rPr>
        <w:tab/>
        <w:t xml:space="preserve">Écart salarial entre hommes et femmes </w:t>
      </w:r>
    </w:p>
    <w:p w:rsidR="004366C4" w:rsidRPr="002C7AB3" w:rsidRDefault="004366C4" w:rsidP="004366C4">
      <w:pPr>
        <w:pStyle w:val="SingleTxtG"/>
        <w:rPr>
          <w:lang w:val="fr-FR"/>
        </w:rPr>
      </w:pPr>
      <w:r w:rsidRPr="002C7AB3">
        <w:rPr>
          <w:lang w:val="fr-FR"/>
        </w:rPr>
        <w:t>35.</w:t>
      </w:r>
      <w:r w:rsidRPr="002C7AB3">
        <w:rPr>
          <w:lang w:val="fr-FR"/>
        </w:rPr>
        <w:tab/>
        <w:t>L</w:t>
      </w:r>
      <w:r>
        <w:rPr>
          <w:lang w:val="fr-FR"/>
        </w:rPr>
        <w:t>’</w:t>
      </w:r>
      <w:r w:rsidRPr="002C7AB3">
        <w:rPr>
          <w:lang w:val="fr-FR"/>
        </w:rPr>
        <w:t>écart salarial entre hommes et femmes s</w:t>
      </w:r>
      <w:r>
        <w:rPr>
          <w:lang w:val="fr-FR"/>
        </w:rPr>
        <w:t>’</w:t>
      </w:r>
      <w:r w:rsidRPr="002C7AB3">
        <w:rPr>
          <w:lang w:val="fr-FR"/>
        </w:rPr>
        <w:t>est réduit lentement mais régulièrement, passant de 29,9</w:t>
      </w:r>
      <w:r w:rsidR="00B96338">
        <w:rPr>
          <w:lang w:val="fr-FR"/>
        </w:rPr>
        <w:t> </w:t>
      </w:r>
      <w:r w:rsidRPr="002C7AB3">
        <w:rPr>
          <w:lang w:val="fr-FR"/>
        </w:rPr>
        <w:t>% en 2012 à 25,3</w:t>
      </w:r>
      <w:r w:rsidR="00B96338">
        <w:rPr>
          <w:lang w:val="fr-FR"/>
        </w:rPr>
        <w:t> </w:t>
      </w:r>
      <w:r w:rsidRPr="002C7AB3">
        <w:rPr>
          <w:lang w:val="fr-FR"/>
        </w:rPr>
        <w:t xml:space="preserve">% en 2016. </w:t>
      </w:r>
      <w:r>
        <w:rPr>
          <w:lang w:val="fr-FR"/>
        </w:rPr>
        <w:t>La modification de la loi sur l’égalité des sexes est l’</w:t>
      </w:r>
      <w:r w:rsidRPr="002C7AB3">
        <w:rPr>
          <w:lang w:val="fr-FR"/>
        </w:rPr>
        <w:t xml:space="preserve">une des principales mesures </w:t>
      </w:r>
      <w:r>
        <w:rPr>
          <w:lang w:val="fr-FR"/>
        </w:rPr>
        <w:t>utilisée</w:t>
      </w:r>
      <w:r w:rsidR="00B97184">
        <w:rPr>
          <w:lang w:val="fr-FR"/>
        </w:rPr>
        <w:t>s</w:t>
      </w:r>
      <w:r>
        <w:rPr>
          <w:lang w:val="fr-FR"/>
        </w:rPr>
        <w:t xml:space="preserve"> pour </w:t>
      </w:r>
      <w:r w:rsidRPr="002C7AB3">
        <w:rPr>
          <w:lang w:val="fr-FR"/>
        </w:rPr>
        <w:t xml:space="preserve">réduire </w:t>
      </w:r>
      <w:r>
        <w:rPr>
          <w:lang w:val="fr-FR"/>
        </w:rPr>
        <w:t>l’</w:t>
      </w:r>
      <w:r w:rsidRPr="002C7AB3">
        <w:rPr>
          <w:lang w:val="fr-FR"/>
        </w:rPr>
        <w:t>écart</w:t>
      </w:r>
      <w:r>
        <w:rPr>
          <w:lang w:val="fr-FR"/>
        </w:rPr>
        <w:t xml:space="preserve"> salarial</w:t>
      </w:r>
      <w:r w:rsidRPr="002C7AB3">
        <w:rPr>
          <w:lang w:val="fr-FR"/>
        </w:rPr>
        <w:t xml:space="preserve"> et renforcer les arrangements institutionnels s</w:t>
      </w:r>
      <w:r>
        <w:rPr>
          <w:lang w:val="fr-FR"/>
        </w:rPr>
        <w:t>’</w:t>
      </w:r>
      <w:r w:rsidRPr="002C7AB3">
        <w:rPr>
          <w:lang w:val="fr-FR"/>
        </w:rPr>
        <w:t>y rapportant dans les années à venir</w:t>
      </w:r>
      <w:r w:rsidR="00B96338">
        <w:rPr>
          <w:lang w:val="fr-FR"/>
        </w:rPr>
        <w:t>.</w:t>
      </w:r>
    </w:p>
    <w:p w:rsidR="004366C4" w:rsidRPr="002C7AB3" w:rsidRDefault="004366C4" w:rsidP="004366C4">
      <w:pPr>
        <w:pStyle w:val="SingleTxtG"/>
        <w:rPr>
          <w:lang w:val="fr-FR"/>
        </w:rPr>
      </w:pPr>
      <w:r w:rsidRPr="002C7AB3">
        <w:rPr>
          <w:lang w:val="fr-FR"/>
        </w:rPr>
        <w:t>36.</w:t>
      </w:r>
      <w:r w:rsidRPr="002C7AB3">
        <w:rPr>
          <w:lang w:val="fr-FR"/>
        </w:rPr>
        <w:tab/>
      </w:r>
      <w:r>
        <w:rPr>
          <w:lang w:val="fr-FR"/>
        </w:rPr>
        <w:t>Comme suite aux</w:t>
      </w:r>
      <w:r w:rsidRPr="002C7AB3">
        <w:rPr>
          <w:lang w:val="fr-FR"/>
        </w:rPr>
        <w:t xml:space="preserve"> modifications</w:t>
      </w:r>
      <w:r>
        <w:rPr>
          <w:lang w:val="fr-FR"/>
        </w:rPr>
        <w:t xml:space="preserve">, </w:t>
      </w:r>
      <w:r w:rsidRPr="002C7AB3">
        <w:rPr>
          <w:iCs/>
          <w:lang w:val="fr-FR"/>
        </w:rPr>
        <w:t>l</w:t>
      </w:r>
      <w:r>
        <w:rPr>
          <w:iCs/>
          <w:lang w:val="fr-FR"/>
        </w:rPr>
        <w:t>’</w:t>
      </w:r>
      <w:r w:rsidRPr="002C7AB3">
        <w:rPr>
          <w:iCs/>
          <w:lang w:val="fr-FR"/>
        </w:rPr>
        <w:t xml:space="preserve">inspection du travail </w:t>
      </w:r>
      <w:r>
        <w:rPr>
          <w:iCs/>
          <w:lang w:val="fr-FR"/>
        </w:rPr>
        <w:t xml:space="preserve">sera habilitée à </w:t>
      </w:r>
      <w:r w:rsidRPr="002C7AB3">
        <w:rPr>
          <w:iCs/>
          <w:lang w:val="fr-FR"/>
        </w:rPr>
        <w:t xml:space="preserve">contrôler, au </w:t>
      </w:r>
      <w:r>
        <w:rPr>
          <w:iCs/>
          <w:lang w:val="fr-FR"/>
        </w:rPr>
        <w:t>niveau</w:t>
      </w:r>
      <w:r w:rsidRPr="002C7AB3">
        <w:rPr>
          <w:iCs/>
          <w:lang w:val="fr-FR"/>
        </w:rPr>
        <w:t xml:space="preserve"> national, l</w:t>
      </w:r>
      <w:r>
        <w:rPr>
          <w:iCs/>
          <w:lang w:val="fr-FR"/>
        </w:rPr>
        <w:t>’</w:t>
      </w:r>
      <w:r w:rsidRPr="002C7AB3">
        <w:rPr>
          <w:iCs/>
          <w:lang w:val="fr-FR"/>
        </w:rPr>
        <w:t>application du principe d</w:t>
      </w:r>
      <w:r>
        <w:rPr>
          <w:iCs/>
          <w:lang w:val="fr-FR"/>
        </w:rPr>
        <w:t>’</w:t>
      </w:r>
      <w:r w:rsidRPr="002C7AB3">
        <w:rPr>
          <w:iCs/>
          <w:lang w:val="fr-FR"/>
        </w:rPr>
        <w:t xml:space="preserve">égalité de rémunération des femmes et des hommes </w:t>
      </w:r>
      <w:r w:rsidRPr="002C7AB3">
        <w:rPr>
          <w:lang w:val="fr-FR"/>
        </w:rPr>
        <w:t>et</w:t>
      </w:r>
      <w:r>
        <w:rPr>
          <w:lang w:val="fr-FR"/>
        </w:rPr>
        <w:t>, en cas de soupçon de discrimination en la matière, elle pourra</w:t>
      </w:r>
      <w:r w:rsidRPr="002C7AB3">
        <w:rPr>
          <w:lang w:val="fr-FR"/>
        </w:rPr>
        <w:t xml:space="preserve"> </w:t>
      </w:r>
      <w:r>
        <w:rPr>
          <w:lang w:val="fr-FR"/>
        </w:rPr>
        <w:t>exiger</w:t>
      </w:r>
      <w:r w:rsidRPr="002C7AB3">
        <w:rPr>
          <w:lang w:val="fr-FR"/>
        </w:rPr>
        <w:t xml:space="preserve"> </w:t>
      </w:r>
      <w:r>
        <w:rPr>
          <w:lang w:val="fr-FR"/>
        </w:rPr>
        <w:t>de</w:t>
      </w:r>
      <w:r w:rsidRPr="002C7AB3">
        <w:rPr>
          <w:lang w:val="fr-FR"/>
        </w:rPr>
        <w:t xml:space="preserve">s employeurs </w:t>
      </w:r>
      <w:r>
        <w:rPr>
          <w:lang w:val="fr-FR"/>
        </w:rPr>
        <w:t>du secteur public qu’ils procèdent à</w:t>
      </w:r>
      <w:r w:rsidRPr="002C7AB3">
        <w:rPr>
          <w:lang w:val="fr-FR"/>
        </w:rPr>
        <w:t xml:space="preserve"> des contrôles </w:t>
      </w:r>
      <w:r>
        <w:rPr>
          <w:lang w:val="fr-FR"/>
        </w:rPr>
        <w:t>pour vérifier</w:t>
      </w:r>
      <w:r w:rsidRPr="002C7AB3">
        <w:rPr>
          <w:lang w:val="fr-FR"/>
        </w:rPr>
        <w:t xml:space="preserve"> </w:t>
      </w:r>
      <w:r>
        <w:rPr>
          <w:lang w:val="fr-FR"/>
        </w:rPr>
        <w:t xml:space="preserve">s’il y a bien </w:t>
      </w:r>
      <w:r w:rsidRPr="002C7AB3">
        <w:rPr>
          <w:lang w:val="fr-FR"/>
        </w:rPr>
        <w:t>égalité de rémunération. Un nouvel outil informatique et des lignes directrices seront élaborés. Ces lignes directrices donneront aux inspecteurs du travail et aux employeurs un savoir-faire en matière d</w:t>
      </w:r>
      <w:r>
        <w:rPr>
          <w:lang w:val="fr-FR"/>
        </w:rPr>
        <w:t>’</w:t>
      </w:r>
      <w:r w:rsidRPr="002C7AB3">
        <w:rPr>
          <w:lang w:val="fr-FR"/>
        </w:rPr>
        <w:t>évaluation et de comparaison des emplois. L</w:t>
      </w:r>
      <w:r>
        <w:rPr>
          <w:lang w:val="fr-FR"/>
        </w:rPr>
        <w:t>’</w:t>
      </w:r>
      <w:r w:rsidRPr="002C7AB3">
        <w:rPr>
          <w:lang w:val="fr-FR"/>
        </w:rPr>
        <w:t>outil informatique et les lignes directrices seront également mis à la disposition de tous les employeurs du secteur privé. Ces modifications devraient s</w:t>
      </w:r>
      <w:r>
        <w:rPr>
          <w:lang w:val="fr-FR"/>
        </w:rPr>
        <w:t>’</w:t>
      </w:r>
      <w:r w:rsidRPr="002C7AB3">
        <w:rPr>
          <w:lang w:val="fr-FR"/>
        </w:rPr>
        <w:t xml:space="preserve">appliquer à compter </w:t>
      </w:r>
      <w:r w:rsidR="00B96338">
        <w:rPr>
          <w:lang w:val="fr-FR"/>
        </w:rPr>
        <w:t>du 1</w:t>
      </w:r>
      <w:r w:rsidR="00B96338" w:rsidRPr="00B96338">
        <w:rPr>
          <w:vertAlign w:val="superscript"/>
          <w:lang w:val="fr-FR"/>
        </w:rPr>
        <w:t>er</w:t>
      </w:r>
      <w:r w:rsidR="00B96338">
        <w:rPr>
          <w:lang w:val="fr-FR"/>
        </w:rPr>
        <w:t> </w:t>
      </w:r>
      <w:r w:rsidRPr="002C7AB3">
        <w:rPr>
          <w:lang w:val="fr-FR"/>
        </w:rPr>
        <w:t>juillet 2020.</w:t>
      </w:r>
    </w:p>
    <w:p w:rsidR="004366C4" w:rsidRPr="002C7AB3" w:rsidRDefault="004366C4" w:rsidP="004366C4">
      <w:pPr>
        <w:pStyle w:val="SingleTxtG"/>
        <w:rPr>
          <w:lang w:val="fr-FR"/>
        </w:rPr>
      </w:pPr>
      <w:r w:rsidRPr="002C7AB3">
        <w:rPr>
          <w:lang w:val="fr-FR"/>
        </w:rPr>
        <w:t>37.</w:t>
      </w:r>
      <w:r w:rsidRPr="002C7AB3">
        <w:rPr>
          <w:lang w:val="fr-FR"/>
        </w:rPr>
        <w:tab/>
      </w:r>
      <w:r w:rsidRPr="002C7AB3">
        <w:rPr>
          <w:iCs/>
          <w:lang w:val="fr-FR"/>
        </w:rPr>
        <w:t>L</w:t>
      </w:r>
      <w:r>
        <w:rPr>
          <w:iCs/>
          <w:lang w:val="fr-FR"/>
        </w:rPr>
        <w:t>’</w:t>
      </w:r>
      <w:r w:rsidRPr="002C7AB3">
        <w:rPr>
          <w:iCs/>
          <w:lang w:val="fr-FR"/>
        </w:rPr>
        <w:t>écart salarial est un problème majeur dans le domaine de l</w:t>
      </w:r>
      <w:r>
        <w:rPr>
          <w:iCs/>
          <w:lang w:val="fr-FR"/>
        </w:rPr>
        <w:t>’</w:t>
      </w:r>
      <w:r w:rsidRPr="002C7AB3">
        <w:rPr>
          <w:iCs/>
          <w:lang w:val="fr-FR"/>
        </w:rPr>
        <w:t>égalité des sexes.</w:t>
      </w:r>
      <w:r w:rsidRPr="002C7AB3">
        <w:rPr>
          <w:lang w:val="fr-FR"/>
        </w:rPr>
        <w:t xml:space="preserve"> Une analyse approfondie sera effectuée, car des données plus précises sont nécessaires pour </w:t>
      </w:r>
      <w:r>
        <w:rPr>
          <w:lang w:val="fr-FR"/>
        </w:rPr>
        <w:t>s’attaquer au</w:t>
      </w:r>
      <w:r w:rsidRPr="002C7AB3">
        <w:rPr>
          <w:lang w:val="fr-FR"/>
        </w:rPr>
        <w:t xml:space="preserve"> problème. En conséquence, l</w:t>
      </w:r>
      <w:r>
        <w:rPr>
          <w:lang w:val="fr-FR"/>
        </w:rPr>
        <w:t>’</w:t>
      </w:r>
      <w:r w:rsidRPr="002C7AB3">
        <w:rPr>
          <w:lang w:val="fr-FR"/>
        </w:rPr>
        <w:t>Estonie disposera de plus de données sur l</w:t>
      </w:r>
      <w:r>
        <w:rPr>
          <w:lang w:val="fr-FR"/>
        </w:rPr>
        <w:t>’</w:t>
      </w:r>
      <w:r w:rsidRPr="002C7AB3">
        <w:rPr>
          <w:lang w:val="fr-FR"/>
        </w:rPr>
        <w:t xml:space="preserve">écart salarial entre les hommes et les femmes et </w:t>
      </w:r>
      <w:r>
        <w:rPr>
          <w:lang w:val="fr-FR"/>
        </w:rPr>
        <w:t xml:space="preserve">parviendra ainsi à faire baisser les </w:t>
      </w:r>
      <w:r w:rsidRPr="002C7AB3">
        <w:rPr>
          <w:lang w:val="fr-FR"/>
        </w:rPr>
        <w:t xml:space="preserve">écarts de rémunération non </w:t>
      </w:r>
      <w:r>
        <w:rPr>
          <w:lang w:val="fr-FR"/>
        </w:rPr>
        <w:t>justifiés</w:t>
      </w:r>
      <w:r w:rsidRPr="002C7AB3">
        <w:rPr>
          <w:lang w:val="fr-FR"/>
        </w:rPr>
        <w:t>. Les résultats obtenus seront utilisés dans le cadre de l</w:t>
      </w:r>
      <w:r>
        <w:rPr>
          <w:lang w:val="fr-FR"/>
        </w:rPr>
        <w:t>’</w:t>
      </w:r>
      <w:r w:rsidRPr="002C7AB3">
        <w:rPr>
          <w:lang w:val="fr-FR"/>
        </w:rPr>
        <w:t>élaboration des politiques et des activités de sensibilisation. L</w:t>
      </w:r>
      <w:r>
        <w:rPr>
          <w:lang w:val="fr-FR"/>
        </w:rPr>
        <w:t>’</w:t>
      </w:r>
      <w:r w:rsidRPr="002C7AB3">
        <w:rPr>
          <w:lang w:val="fr-FR"/>
        </w:rPr>
        <w:t>appel à projets ayant été lancé en juin 2018, les activités débuteront en janvier 2019</w:t>
      </w:r>
      <w:r w:rsidR="00B96338">
        <w:rPr>
          <w:lang w:val="fr-FR"/>
        </w:rPr>
        <w:t xml:space="preserve"> et se termineront en 2021. Les </w:t>
      </w:r>
      <w:r w:rsidRPr="002C7AB3">
        <w:rPr>
          <w:lang w:val="fr-FR"/>
        </w:rPr>
        <w:t>premiers résultats préliminaires seront disponibles au cours de l</w:t>
      </w:r>
      <w:r>
        <w:rPr>
          <w:lang w:val="fr-FR"/>
        </w:rPr>
        <w:t>’</w:t>
      </w:r>
      <w:r w:rsidR="00B96338">
        <w:rPr>
          <w:lang w:val="fr-FR"/>
        </w:rPr>
        <w:t>été 2019.</w:t>
      </w:r>
    </w:p>
    <w:p w:rsidR="004366C4" w:rsidRPr="002C7AB3" w:rsidRDefault="004366C4" w:rsidP="004366C4">
      <w:pPr>
        <w:pStyle w:val="SingleTxtG"/>
        <w:rPr>
          <w:lang w:val="fr-FR"/>
        </w:rPr>
      </w:pPr>
      <w:r w:rsidRPr="002C7AB3">
        <w:rPr>
          <w:lang w:val="fr-FR"/>
        </w:rPr>
        <w:t>38.</w:t>
      </w:r>
      <w:r w:rsidRPr="002C7AB3">
        <w:rPr>
          <w:lang w:val="fr-FR"/>
        </w:rPr>
        <w:tab/>
        <w:t xml:space="preserve">La </w:t>
      </w:r>
      <w:r w:rsidRPr="002C7AB3">
        <w:rPr>
          <w:iCs/>
          <w:lang w:val="fr-FR"/>
        </w:rPr>
        <w:t>Stratégie d</w:t>
      </w:r>
      <w:r>
        <w:rPr>
          <w:iCs/>
          <w:lang w:val="fr-FR"/>
        </w:rPr>
        <w:t>’</w:t>
      </w:r>
      <w:r w:rsidRPr="002C7AB3">
        <w:rPr>
          <w:iCs/>
          <w:lang w:val="fr-FR"/>
        </w:rPr>
        <w:t>intégration et de cohésion sociale à l</w:t>
      </w:r>
      <w:r>
        <w:rPr>
          <w:iCs/>
          <w:lang w:val="fr-FR"/>
        </w:rPr>
        <w:t>’</w:t>
      </w:r>
      <w:r w:rsidRPr="002C7AB3">
        <w:rPr>
          <w:iCs/>
          <w:lang w:val="fr-FR"/>
        </w:rPr>
        <w:t xml:space="preserve">horizon 2020 </w:t>
      </w:r>
      <w:r w:rsidRPr="002C7AB3">
        <w:rPr>
          <w:lang w:val="fr-FR"/>
        </w:rPr>
        <w:t xml:space="preserve">comprend une mesure </w:t>
      </w:r>
      <w:r>
        <w:rPr>
          <w:lang w:val="fr-FR"/>
        </w:rPr>
        <w:t>de p</w:t>
      </w:r>
      <w:r w:rsidRPr="002C7AB3">
        <w:rPr>
          <w:lang w:val="fr-FR"/>
        </w:rPr>
        <w:t>romotion de l</w:t>
      </w:r>
      <w:r>
        <w:rPr>
          <w:lang w:val="fr-FR"/>
        </w:rPr>
        <w:t>’</w:t>
      </w:r>
      <w:r w:rsidRPr="002C7AB3">
        <w:rPr>
          <w:lang w:val="fr-FR"/>
        </w:rPr>
        <w:t>égalité de traitement sur le marché du travail. Différentes activités visant à promouvoir l</w:t>
      </w:r>
      <w:r>
        <w:rPr>
          <w:lang w:val="fr-FR"/>
        </w:rPr>
        <w:t>’</w:t>
      </w:r>
      <w:r w:rsidRPr="002C7AB3">
        <w:rPr>
          <w:lang w:val="fr-FR"/>
        </w:rPr>
        <w:t xml:space="preserve">égalité de traitement </w:t>
      </w:r>
      <w:r>
        <w:rPr>
          <w:lang w:val="fr-FR"/>
        </w:rPr>
        <w:t>des travailleurs dans les</w:t>
      </w:r>
      <w:r w:rsidRPr="002C7AB3">
        <w:rPr>
          <w:lang w:val="fr-FR"/>
        </w:rPr>
        <w:t xml:space="preserve"> secteurs public et privé sont mises en œuvre </w:t>
      </w:r>
      <w:r>
        <w:rPr>
          <w:lang w:val="fr-FR"/>
        </w:rPr>
        <w:t>à ce titre</w:t>
      </w:r>
      <w:r w:rsidRPr="002C7AB3">
        <w:rPr>
          <w:lang w:val="fr-FR"/>
        </w:rPr>
        <w:t>.</w:t>
      </w:r>
    </w:p>
    <w:p w:rsidR="004366C4" w:rsidRPr="002C7AB3" w:rsidRDefault="004366C4" w:rsidP="004366C4">
      <w:pPr>
        <w:pStyle w:val="SingleTxtG"/>
        <w:rPr>
          <w:lang w:val="fr-FR"/>
        </w:rPr>
      </w:pPr>
      <w:r w:rsidRPr="002C7AB3">
        <w:rPr>
          <w:lang w:val="fr-FR"/>
        </w:rPr>
        <w:t>39.</w:t>
      </w:r>
      <w:r w:rsidRPr="002C7AB3">
        <w:rPr>
          <w:lang w:val="fr-FR"/>
        </w:rPr>
        <w:tab/>
        <w:t>Les femmes sont surreprésentées dans des domaines tels que l</w:t>
      </w:r>
      <w:r>
        <w:rPr>
          <w:lang w:val="fr-FR"/>
        </w:rPr>
        <w:t>’</w:t>
      </w:r>
      <w:r w:rsidRPr="002C7AB3">
        <w:rPr>
          <w:lang w:val="fr-FR"/>
        </w:rPr>
        <w:t>éducation, les services sociaux et les soins de santé tandis que les hommes le sont dans l</w:t>
      </w:r>
      <w:r>
        <w:rPr>
          <w:lang w:val="fr-FR"/>
        </w:rPr>
        <w:t>’</w:t>
      </w:r>
      <w:r w:rsidRPr="002C7AB3">
        <w:rPr>
          <w:lang w:val="fr-FR"/>
        </w:rPr>
        <w:t>immobilier, la construction et les technologies de l</w:t>
      </w:r>
      <w:r>
        <w:rPr>
          <w:lang w:val="fr-FR"/>
        </w:rPr>
        <w:t>’</w:t>
      </w:r>
      <w:r w:rsidRPr="002C7AB3">
        <w:rPr>
          <w:lang w:val="fr-FR"/>
        </w:rPr>
        <w:t>information et de la communication (TIC). Dans le secteur des TIC, seulement 29</w:t>
      </w:r>
      <w:r w:rsidR="00B96338">
        <w:rPr>
          <w:lang w:val="fr-FR"/>
        </w:rPr>
        <w:t> </w:t>
      </w:r>
      <w:r w:rsidRPr="002C7AB3">
        <w:rPr>
          <w:lang w:val="fr-FR"/>
        </w:rPr>
        <w:t xml:space="preserve">% des travailleurs sont des femmes. </w:t>
      </w:r>
      <w:r>
        <w:rPr>
          <w:lang w:val="fr-FR"/>
        </w:rPr>
        <w:t>Le</w:t>
      </w:r>
      <w:r w:rsidRPr="002C7AB3">
        <w:rPr>
          <w:lang w:val="fr-FR"/>
        </w:rPr>
        <w:t xml:space="preserve"> système éducatif</w:t>
      </w:r>
      <w:r>
        <w:rPr>
          <w:lang w:val="fr-FR"/>
        </w:rPr>
        <w:t xml:space="preserve"> est responsable de cette situation</w:t>
      </w:r>
      <w:r w:rsidRPr="002C7AB3">
        <w:rPr>
          <w:lang w:val="fr-FR"/>
        </w:rPr>
        <w:t xml:space="preserve"> puisque 71</w:t>
      </w:r>
      <w:r w:rsidR="00B96338">
        <w:rPr>
          <w:lang w:val="fr-FR"/>
        </w:rPr>
        <w:t> </w:t>
      </w:r>
      <w:r w:rsidRPr="002C7AB3">
        <w:rPr>
          <w:lang w:val="fr-FR"/>
        </w:rPr>
        <w:t>% des étudiants acceptés à l</w:t>
      </w:r>
      <w:r>
        <w:rPr>
          <w:lang w:val="fr-FR"/>
        </w:rPr>
        <w:t>’</w:t>
      </w:r>
      <w:r w:rsidRPr="002C7AB3">
        <w:rPr>
          <w:lang w:val="fr-FR"/>
        </w:rPr>
        <w:t xml:space="preserve">université pour </w:t>
      </w:r>
      <w:r w:rsidR="00B96338">
        <w:rPr>
          <w:lang w:val="fr-FR"/>
        </w:rPr>
        <w:t xml:space="preserve">y </w:t>
      </w:r>
      <w:r w:rsidRPr="002C7AB3">
        <w:rPr>
          <w:lang w:val="fr-FR"/>
        </w:rPr>
        <w:t xml:space="preserve">étudier </w:t>
      </w:r>
      <w:r>
        <w:rPr>
          <w:lang w:val="fr-FR"/>
        </w:rPr>
        <w:t>l’informatique</w:t>
      </w:r>
      <w:r w:rsidRPr="002C7AB3">
        <w:rPr>
          <w:lang w:val="fr-FR"/>
        </w:rPr>
        <w:t xml:space="preserve"> en 2017 étaient des hommes. Cependant, l</w:t>
      </w:r>
      <w:r>
        <w:rPr>
          <w:lang w:val="fr-FR"/>
        </w:rPr>
        <w:t>’</w:t>
      </w:r>
      <w:r w:rsidRPr="002C7AB3">
        <w:rPr>
          <w:lang w:val="fr-FR"/>
        </w:rPr>
        <w:t>État a intensifié ses efforts pour accroître la proportion de femmes dans le secteur des</w:t>
      </w:r>
      <w:r w:rsidR="00B96338">
        <w:rPr>
          <w:lang w:val="fr-FR"/>
        </w:rPr>
        <w:t xml:space="preserve"> TIC.</w:t>
      </w:r>
    </w:p>
    <w:p w:rsidR="004366C4" w:rsidRPr="002C7AB3" w:rsidRDefault="004366C4" w:rsidP="004366C4">
      <w:pPr>
        <w:pStyle w:val="SingleTxtG"/>
        <w:rPr>
          <w:lang w:val="fr-FR"/>
        </w:rPr>
      </w:pPr>
      <w:r w:rsidRPr="002C7AB3">
        <w:rPr>
          <w:lang w:val="fr-FR"/>
        </w:rPr>
        <w:t>40.</w:t>
      </w:r>
      <w:r w:rsidRPr="002C7AB3">
        <w:rPr>
          <w:lang w:val="fr-FR"/>
        </w:rPr>
        <w:tab/>
        <w:t xml:space="preserve">Des campagnes ont été réalisées pour inciter les femmes à étudier </w:t>
      </w:r>
      <w:r>
        <w:rPr>
          <w:lang w:val="fr-FR"/>
        </w:rPr>
        <w:t>l’informatique</w:t>
      </w:r>
      <w:r w:rsidR="00B96338">
        <w:rPr>
          <w:lang w:val="fr-FR"/>
        </w:rPr>
        <w:t xml:space="preserve"> (le </w:t>
      </w:r>
      <w:r w:rsidRPr="002C7AB3">
        <w:rPr>
          <w:lang w:val="fr-FR"/>
        </w:rPr>
        <w:t xml:space="preserve">Ministère des affaires économiques et des communications a lancé </w:t>
      </w:r>
      <w:r>
        <w:rPr>
          <w:lang w:val="fr-FR"/>
        </w:rPr>
        <w:t>une</w:t>
      </w:r>
      <w:r w:rsidRPr="002C7AB3">
        <w:rPr>
          <w:lang w:val="fr-FR"/>
        </w:rPr>
        <w:t xml:space="preserve"> campagne </w:t>
      </w:r>
      <w:r>
        <w:rPr>
          <w:lang w:val="fr-FR"/>
        </w:rPr>
        <w:t>sur le thème</w:t>
      </w:r>
      <w:r w:rsidRPr="002C7AB3">
        <w:rPr>
          <w:lang w:val="fr-FR"/>
        </w:rPr>
        <w:t xml:space="preserve"> </w:t>
      </w:r>
      <w:r w:rsidR="00B96338">
        <w:rPr>
          <w:lang w:val="fr-FR"/>
        </w:rPr>
        <w:t>« </w:t>
      </w:r>
      <w:r w:rsidRPr="002C7AB3">
        <w:rPr>
          <w:lang w:val="fr-FR"/>
        </w:rPr>
        <w:t>Les TIC sont partout</w:t>
      </w:r>
      <w:r w:rsidR="00B96338">
        <w:rPr>
          <w:lang w:val="fr-FR"/>
        </w:rPr>
        <w:t> »</w:t>
      </w:r>
      <w:r w:rsidRPr="002C7AB3">
        <w:rPr>
          <w:lang w:val="fr-FR"/>
        </w:rPr>
        <w:t>, qui s</w:t>
      </w:r>
      <w:r>
        <w:rPr>
          <w:lang w:val="fr-FR"/>
        </w:rPr>
        <w:t>’</w:t>
      </w:r>
      <w:r w:rsidRPr="002C7AB3">
        <w:rPr>
          <w:lang w:val="fr-FR"/>
        </w:rPr>
        <w:t xml:space="preserve">adresse principalement aux filles et aux jeunes femmes afin de les motiver à suivre une formation dans </w:t>
      </w:r>
      <w:r>
        <w:rPr>
          <w:lang w:val="fr-FR"/>
        </w:rPr>
        <w:t>d</w:t>
      </w:r>
      <w:r w:rsidR="00B96338">
        <w:rPr>
          <w:lang w:val="fr-FR"/>
        </w:rPr>
        <w:t>es domaines liés aux TIC). Un </w:t>
      </w:r>
      <w:r w:rsidRPr="002C7AB3">
        <w:rPr>
          <w:lang w:val="fr-FR"/>
        </w:rPr>
        <w:t>certain nombre d</w:t>
      </w:r>
      <w:r>
        <w:rPr>
          <w:lang w:val="fr-FR"/>
        </w:rPr>
        <w:t>’</w:t>
      </w:r>
      <w:r w:rsidRPr="002C7AB3">
        <w:rPr>
          <w:lang w:val="fr-FR"/>
        </w:rPr>
        <w:t xml:space="preserve">ONG promeuvent également la participation et la carrière des femmes dans </w:t>
      </w:r>
      <w:r>
        <w:rPr>
          <w:lang w:val="fr-FR"/>
        </w:rPr>
        <w:t>le secteur informatique</w:t>
      </w:r>
      <w:r w:rsidR="005874D7">
        <w:rPr>
          <w:lang w:val="fr-FR"/>
        </w:rPr>
        <w:t>.</w:t>
      </w:r>
    </w:p>
    <w:p w:rsidR="004366C4" w:rsidRPr="002C7AB3" w:rsidRDefault="004366C4" w:rsidP="004366C4">
      <w:pPr>
        <w:pStyle w:val="SingleTxtG"/>
        <w:rPr>
          <w:lang w:val="fr-FR"/>
        </w:rPr>
      </w:pPr>
      <w:r w:rsidRPr="002C7AB3">
        <w:rPr>
          <w:lang w:val="fr-FR"/>
        </w:rPr>
        <w:t>41.</w:t>
      </w:r>
      <w:r w:rsidRPr="002C7AB3">
        <w:rPr>
          <w:lang w:val="fr-FR"/>
        </w:rPr>
        <w:tab/>
        <w:t xml:space="preserve">Des formations ont également été organisées pour sensibiliser </w:t>
      </w:r>
      <w:r>
        <w:rPr>
          <w:lang w:val="fr-FR"/>
        </w:rPr>
        <w:t>les</w:t>
      </w:r>
      <w:r w:rsidRPr="002C7AB3">
        <w:rPr>
          <w:lang w:val="fr-FR"/>
        </w:rPr>
        <w:t xml:space="preserve"> conseillers d</w:t>
      </w:r>
      <w:r>
        <w:rPr>
          <w:lang w:val="fr-FR"/>
        </w:rPr>
        <w:t>’</w:t>
      </w:r>
      <w:r w:rsidRPr="002C7AB3">
        <w:rPr>
          <w:lang w:val="fr-FR"/>
        </w:rPr>
        <w:t>orientation professionnelle à l</w:t>
      </w:r>
      <w:r>
        <w:rPr>
          <w:lang w:val="fr-FR"/>
        </w:rPr>
        <w:t>’</w:t>
      </w:r>
      <w:r w:rsidRPr="002C7AB3">
        <w:rPr>
          <w:lang w:val="fr-FR"/>
        </w:rPr>
        <w:t>égalité des sexes et plusieurs documents d</w:t>
      </w:r>
      <w:r>
        <w:rPr>
          <w:lang w:val="fr-FR"/>
        </w:rPr>
        <w:t>’</w:t>
      </w:r>
      <w:r w:rsidRPr="002C7AB3">
        <w:rPr>
          <w:lang w:val="fr-FR"/>
        </w:rPr>
        <w:t xml:space="preserve">information ont été </w:t>
      </w:r>
      <w:r>
        <w:rPr>
          <w:lang w:val="fr-FR"/>
        </w:rPr>
        <w:t>établis</w:t>
      </w:r>
      <w:r w:rsidRPr="002C7AB3">
        <w:rPr>
          <w:lang w:val="fr-FR"/>
        </w:rPr>
        <w:t xml:space="preserve"> à l</w:t>
      </w:r>
      <w:r>
        <w:rPr>
          <w:lang w:val="fr-FR"/>
        </w:rPr>
        <w:t>’</w:t>
      </w:r>
      <w:r w:rsidRPr="002C7AB3">
        <w:rPr>
          <w:lang w:val="fr-FR"/>
        </w:rPr>
        <w:t>intention des parents</w:t>
      </w:r>
      <w:r w:rsidRPr="00645B63">
        <w:rPr>
          <w:rStyle w:val="Appelnotedebasdep"/>
        </w:rPr>
        <w:footnoteReference w:id="10"/>
      </w:r>
      <w:r w:rsidRPr="002C7AB3">
        <w:rPr>
          <w:lang w:val="fr-FR"/>
        </w:rPr>
        <w:t xml:space="preserve"> et des animateurs de groupes de loisirs</w:t>
      </w:r>
      <w:r w:rsidRPr="00645B63">
        <w:rPr>
          <w:rStyle w:val="Appelnotedebasdep"/>
        </w:rPr>
        <w:footnoteReference w:id="11"/>
      </w:r>
      <w:r w:rsidRPr="002C7AB3">
        <w:rPr>
          <w:lang w:val="fr-FR"/>
        </w:rPr>
        <w:t xml:space="preserve"> </w:t>
      </w:r>
      <w:r>
        <w:rPr>
          <w:lang w:val="fr-FR"/>
        </w:rPr>
        <w:t>afin de</w:t>
      </w:r>
      <w:r w:rsidRPr="002C7AB3">
        <w:rPr>
          <w:lang w:val="fr-FR"/>
        </w:rPr>
        <w:t xml:space="preserve"> montrer comment éveiller l</w:t>
      </w:r>
      <w:r>
        <w:rPr>
          <w:lang w:val="fr-FR"/>
        </w:rPr>
        <w:t>’</w:t>
      </w:r>
      <w:r w:rsidRPr="002C7AB3">
        <w:rPr>
          <w:lang w:val="fr-FR"/>
        </w:rPr>
        <w:t xml:space="preserve">intérêt des filles pour les sciences, </w:t>
      </w:r>
      <w:r>
        <w:rPr>
          <w:lang w:val="fr-FR"/>
        </w:rPr>
        <w:t xml:space="preserve">la </w:t>
      </w:r>
      <w:r w:rsidRPr="002C7AB3">
        <w:rPr>
          <w:lang w:val="fr-FR"/>
        </w:rPr>
        <w:t xml:space="preserve">technologie, </w:t>
      </w:r>
      <w:r>
        <w:rPr>
          <w:lang w:val="fr-FR"/>
        </w:rPr>
        <w:t>l’</w:t>
      </w:r>
      <w:r w:rsidRPr="002C7AB3">
        <w:rPr>
          <w:lang w:val="fr-FR"/>
        </w:rPr>
        <w:t xml:space="preserve">ingénierie et </w:t>
      </w:r>
      <w:r>
        <w:rPr>
          <w:lang w:val="fr-FR"/>
        </w:rPr>
        <w:t xml:space="preserve">les </w:t>
      </w:r>
      <w:r w:rsidRPr="002C7AB3">
        <w:rPr>
          <w:lang w:val="fr-FR"/>
        </w:rPr>
        <w:t>mathématiques</w:t>
      </w:r>
      <w:r w:rsidR="005874D7">
        <w:rPr>
          <w:lang w:val="fr-FR"/>
        </w:rPr>
        <w:t>.</w:t>
      </w:r>
    </w:p>
    <w:p w:rsidR="004366C4" w:rsidRPr="002C7AB3" w:rsidRDefault="004366C4" w:rsidP="004366C4">
      <w:pPr>
        <w:pStyle w:val="SingleTxtG"/>
        <w:rPr>
          <w:lang w:val="fr-FR"/>
        </w:rPr>
      </w:pPr>
      <w:r w:rsidRPr="002C7AB3">
        <w:rPr>
          <w:lang w:val="fr-FR"/>
        </w:rPr>
        <w:lastRenderedPageBreak/>
        <w:t>42.</w:t>
      </w:r>
      <w:r w:rsidRPr="002C7AB3">
        <w:rPr>
          <w:lang w:val="fr-FR"/>
        </w:rPr>
        <w:tab/>
      </w:r>
      <w:r>
        <w:rPr>
          <w:lang w:val="fr-FR"/>
        </w:rPr>
        <w:t>Si l’on considère s</w:t>
      </w:r>
      <w:r w:rsidRPr="002C7AB3">
        <w:rPr>
          <w:lang w:val="fr-FR"/>
        </w:rPr>
        <w:t>a durée</w:t>
      </w:r>
      <w:r>
        <w:rPr>
          <w:lang w:val="fr-FR"/>
        </w:rPr>
        <w:t>, force est de constater que</w:t>
      </w:r>
      <w:r w:rsidRPr="002C7AB3">
        <w:rPr>
          <w:lang w:val="fr-FR"/>
        </w:rPr>
        <w:t xml:space="preserve"> </w:t>
      </w:r>
      <w:r>
        <w:rPr>
          <w:lang w:val="fr-FR"/>
        </w:rPr>
        <w:t>l</w:t>
      </w:r>
      <w:r w:rsidRPr="002C7AB3">
        <w:rPr>
          <w:lang w:val="fr-FR"/>
        </w:rPr>
        <w:t xml:space="preserve">e système estonien de </w:t>
      </w:r>
      <w:r w:rsidRPr="002C7AB3">
        <w:rPr>
          <w:iCs/>
          <w:lang w:val="fr-FR"/>
        </w:rPr>
        <w:t xml:space="preserve">congé parental </w:t>
      </w:r>
      <w:r w:rsidRPr="002C7AB3">
        <w:rPr>
          <w:lang w:val="fr-FR"/>
        </w:rPr>
        <w:t xml:space="preserve">est généreux. La principale critique porte sur le fait que ce système est plutôt rigide et que les interruptions de carrière </w:t>
      </w:r>
      <w:r>
        <w:rPr>
          <w:lang w:val="fr-FR"/>
        </w:rPr>
        <w:t xml:space="preserve">sont </w:t>
      </w:r>
      <w:r w:rsidRPr="002C7AB3">
        <w:rPr>
          <w:lang w:val="fr-FR"/>
        </w:rPr>
        <w:t>plus longues</w:t>
      </w:r>
      <w:r>
        <w:rPr>
          <w:lang w:val="fr-FR"/>
        </w:rPr>
        <w:t xml:space="preserve"> pour les femmes</w:t>
      </w:r>
      <w:r w:rsidRPr="002C7AB3">
        <w:rPr>
          <w:lang w:val="fr-FR"/>
        </w:rPr>
        <w:t xml:space="preserve">, ce qui a une influence négative sur leurs perspectives </w:t>
      </w:r>
      <w:r w:rsidR="00465C5A">
        <w:rPr>
          <w:lang w:val="fr-FR"/>
        </w:rPr>
        <w:t>de carrière.</w:t>
      </w:r>
    </w:p>
    <w:p w:rsidR="004366C4" w:rsidRPr="00DF4903" w:rsidRDefault="004366C4" w:rsidP="004366C4">
      <w:pPr>
        <w:pStyle w:val="SingleTxtG"/>
        <w:rPr>
          <w:spacing w:val="-1"/>
          <w:lang w:val="fr-FR"/>
        </w:rPr>
      </w:pPr>
      <w:r w:rsidRPr="00DF4903">
        <w:rPr>
          <w:spacing w:val="-1"/>
          <w:lang w:val="fr-FR"/>
        </w:rPr>
        <w:t>43.</w:t>
      </w:r>
      <w:r w:rsidRPr="00DF4903">
        <w:rPr>
          <w:spacing w:val="-1"/>
          <w:lang w:val="fr-FR"/>
        </w:rPr>
        <w:tab/>
        <w:t>Le Livre vert sur les prestations familiales, les services et les congés parentaux publié en 2015 comprenait 11</w:t>
      </w:r>
      <w:r w:rsidR="00465C5A" w:rsidRPr="00DF4903">
        <w:rPr>
          <w:spacing w:val="-1"/>
          <w:lang w:val="fr-FR"/>
        </w:rPr>
        <w:t> </w:t>
      </w:r>
      <w:r w:rsidRPr="00DF4903">
        <w:rPr>
          <w:spacing w:val="-1"/>
          <w:lang w:val="fr-FR"/>
        </w:rPr>
        <w:t xml:space="preserve">propositions de politique générale sur les prestations familiales, les services et les congés parentaux. Les principales propositions en faveur de l’égalité entre les femmes et les hommes concernaient la modification du système de prestations et de congés </w:t>
      </w:r>
      <w:r w:rsidRPr="00DF4903">
        <w:rPr>
          <w:lang w:val="fr-FR"/>
        </w:rPr>
        <w:t>parentaux ainsi que des services d’éducation et de garde des jeunes enfants. Bon nombre des propositions figurant dans le Livre vert ont été mises en œuvre ou sont en voie de l’</w:t>
      </w:r>
      <w:r w:rsidR="00465C5A" w:rsidRPr="00DF4903">
        <w:rPr>
          <w:lang w:val="fr-FR"/>
        </w:rPr>
        <w:t>être.</w:t>
      </w:r>
    </w:p>
    <w:p w:rsidR="004366C4" w:rsidRPr="002C7AB3" w:rsidRDefault="004366C4" w:rsidP="004366C4">
      <w:pPr>
        <w:pStyle w:val="SingleTxtG"/>
        <w:rPr>
          <w:lang w:val="fr-FR"/>
        </w:rPr>
      </w:pPr>
      <w:r w:rsidRPr="002C7AB3">
        <w:rPr>
          <w:lang w:val="fr-FR"/>
        </w:rPr>
        <w:t>44.</w:t>
      </w:r>
      <w:r w:rsidRPr="002C7AB3">
        <w:rPr>
          <w:lang w:val="fr-FR"/>
        </w:rPr>
        <w:tab/>
        <w:t xml:space="preserve">Un mémorandum sur les modifications apportées au système de prestations et de congés parentaux a été rédigé en 2016. </w:t>
      </w:r>
      <w:r>
        <w:rPr>
          <w:lang w:val="fr-FR"/>
        </w:rPr>
        <w:t>Le premier volet</w:t>
      </w:r>
      <w:r w:rsidRPr="002C7AB3">
        <w:rPr>
          <w:lang w:val="fr-FR"/>
        </w:rPr>
        <w:t xml:space="preserve"> des modifications apportées à la</w:t>
      </w:r>
      <w:r w:rsidRPr="002C7AB3">
        <w:rPr>
          <w:b/>
          <w:bCs/>
          <w:lang w:val="fr-FR"/>
        </w:rPr>
        <w:t xml:space="preserve"> </w:t>
      </w:r>
      <w:r w:rsidRPr="002C7AB3">
        <w:rPr>
          <w:bCs/>
          <w:lang w:val="fr-FR"/>
        </w:rPr>
        <w:t>loi sur les prestations familiales de l</w:t>
      </w:r>
      <w:r>
        <w:rPr>
          <w:bCs/>
          <w:lang w:val="fr-FR"/>
        </w:rPr>
        <w:t>’</w:t>
      </w:r>
      <w:r w:rsidRPr="002C7AB3">
        <w:rPr>
          <w:bCs/>
          <w:lang w:val="fr-FR"/>
        </w:rPr>
        <w:t>État</w:t>
      </w:r>
      <w:r>
        <w:rPr>
          <w:bCs/>
          <w:lang w:val="fr-FR"/>
        </w:rPr>
        <w:t>, qui</w:t>
      </w:r>
      <w:r w:rsidRPr="002C7AB3">
        <w:rPr>
          <w:b/>
          <w:bCs/>
          <w:lang w:val="fr-FR"/>
        </w:rPr>
        <w:t xml:space="preserve"> </w:t>
      </w:r>
      <w:r w:rsidRPr="002C7AB3">
        <w:rPr>
          <w:lang w:val="fr-FR"/>
        </w:rPr>
        <w:t>a été adopté en 2017</w:t>
      </w:r>
      <w:r>
        <w:rPr>
          <w:lang w:val="fr-FR"/>
        </w:rPr>
        <w:t>,</w:t>
      </w:r>
      <w:r w:rsidRPr="002C7AB3">
        <w:rPr>
          <w:lang w:val="fr-FR"/>
        </w:rPr>
        <w:t xml:space="preserve"> comprend notamment la mise en place d</w:t>
      </w:r>
      <w:r>
        <w:rPr>
          <w:lang w:val="fr-FR"/>
        </w:rPr>
        <w:t>’</w:t>
      </w:r>
      <w:r w:rsidRPr="002C7AB3">
        <w:rPr>
          <w:lang w:val="fr-FR"/>
        </w:rPr>
        <w:t xml:space="preserve">un </w:t>
      </w:r>
      <w:r>
        <w:rPr>
          <w:iCs/>
          <w:lang w:val="fr-FR"/>
        </w:rPr>
        <w:t>congé</w:t>
      </w:r>
      <w:r w:rsidRPr="002C7AB3">
        <w:rPr>
          <w:iCs/>
          <w:lang w:val="fr-FR"/>
        </w:rPr>
        <w:t xml:space="preserve"> individuel </w:t>
      </w:r>
      <w:r w:rsidRPr="002C7AB3">
        <w:rPr>
          <w:lang w:val="fr-FR"/>
        </w:rPr>
        <w:t xml:space="preserve">de </w:t>
      </w:r>
      <w:r w:rsidR="00465C5A">
        <w:rPr>
          <w:lang w:val="fr-FR"/>
        </w:rPr>
        <w:t>trente</w:t>
      </w:r>
      <w:r w:rsidRPr="002C7AB3">
        <w:rPr>
          <w:lang w:val="fr-FR"/>
        </w:rPr>
        <w:t xml:space="preserve"> jours et de prestations de paternité pour tous les pères ainsi que de meilleures possibilités de combiner vie professionnelle et </w:t>
      </w:r>
      <w:r>
        <w:rPr>
          <w:lang w:val="fr-FR"/>
        </w:rPr>
        <w:t>familiale</w:t>
      </w:r>
      <w:r w:rsidRPr="002C7AB3">
        <w:rPr>
          <w:lang w:val="fr-FR"/>
        </w:rPr>
        <w:t>. Ces changements seront progressivement mis en place au cours de la période 2018-2020.</w:t>
      </w:r>
    </w:p>
    <w:p w:rsidR="004366C4" w:rsidRPr="002C7AB3" w:rsidRDefault="004366C4" w:rsidP="004366C4">
      <w:pPr>
        <w:pStyle w:val="SingleTxtG"/>
        <w:rPr>
          <w:lang w:val="fr-FR"/>
        </w:rPr>
      </w:pPr>
      <w:r w:rsidRPr="002C7AB3">
        <w:rPr>
          <w:lang w:val="fr-FR"/>
        </w:rPr>
        <w:t>45.</w:t>
      </w:r>
      <w:r w:rsidRPr="002C7AB3">
        <w:rPr>
          <w:lang w:val="fr-FR"/>
        </w:rPr>
        <w:tab/>
      </w:r>
      <w:r>
        <w:rPr>
          <w:lang w:val="fr-FR"/>
        </w:rPr>
        <w:t>Le second volet</w:t>
      </w:r>
      <w:r w:rsidRPr="002C7AB3">
        <w:rPr>
          <w:lang w:val="fr-FR"/>
        </w:rPr>
        <w:t xml:space="preserve"> des modifications, adoptée en 2018, prévoit des conditions plus souples pour combiner travail et congé parental. Par exemple, </w:t>
      </w:r>
      <w:r w:rsidR="00F83B36">
        <w:rPr>
          <w:lang w:val="fr-FR"/>
        </w:rPr>
        <w:t xml:space="preserve">de cent quarante jours, </w:t>
      </w:r>
      <w:r>
        <w:rPr>
          <w:lang w:val="fr-FR"/>
        </w:rPr>
        <w:t>le</w:t>
      </w:r>
      <w:r w:rsidRPr="002C7AB3">
        <w:rPr>
          <w:lang w:val="fr-FR"/>
        </w:rPr>
        <w:t xml:space="preserve"> congé de maternité sera ramené de </w:t>
      </w:r>
      <w:r w:rsidR="00465C5A">
        <w:rPr>
          <w:lang w:val="fr-FR"/>
        </w:rPr>
        <w:t>soixante à cent</w:t>
      </w:r>
      <w:r w:rsidRPr="002C7AB3">
        <w:rPr>
          <w:lang w:val="fr-FR"/>
        </w:rPr>
        <w:t xml:space="preserve"> jours (selon la façon dont la mère souhaite </w:t>
      </w:r>
      <w:r>
        <w:rPr>
          <w:lang w:val="fr-FR"/>
        </w:rPr>
        <w:t>s’en servir</w:t>
      </w:r>
      <w:r w:rsidRPr="002C7AB3">
        <w:rPr>
          <w:lang w:val="fr-FR"/>
        </w:rPr>
        <w:t>) et les deux parents bénéficieront d</w:t>
      </w:r>
      <w:r>
        <w:rPr>
          <w:lang w:val="fr-FR"/>
        </w:rPr>
        <w:t>’</w:t>
      </w:r>
      <w:r w:rsidRPr="002C7AB3">
        <w:rPr>
          <w:lang w:val="fr-FR"/>
        </w:rPr>
        <w:t xml:space="preserve">une période plus longue </w:t>
      </w:r>
      <w:r>
        <w:rPr>
          <w:lang w:val="fr-FR"/>
        </w:rPr>
        <w:t>pour partager le</w:t>
      </w:r>
      <w:r w:rsidRPr="002C7AB3">
        <w:rPr>
          <w:lang w:val="fr-FR"/>
        </w:rPr>
        <w:t xml:space="preserve"> congé et </w:t>
      </w:r>
      <w:r>
        <w:rPr>
          <w:lang w:val="fr-FR"/>
        </w:rPr>
        <w:t>les</w:t>
      </w:r>
      <w:r w:rsidRPr="002C7AB3">
        <w:rPr>
          <w:lang w:val="fr-FR"/>
        </w:rPr>
        <w:t xml:space="preserve"> prestations</w:t>
      </w:r>
      <w:r>
        <w:rPr>
          <w:lang w:val="fr-FR"/>
        </w:rPr>
        <w:t xml:space="preserve"> parentales</w:t>
      </w:r>
      <w:r w:rsidRPr="002C7AB3">
        <w:rPr>
          <w:lang w:val="fr-FR"/>
        </w:rPr>
        <w:t>. Cette mod</w:t>
      </w:r>
      <w:r w:rsidR="00DF4903">
        <w:rPr>
          <w:lang w:val="fr-FR"/>
        </w:rPr>
        <w:t>ification entrera en vigueur le </w:t>
      </w:r>
      <w:r w:rsidRPr="002C7AB3">
        <w:rPr>
          <w:lang w:val="fr-FR"/>
        </w:rPr>
        <w:t>1</w:t>
      </w:r>
      <w:r w:rsidRPr="00465C5A">
        <w:rPr>
          <w:vertAlign w:val="superscript"/>
          <w:lang w:val="fr-FR"/>
        </w:rPr>
        <w:t>er</w:t>
      </w:r>
      <w:r w:rsidR="00465C5A">
        <w:rPr>
          <w:lang w:val="fr-FR"/>
        </w:rPr>
        <w:t> </w:t>
      </w:r>
      <w:r w:rsidRPr="002C7AB3">
        <w:rPr>
          <w:lang w:val="fr-FR"/>
        </w:rPr>
        <w:t>avril 2022.</w:t>
      </w:r>
    </w:p>
    <w:p w:rsidR="004366C4" w:rsidRPr="0054560B" w:rsidRDefault="004366C4" w:rsidP="004366C4">
      <w:pPr>
        <w:pStyle w:val="SingleTxtG"/>
        <w:rPr>
          <w:spacing w:val="-2"/>
          <w:lang w:val="fr-FR"/>
        </w:rPr>
      </w:pPr>
      <w:r w:rsidRPr="0054560B">
        <w:rPr>
          <w:spacing w:val="-2"/>
          <w:lang w:val="fr-FR"/>
        </w:rPr>
        <w:t>46.</w:t>
      </w:r>
      <w:r w:rsidRPr="0054560B">
        <w:rPr>
          <w:spacing w:val="-2"/>
          <w:lang w:val="fr-FR"/>
        </w:rPr>
        <w:tab/>
        <w:t>Entre 2015 et 2018, 1</w:t>
      </w:r>
      <w:r w:rsidR="00465C5A" w:rsidRPr="0054560B">
        <w:rPr>
          <w:spacing w:val="-2"/>
          <w:lang w:val="fr-FR"/>
        </w:rPr>
        <w:t> 193 </w:t>
      </w:r>
      <w:r w:rsidRPr="0054560B">
        <w:rPr>
          <w:spacing w:val="-2"/>
          <w:lang w:val="fr-FR"/>
        </w:rPr>
        <w:t xml:space="preserve">places dans les garderies ont été créées dans l’ensemble du pays. Les taux d’inscription dans les services </w:t>
      </w:r>
      <w:r w:rsidRPr="0054560B">
        <w:rPr>
          <w:iCs/>
          <w:spacing w:val="-2"/>
          <w:lang w:val="fr-FR"/>
        </w:rPr>
        <w:t xml:space="preserve">d’éducation préscolaire </w:t>
      </w:r>
      <w:r w:rsidRPr="0054560B">
        <w:rPr>
          <w:spacing w:val="-2"/>
          <w:lang w:val="fr-FR"/>
        </w:rPr>
        <w:t xml:space="preserve">ont </w:t>
      </w:r>
      <w:r w:rsidR="00465C5A" w:rsidRPr="0054560B">
        <w:rPr>
          <w:spacing w:val="-2"/>
          <w:lang w:val="fr-FR"/>
        </w:rPr>
        <w:t>augmenté. En 2012, 23 % des enfants âgés de 0 à 2 ans et 91 % des enfants âgés de 3 à </w:t>
      </w:r>
      <w:r w:rsidRPr="0054560B">
        <w:rPr>
          <w:spacing w:val="-2"/>
          <w:lang w:val="fr-FR"/>
        </w:rPr>
        <w:t xml:space="preserve">6 ans allaient à la garderie ; </w:t>
      </w:r>
      <w:r w:rsidRPr="0054560B">
        <w:rPr>
          <w:lang w:val="fr-FR"/>
        </w:rPr>
        <w:t>en 2017, ces taux étaien</w:t>
      </w:r>
      <w:r w:rsidR="00465C5A" w:rsidRPr="0054560B">
        <w:rPr>
          <w:lang w:val="fr-FR"/>
        </w:rPr>
        <w:t>t respectivement de 28 % et de 95 </w:t>
      </w:r>
      <w:r w:rsidRPr="0054560B">
        <w:rPr>
          <w:lang w:val="fr-FR"/>
        </w:rPr>
        <w:t>% pour ces groupes d’âge.</w:t>
      </w:r>
    </w:p>
    <w:p w:rsidR="004366C4" w:rsidRPr="002C7AB3" w:rsidRDefault="004366C4" w:rsidP="00465C5A">
      <w:pPr>
        <w:pStyle w:val="H23G"/>
        <w:rPr>
          <w:lang w:val="fr-FR"/>
        </w:rPr>
      </w:pPr>
      <w:r w:rsidRPr="002C7AB3">
        <w:rPr>
          <w:lang w:val="fr-FR"/>
        </w:rPr>
        <w:tab/>
      </w:r>
      <w:r w:rsidRPr="002C7AB3">
        <w:rPr>
          <w:lang w:val="fr-FR"/>
        </w:rPr>
        <w:tab/>
        <w:t>Sécurité et santé du travail</w:t>
      </w:r>
    </w:p>
    <w:p w:rsidR="004366C4" w:rsidRPr="002C7AB3" w:rsidRDefault="004366C4" w:rsidP="004366C4">
      <w:pPr>
        <w:pStyle w:val="SingleTxtG"/>
        <w:rPr>
          <w:lang w:val="fr-FR"/>
        </w:rPr>
      </w:pPr>
      <w:r w:rsidRPr="002C7AB3">
        <w:rPr>
          <w:lang w:val="fr-FR"/>
        </w:rPr>
        <w:t>47.</w:t>
      </w:r>
      <w:r w:rsidRPr="002C7AB3">
        <w:rPr>
          <w:lang w:val="fr-FR"/>
        </w:rPr>
        <w:tab/>
        <w:t>Le contrôle de la sécurité au travail est la principale priorité de l</w:t>
      </w:r>
      <w:r>
        <w:rPr>
          <w:lang w:val="fr-FR"/>
        </w:rPr>
        <w:t>’</w:t>
      </w:r>
      <w:r w:rsidRPr="002C7AB3">
        <w:rPr>
          <w:lang w:val="fr-FR"/>
        </w:rPr>
        <w:t>inspection du travail</w:t>
      </w:r>
      <w:r>
        <w:rPr>
          <w:lang w:val="fr-FR"/>
        </w:rPr>
        <w:t>, dont</w:t>
      </w:r>
      <w:r w:rsidRPr="002C7AB3">
        <w:rPr>
          <w:lang w:val="fr-FR"/>
        </w:rPr>
        <w:t xml:space="preserve"> </w:t>
      </w:r>
      <w:r>
        <w:rPr>
          <w:lang w:val="fr-FR"/>
        </w:rPr>
        <w:t>l’</w:t>
      </w:r>
      <w:r w:rsidRPr="002C7AB3">
        <w:rPr>
          <w:lang w:val="fr-FR"/>
        </w:rPr>
        <w:t>objectif est de réduire le nombre d</w:t>
      </w:r>
      <w:r>
        <w:rPr>
          <w:lang w:val="fr-FR"/>
        </w:rPr>
        <w:t>’</w:t>
      </w:r>
      <w:r w:rsidRPr="002C7AB3">
        <w:rPr>
          <w:lang w:val="fr-FR"/>
        </w:rPr>
        <w:t xml:space="preserve">accidents du travail graves et mortels. </w:t>
      </w:r>
      <w:r>
        <w:rPr>
          <w:lang w:val="fr-FR"/>
        </w:rPr>
        <w:t>L’</w:t>
      </w:r>
      <w:r w:rsidRPr="002C7AB3">
        <w:rPr>
          <w:lang w:val="fr-FR"/>
        </w:rPr>
        <w:t xml:space="preserve">inspection du travail </w:t>
      </w:r>
      <w:r>
        <w:rPr>
          <w:lang w:val="fr-FR"/>
        </w:rPr>
        <w:t>mène des enquêtes sur</w:t>
      </w:r>
      <w:r w:rsidRPr="002C7AB3">
        <w:rPr>
          <w:lang w:val="fr-FR"/>
        </w:rPr>
        <w:t xml:space="preserve"> les entreprises </w:t>
      </w:r>
      <w:r>
        <w:rPr>
          <w:lang w:val="fr-FR"/>
        </w:rPr>
        <w:t>en se fondant</w:t>
      </w:r>
      <w:r w:rsidRPr="002C7AB3">
        <w:rPr>
          <w:lang w:val="fr-FR"/>
        </w:rPr>
        <w:t xml:space="preserve"> sur le taux de risque, qui est lui-même basé sur le nombre et les caractéristiques des accidents du travail, des maladies professionnelles et des maladies liées au travail dans le secteur d</w:t>
      </w:r>
      <w:r>
        <w:rPr>
          <w:lang w:val="fr-FR"/>
        </w:rPr>
        <w:t>’</w:t>
      </w:r>
      <w:r w:rsidRPr="002C7AB3">
        <w:rPr>
          <w:lang w:val="fr-FR"/>
        </w:rPr>
        <w:t>activité et dans l</w:t>
      </w:r>
      <w:r>
        <w:rPr>
          <w:lang w:val="fr-FR"/>
        </w:rPr>
        <w:t>’</w:t>
      </w:r>
      <w:r w:rsidRPr="002C7AB3">
        <w:rPr>
          <w:lang w:val="fr-FR"/>
        </w:rPr>
        <w:t xml:space="preserve">entreprise concernée. Le taux de risque est également </w:t>
      </w:r>
      <w:r>
        <w:rPr>
          <w:lang w:val="fr-FR"/>
        </w:rPr>
        <w:t>fonction du</w:t>
      </w:r>
      <w:r w:rsidRPr="002C7AB3">
        <w:rPr>
          <w:lang w:val="fr-FR"/>
        </w:rPr>
        <w:t xml:space="preserve"> niveau de risque attribué au domaine d</w:t>
      </w:r>
      <w:r>
        <w:rPr>
          <w:lang w:val="fr-FR"/>
        </w:rPr>
        <w:t>’</w:t>
      </w:r>
      <w:r w:rsidRPr="002C7AB3">
        <w:rPr>
          <w:lang w:val="fr-FR"/>
        </w:rPr>
        <w:t xml:space="preserve">activité visé, </w:t>
      </w:r>
      <w:r>
        <w:rPr>
          <w:lang w:val="fr-FR"/>
        </w:rPr>
        <w:t>de</w:t>
      </w:r>
      <w:r w:rsidRPr="002C7AB3">
        <w:rPr>
          <w:lang w:val="fr-FR"/>
        </w:rPr>
        <w:t xml:space="preserve"> la </w:t>
      </w:r>
      <w:r>
        <w:rPr>
          <w:lang w:val="fr-FR"/>
        </w:rPr>
        <w:t xml:space="preserve">date de la </w:t>
      </w:r>
      <w:r w:rsidRPr="002C7AB3">
        <w:rPr>
          <w:lang w:val="fr-FR"/>
        </w:rPr>
        <w:t xml:space="preserve">dernière visite </w:t>
      </w:r>
      <w:r>
        <w:rPr>
          <w:lang w:val="fr-FR"/>
        </w:rPr>
        <w:t xml:space="preserve">effectuée </w:t>
      </w:r>
      <w:r w:rsidRPr="002C7AB3">
        <w:rPr>
          <w:lang w:val="fr-FR"/>
        </w:rPr>
        <w:t>dans l</w:t>
      </w:r>
      <w:r>
        <w:rPr>
          <w:lang w:val="fr-FR"/>
        </w:rPr>
        <w:t>’</w:t>
      </w:r>
      <w:r w:rsidRPr="002C7AB3">
        <w:rPr>
          <w:lang w:val="fr-FR"/>
        </w:rPr>
        <w:t xml:space="preserve">entreprise et </w:t>
      </w:r>
      <w:r>
        <w:rPr>
          <w:lang w:val="fr-FR"/>
        </w:rPr>
        <w:t>des</w:t>
      </w:r>
      <w:r w:rsidRPr="002C7AB3">
        <w:rPr>
          <w:lang w:val="fr-FR"/>
        </w:rPr>
        <w:t xml:space="preserve"> déficiences détectées dans l</w:t>
      </w:r>
      <w:r>
        <w:rPr>
          <w:lang w:val="fr-FR"/>
        </w:rPr>
        <w:t>’</w:t>
      </w:r>
      <w:r w:rsidRPr="002C7AB3">
        <w:rPr>
          <w:lang w:val="fr-FR"/>
        </w:rPr>
        <w:t xml:space="preserve">entreprise. Chaque entreprise se voit attribuer un taux de risque et les entreprises présentant le taux le plus élevé sont </w:t>
      </w:r>
      <w:r>
        <w:rPr>
          <w:lang w:val="fr-FR"/>
        </w:rPr>
        <w:t>retenues</w:t>
      </w:r>
      <w:r w:rsidRPr="002C7AB3">
        <w:rPr>
          <w:lang w:val="fr-FR"/>
        </w:rPr>
        <w:t xml:space="preserve"> pour </w:t>
      </w:r>
      <w:r>
        <w:rPr>
          <w:lang w:val="fr-FR"/>
        </w:rPr>
        <w:t xml:space="preserve">faire l’objet d’une </w:t>
      </w:r>
      <w:r w:rsidRPr="002C7AB3">
        <w:rPr>
          <w:lang w:val="fr-FR"/>
        </w:rPr>
        <w:t>inspection. Depuis 2017, l</w:t>
      </w:r>
      <w:r>
        <w:rPr>
          <w:lang w:val="fr-FR"/>
        </w:rPr>
        <w:t>’</w:t>
      </w:r>
      <w:r w:rsidRPr="002C7AB3">
        <w:rPr>
          <w:lang w:val="fr-FR"/>
        </w:rPr>
        <w:t xml:space="preserve">inspection du travail inspecte les entreprises dans lesquelles </w:t>
      </w:r>
      <w:r>
        <w:rPr>
          <w:lang w:val="fr-FR"/>
        </w:rPr>
        <w:t>plusieurs</w:t>
      </w:r>
      <w:r w:rsidRPr="002C7AB3">
        <w:rPr>
          <w:lang w:val="fr-FR"/>
        </w:rPr>
        <w:t xml:space="preserve"> accidents du travail se </w:t>
      </w:r>
      <w:r>
        <w:rPr>
          <w:lang w:val="fr-FR"/>
        </w:rPr>
        <w:t>sont produits</w:t>
      </w:r>
      <w:r w:rsidRPr="002C7AB3">
        <w:rPr>
          <w:lang w:val="fr-FR"/>
        </w:rPr>
        <w:t xml:space="preserve"> ou dans lesquelles l</w:t>
      </w:r>
      <w:r>
        <w:rPr>
          <w:lang w:val="fr-FR"/>
        </w:rPr>
        <w:t>’</w:t>
      </w:r>
      <w:r w:rsidRPr="002C7AB3">
        <w:rPr>
          <w:lang w:val="fr-FR"/>
        </w:rPr>
        <w:t>employeur n</w:t>
      </w:r>
      <w:r>
        <w:rPr>
          <w:lang w:val="fr-FR"/>
        </w:rPr>
        <w:t>’</w:t>
      </w:r>
      <w:r w:rsidRPr="002C7AB3">
        <w:rPr>
          <w:lang w:val="fr-FR"/>
        </w:rPr>
        <w:t xml:space="preserve">a pas suffisamment recherché les causes des accidents et </w:t>
      </w:r>
      <w:r>
        <w:rPr>
          <w:lang w:val="fr-FR"/>
        </w:rPr>
        <w:t>n’a pas cherché à éviter de nouveaux accidents</w:t>
      </w:r>
      <w:r w:rsidRPr="002C7AB3">
        <w:rPr>
          <w:lang w:val="fr-FR"/>
        </w:rPr>
        <w:t>.</w:t>
      </w:r>
    </w:p>
    <w:p w:rsidR="004366C4" w:rsidRPr="002C7AB3" w:rsidRDefault="004366C4" w:rsidP="0054560B">
      <w:pPr>
        <w:pStyle w:val="SingleTxtG"/>
        <w:spacing w:after="240"/>
        <w:rPr>
          <w:lang w:val="fr-FR"/>
        </w:rPr>
      </w:pPr>
      <w:r w:rsidRPr="002C7AB3">
        <w:rPr>
          <w:lang w:val="fr-FR"/>
        </w:rPr>
        <w:t>48.</w:t>
      </w:r>
      <w:r w:rsidRPr="002C7AB3">
        <w:rPr>
          <w:lang w:val="fr-FR"/>
        </w:rPr>
        <w:tab/>
        <w:t>L</w:t>
      </w:r>
      <w:r>
        <w:rPr>
          <w:lang w:val="fr-FR"/>
        </w:rPr>
        <w:t>’</w:t>
      </w:r>
      <w:r w:rsidRPr="002C7AB3">
        <w:rPr>
          <w:lang w:val="fr-FR"/>
        </w:rPr>
        <w:t>étendue de l</w:t>
      </w:r>
      <w:r>
        <w:rPr>
          <w:lang w:val="fr-FR"/>
        </w:rPr>
        <w:t>’</w:t>
      </w:r>
      <w:r w:rsidRPr="002C7AB3">
        <w:rPr>
          <w:lang w:val="fr-FR"/>
        </w:rPr>
        <w:t>inspection dépend de la fréquence des accidents du travail. L</w:t>
      </w:r>
      <w:r>
        <w:rPr>
          <w:lang w:val="fr-FR"/>
        </w:rPr>
        <w:t>’</w:t>
      </w:r>
      <w:r w:rsidRPr="002C7AB3">
        <w:rPr>
          <w:lang w:val="fr-FR"/>
        </w:rPr>
        <w:t>industrie du bois fait l</w:t>
      </w:r>
      <w:r>
        <w:rPr>
          <w:lang w:val="fr-FR"/>
        </w:rPr>
        <w:t>’</w:t>
      </w:r>
      <w:r w:rsidRPr="002C7AB3">
        <w:rPr>
          <w:lang w:val="fr-FR"/>
        </w:rPr>
        <w:t>objet d</w:t>
      </w:r>
      <w:r>
        <w:rPr>
          <w:lang w:val="fr-FR"/>
        </w:rPr>
        <w:t>’</w:t>
      </w:r>
      <w:r w:rsidRPr="002C7AB3">
        <w:rPr>
          <w:lang w:val="fr-FR"/>
        </w:rPr>
        <w:t xml:space="preserve">une surveillance accrue en raison des accidents du travail et des </w:t>
      </w:r>
      <w:r w:rsidRPr="002C7AB3">
        <w:rPr>
          <w:iCs/>
          <w:lang w:val="fr-FR"/>
        </w:rPr>
        <w:t>maladies professionnelles</w:t>
      </w:r>
      <w:r>
        <w:rPr>
          <w:iCs/>
          <w:lang w:val="fr-FR"/>
        </w:rPr>
        <w:t xml:space="preserve"> signalés dans ce secteur</w:t>
      </w:r>
      <w:r w:rsidRPr="002C7AB3">
        <w:rPr>
          <w:lang w:val="fr-FR"/>
        </w:rPr>
        <w:t>. D</w:t>
      </w:r>
      <w:r>
        <w:rPr>
          <w:lang w:val="fr-FR"/>
        </w:rPr>
        <w:t>’</w:t>
      </w:r>
      <w:r w:rsidRPr="002C7AB3">
        <w:rPr>
          <w:lang w:val="fr-FR"/>
        </w:rPr>
        <w:t>après les statistiques, seulement 3</w:t>
      </w:r>
      <w:r w:rsidR="008A51CC">
        <w:rPr>
          <w:lang w:val="fr-FR"/>
        </w:rPr>
        <w:t> </w:t>
      </w:r>
      <w:r w:rsidRPr="002C7AB3">
        <w:rPr>
          <w:lang w:val="fr-FR"/>
        </w:rPr>
        <w:t>% des salariés travaillent dans l</w:t>
      </w:r>
      <w:r>
        <w:rPr>
          <w:lang w:val="fr-FR"/>
        </w:rPr>
        <w:t>’</w:t>
      </w:r>
      <w:r w:rsidRPr="002C7AB3">
        <w:rPr>
          <w:lang w:val="fr-FR"/>
        </w:rPr>
        <w:t>agriculture. Pour cette raison, le pourcentage d</w:t>
      </w:r>
      <w:r>
        <w:rPr>
          <w:lang w:val="fr-FR"/>
        </w:rPr>
        <w:t>’</w:t>
      </w:r>
      <w:r w:rsidRPr="002C7AB3">
        <w:rPr>
          <w:lang w:val="fr-FR"/>
        </w:rPr>
        <w:t>inspections dans l</w:t>
      </w:r>
      <w:r>
        <w:rPr>
          <w:lang w:val="fr-FR"/>
        </w:rPr>
        <w:t>’</w:t>
      </w:r>
      <w:r w:rsidRPr="002C7AB3">
        <w:rPr>
          <w:lang w:val="fr-FR"/>
        </w:rPr>
        <w:t>agriculture n</w:t>
      </w:r>
      <w:r>
        <w:rPr>
          <w:lang w:val="fr-FR"/>
        </w:rPr>
        <w:t>’</w:t>
      </w:r>
      <w:r w:rsidRPr="002C7AB3">
        <w:rPr>
          <w:lang w:val="fr-FR"/>
        </w:rPr>
        <w:t>est pas aussi élevé qu</w:t>
      </w:r>
      <w:r>
        <w:rPr>
          <w:lang w:val="fr-FR"/>
        </w:rPr>
        <w:t>’</w:t>
      </w:r>
      <w:r w:rsidRPr="002C7AB3">
        <w:rPr>
          <w:lang w:val="fr-FR"/>
        </w:rPr>
        <w:t>il y a quelques années.</w:t>
      </w:r>
    </w:p>
    <w:tbl>
      <w:tblPr>
        <w:tblStyle w:val="Grilledutableau"/>
        <w:tblW w:w="737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1179"/>
        <w:gridCol w:w="544"/>
        <w:gridCol w:w="435"/>
        <w:gridCol w:w="435"/>
        <w:gridCol w:w="544"/>
        <w:gridCol w:w="544"/>
        <w:gridCol w:w="544"/>
        <w:gridCol w:w="544"/>
        <w:gridCol w:w="544"/>
        <w:gridCol w:w="544"/>
        <w:gridCol w:w="438"/>
      </w:tblGrid>
      <w:tr w:rsidR="008A51CC" w:rsidRPr="001C245C" w:rsidTr="00474F3A">
        <w:trPr>
          <w:tblHeader/>
        </w:trPr>
        <w:tc>
          <w:tcPr>
            <w:tcW w:w="1078" w:type="dxa"/>
            <w:vMerge w:val="restart"/>
            <w:tcBorders>
              <w:top w:val="single" w:sz="4" w:space="0" w:color="auto"/>
              <w:bottom w:val="single" w:sz="4" w:space="0" w:color="auto"/>
            </w:tcBorders>
            <w:shd w:val="clear" w:color="auto" w:fill="auto"/>
            <w:vAlign w:val="bottom"/>
            <w:hideMark/>
          </w:tcPr>
          <w:p w:rsidR="004366C4" w:rsidRPr="001C245C" w:rsidRDefault="004366C4" w:rsidP="001C245C">
            <w:pPr>
              <w:suppressAutoHyphens w:val="0"/>
              <w:spacing w:before="80" w:after="80" w:line="200" w:lineRule="exact"/>
              <w:rPr>
                <w:i/>
                <w:sz w:val="16"/>
                <w:lang w:val="fr-FR"/>
              </w:rPr>
            </w:pPr>
            <w:r w:rsidRPr="001C245C">
              <w:rPr>
                <w:i/>
                <w:sz w:val="16"/>
                <w:lang w:val="fr-FR"/>
              </w:rPr>
              <w:t>Classification internationale type des professions (CITP)-2008</w:t>
            </w:r>
          </w:p>
        </w:tc>
        <w:tc>
          <w:tcPr>
            <w:tcW w:w="1179" w:type="dxa"/>
            <w:vMerge w:val="restart"/>
            <w:tcBorders>
              <w:top w:val="single" w:sz="4" w:space="0" w:color="auto"/>
              <w:bottom w:val="single" w:sz="4" w:space="0" w:color="auto"/>
            </w:tcBorders>
            <w:shd w:val="clear" w:color="auto" w:fill="auto"/>
            <w:noWrap/>
            <w:vAlign w:val="bottom"/>
            <w:hideMark/>
          </w:tcPr>
          <w:p w:rsidR="004366C4" w:rsidRPr="001C245C" w:rsidRDefault="004366C4" w:rsidP="001C245C">
            <w:pPr>
              <w:suppressAutoHyphens w:val="0"/>
              <w:spacing w:before="80" w:after="80" w:line="200" w:lineRule="exact"/>
              <w:jc w:val="right"/>
              <w:rPr>
                <w:i/>
                <w:sz w:val="16"/>
                <w:lang w:val="fr-FR"/>
              </w:rPr>
            </w:pPr>
            <w:r w:rsidRPr="001C245C">
              <w:rPr>
                <w:i/>
                <w:sz w:val="16"/>
                <w:lang w:val="fr-FR"/>
              </w:rPr>
              <w:t xml:space="preserve"> </w:t>
            </w:r>
          </w:p>
        </w:tc>
        <w:tc>
          <w:tcPr>
            <w:tcW w:w="5113" w:type="dxa"/>
            <w:gridSpan w:val="10"/>
            <w:tcBorders>
              <w:top w:val="single" w:sz="4" w:space="0" w:color="auto"/>
              <w:bottom w:val="single" w:sz="4" w:space="0" w:color="auto"/>
            </w:tcBorders>
            <w:shd w:val="clear" w:color="auto" w:fill="auto"/>
            <w:vAlign w:val="bottom"/>
            <w:hideMark/>
          </w:tcPr>
          <w:p w:rsidR="004366C4" w:rsidRPr="001C245C" w:rsidRDefault="004366C4" w:rsidP="00474F3A">
            <w:pPr>
              <w:suppressAutoHyphens w:val="0"/>
              <w:spacing w:before="80" w:after="80" w:line="200" w:lineRule="exact"/>
              <w:jc w:val="center"/>
              <w:rPr>
                <w:i/>
                <w:sz w:val="16"/>
                <w:lang w:val="fr-FR"/>
              </w:rPr>
            </w:pPr>
            <w:r w:rsidRPr="001C245C">
              <w:rPr>
                <w:i/>
                <w:sz w:val="16"/>
                <w:lang w:val="fr-FR"/>
              </w:rPr>
              <w:t>Nombre d’accidents du travail</w:t>
            </w:r>
          </w:p>
        </w:tc>
      </w:tr>
      <w:tr w:rsidR="00474F3A" w:rsidRPr="001C245C" w:rsidTr="00474F3A">
        <w:trPr>
          <w:tblHeader/>
        </w:trPr>
        <w:tc>
          <w:tcPr>
            <w:tcW w:w="1078" w:type="dxa"/>
            <w:vMerge/>
            <w:tcBorders>
              <w:top w:val="single" w:sz="4" w:space="0" w:color="auto"/>
              <w:bottom w:val="single" w:sz="12" w:space="0" w:color="auto"/>
            </w:tcBorders>
            <w:shd w:val="clear" w:color="auto" w:fill="auto"/>
            <w:vAlign w:val="bottom"/>
            <w:hideMark/>
          </w:tcPr>
          <w:p w:rsidR="004366C4" w:rsidRPr="001C245C" w:rsidRDefault="004366C4" w:rsidP="001C245C">
            <w:pPr>
              <w:suppressAutoHyphens w:val="0"/>
              <w:spacing w:before="40" w:after="40" w:line="220" w:lineRule="exact"/>
              <w:rPr>
                <w:sz w:val="18"/>
                <w:lang w:val="fr-FR"/>
              </w:rPr>
            </w:pPr>
          </w:p>
        </w:tc>
        <w:tc>
          <w:tcPr>
            <w:tcW w:w="1179" w:type="dxa"/>
            <w:vMerge/>
            <w:tcBorders>
              <w:top w:val="single" w:sz="4" w:space="0" w:color="auto"/>
              <w:bottom w:val="single" w:sz="12" w:space="0" w:color="auto"/>
            </w:tcBorders>
            <w:shd w:val="clear" w:color="auto" w:fill="auto"/>
            <w:vAlign w:val="bottom"/>
            <w:hideMark/>
          </w:tcPr>
          <w:p w:rsidR="004366C4" w:rsidRPr="001C245C" w:rsidRDefault="004366C4" w:rsidP="001C245C">
            <w:pPr>
              <w:suppressAutoHyphens w:val="0"/>
              <w:spacing w:before="40" w:after="40" w:line="220" w:lineRule="exact"/>
              <w:jc w:val="right"/>
              <w:rPr>
                <w:sz w:val="18"/>
                <w:lang w:val="fr-FR"/>
              </w:rPr>
            </w:pPr>
          </w:p>
        </w:tc>
        <w:tc>
          <w:tcPr>
            <w:tcW w:w="544" w:type="dxa"/>
            <w:tcBorders>
              <w:top w:val="single" w:sz="4" w:space="0" w:color="auto"/>
              <w:bottom w:val="single" w:sz="12" w:space="0" w:color="auto"/>
            </w:tcBorders>
            <w:shd w:val="clear" w:color="auto" w:fill="auto"/>
            <w:noWrap/>
            <w:vAlign w:val="bottom"/>
            <w:hideMark/>
          </w:tcPr>
          <w:p w:rsidR="004366C4" w:rsidRPr="001C245C" w:rsidRDefault="004366C4" w:rsidP="001C245C">
            <w:pPr>
              <w:suppressAutoHyphens w:val="0"/>
              <w:spacing w:before="80" w:after="80" w:line="200" w:lineRule="exact"/>
              <w:jc w:val="right"/>
              <w:rPr>
                <w:i/>
                <w:sz w:val="16"/>
                <w:lang w:val="fr-FR"/>
              </w:rPr>
            </w:pPr>
            <w:r w:rsidRPr="001C245C">
              <w:rPr>
                <w:i/>
                <w:sz w:val="16"/>
                <w:lang w:val="fr-FR"/>
              </w:rPr>
              <w:t>2008</w:t>
            </w:r>
          </w:p>
        </w:tc>
        <w:tc>
          <w:tcPr>
            <w:tcW w:w="435" w:type="dxa"/>
            <w:tcBorders>
              <w:top w:val="single" w:sz="4" w:space="0" w:color="auto"/>
              <w:bottom w:val="single" w:sz="12" w:space="0" w:color="auto"/>
            </w:tcBorders>
            <w:shd w:val="clear" w:color="auto" w:fill="auto"/>
            <w:noWrap/>
            <w:vAlign w:val="bottom"/>
            <w:hideMark/>
          </w:tcPr>
          <w:p w:rsidR="004366C4" w:rsidRPr="001C245C" w:rsidRDefault="004366C4" w:rsidP="001C245C">
            <w:pPr>
              <w:suppressAutoHyphens w:val="0"/>
              <w:spacing w:before="80" w:after="80" w:line="200" w:lineRule="exact"/>
              <w:jc w:val="right"/>
              <w:rPr>
                <w:i/>
                <w:sz w:val="16"/>
                <w:lang w:val="fr-FR"/>
              </w:rPr>
            </w:pPr>
            <w:r w:rsidRPr="001C245C">
              <w:rPr>
                <w:i/>
                <w:sz w:val="16"/>
                <w:lang w:val="fr-FR"/>
              </w:rPr>
              <w:t>2009</w:t>
            </w:r>
          </w:p>
        </w:tc>
        <w:tc>
          <w:tcPr>
            <w:tcW w:w="435" w:type="dxa"/>
            <w:tcBorders>
              <w:top w:val="single" w:sz="4" w:space="0" w:color="auto"/>
              <w:bottom w:val="single" w:sz="12" w:space="0" w:color="auto"/>
            </w:tcBorders>
            <w:shd w:val="clear" w:color="auto" w:fill="auto"/>
            <w:noWrap/>
            <w:vAlign w:val="bottom"/>
            <w:hideMark/>
          </w:tcPr>
          <w:p w:rsidR="004366C4" w:rsidRPr="001C245C" w:rsidRDefault="004366C4" w:rsidP="001C245C">
            <w:pPr>
              <w:suppressAutoHyphens w:val="0"/>
              <w:spacing w:before="80" w:after="80" w:line="200" w:lineRule="exact"/>
              <w:jc w:val="right"/>
              <w:rPr>
                <w:i/>
                <w:sz w:val="16"/>
                <w:lang w:val="fr-FR"/>
              </w:rPr>
            </w:pPr>
            <w:r w:rsidRPr="001C245C">
              <w:rPr>
                <w:i/>
                <w:sz w:val="16"/>
                <w:lang w:val="fr-FR"/>
              </w:rPr>
              <w:t>2010</w:t>
            </w:r>
          </w:p>
        </w:tc>
        <w:tc>
          <w:tcPr>
            <w:tcW w:w="544" w:type="dxa"/>
            <w:tcBorders>
              <w:top w:val="single" w:sz="4" w:space="0" w:color="auto"/>
              <w:bottom w:val="single" w:sz="12" w:space="0" w:color="auto"/>
            </w:tcBorders>
            <w:shd w:val="clear" w:color="auto" w:fill="auto"/>
            <w:noWrap/>
            <w:vAlign w:val="bottom"/>
            <w:hideMark/>
          </w:tcPr>
          <w:p w:rsidR="004366C4" w:rsidRPr="001C245C" w:rsidRDefault="004366C4" w:rsidP="001C245C">
            <w:pPr>
              <w:suppressAutoHyphens w:val="0"/>
              <w:spacing w:before="80" w:after="80" w:line="200" w:lineRule="exact"/>
              <w:jc w:val="right"/>
              <w:rPr>
                <w:i/>
                <w:sz w:val="16"/>
                <w:lang w:val="fr-FR"/>
              </w:rPr>
            </w:pPr>
            <w:r w:rsidRPr="001C245C">
              <w:rPr>
                <w:i/>
                <w:sz w:val="16"/>
                <w:lang w:val="fr-FR"/>
              </w:rPr>
              <w:t>2011</w:t>
            </w:r>
          </w:p>
        </w:tc>
        <w:tc>
          <w:tcPr>
            <w:tcW w:w="544" w:type="dxa"/>
            <w:tcBorders>
              <w:top w:val="single" w:sz="4" w:space="0" w:color="auto"/>
              <w:bottom w:val="single" w:sz="12" w:space="0" w:color="auto"/>
            </w:tcBorders>
            <w:shd w:val="clear" w:color="auto" w:fill="auto"/>
            <w:noWrap/>
            <w:vAlign w:val="bottom"/>
            <w:hideMark/>
          </w:tcPr>
          <w:p w:rsidR="004366C4" w:rsidRPr="001C245C" w:rsidRDefault="004366C4" w:rsidP="001C245C">
            <w:pPr>
              <w:suppressAutoHyphens w:val="0"/>
              <w:spacing w:before="80" w:after="80" w:line="200" w:lineRule="exact"/>
              <w:jc w:val="right"/>
              <w:rPr>
                <w:i/>
                <w:sz w:val="16"/>
                <w:lang w:val="fr-FR"/>
              </w:rPr>
            </w:pPr>
            <w:r w:rsidRPr="001C245C">
              <w:rPr>
                <w:i/>
                <w:sz w:val="16"/>
                <w:lang w:val="fr-FR"/>
              </w:rPr>
              <w:t>2012</w:t>
            </w:r>
          </w:p>
        </w:tc>
        <w:tc>
          <w:tcPr>
            <w:tcW w:w="544" w:type="dxa"/>
            <w:tcBorders>
              <w:top w:val="single" w:sz="4" w:space="0" w:color="auto"/>
              <w:bottom w:val="single" w:sz="12" w:space="0" w:color="auto"/>
            </w:tcBorders>
            <w:shd w:val="clear" w:color="auto" w:fill="auto"/>
            <w:noWrap/>
            <w:vAlign w:val="bottom"/>
            <w:hideMark/>
          </w:tcPr>
          <w:p w:rsidR="004366C4" w:rsidRPr="001C245C" w:rsidRDefault="004366C4" w:rsidP="001C245C">
            <w:pPr>
              <w:suppressAutoHyphens w:val="0"/>
              <w:spacing w:before="80" w:after="80" w:line="200" w:lineRule="exact"/>
              <w:jc w:val="right"/>
              <w:rPr>
                <w:i/>
                <w:sz w:val="16"/>
                <w:lang w:val="fr-FR"/>
              </w:rPr>
            </w:pPr>
            <w:r w:rsidRPr="001C245C">
              <w:rPr>
                <w:i/>
                <w:sz w:val="16"/>
                <w:lang w:val="fr-FR"/>
              </w:rPr>
              <w:t>2013</w:t>
            </w:r>
          </w:p>
        </w:tc>
        <w:tc>
          <w:tcPr>
            <w:tcW w:w="544" w:type="dxa"/>
            <w:tcBorders>
              <w:top w:val="single" w:sz="4" w:space="0" w:color="auto"/>
              <w:bottom w:val="single" w:sz="12" w:space="0" w:color="auto"/>
            </w:tcBorders>
            <w:shd w:val="clear" w:color="auto" w:fill="auto"/>
            <w:noWrap/>
            <w:vAlign w:val="bottom"/>
            <w:hideMark/>
          </w:tcPr>
          <w:p w:rsidR="004366C4" w:rsidRPr="001C245C" w:rsidRDefault="004366C4" w:rsidP="001C245C">
            <w:pPr>
              <w:suppressAutoHyphens w:val="0"/>
              <w:spacing w:before="80" w:after="80" w:line="200" w:lineRule="exact"/>
              <w:jc w:val="right"/>
              <w:rPr>
                <w:i/>
                <w:sz w:val="16"/>
                <w:lang w:val="fr-FR"/>
              </w:rPr>
            </w:pPr>
            <w:r w:rsidRPr="001C245C">
              <w:rPr>
                <w:i/>
                <w:sz w:val="16"/>
                <w:lang w:val="fr-FR"/>
              </w:rPr>
              <w:t>2014</w:t>
            </w:r>
          </w:p>
        </w:tc>
        <w:tc>
          <w:tcPr>
            <w:tcW w:w="544" w:type="dxa"/>
            <w:tcBorders>
              <w:top w:val="single" w:sz="4" w:space="0" w:color="auto"/>
              <w:bottom w:val="single" w:sz="12" w:space="0" w:color="auto"/>
            </w:tcBorders>
            <w:shd w:val="clear" w:color="auto" w:fill="auto"/>
            <w:noWrap/>
            <w:vAlign w:val="bottom"/>
            <w:hideMark/>
          </w:tcPr>
          <w:p w:rsidR="004366C4" w:rsidRPr="001C245C" w:rsidRDefault="004366C4" w:rsidP="001C245C">
            <w:pPr>
              <w:suppressAutoHyphens w:val="0"/>
              <w:spacing w:before="80" w:after="80" w:line="200" w:lineRule="exact"/>
              <w:jc w:val="right"/>
              <w:rPr>
                <w:i/>
                <w:sz w:val="16"/>
                <w:lang w:val="fr-FR"/>
              </w:rPr>
            </w:pPr>
            <w:r w:rsidRPr="001C245C">
              <w:rPr>
                <w:i/>
                <w:sz w:val="16"/>
                <w:lang w:val="fr-FR"/>
              </w:rPr>
              <w:t>2015</w:t>
            </w:r>
          </w:p>
        </w:tc>
        <w:tc>
          <w:tcPr>
            <w:tcW w:w="544" w:type="dxa"/>
            <w:tcBorders>
              <w:top w:val="single" w:sz="4" w:space="0" w:color="auto"/>
              <w:bottom w:val="single" w:sz="12" w:space="0" w:color="auto"/>
            </w:tcBorders>
            <w:shd w:val="clear" w:color="auto" w:fill="auto"/>
            <w:noWrap/>
            <w:vAlign w:val="bottom"/>
            <w:hideMark/>
          </w:tcPr>
          <w:p w:rsidR="004366C4" w:rsidRPr="001C245C" w:rsidRDefault="004366C4" w:rsidP="001C245C">
            <w:pPr>
              <w:suppressAutoHyphens w:val="0"/>
              <w:spacing w:before="80" w:after="80" w:line="200" w:lineRule="exact"/>
              <w:jc w:val="right"/>
              <w:rPr>
                <w:i/>
                <w:sz w:val="16"/>
                <w:lang w:val="fr-FR"/>
              </w:rPr>
            </w:pPr>
            <w:r w:rsidRPr="001C245C">
              <w:rPr>
                <w:i/>
                <w:sz w:val="16"/>
                <w:lang w:val="fr-FR"/>
              </w:rPr>
              <w:t>2016</w:t>
            </w:r>
          </w:p>
        </w:tc>
        <w:tc>
          <w:tcPr>
            <w:tcW w:w="438" w:type="dxa"/>
            <w:tcBorders>
              <w:top w:val="single" w:sz="4" w:space="0" w:color="auto"/>
              <w:bottom w:val="single" w:sz="12" w:space="0" w:color="auto"/>
            </w:tcBorders>
            <w:shd w:val="clear" w:color="auto" w:fill="auto"/>
            <w:noWrap/>
            <w:vAlign w:val="bottom"/>
            <w:hideMark/>
          </w:tcPr>
          <w:p w:rsidR="004366C4" w:rsidRPr="001C245C" w:rsidRDefault="004366C4" w:rsidP="001C245C">
            <w:pPr>
              <w:suppressAutoHyphens w:val="0"/>
              <w:spacing w:before="80" w:after="80" w:line="200" w:lineRule="exact"/>
              <w:jc w:val="right"/>
              <w:rPr>
                <w:i/>
                <w:sz w:val="16"/>
                <w:lang w:val="fr-FR"/>
              </w:rPr>
            </w:pPr>
            <w:r w:rsidRPr="001C245C">
              <w:rPr>
                <w:i/>
                <w:sz w:val="16"/>
                <w:lang w:val="fr-FR"/>
              </w:rPr>
              <w:t>2017</w:t>
            </w:r>
          </w:p>
        </w:tc>
      </w:tr>
      <w:tr w:rsidR="00474F3A" w:rsidRPr="001C245C" w:rsidTr="00474F3A">
        <w:tc>
          <w:tcPr>
            <w:tcW w:w="1078" w:type="dxa"/>
            <w:tcBorders>
              <w:top w:val="single" w:sz="12" w:space="0" w:color="auto"/>
            </w:tcBorders>
            <w:shd w:val="clear" w:color="auto" w:fill="auto"/>
            <w:hideMark/>
          </w:tcPr>
          <w:p w:rsidR="004366C4" w:rsidRPr="001C245C" w:rsidRDefault="004366C4" w:rsidP="001C245C">
            <w:pPr>
              <w:suppressAutoHyphens w:val="0"/>
              <w:spacing w:before="40" w:after="40" w:line="220" w:lineRule="exact"/>
              <w:rPr>
                <w:sz w:val="18"/>
                <w:lang w:val="fr-FR"/>
              </w:rPr>
            </w:pPr>
            <w:r w:rsidRPr="001C245C">
              <w:rPr>
                <w:sz w:val="18"/>
                <w:lang w:val="fr-FR"/>
              </w:rPr>
              <w:t>01</w:t>
            </w:r>
          </w:p>
        </w:tc>
        <w:tc>
          <w:tcPr>
            <w:tcW w:w="1179" w:type="dxa"/>
            <w:tcBorders>
              <w:top w:val="single" w:sz="12" w:space="0" w:color="auto"/>
            </w:tcBorders>
            <w:shd w:val="clear" w:color="auto" w:fill="auto"/>
            <w:vAlign w:val="bottom"/>
            <w:hideMark/>
          </w:tcPr>
          <w:p w:rsidR="004366C4" w:rsidRPr="001C245C" w:rsidRDefault="004366C4" w:rsidP="00842CF4">
            <w:pPr>
              <w:suppressAutoHyphens w:val="0"/>
              <w:spacing w:before="40" w:after="40" w:line="220" w:lineRule="exact"/>
              <w:rPr>
                <w:sz w:val="18"/>
                <w:lang w:val="fr-FR"/>
              </w:rPr>
            </w:pPr>
            <w:r w:rsidRPr="001C245C">
              <w:rPr>
                <w:sz w:val="18"/>
                <w:lang w:val="fr-FR"/>
              </w:rPr>
              <w:t>Agriculture</w:t>
            </w:r>
          </w:p>
        </w:tc>
        <w:tc>
          <w:tcPr>
            <w:tcW w:w="544" w:type="dxa"/>
            <w:tcBorders>
              <w:top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161</w:t>
            </w:r>
          </w:p>
        </w:tc>
        <w:tc>
          <w:tcPr>
            <w:tcW w:w="435" w:type="dxa"/>
            <w:tcBorders>
              <w:top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131</w:t>
            </w:r>
          </w:p>
        </w:tc>
        <w:tc>
          <w:tcPr>
            <w:tcW w:w="435" w:type="dxa"/>
            <w:tcBorders>
              <w:top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136</w:t>
            </w:r>
          </w:p>
        </w:tc>
        <w:tc>
          <w:tcPr>
            <w:tcW w:w="544" w:type="dxa"/>
            <w:tcBorders>
              <w:top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135</w:t>
            </w:r>
          </w:p>
        </w:tc>
        <w:tc>
          <w:tcPr>
            <w:tcW w:w="544" w:type="dxa"/>
            <w:tcBorders>
              <w:top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131</w:t>
            </w:r>
          </w:p>
        </w:tc>
        <w:tc>
          <w:tcPr>
            <w:tcW w:w="544" w:type="dxa"/>
            <w:tcBorders>
              <w:top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139</w:t>
            </w:r>
          </w:p>
        </w:tc>
        <w:tc>
          <w:tcPr>
            <w:tcW w:w="544" w:type="dxa"/>
            <w:tcBorders>
              <w:top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168</w:t>
            </w:r>
          </w:p>
        </w:tc>
        <w:tc>
          <w:tcPr>
            <w:tcW w:w="544" w:type="dxa"/>
            <w:tcBorders>
              <w:top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154</w:t>
            </w:r>
          </w:p>
        </w:tc>
        <w:tc>
          <w:tcPr>
            <w:tcW w:w="544" w:type="dxa"/>
            <w:tcBorders>
              <w:top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156</w:t>
            </w:r>
          </w:p>
        </w:tc>
        <w:tc>
          <w:tcPr>
            <w:tcW w:w="438" w:type="dxa"/>
            <w:tcBorders>
              <w:top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154</w:t>
            </w:r>
          </w:p>
        </w:tc>
      </w:tr>
      <w:tr w:rsidR="00474F3A" w:rsidRPr="001C245C" w:rsidTr="00474F3A">
        <w:tc>
          <w:tcPr>
            <w:tcW w:w="1078" w:type="dxa"/>
            <w:tcBorders>
              <w:bottom w:val="single" w:sz="12" w:space="0" w:color="auto"/>
            </w:tcBorders>
            <w:shd w:val="clear" w:color="auto" w:fill="auto"/>
            <w:hideMark/>
          </w:tcPr>
          <w:p w:rsidR="004366C4" w:rsidRPr="001C245C" w:rsidRDefault="004366C4" w:rsidP="001C245C">
            <w:pPr>
              <w:suppressAutoHyphens w:val="0"/>
              <w:spacing w:before="40" w:after="40" w:line="220" w:lineRule="exact"/>
              <w:rPr>
                <w:sz w:val="18"/>
                <w:lang w:val="fr-FR"/>
              </w:rPr>
            </w:pPr>
            <w:r w:rsidRPr="001C245C">
              <w:rPr>
                <w:sz w:val="18"/>
                <w:lang w:val="fr-FR"/>
              </w:rPr>
              <w:t>16</w:t>
            </w:r>
          </w:p>
        </w:tc>
        <w:tc>
          <w:tcPr>
            <w:tcW w:w="1179" w:type="dxa"/>
            <w:tcBorders>
              <w:bottom w:val="single" w:sz="12" w:space="0" w:color="auto"/>
            </w:tcBorders>
            <w:shd w:val="clear" w:color="auto" w:fill="auto"/>
            <w:vAlign w:val="bottom"/>
            <w:hideMark/>
          </w:tcPr>
          <w:p w:rsidR="004366C4" w:rsidRPr="001C245C" w:rsidRDefault="004366C4" w:rsidP="00842CF4">
            <w:pPr>
              <w:suppressAutoHyphens w:val="0"/>
              <w:spacing w:before="40" w:after="40" w:line="220" w:lineRule="exact"/>
              <w:rPr>
                <w:sz w:val="18"/>
                <w:lang w:val="fr-FR"/>
              </w:rPr>
            </w:pPr>
            <w:r w:rsidRPr="001C245C">
              <w:rPr>
                <w:sz w:val="18"/>
                <w:lang w:val="fr-FR"/>
              </w:rPr>
              <w:t>Transformation du bois</w:t>
            </w:r>
          </w:p>
        </w:tc>
        <w:tc>
          <w:tcPr>
            <w:tcW w:w="544" w:type="dxa"/>
            <w:tcBorders>
              <w:bottom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306</w:t>
            </w:r>
          </w:p>
        </w:tc>
        <w:tc>
          <w:tcPr>
            <w:tcW w:w="435" w:type="dxa"/>
            <w:tcBorders>
              <w:bottom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200</w:t>
            </w:r>
          </w:p>
        </w:tc>
        <w:tc>
          <w:tcPr>
            <w:tcW w:w="435" w:type="dxa"/>
            <w:tcBorders>
              <w:bottom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254</w:t>
            </w:r>
          </w:p>
        </w:tc>
        <w:tc>
          <w:tcPr>
            <w:tcW w:w="544" w:type="dxa"/>
            <w:tcBorders>
              <w:bottom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305</w:t>
            </w:r>
          </w:p>
        </w:tc>
        <w:tc>
          <w:tcPr>
            <w:tcW w:w="544" w:type="dxa"/>
            <w:tcBorders>
              <w:bottom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310</w:t>
            </w:r>
          </w:p>
        </w:tc>
        <w:tc>
          <w:tcPr>
            <w:tcW w:w="544" w:type="dxa"/>
            <w:tcBorders>
              <w:bottom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355</w:t>
            </w:r>
          </w:p>
        </w:tc>
        <w:tc>
          <w:tcPr>
            <w:tcW w:w="544" w:type="dxa"/>
            <w:tcBorders>
              <w:bottom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306</w:t>
            </w:r>
          </w:p>
        </w:tc>
        <w:tc>
          <w:tcPr>
            <w:tcW w:w="544" w:type="dxa"/>
            <w:tcBorders>
              <w:bottom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373</w:t>
            </w:r>
          </w:p>
        </w:tc>
        <w:tc>
          <w:tcPr>
            <w:tcW w:w="544" w:type="dxa"/>
            <w:tcBorders>
              <w:bottom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337</w:t>
            </w:r>
          </w:p>
        </w:tc>
        <w:tc>
          <w:tcPr>
            <w:tcW w:w="438" w:type="dxa"/>
            <w:tcBorders>
              <w:bottom w:val="single" w:sz="12" w:space="0" w:color="auto"/>
            </w:tcBorders>
            <w:shd w:val="clear" w:color="auto" w:fill="auto"/>
            <w:noWrap/>
            <w:vAlign w:val="bottom"/>
            <w:hideMark/>
          </w:tcPr>
          <w:p w:rsidR="004366C4" w:rsidRPr="001C245C" w:rsidRDefault="004366C4" w:rsidP="001C245C">
            <w:pPr>
              <w:suppressAutoHyphens w:val="0"/>
              <w:spacing w:before="40" w:after="40" w:line="220" w:lineRule="exact"/>
              <w:jc w:val="right"/>
              <w:rPr>
                <w:sz w:val="18"/>
                <w:lang w:val="fr-FR"/>
              </w:rPr>
            </w:pPr>
            <w:r w:rsidRPr="001C245C">
              <w:rPr>
                <w:sz w:val="18"/>
                <w:lang w:val="fr-FR"/>
              </w:rPr>
              <w:t>399</w:t>
            </w:r>
          </w:p>
        </w:tc>
      </w:tr>
    </w:tbl>
    <w:p w:rsidR="004366C4" w:rsidRPr="002C7AB3" w:rsidRDefault="004366C4" w:rsidP="0017158B">
      <w:pPr>
        <w:pStyle w:val="H23G"/>
        <w:rPr>
          <w:lang w:val="fr-FR"/>
        </w:rPr>
      </w:pPr>
      <w:r w:rsidRPr="002C7AB3">
        <w:rPr>
          <w:lang w:val="fr-FR"/>
        </w:rPr>
        <w:lastRenderedPageBreak/>
        <w:tab/>
      </w:r>
      <w:r w:rsidRPr="002C7AB3">
        <w:rPr>
          <w:lang w:val="fr-FR"/>
        </w:rPr>
        <w:tab/>
        <w:t>Pourcentage de tous les accidents du travail enregistrés</w:t>
      </w:r>
    </w:p>
    <w:tbl>
      <w:tblPr>
        <w:tblStyle w:val="Grilledutableau"/>
        <w:tblW w:w="736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610"/>
        <w:gridCol w:w="611"/>
        <w:gridCol w:w="611"/>
        <w:gridCol w:w="610"/>
        <w:gridCol w:w="611"/>
        <w:gridCol w:w="611"/>
        <w:gridCol w:w="610"/>
        <w:gridCol w:w="611"/>
        <w:gridCol w:w="611"/>
        <w:gridCol w:w="611"/>
      </w:tblGrid>
      <w:tr w:rsidR="0017158B" w:rsidRPr="0017158B" w:rsidTr="00EA53A9">
        <w:trPr>
          <w:tblHeader/>
        </w:trPr>
        <w:tc>
          <w:tcPr>
            <w:tcW w:w="1260" w:type="dxa"/>
            <w:tcBorders>
              <w:top w:val="single" w:sz="4" w:space="0" w:color="auto"/>
              <w:bottom w:val="single" w:sz="12" w:space="0" w:color="auto"/>
            </w:tcBorders>
            <w:shd w:val="clear" w:color="auto" w:fill="auto"/>
            <w:noWrap/>
            <w:vAlign w:val="bottom"/>
            <w:hideMark/>
          </w:tcPr>
          <w:p w:rsidR="004366C4" w:rsidRPr="0017158B" w:rsidRDefault="004366C4" w:rsidP="0017158B">
            <w:pPr>
              <w:suppressAutoHyphens w:val="0"/>
              <w:spacing w:before="80" w:after="80" w:line="200" w:lineRule="exact"/>
              <w:rPr>
                <w:i/>
                <w:sz w:val="16"/>
                <w:lang w:val="fr-FR"/>
              </w:rPr>
            </w:pPr>
          </w:p>
        </w:tc>
        <w:tc>
          <w:tcPr>
            <w:tcW w:w="610" w:type="dxa"/>
            <w:tcBorders>
              <w:top w:val="single" w:sz="4" w:space="0" w:color="auto"/>
              <w:bottom w:val="single" w:sz="12" w:space="0" w:color="auto"/>
            </w:tcBorders>
            <w:shd w:val="clear" w:color="auto" w:fill="auto"/>
            <w:noWrap/>
            <w:vAlign w:val="bottom"/>
            <w:hideMark/>
          </w:tcPr>
          <w:p w:rsidR="004366C4" w:rsidRPr="0017158B" w:rsidRDefault="004366C4" w:rsidP="0017158B">
            <w:pPr>
              <w:suppressAutoHyphens w:val="0"/>
              <w:spacing w:before="80" w:after="80" w:line="200" w:lineRule="exact"/>
              <w:jc w:val="right"/>
              <w:rPr>
                <w:i/>
                <w:sz w:val="16"/>
                <w:lang w:val="fr-FR"/>
              </w:rPr>
            </w:pPr>
            <w:r w:rsidRPr="0017158B">
              <w:rPr>
                <w:i/>
                <w:sz w:val="16"/>
                <w:lang w:val="fr-FR"/>
              </w:rPr>
              <w:t>2008</w:t>
            </w:r>
          </w:p>
        </w:tc>
        <w:tc>
          <w:tcPr>
            <w:tcW w:w="611" w:type="dxa"/>
            <w:tcBorders>
              <w:top w:val="single" w:sz="4" w:space="0" w:color="auto"/>
              <w:bottom w:val="single" w:sz="12" w:space="0" w:color="auto"/>
            </w:tcBorders>
            <w:shd w:val="clear" w:color="auto" w:fill="auto"/>
            <w:noWrap/>
            <w:vAlign w:val="bottom"/>
            <w:hideMark/>
          </w:tcPr>
          <w:p w:rsidR="004366C4" w:rsidRPr="0017158B" w:rsidRDefault="004366C4" w:rsidP="0017158B">
            <w:pPr>
              <w:suppressAutoHyphens w:val="0"/>
              <w:spacing w:before="80" w:after="80" w:line="200" w:lineRule="exact"/>
              <w:jc w:val="right"/>
              <w:rPr>
                <w:i/>
                <w:sz w:val="16"/>
                <w:lang w:val="fr-FR"/>
              </w:rPr>
            </w:pPr>
            <w:r w:rsidRPr="0017158B">
              <w:rPr>
                <w:i/>
                <w:sz w:val="16"/>
                <w:lang w:val="fr-FR"/>
              </w:rPr>
              <w:t>2009</w:t>
            </w:r>
          </w:p>
        </w:tc>
        <w:tc>
          <w:tcPr>
            <w:tcW w:w="611" w:type="dxa"/>
            <w:tcBorders>
              <w:top w:val="single" w:sz="4" w:space="0" w:color="auto"/>
              <w:bottom w:val="single" w:sz="12" w:space="0" w:color="auto"/>
            </w:tcBorders>
            <w:shd w:val="clear" w:color="auto" w:fill="auto"/>
            <w:noWrap/>
            <w:vAlign w:val="bottom"/>
            <w:hideMark/>
          </w:tcPr>
          <w:p w:rsidR="004366C4" w:rsidRPr="0017158B" w:rsidRDefault="004366C4" w:rsidP="0017158B">
            <w:pPr>
              <w:suppressAutoHyphens w:val="0"/>
              <w:spacing w:before="80" w:after="80" w:line="200" w:lineRule="exact"/>
              <w:jc w:val="right"/>
              <w:rPr>
                <w:i/>
                <w:sz w:val="16"/>
                <w:lang w:val="fr-FR"/>
              </w:rPr>
            </w:pPr>
            <w:r w:rsidRPr="0017158B">
              <w:rPr>
                <w:i/>
                <w:sz w:val="16"/>
                <w:lang w:val="fr-FR"/>
              </w:rPr>
              <w:t>2010</w:t>
            </w:r>
          </w:p>
        </w:tc>
        <w:tc>
          <w:tcPr>
            <w:tcW w:w="610" w:type="dxa"/>
            <w:tcBorders>
              <w:top w:val="single" w:sz="4" w:space="0" w:color="auto"/>
              <w:bottom w:val="single" w:sz="12" w:space="0" w:color="auto"/>
            </w:tcBorders>
            <w:shd w:val="clear" w:color="auto" w:fill="auto"/>
            <w:noWrap/>
            <w:vAlign w:val="bottom"/>
            <w:hideMark/>
          </w:tcPr>
          <w:p w:rsidR="004366C4" w:rsidRPr="0017158B" w:rsidRDefault="004366C4" w:rsidP="0017158B">
            <w:pPr>
              <w:suppressAutoHyphens w:val="0"/>
              <w:spacing w:before="80" w:after="80" w:line="200" w:lineRule="exact"/>
              <w:jc w:val="right"/>
              <w:rPr>
                <w:i/>
                <w:sz w:val="16"/>
                <w:lang w:val="fr-FR"/>
              </w:rPr>
            </w:pPr>
            <w:r w:rsidRPr="0017158B">
              <w:rPr>
                <w:i/>
                <w:sz w:val="16"/>
                <w:lang w:val="fr-FR"/>
              </w:rPr>
              <w:t>2011</w:t>
            </w:r>
          </w:p>
        </w:tc>
        <w:tc>
          <w:tcPr>
            <w:tcW w:w="611" w:type="dxa"/>
            <w:tcBorders>
              <w:top w:val="single" w:sz="4" w:space="0" w:color="auto"/>
              <w:bottom w:val="single" w:sz="12" w:space="0" w:color="auto"/>
            </w:tcBorders>
            <w:shd w:val="clear" w:color="auto" w:fill="auto"/>
            <w:noWrap/>
            <w:vAlign w:val="bottom"/>
            <w:hideMark/>
          </w:tcPr>
          <w:p w:rsidR="004366C4" w:rsidRPr="0017158B" w:rsidRDefault="004366C4" w:rsidP="0017158B">
            <w:pPr>
              <w:suppressAutoHyphens w:val="0"/>
              <w:spacing w:before="80" w:after="80" w:line="200" w:lineRule="exact"/>
              <w:jc w:val="right"/>
              <w:rPr>
                <w:i/>
                <w:sz w:val="16"/>
                <w:lang w:val="fr-FR"/>
              </w:rPr>
            </w:pPr>
            <w:r w:rsidRPr="0017158B">
              <w:rPr>
                <w:i/>
                <w:sz w:val="16"/>
                <w:lang w:val="fr-FR"/>
              </w:rPr>
              <w:t>2012</w:t>
            </w:r>
          </w:p>
        </w:tc>
        <w:tc>
          <w:tcPr>
            <w:tcW w:w="611" w:type="dxa"/>
            <w:tcBorders>
              <w:top w:val="single" w:sz="4" w:space="0" w:color="auto"/>
              <w:bottom w:val="single" w:sz="12" w:space="0" w:color="auto"/>
            </w:tcBorders>
            <w:shd w:val="clear" w:color="auto" w:fill="auto"/>
            <w:noWrap/>
            <w:vAlign w:val="bottom"/>
            <w:hideMark/>
          </w:tcPr>
          <w:p w:rsidR="004366C4" w:rsidRPr="0017158B" w:rsidRDefault="004366C4" w:rsidP="0017158B">
            <w:pPr>
              <w:suppressAutoHyphens w:val="0"/>
              <w:spacing w:before="80" w:after="80" w:line="200" w:lineRule="exact"/>
              <w:jc w:val="right"/>
              <w:rPr>
                <w:i/>
                <w:sz w:val="16"/>
                <w:lang w:val="fr-FR"/>
              </w:rPr>
            </w:pPr>
            <w:r w:rsidRPr="0017158B">
              <w:rPr>
                <w:i/>
                <w:sz w:val="16"/>
                <w:lang w:val="fr-FR"/>
              </w:rPr>
              <w:t>2013</w:t>
            </w:r>
          </w:p>
        </w:tc>
        <w:tc>
          <w:tcPr>
            <w:tcW w:w="610" w:type="dxa"/>
            <w:tcBorders>
              <w:top w:val="single" w:sz="4" w:space="0" w:color="auto"/>
              <w:bottom w:val="single" w:sz="12" w:space="0" w:color="auto"/>
            </w:tcBorders>
            <w:shd w:val="clear" w:color="auto" w:fill="auto"/>
            <w:noWrap/>
            <w:vAlign w:val="bottom"/>
            <w:hideMark/>
          </w:tcPr>
          <w:p w:rsidR="004366C4" w:rsidRPr="0017158B" w:rsidRDefault="004366C4" w:rsidP="0017158B">
            <w:pPr>
              <w:suppressAutoHyphens w:val="0"/>
              <w:spacing w:before="80" w:after="80" w:line="200" w:lineRule="exact"/>
              <w:jc w:val="right"/>
              <w:rPr>
                <w:i/>
                <w:sz w:val="16"/>
                <w:lang w:val="fr-FR"/>
              </w:rPr>
            </w:pPr>
            <w:r w:rsidRPr="0017158B">
              <w:rPr>
                <w:i/>
                <w:sz w:val="16"/>
                <w:lang w:val="fr-FR"/>
              </w:rPr>
              <w:t>2014</w:t>
            </w:r>
          </w:p>
        </w:tc>
        <w:tc>
          <w:tcPr>
            <w:tcW w:w="611" w:type="dxa"/>
            <w:tcBorders>
              <w:top w:val="single" w:sz="4" w:space="0" w:color="auto"/>
              <w:bottom w:val="single" w:sz="12" w:space="0" w:color="auto"/>
            </w:tcBorders>
            <w:shd w:val="clear" w:color="auto" w:fill="auto"/>
            <w:noWrap/>
            <w:vAlign w:val="bottom"/>
            <w:hideMark/>
          </w:tcPr>
          <w:p w:rsidR="004366C4" w:rsidRPr="0017158B" w:rsidRDefault="004366C4" w:rsidP="0017158B">
            <w:pPr>
              <w:suppressAutoHyphens w:val="0"/>
              <w:spacing w:before="80" w:after="80" w:line="200" w:lineRule="exact"/>
              <w:jc w:val="right"/>
              <w:rPr>
                <w:i/>
                <w:sz w:val="16"/>
                <w:lang w:val="fr-FR"/>
              </w:rPr>
            </w:pPr>
            <w:r w:rsidRPr="0017158B">
              <w:rPr>
                <w:i/>
                <w:sz w:val="16"/>
                <w:lang w:val="fr-FR"/>
              </w:rPr>
              <w:t>2015</w:t>
            </w:r>
          </w:p>
        </w:tc>
        <w:tc>
          <w:tcPr>
            <w:tcW w:w="611" w:type="dxa"/>
            <w:tcBorders>
              <w:top w:val="single" w:sz="4" w:space="0" w:color="auto"/>
              <w:bottom w:val="single" w:sz="12" w:space="0" w:color="auto"/>
            </w:tcBorders>
            <w:shd w:val="clear" w:color="auto" w:fill="auto"/>
            <w:noWrap/>
            <w:vAlign w:val="bottom"/>
            <w:hideMark/>
          </w:tcPr>
          <w:p w:rsidR="004366C4" w:rsidRPr="0017158B" w:rsidRDefault="004366C4" w:rsidP="0017158B">
            <w:pPr>
              <w:suppressAutoHyphens w:val="0"/>
              <w:spacing w:before="80" w:after="80" w:line="200" w:lineRule="exact"/>
              <w:jc w:val="right"/>
              <w:rPr>
                <w:i/>
                <w:sz w:val="16"/>
                <w:lang w:val="fr-FR"/>
              </w:rPr>
            </w:pPr>
            <w:r w:rsidRPr="0017158B">
              <w:rPr>
                <w:i/>
                <w:sz w:val="16"/>
                <w:lang w:val="fr-FR"/>
              </w:rPr>
              <w:t>2016</w:t>
            </w:r>
          </w:p>
        </w:tc>
        <w:tc>
          <w:tcPr>
            <w:tcW w:w="611" w:type="dxa"/>
            <w:tcBorders>
              <w:top w:val="single" w:sz="4" w:space="0" w:color="auto"/>
              <w:bottom w:val="single" w:sz="12" w:space="0" w:color="auto"/>
            </w:tcBorders>
            <w:shd w:val="clear" w:color="auto" w:fill="auto"/>
            <w:noWrap/>
            <w:vAlign w:val="bottom"/>
            <w:hideMark/>
          </w:tcPr>
          <w:p w:rsidR="004366C4" w:rsidRPr="0017158B" w:rsidRDefault="004366C4" w:rsidP="0017158B">
            <w:pPr>
              <w:suppressAutoHyphens w:val="0"/>
              <w:spacing w:before="80" w:after="80" w:line="200" w:lineRule="exact"/>
              <w:jc w:val="right"/>
              <w:rPr>
                <w:i/>
                <w:sz w:val="16"/>
                <w:lang w:val="fr-FR"/>
              </w:rPr>
            </w:pPr>
            <w:r w:rsidRPr="0017158B">
              <w:rPr>
                <w:i/>
                <w:sz w:val="16"/>
                <w:lang w:val="fr-FR"/>
              </w:rPr>
              <w:t>2017</w:t>
            </w:r>
          </w:p>
        </w:tc>
      </w:tr>
      <w:tr w:rsidR="0017158B" w:rsidRPr="0017158B" w:rsidTr="00EA53A9">
        <w:tc>
          <w:tcPr>
            <w:tcW w:w="1260" w:type="dxa"/>
            <w:tcBorders>
              <w:top w:val="single" w:sz="12" w:space="0" w:color="auto"/>
            </w:tcBorders>
            <w:shd w:val="clear" w:color="auto" w:fill="auto"/>
            <w:hideMark/>
          </w:tcPr>
          <w:p w:rsidR="004366C4" w:rsidRPr="0017158B" w:rsidRDefault="004366C4" w:rsidP="0017158B">
            <w:pPr>
              <w:suppressAutoHyphens w:val="0"/>
              <w:spacing w:before="40" w:after="40" w:line="220" w:lineRule="exact"/>
              <w:rPr>
                <w:sz w:val="18"/>
                <w:lang w:val="fr-FR"/>
              </w:rPr>
            </w:pPr>
            <w:r w:rsidRPr="0017158B">
              <w:rPr>
                <w:sz w:val="18"/>
                <w:lang w:val="fr-FR"/>
              </w:rPr>
              <w:t>Agriculture</w:t>
            </w:r>
          </w:p>
        </w:tc>
        <w:tc>
          <w:tcPr>
            <w:tcW w:w="610" w:type="dxa"/>
            <w:tcBorders>
              <w:top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3,9</w:t>
            </w:r>
            <w:r w:rsidR="00B40920">
              <w:rPr>
                <w:sz w:val="18"/>
                <w:lang w:val="fr-FR"/>
              </w:rPr>
              <w:t> </w:t>
            </w:r>
            <w:r w:rsidRPr="0017158B">
              <w:rPr>
                <w:sz w:val="18"/>
                <w:lang w:val="fr-FR"/>
              </w:rPr>
              <w:t>%</w:t>
            </w:r>
          </w:p>
        </w:tc>
        <w:tc>
          <w:tcPr>
            <w:tcW w:w="611" w:type="dxa"/>
            <w:tcBorders>
              <w:top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4,5</w:t>
            </w:r>
            <w:r w:rsidR="00B40920">
              <w:rPr>
                <w:sz w:val="18"/>
                <w:lang w:val="fr-FR"/>
              </w:rPr>
              <w:t> </w:t>
            </w:r>
            <w:r w:rsidRPr="0017158B">
              <w:rPr>
                <w:sz w:val="18"/>
                <w:lang w:val="fr-FR"/>
              </w:rPr>
              <w:t>%</w:t>
            </w:r>
          </w:p>
        </w:tc>
        <w:tc>
          <w:tcPr>
            <w:tcW w:w="611" w:type="dxa"/>
            <w:tcBorders>
              <w:top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4,2</w:t>
            </w:r>
            <w:r w:rsidR="00B40920">
              <w:rPr>
                <w:sz w:val="18"/>
                <w:lang w:val="fr-FR"/>
              </w:rPr>
              <w:t> </w:t>
            </w:r>
            <w:r w:rsidRPr="0017158B">
              <w:rPr>
                <w:sz w:val="18"/>
                <w:lang w:val="fr-FR"/>
              </w:rPr>
              <w:t>%</w:t>
            </w:r>
          </w:p>
        </w:tc>
        <w:tc>
          <w:tcPr>
            <w:tcW w:w="610" w:type="dxa"/>
            <w:tcBorders>
              <w:top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3,6</w:t>
            </w:r>
            <w:r w:rsidR="00B40920">
              <w:rPr>
                <w:sz w:val="18"/>
                <w:lang w:val="fr-FR"/>
              </w:rPr>
              <w:t> </w:t>
            </w:r>
            <w:r w:rsidRPr="0017158B">
              <w:rPr>
                <w:sz w:val="18"/>
                <w:lang w:val="fr-FR"/>
              </w:rPr>
              <w:t>%</w:t>
            </w:r>
          </w:p>
        </w:tc>
        <w:tc>
          <w:tcPr>
            <w:tcW w:w="611" w:type="dxa"/>
            <w:tcBorders>
              <w:top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3,2</w:t>
            </w:r>
            <w:r w:rsidR="00B40920">
              <w:rPr>
                <w:sz w:val="18"/>
                <w:lang w:val="fr-FR"/>
              </w:rPr>
              <w:t> </w:t>
            </w:r>
            <w:r w:rsidRPr="0017158B">
              <w:rPr>
                <w:sz w:val="18"/>
                <w:lang w:val="fr-FR"/>
              </w:rPr>
              <w:t>%</w:t>
            </w:r>
          </w:p>
        </w:tc>
        <w:tc>
          <w:tcPr>
            <w:tcW w:w="611" w:type="dxa"/>
            <w:tcBorders>
              <w:top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3,3</w:t>
            </w:r>
            <w:r w:rsidR="00B40920">
              <w:rPr>
                <w:sz w:val="18"/>
                <w:lang w:val="fr-FR"/>
              </w:rPr>
              <w:t> </w:t>
            </w:r>
            <w:r w:rsidRPr="0017158B">
              <w:rPr>
                <w:sz w:val="18"/>
                <w:lang w:val="fr-FR"/>
              </w:rPr>
              <w:t>%</w:t>
            </w:r>
          </w:p>
        </w:tc>
        <w:tc>
          <w:tcPr>
            <w:tcW w:w="610" w:type="dxa"/>
            <w:tcBorders>
              <w:top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3,6</w:t>
            </w:r>
            <w:r w:rsidR="00B40920">
              <w:rPr>
                <w:sz w:val="18"/>
                <w:lang w:val="fr-FR"/>
              </w:rPr>
              <w:t> </w:t>
            </w:r>
            <w:r w:rsidRPr="0017158B">
              <w:rPr>
                <w:sz w:val="18"/>
                <w:lang w:val="fr-FR"/>
              </w:rPr>
              <w:t>%</w:t>
            </w:r>
          </w:p>
        </w:tc>
        <w:tc>
          <w:tcPr>
            <w:tcW w:w="611" w:type="dxa"/>
            <w:tcBorders>
              <w:top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3,2</w:t>
            </w:r>
            <w:r w:rsidR="00B40920">
              <w:rPr>
                <w:sz w:val="18"/>
                <w:lang w:val="fr-FR"/>
              </w:rPr>
              <w:t> </w:t>
            </w:r>
            <w:r w:rsidRPr="0017158B">
              <w:rPr>
                <w:sz w:val="18"/>
                <w:lang w:val="fr-FR"/>
              </w:rPr>
              <w:t>%</w:t>
            </w:r>
          </w:p>
        </w:tc>
        <w:tc>
          <w:tcPr>
            <w:tcW w:w="611" w:type="dxa"/>
            <w:tcBorders>
              <w:top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3,1</w:t>
            </w:r>
            <w:r w:rsidR="00B40920">
              <w:rPr>
                <w:sz w:val="18"/>
                <w:lang w:val="fr-FR"/>
              </w:rPr>
              <w:t> </w:t>
            </w:r>
            <w:r w:rsidRPr="0017158B">
              <w:rPr>
                <w:sz w:val="18"/>
                <w:lang w:val="fr-FR"/>
              </w:rPr>
              <w:t>%</w:t>
            </w:r>
          </w:p>
        </w:tc>
        <w:tc>
          <w:tcPr>
            <w:tcW w:w="611" w:type="dxa"/>
            <w:tcBorders>
              <w:top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3,0</w:t>
            </w:r>
            <w:r w:rsidR="00B40920">
              <w:rPr>
                <w:sz w:val="18"/>
                <w:lang w:val="fr-FR"/>
              </w:rPr>
              <w:t> </w:t>
            </w:r>
            <w:r w:rsidRPr="0017158B">
              <w:rPr>
                <w:sz w:val="18"/>
                <w:lang w:val="fr-FR"/>
              </w:rPr>
              <w:t>%</w:t>
            </w:r>
          </w:p>
        </w:tc>
      </w:tr>
      <w:tr w:rsidR="0017158B" w:rsidRPr="0017158B" w:rsidTr="00EA53A9">
        <w:tc>
          <w:tcPr>
            <w:tcW w:w="1260" w:type="dxa"/>
            <w:tcBorders>
              <w:bottom w:val="single" w:sz="12" w:space="0" w:color="auto"/>
            </w:tcBorders>
            <w:shd w:val="clear" w:color="auto" w:fill="auto"/>
            <w:hideMark/>
          </w:tcPr>
          <w:p w:rsidR="004366C4" w:rsidRPr="0017158B" w:rsidRDefault="004366C4" w:rsidP="0017158B">
            <w:pPr>
              <w:suppressAutoHyphens w:val="0"/>
              <w:spacing w:before="40" w:after="40" w:line="220" w:lineRule="exact"/>
              <w:rPr>
                <w:sz w:val="18"/>
                <w:lang w:val="fr-FR"/>
              </w:rPr>
            </w:pPr>
            <w:r w:rsidRPr="0017158B">
              <w:rPr>
                <w:sz w:val="18"/>
                <w:lang w:val="fr-FR"/>
              </w:rPr>
              <w:t>Transformation du bois</w:t>
            </w:r>
          </w:p>
        </w:tc>
        <w:tc>
          <w:tcPr>
            <w:tcW w:w="610" w:type="dxa"/>
            <w:tcBorders>
              <w:bottom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7,5</w:t>
            </w:r>
            <w:r w:rsidR="00B40920">
              <w:rPr>
                <w:sz w:val="18"/>
                <w:lang w:val="fr-FR"/>
              </w:rPr>
              <w:t> </w:t>
            </w:r>
            <w:r w:rsidRPr="0017158B">
              <w:rPr>
                <w:sz w:val="18"/>
                <w:lang w:val="fr-FR"/>
              </w:rPr>
              <w:t>%</w:t>
            </w:r>
          </w:p>
        </w:tc>
        <w:tc>
          <w:tcPr>
            <w:tcW w:w="611" w:type="dxa"/>
            <w:tcBorders>
              <w:bottom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6,8</w:t>
            </w:r>
            <w:r w:rsidR="00B40920">
              <w:rPr>
                <w:sz w:val="18"/>
                <w:lang w:val="fr-FR"/>
              </w:rPr>
              <w:t> </w:t>
            </w:r>
            <w:r w:rsidRPr="0017158B">
              <w:rPr>
                <w:sz w:val="18"/>
                <w:lang w:val="fr-FR"/>
              </w:rPr>
              <w:t>%</w:t>
            </w:r>
          </w:p>
        </w:tc>
        <w:tc>
          <w:tcPr>
            <w:tcW w:w="611" w:type="dxa"/>
            <w:tcBorders>
              <w:bottom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7,9</w:t>
            </w:r>
            <w:r w:rsidR="00B40920">
              <w:rPr>
                <w:sz w:val="18"/>
                <w:lang w:val="fr-FR"/>
              </w:rPr>
              <w:t> </w:t>
            </w:r>
            <w:r w:rsidRPr="0017158B">
              <w:rPr>
                <w:sz w:val="18"/>
                <w:lang w:val="fr-FR"/>
              </w:rPr>
              <w:t>%</w:t>
            </w:r>
          </w:p>
        </w:tc>
        <w:tc>
          <w:tcPr>
            <w:tcW w:w="610" w:type="dxa"/>
            <w:tcBorders>
              <w:bottom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8,1</w:t>
            </w:r>
            <w:r w:rsidR="00B40920">
              <w:rPr>
                <w:sz w:val="18"/>
                <w:lang w:val="fr-FR"/>
              </w:rPr>
              <w:t> </w:t>
            </w:r>
            <w:r w:rsidRPr="0017158B">
              <w:rPr>
                <w:sz w:val="18"/>
                <w:lang w:val="fr-FR"/>
              </w:rPr>
              <w:t>%</w:t>
            </w:r>
          </w:p>
        </w:tc>
        <w:tc>
          <w:tcPr>
            <w:tcW w:w="611" w:type="dxa"/>
            <w:tcBorders>
              <w:bottom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7,5</w:t>
            </w:r>
            <w:r w:rsidR="00B40920">
              <w:rPr>
                <w:sz w:val="18"/>
                <w:lang w:val="fr-FR"/>
              </w:rPr>
              <w:t> </w:t>
            </w:r>
            <w:r w:rsidRPr="0017158B">
              <w:rPr>
                <w:sz w:val="18"/>
                <w:lang w:val="fr-FR"/>
              </w:rPr>
              <w:t>%</w:t>
            </w:r>
          </w:p>
        </w:tc>
        <w:tc>
          <w:tcPr>
            <w:tcW w:w="611" w:type="dxa"/>
            <w:tcBorders>
              <w:bottom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8,5</w:t>
            </w:r>
            <w:r w:rsidR="00B40920">
              <w:rPr>
                <w:sz w:val="18"/>
                <w:lang w:val="fr-FR"/>
              </w:rPr>
              <w:t> </w:t>
            </w:r>
            <w:r w:rsidRPr="0017158B">
              <w:rPr>
                <w:sz w:val="18"/>
                <w:lang w:val="fr-FR"/>
              </w:rPr>
              <w:t>%</w:t>
            </w:r>
          </w:p>
        </w:tc>
        <w:tc>
          <w:tcPr>
            <w:tcW w:w="610" w:type="dxa"/>
            <w:tcBorders>
              <w:bottom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6,6</w:t>
            </w:r>
            <w:r w:rsidR="00B40920">
              <w:rPr>
                <w:sz w:val="18"/>
                <w:lang w:val="fr-FR"/>
              </w:rPr>
              <w:t> </w:t>
            </w:r>
            <w:r w:rsidRPr="0017158B">
              <w:rPr>
                <w:sz w:val="18"/>
                <w:lang w:val="fr-FR"/>
              </w:rPr>
              <w:t>%</w:t>
            </w:r>
          </w:p>
        </w:tc>
        <w:tc>
          <w:tcPr>
            <w:tcW w:w="611" w:type="dxa"/>
            <w:tcBorders>
              <w:bottom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7,8</w:t>
            </w:r>
            <w:r w:rsidR="00B40920">
              <w:rPr>
                <w:sz w:val="18"/>
                <w:lang w:val="fr-FR"/>
              </w:rPr>
              <w:t> </w:t>
            </w:r>
            <w:r w:rsidRPr="0017158B">
              <w:rPr>
                <w:sz w:val="18"/>
                <w:lang w:val="fr-FR"/>
              </w:rPr>
              <w:t>%</w:t>
            </w:r>
          </w:p>
        </w:tc>
        <w:tc>
          <w:tcPr>
            <w:tcW w:w="611" w:type="dxa"/>
            <w:tcBorders>
              <w:bottom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6,6</w:t>
            </w:r>
            <w:r w:rsidR="00B40920">
              <w:rPr>
                <w:sz w:val="18"/>
                <w:lang w:val="fr-FR"/>
              </w:rPr>
              <w:t> </w:t>
            </w:r>
            <w:r w:rsidRPr="0017158B">
              <w:rPr>
                <w:sz w:val="18"/>
                <w:lang w:val="fr-FR"/>
              </w:rPr>
              <w:t>%</w:t>
            </w:r>
          </w:p>
        </w:tc>
        <w:tc>
          <w:tcPr>
            <w:tcW w:w="611" w:type="dxa"/>
            <w:tcBorders>
              <w:bottom w:val="single" w:sz="12" w:space="0" w:color="auto"/>
            </w:tcBorders>
            <w:shd w:val="clear" w:color="auto" w:fill="auto"/>
            <w:noWrap/>
            <w:vAlign w:val="bottom"/>
            <w:hideMark/>
          </w:tcPr>
          <w:p w:rsidR="004366C4" w:rsidRPr="0017158B" w:rsidRDefault="004366C4" w:rsidP="0017158B">
            <w:pPr>
              <w:suppressAutoHyphens w:val="0"/>
              <w:spacing w:before="40" w:after="40" w:line="220" w:lineRule="exact"/>
              <w:jc w:val="right"/>
              <w:rPr>
                <w:sz w:val="18"/>
                <w:lang w:val="fr-FR"/>
              </w:rPr>
            </w:pPr>
            <w:r w:rsidRPr="0017158B">
              <w:rPr>
                <w:sz w:val="18"/>
                <w:lang w:val="fr-FR"/>
              </w:rPr>
              <w:t>7,7</w:t>
            </w:r>
            <w:r w:rsidR="00B40920">
              <w:rPr>
                <w:sz w:val="18"/>
                <w:lang w:val="fr-FR"/>
              </w:rPr>
              <w:t> </w:t>
            </w:r>
            <w:r w:rsidRPr="0017158B">
              <w:rPr>
                <w:sz w:val="18"/>
                <w:lang w:val="fr-FR"/>
              </w:rPr>
              <w:t>%</w:t>
            </w:r>
          </w:p>
        </w:tc>
      </w:tr>
    </w:tbl>
    <w:p w:rsidR="004366C4" w:rsidRPr="002C7AB3" w:rsidRDefault="004366C4" w:rsidP="002C6FD1">
      <w:pPr>
        <w:pStyle w:val="H23G"/>
        <w:rPr>
          <w:lang w:val="fr-FR"/>
        </w:rPr>
      </w:pPr>
      <w:r w:rsidRPr="002C7AB3">
        <w:rPr>
          <w:lang w:val="fr-FR"/>
        </w:rPr>
        <w:tab/>
      </w:r>
      <w:r w:rsidRPr="002C7AB3">
        <w:rPr>
          <w:lang w:val="fr-FR"/>
        </w:rPr>
        <w:tab/>
        <w:t>Maladies professionnelles</w:t>
      </w:r>
    </w:p>
    <w:tbl>
      <w:tblPr>
        <w:tblStyle w:val="Grilledutableau"/>
        <w:tblW w:w="73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6"/>
        <w:gridCol w:w="612"/>
        <w:gridCol w:w="613"/>
        <w:gridCol w:w="612"/>
        <w:gridCol w:w="613"/>
        <w:gridCol w:w="613"/>
        <w:gridCol w:w="612"/>
        <w:gridCol w:w="613"/>
        <w:gridCol w:w="612"/>
        <w:gridCol w:w="613"/>
        <w:gridCol w:w="613"/>
      </w:tblGrid>
      <w:tr w:rsidR="00AC341D" w:rsidRPr="00AC341D" w:rsidTr="00AC341D">
        <w:trPr>
          <w:tblHeader/>
        </w:trPr>
        <w:tc>
          <w:tcPr>
            <w:tcW w:w="1246"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rPr>
                <w:i/>
                <w:sz w:val="16"/>
                <w:lang w:val="fr-FR"/>
              </w:rPr>
            </w:pPr>
            <w:r w:rsidRPr="00AC341D">
              <w:rPr>
                <w:i/>
                <w:sz w:val="16"/>
                <w:lang w:val="fr-FR"/>
              </w:rPr>
              <w:t>Secteur d’activité</w:t>
            </w:r>
          </w:p>
        </w:tc>
        <w:tc>
          <w:tcPr>
            <w:tcW w:w="612"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2008</w:t>
            </w:r>
          </w:p>
        </w:tc>
        <w:tc>
          <w:tcPr>
            <w:tcW w:w="613"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2009</w:t>
            </w:r>
          </w:p>
        </w:tc>
        <w:tc>
          <w:tcPr>
            <w:tcW w:w="612"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2010</w:t>
            </w:r>
          </w:p>
        </w:tc>
        <w:tc>
          <w:tcPr>
            <w:tcW w:w="613"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2011</w:t>
            </w:r>
          </w:p>
        </w:tc>
        <w:tc>
          <w:tcPr>
            <w:tcW w:w="613"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2012</w:t>
            </w:r>
          </w:p>
        </w:tc>
        <w:tc>
          <w:tcPr>
            <w:tcW w:w="612"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2013</w:t>
            </w:r>
          </w:p>
        </w:tc>
        <w:tc>
          <w:tcPr>
            <w:tcW w:w="613"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2014</w:t>
            </w:r>
          </w:p>
        </w:tc>
        <w:tc>
          <w:tcPr>
            <w:tcW w:w="612"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2015</w:t>
            </w:r>
          </w:p>
        </w:tc>
        <w:tc>
          <w:tcPr>
            <w:tcW w:w="613"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2016</w:t>
            </w:r>
          </w:p>
        </w:tc>
        <w:tc>
          <w:tcPr>
            <w:tcW w:w="613"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2017</w:t>
            </w:r>
          </w:p>
        </w:tc>
      </w:tr>
      <w:tr w:rsidR="00AC341D" w:rsidRPr="00AC341D" w:rsidTr="00AC341D">
        <w:tc>
          <w:tcPr>
            <w:tcW w:w="1246" w:type="dxa"/>
            <w:tcBorders>
              <w:top w:val="single" w:sz="12" w:space="0" w:color="auto"/>
            </w:tcBorders>
            <w:shd w:val="clear" w:color="auto" w:fill="auto"/>
            <w:noWrap/>
            <w:hideMark/>
          </w:tcPr>
          <w:p w:rsidR="004366C4" w:rsidRPr="00AC341D" w:rsidRDefault="004366C4" w:rsidP="00AC341D">
            <w:pPr>
              <w:suppressAutoHyphens w:val="0"/>
              <w:spacing w:before="40" w:after="40" w:line="220" w:lineRule="exact"/>
              <w:rPr>
                <w:sz w:val="18"/>
                <w:lang w:val="fr-FR"/>
              </w:rPr>
            </w:pPr>
            <w:r w:rsidRPr="00AC341D">
              <w:rPr>
                <w:sz w:val="18"/>
                <w:lang w:val="fr-FR"/>
              </w:rPr>
              <w:t>Transformation du bois</w:t>
            </w:r>
          </w:p>
        </w:tc>
        <w:tc>
          <w:tcPr>
            <w:tcW w:w="612"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4</w:t>
            </w:r>
          </w:p>
        </w:tc>
        <w:tc>
          <w:tcPr>
            <w:tcW w:w="613"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3</w:t>
            </w:r>
          </w:p>
        </w:tc>
        <w:tc>
          <w:tcPr>
            <w:tcW w:w="612"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5</w:t>
            </w:r>
          </w:p>
        </w:tc>
        <w:tc>
          <w:tcPr>
            <w:tcW w:w="613"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3</w:t>
            </w:r>
          </w:p>
        </w:tc>
        <w:tc>
          <w:tcPr>
            <w:tcW w:w="613"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5</w:t>
            </w:r>
          </w:p>
        </w:tc>
        <w:tc>
          <w:tcPr>
            <w:tcW w:w="612"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6</w:t>
            </w:r>
          </w:p>
        </w:tc>
        <w:tc>
          <w:tcPr>
            <w:tcW w:w="613"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6</w:t>
            </w:r>
          </w:p>
        </w:tc>
        <w:tc>
          <w:tcPr>
            <w:tcW w:w="612"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8</w:t>
            </w:r>
          </w:p>
        </w:tc>
        <w:tc>
          <w:tcPr>
            <w:tcW w:w="613"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4</w:t>
            </w:r>
          </w:p>
        </w:tc>
        <w:tc>
          <w:tcPr>
            <w:tcW w:w="613"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7</w:t>
            </w:r>
          </w:p>
        </w:tc>
      </w:tr>
      <w:tr w:rsidR="00AC341D" w:rsidRPr="00AC341D" w:rsidTr="00AC341D">
        <w:tc>
          <w:tcPr>
            <w:tcW w:w="1246" w:type="dxa"/>
            <w:tcBorders>
              <w:bottom w:val="single" w:sz="12" w:space="0" w:color="auto"/>
            </w:tcBorders>
            <w:shd w:val="clear" w:color="auto" w:fill="auto"/>
            <w:noWrap/>
            <w:hideMark/>
          </w:tcPr>
          <w:p w:rsidR="004366C4" w:rsidRPr="00AC341D" w:rsidRDefault="004366C4" w:rsidP="00AC341D">
            <w:pPr>
              <w:suppressAutoHyphens w:val="0"/>
              <w:spacing w:before="40" w:after="40" w:line="220" w:lineRule="exact"/>
              <w:rPr>
                <w:sz w:val="18"/>
                <w:lang w:val="fr-FR"/>
              </w:rPr>
            </w:pPr>
            <w:r w:rsidRPr="00AC341D">
              <w:rPr>
                <w:sz w:val="18"/>
                <w:lang w:val="fr-FR"/>
              </w:rPr>
              <w:t>Agriculture</w:t>
            </w:r>
          </w:p>
        </w:tc>
        <w:tc>
          <w:tcPr>
            <w:tcW w:w="612"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17</w:t>
            </w:r>
          </w:p>
        </w:tc>
        <w:tc>
          <w:tcPr>
            <w:tcW w:w="613"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18</w:t>
            </w:r>
          </w:p>
        </w:tc>
        <w:tc>
          <w:tcPr>
            <w:tcW w:w="612"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19</w:t>
            </w:r>
          </w:p>
        </w:tc>
        <w:tc>
          <w:tcPr>
            <w:tcW w:w="613"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17</w:t>
            </w:r>
          </w:p>
        </w:tc>
        <w:tc>
          <w:tcPr>
            <w:tcW w:w="613"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8</w:t>
            </w:r>
          </w:p>
        </w:tc>
        <w:tc>
          <w:tcPr>
            <w:tcW w:w="612"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8</w:t>
            </w:r>
          </w:p>
        </w:tc>
        <w:tc>
          <w:tcPr>
            <w:tcW w:w="613"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7</w:t>
            </w:r>
          </w:p>
        </w:tc>
        <w:tc>
          <w:tcPr>
            <w:tcW w:w="612"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5</w:t>
            </w:r>
          </w:p>
        </w:tc>
        <w:tc>
          <w:tcPr>
            <w:tcW w:w="613"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5</w:t>
            </w:r>
          </w:p>
        </w:tc>
        <w:tc>
          <w:tcPr>
            <w:tcW w:w="613"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2</w:t>
            </w:r>
          </w:p>
        </w:tc>
      </w:tr>
    </w:tbl>
    <w:p w:rsidR="004366C4" w:rsidRPr="002C7AB3" w:rsidRDefault="004366C4" w:rsidP="001C245C">
      <w:pPr>
        <w:pStyle w:val="H23G"/>
        <w:rPr>
          <w:lang w:val="fr-FR"/>
        </w:rPr>
      </w:pPr>
      <w:r w:rsidRPr="002C7AB3">
        <w:rPr>
          <w:lang w:val="fr-FR"/>
        </w:rPr>
        <w:tab/>
      </w:r>
      <w:r w:rsidRPr="002C7AB3">
        <w:rPr>
          <w:lang w:val="fr-FR"/>
        </w:rPr>
        <w:tab/>
        <w:t>Pourcentage de toutes les maladies professionnelles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23"/>
        <w:gridCol w:w="624"/>
        <w:gridCol w:w="623"/>
        <w:gridCol w:w="624"/>
        <w:gridCol w:w="624"/>
        <w:gridCol w:w="623"/>
        <w:gridCol w:w="624"/>
        <w:gridCol w:w="623"/>
        <w:gridCol w:w="624"/>
        <w:gridCol w:w="624"/>
      </w:tblGrid>
      <w:tr w:rsidR="00AC341D" w:rsidRPr="00AC341D" w:rsidTr="00AC341D">
        <w:trPr>
          <w:tblHeader/>
        </w:trPr>
        <w:tc>
          <w:tcPr>
            <w:tcW w:w="1134"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rPr>
                <w:i/>
                <w:sz w:val="16"/>
                <w:lang w:val="fr-FR"/>
              </w:rPr>
            </w:pPr>
            <w:r w:rsidRPr="00AC341D">
              <w:rPr>
                <w:i/>
                <w:sz w:val="16"/>
                <w:lang w:val="fr-FR"/>
              </w:rPr>
              <w:t>Secteur d’activité</w:t>
            </w:r>
          </w:p>
        </w:tc>
        <w:tc>
          <w:tcPr>
            <w:tcW w:w="623"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2008</w:t>
            </w:r>
          </w:p>
        </w:tc>
        <w:tc>
          <w:tcPr>
            <w:tcW w:w="624"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2009</w:t>
            </w:r>
          </w:p>
        </w:tc>
        <w:tc>
          <w:tcPr>
            <w:tcW w:w="623"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2010</w:t>
            </w:r>
          </w:p>
        </w:tc>
        <w:tc>
          <w:tcPr>
            <w:tcW w:w="624"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2011</w:t>
            </w:r>
          </w:p>
        </w:tc>
        <w:tc>
          <w:tcPr>
            <w:tcW w:w="624"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2012</w:t>
            </w:r>
          </w:p>
        </w:tc>
        <w:tc>
          <w:tcPr>
            <w:tcW w:w="623"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2013</w:t>
            </w:r>
          </w:p>
        </w:tc>
        <w:tc>
          <w:tcPr>
            <w:tcW w:w="624"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2014</w:t>
            </w:r>
          </w:p>
        </w:tc>
        <w:tc>
          <w:tcPr>
            <w:tcW w:w="623"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2015</w:t>
            </w:r>
          </w:p>
        </w:tc>
        <w:tc>
          <w:tcPr>
            <w:tcW w:w="624"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2016</w:t>
            </w:r>
          </w:p>
        </w:tc>
        <w:tc>
          <w:tcPr>
            <w:tcW w:w="624" w:type="dxa"/>
            <w:tcBorders>
              <w:top w:val="single" w:sz="4" w:space="0" w:color="auto"/>
              <w:bottom w:val="single" w:sz="12" w:space="0" w:color="auto"/>
            </w:tcBorders>
            <w:shd w:val="clear" w:color="auto" w:fill="auto"/>
            <w:noWrap/>
            <w:vAlign w:val="bottom"/>
            <w:hideMark/>
          </w:tcPr>
          <w:p w:rsidR="004366C4" w:rsidRPr="00AC341D" w:rsidRDefault="004366C4" w:rsidP="00AC341D">
            <w:pPr>
              <w:suppressAutoHyphens w:val="0"/>
              <w:spacing w:before="80" w:after="80" w:line="200" w:lineRule="exact"/>
              <w:jc w:val="right"/>
              <w:rPr>
                <w:i/>
                <w:sz w:val="16"/>
                <w:lang w:val="fr-FR"/>
              </w:rPr>
            </w:pPr>
            <w:r w:rsidRPr="00AC341D">
              <w:rPr>
                <w:i/>
                <w:sz w:val="16"/>
                <w:lang w:val="fr-FR"/>
              </w:rPr>
              <w:t>2017</w:t>
            </w:r>
          </w:p>
        </w:tc>
      </w:tr>
      <w:tr w:rsidR="00AC341D" w:rsidRPr="00AC341D" w:rsidTr="00AC341D">
        <w:tc>
          <w:tcPr>
            <w:tcW w:w="1134" w:type="dxa"/>
            <w:tcBorders>
              <w:top w:val="single" w:sz="12" w:space="0" w:color="auto"/>
            </w:tcBorders>
            <w:shd w:val="clear" w:color="auto" w:fill="auto"/>
            <w:noWrap/>
            <w:hideMark/>
          </w:tcPr>
          <w:p w:rsidR="004366C4" w:rsidRPr="00AC341D" w:rsidRDefault="004366C4" w:rsidP="00AC341D">
            <w:pPr>
              <w:suppressAutoHyphens w:val="0"/>
              <w:spacing w:before="40" w:after="40" w:line="220" w:lineRule="exact"/>
              <w:rPr>
                <w:sz w:val="18"/>
                <w:lang w:val="fr-FR"/>
              </w:rPr>
            </w:pPr>
            <w:r w:rsidRPr="00AC341D">
              <w:rPr>
                <w:sz w:val="18"/>
                <w:lang w:val="fr-FR"/>
              </w:rPr>
              <w:t>Transformation du bois</w:t>
            </w:r>
          </w:p>
        </w:tc>
        <w:tc>
          <w:tcPr>
            <w:tcW w:w="623"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5,4</w:t>
            </w:r>
            <w:r w:rsidR="00AC341D">
              <w:rPr>
                <w:sz w:val="18"/>
                <w:lang w:val="fr-FR"/>
              </w:rPr>
              <w:t> </w:t>
            </w:r>
            <w:r w:rsidRPr="00AC341D">
              <w:rPr>
                <w:sz w:val="18"/>
                <w:lang w:val="fr-FR"/>
              </w:rPr>
              <w:t>%</w:t>
            </w:r>
          </w:p>
        </w:tc>
        <w:tc>
          <w:tcPr>
            <w:tcW w:w="624"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4,1</w:t>
            </w:r>
            <w:r w:rsidR="00AC341D">
              <w:rPr>
                <w:sz w:val="18"/>
                <w:lang w:val="fr-FR"/>
              </w:rPr>
              <w:t> </w:t>
            </w:r>
            <w:r w:rsidRPr="00AC341D">
              <w:rPr>
                <w:sz w:val="18"/>
                <w:lang w:val="fr-FR"/>
              </w:rPr>
              <w:t>%</w:t>
            </w:r>
          </w:p>
        </w:tc>
        <w:tc>
          <w:tcPr>
            <w:tcW w:w="623"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4,8</w:t>
            </w:r>
            <w:r w:rsidR="00AC341D">
              <w:rPr>
                <w:sz w:val="18"/>
                <w:lang w:val="fr-FR"/>
              </w:rPr>
              <w:t> </w:t>
            </w:r>
            <w:r w:rsidRPr="00AC341D">
              <w:rPr>
                <w:sz w:val="18"/>
                <w:lang w:val="fr-FR"/>
              </w:rPr>
              <w:t>%</w:t>
            </w:r>
          </w:p>
        </w:tc>
        <w:tc>
          <w:tcPr>
            <w:tcW w:w="624"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3,4</w:t>
            </w:r>
            <w:r w:rsidR="00AC341D">
              <w:rPr>
                <w:sz w:val="18"/>
                <w:lang w:val="fr-FR"/>
              </w:rPr>
              <w:t> </w:t>
            </w:r>
            <w:r w:rsidRPr="00AC341D">
              <w:rPr>
                <w:sz w:val="18"/>
                <w:lang w:val="fr-FR"/>
              </w:rPr>
              <w:t>%</w:t>
            </w:r>
          </w:p>
        </w:tc>
        <w:tc>
          <w:tcPr>
            <w:tcW w:w="624"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8,6</w:t>
            </w:r>
            <w:r w:rsidR="00AC341D">
              <w:rPr>
                <w:sz w:val="18"/>
                <w:lang w:val="fr-FR"/>
              </w:rPr>
              <w:t> </w:t>
            </w:r>
            <w:r w:rsidRPr="00AC341D">
              <w:rPr>
                <w:sz w:val="18"/>
                <w:lang w:val="fr-FR"/>
              </w:rPr>
              <w:t>%</w:t>
            </w:r>
          </w:p>
        </w:tc>
        <w:tc>
          <w:tcPr>
            <w:tcW w:w="623"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10,7</w:t>
            </w:r>
            <w:r w:rsidR="00AC341D">
              <w:rPr>
                <w:sz w:val="18"/>
                <w:lang w:val="fr-FR"/>
              </w:rPr>
              <w:t> </w:t>
            </w:r>
            <w:r w:rsidRPr="00AC341D">
              <w:rPr>
                <w:sz w:val="18"/>
                <w:lang w:val="fr-FR"/>
              </w:rPr>
              <w:t>%</w:t>
            </w:r>
          </w:p>
        </w:tc>
        <w:tc>
          <w:tcPr>
            <w:tcW w:w="624"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10,7</w:t>
            </w:r>
            <w:r w:rsidR="00AC341D">
              <w:rPr>
                <w:sz w:val="18"/>
                <w:lang w:val="fr-FR"/>
              </w:rPr>
              <w:t> </w:t>
            </w:r>
            <w:r w:rsidRPr="00AC341D">
              <w:rPr>
                <w:sz w:val="18"/>
                <w:lang w:val="fr-FR"/>
              </w:rPr>
              <w:t>%</w:t>
            </w:r>
          </w:p>
        </w:tc>
        <w:tc>
          <w:tcPr>
            <w:tcW w:w="623"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16,0</w:t>
            </w:r>
            <w:r w:rsidR="00AC341D">
              <w:rPr>
                <w:sz w:val="18"/>
                <w:lang w:val="fr-FR"/>
              </w:rPr>
              <w:t> </w:t>
            </w:r>
            <w:r w:rsidRPr="00AC341D">
              <w:rPr>
                <w:sz w:val="18"/>
                <w:lang w:val="fr-FR"/>
              </w:rPr>
              <w:t>%</w:t>
            </w:r>
          </w:p>
        </w:tc>
        <w:tc>
          <w:tcPr>
            <w:tcW w:w="624"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10,3</w:t>
            </w:r>
            <w:r w:rsidR="00AC341D">
              <w:rPr>
                <w:sz w:val="18"/>
                <w:lang w:val="fr-FR"/>
              </w:rPr>
              <w:t> </w:t>
            </w:r>
            <w:r w:rsidRPr="00AC341D">
              <w:rPr>
                <w:sz w:val="18"/>
                <w:lang w:val="fr-FR"/>
              </w:rPr>
              <w:t>%</w:t>
            </w:r>
          </w:p>
        </w:tc>
        <w:tc>
          <w:tcPr>
            <w:tcW w:w="624" w:type="dxa"/>
            <w:tcBorders>
              <w:top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18,9</w:t>
            </w:r>
            <w:r w:rsidR="00AC341D">
              <w:rPr>
                <w:sz w:val="18"/>
                <w:lang w:val="fr-FR"/>
              </w:rPr>
              <w:t> </w:t>
            </w:r>
            <w:r w:rsidRPr="00AC341D">
              <w:rPr>
                <w:sz w:val="18"/>
                <w:lang w:val="fr-FR"/>
              </w:rPr>
              <w:t>%</w:t>
            </w:r>
          </w:p>
        </w:tc>
      </w:tr>
      <w:tr w:rsidR="00AC341D" w:rsidRPr="00AC341D" w:rsidTr="00AC341D">
        <w:tc>
          <w:tcPr>
            <w:tcW w:w="1134" w:type="dxa"/>
            <w:tcBorders>
              <w:bottom w:val="single" w:sz="12" w:space="0" w:color="auto"/>
            </w:tcBorders>
            <w:shd w:val="clear" w:color="auto" w:fill="auto"/>
            <w:noWrap/>
            <w:hideMark/>
          </w:tcPr>
          <w:p w:rsidR="004366C4" w:rsidRPr="00AC341D" w:rsidRDefault="004366C4" w:rsidP="00AC341D">
            <w:pPr>
              <w:suppressAutoHyphens w:val="0"/>
              <w:spacing w:before="40" w:after="40" w:line="220" w:lineRule="exact"/>
              <w:rPr>
                <w:sz w:val="18"/>
                <w:lang w:val="fr-FR"/>
              </w:rPr>
            </w:pPr>
            <w:r w:rsidRPr="00AC341D">
              <w:rPr>
                <w:sz w:val="18"/>
                <w:lang w:val="fr-FR"/>
              </w:rPr>
              <w:t>Agriculture</w:t>
            </w:r>
          </w:p>
        </w:tc>
        <w:tc>
          <w:tcPr>
            <w:tcW w:w="623"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23,0</w:t>
            </w:r>
            <w:r w:rsidR="00AC341D">
              <w:rPr>
                <w:sz w:val="18"/>
                <w:lang w:val="fr-FR"/>
              </w:rPr>
              <w:t> </w:t>
            </w:r>
            <w:r w:rsidRPr="00AC341D">
              <w:rPr>
                <w:sz w:val="18"/>
                <w:lang w:val="fr-FR"/>
              </w:rPr>
              <w:t>%</w:t>
            </w:r>
          </w:p>
        </w:tc>
        <w:tc>
          <w:tcPr>
            <w:tcW w:w="624"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24,3</w:t>
            </w:r>
            <w:r w:rsidR="00AC341D">
              <w:rPr>
                <w:sz w:val="18"/>
                <w:lang w:val="fr-FR"/>
              </w:rPr>
              <w:t> </w:t>
            </w:r>
            <w:r w:rsidRPr="00AC341D">
              <w:rPr>
                <w:sz w:val="18"/>
                <w:lang w:val="fr-FR"/>
              </w:rPr>
              <w:t>%</w:t>
            </w:r>
          </w:p>
        </w:tc>
        <w:tc>
          <w:tcPr>
            <w:tcW w:w="623"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18,3</w:t>
            </w:r>
            <w:r w:rsidR="00AC341D">
              <w:rPr>
                <w:sz w:val="18"/>
                <w:lang w:val="fr-FR"/>
              </w:rPr>
              <w:t> </w:t>
            </w:r>
            <w:r w:rsidRPr="00AC341D">
              <w:rPr>
                <w:sz w:val="18"/>
                <w:lang w:val="fr-FR"/>
              </w:rPr>
              <w:t>%</w:t>
            </w:r>
          </w:p>
        </w:tc>
        <w:tc>
          <w:tcPr>
            <w:tcW w:w="624"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19,5</w:t>
            </w:r>
            <w:r w:rsidR="00AC341D">
              <w:rPr>
                <w:sz w:val="18"/>
                <w:lang w:val="fr-FR"/>
              </w:rPr>
              <w:t> </w:t>
            </w:r>
            <w:r w:rsidRPr="00AC341D">
              <w:rPr>
                <w:sz w:val="18"/>
                <w:lang w:val="fr-FR"/>
              </w:rPr>
              <w:t>%</w:t>
            </w:r>
          </w:p>
        </w:tc>
        <w:tc>
          <w:tcPr>
            <w:tcW w:w="624"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13,8</w:t>
            </w:r>
            <w:r w:rsidR="00AC341D">
              <w:rPr>
                <w:sz w:val="18"/>
                <w:lang w:val="fr-FR"/>
              </w:rPr>
              <w:t> </w:t>
            </w:r>
            <w:r w:rsidRPr="00AC341D">
              <w:rPr>
                <w:sz w:val="18"/>
                <w:lang w:val="fr-FR"/>
              </w:rPr>
              <w:t>%</w:t>
            </w:r>
          </w:p>
        </w:tc>
        <w:tc>
          <w:tcPr>
            <w:tcW w:w="623"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14,3</w:t>
            </w:r>
            <w:r w:rsidR="00AC341D">
              <w:rPr>
                <w:sz w:val="18"/>
                <w:lang w:val="fr-FR"/>
              </w:rPr>
              <w:t> </w:t>
            </w:r>
            <w:r w:rsidRPr="00AC341D">
              <w:rPr>
                <w:sz w:val="18"/>
                <w:lang w:val="fr-FR"/>
              </w:rPr>
              <w:t>%</w:t>
            </w:r>
          </w:p>
        </w:tc>
        <w:tc>
          <w:tcPr>
            <w:tcW w:w="624"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12,5</w:t>
            </w:r>
            <w:r w:rsidR="00AC341D">
              <w:rPr>
                <w:sz w:val="18"/>
                <w:lang w:val="fr-FR"/>
              </w:rPr>
              <w:t> </w:t>
            </w:r>
            <w:r w:rsidRPr="00AC341D">
              <w:rPr>
                <w:sz w:val="18"/>
                <w:lang w:val="fr-FR"/>
              </w:rPr>
              <w:t>%</w:t>
            </w:r>
          </w:p>
        </w:tc>
        <w:tc>
          <w:tcPr>
            <w:tcW w:w="623"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10,0</w:t>
            </w:r>
            <w:r w:rsidR="00AC341D">
              <w:rPr>
                <w:sz w:val="18"/>
                <w:lang w:val="fr-FR"/>
              </w:rPr>
              <w:t> </w:t>
            </w:r>
            <w:r w:rsidRPr="00AC341D">
              <w:rPr>
                <w:sz w:val="18"/>
                <w:lang w:val="fr-FR"/>
              </w:rPr>
              <w:t>%</w:t>
            </w:r>
          </w:p>
        </w:tc>
        <w:tc>
          <w:tcPr>
            <w:tcW w:w="624"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12,8</w:t>
            </w:r>
            <w:r w:rsidR="00AC341D">
              <w:rPr>
                <w:sz w:val="18"/>
                <w:lang w:val="fr-FR"/>
              </w:rPr>
              <w:t> </w:t>
            </w:r>
            <w:r w:rsidRPr="00AC341D">
              <w:rPr>
                <w:sz w:val="18"/>
                <w:lang w:val="fr-FR"/>
              </w:rPr>
              <w:t>%</w:t>
            </w:r>
          </w:p>
        </w:tc>
        <w:tc>
          <w:tcPr>
            <w:tcW w:w="624" w:type="dxa"/>
            <w:tcBorders>
              <w:bottom w:val="single" w:sz="12" w:space="0" w:color="auto"/>
            </w:tcBorders>
            <w:shd w:val="clear" w:color="auto" w:fill="auto"/>
            <w:noWrap/>
            <w:vAlign w:val="bottom"/>
            <w:hideMark/>
          </w:tcPr>
          <w:p w:rsidR="004366C4" w:rsidRPr="00AC341D" w:rsidRDefault="004366C4" w:rsidP="00AC341D">
            <w:pPr>
              <w:suppressAutoHyphens w:val="0"/>
              <w:spacing w:before="40" w:after="40" w:line="220" w:lineRule="exact"/>
              <w:jc w:val="right"/>
              <w:rPr>
                <w:sz w:val="18"/>
                <w:lang w:val="fr-FR"/>
              </w:rPr>
            </w:pPr>
            <w:r w:rsidRPr="00AC341D">
              <w:rPr>
                <w:sz w:val="18"/>
                <w:lang w:val="fr-FR"/>
              </w:rPr>
              <w:t>5,4</w:t>
            </w:r>
            <w:r w:rsidR="00AC341D">
              <w:rPr>
                <w:sz w:val="18"/>
                <w:lang w:val="fr-FR"/>
              </w:rPr>
              <w:t> </w:t>
            </w:r>
            <w:r w:rsidRPr="00AC341D">
              <w:rPr>
                <w:sz w:val="18"/>
                <w:lang w:val="fr-FR"/>
              </w:rPr>
              <w:t>%</w:t>
            </w:r>
          </w:p>
        </w:tc>
      </w:tr>
    </w:tbl>
    <w:p w:rsidR="004366C4" w:rsidRPr="002C7AB3" w:rsidRDefault="004366C4" w:rsidP="00A17AB7">
      <w:pPr>
        <w:pStyle w:val="H23G"/>
        <w:rPr>
          <w:lang w:val="fr-FR"/>
        </w:rPr>
      </w:pPr>
      <w:r w:rsidRPr="002C7AB3">
        <w:rPr>
          <w:lang w:val="fr-FR"/>
        </w:rPr>
        <w:tab/>
      </w:r>
      <w:r w:rsidRPr="002C7AB3">
        <w:rPr>
          <w:lang w:val="fr-FR"/>
        </w:rPr>
        <w:tab/>
        <w:t>Nombre de visites</w:t>
      </w:r>
    </w:p>
    <w:tbl>
      <w:tblPr>
        <w:tblStyle w:val="Grilledutableau"/>
        <w:tblW w:w="7369"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910"/>
        <w:gridCol w:w="645"/>
        <w:gridCol w:w="646"/>
        <w:gridCol w:w="646"/>
        <w:gridCol w:w="646"/>
        <w:gridCol w:w="646"/>
        <w:gridCol w:w="646"/>
        <w:gridCol w:w="646"/>
        <w:gridCol w:w="646"/>
        <w:gridCol w:w="646"/>
        <w:gridCol w:w="646"/>
      </w:tblGrid>
      <w:tr w:rsidR="00A17AB7" w:rsidRPr="00A17AB7" w:rsidTr="00A17AB7">
        <w:trPr>
          <w:tblHeader/>
        </w:trPr>
        <w:tc>
          <w:tcPr>
            <w:tcW w:w="910" w:type="dxa"/>
            <w:tcBorders>
              <w:bottom w:val="single" w:sz="4" w:space="0" w:color="auto"/>
            </w:tcBorders>
            <w:shd w:val="clear" w:color="auto" w:fill="auto"/>
            <w:noWrap/>
            <w:vAlign w:val="bottom"/>
            <w:hideMark/>
          </w:tcPr>
          <w:p w:rsidR="004366C4" w:rsidRPr="00A17AB7" w:rsidRDefault="004366C4" w:rsidP="00A17AB7">
            <w:pPr>
              <w:suppressAutoHyphens w:val="0"/>
              <w:spacing w:before="80" w:after="80" w:line="200" w:lineRule="exact"/>
              <w:rPr>
                <w:i/>
                <w:sz w:val="16"/>
                <w:lang w:val="fr-FR"/>
              </w:rPr>
            </w:pPr>
          </w:p>
        </w:tc>
        <w:tc>
          <w:tcPr>
            <w:tcW w:w="645" w:type="dxa"/>
            <w:tcBorders>
              <w:bottom w:val="single" w:sz="4" w:space="0" w:color="auto"/>
            </w:tcBorders>
            <w:shd w:val="clear" w:color="auto" w:fill="auto"/>
            <w:noWrap/>
            <w:vAlign w:val="bottom"/>
            <w:hideMark/>
          </w:tcPr>
          <w:p w:rsidR="004366C4" w:rsidRPr="00A17AB7" w:rsidRDefault="004366C4" w:rsidP="00A17AB7">
            <w:pPr>
              <w:suppressAutoHyphens w:val="0"/>
              <w:spacing w:before="80" w:after="80" w:line="200" w:lineRule="exact"/>
              <w:jc w:val="right"/>
              <w:rPr>
                <w:i/>
                <w:sz w:val="16"/>
                <w:lang w:val="fr-FR"/>
              </w:rPr>
            </w:pPr>
            <w:r w:rsidRPr="00A17AB7">
              <w:rPr>
                <w:i/>
                <w:sz w:val="16"/>
                <w:lang w:val="fr-FR"/>
              </w:rPr>
              <w:t>2008</w:t>
            </w:r>
          </w:p>
        </w:tc>
        <w:tc>
          <w:tcPr>
            <w:tcW w:w="646" w:type="dxa"/>
            <w:tcBorders>
              <w:bottom w:val="single" w:sz="4" w:space="0" w:color="auto"/>
            </w:tcBorders>
            <w:shd w:val="clear" w:color="auto" w:fill="auto"/>
            <w:noWrap/>
            <w:vAlign w:val="bottom"/>
            <w:hideMark/>
          </w:tcPr>
          <w:p w:rsidR="004366C4" w:rsidRPr="00A17AB7" w:rsidRDefault="004366C4" w:rsidP="00A17AB7">
            <w:pPr>
              <w:suppressAutoHyphens w:val="0"/>
              <w:spacing w:before="80" w:after="80" w:line="200" w:lineRule="exact"/>
              <w:jc w:val="right"/>
              <w:rPr>
                <w:i/>
                <w:sz w:val="16"/>
                <w:lang w:val="fr-FR"/>
              </w:rPr>
            </w:pPr>
            <w:r w:rsidRPr="00A17AB7">
              <w:rPr>
                <w:i/>
                <w:sz w:val="16"/>
                <w:lang w:val="fr-FR"/>
              </w:rPr>
              <w:t>2009</w:t>
            </w:r>
          </w:p>
        </w:tc>
        <w:tc>
          <w:tcPr>
            <w:tcW w:w="646" w:type="dxa"/>
            <w:tcBorders>
              <w:bottom w:val="single" w:sz="4" w:space="0" w:color="auto"/>
            </w:tcBorders>
            <w:shd w:val="clear" w:color="auto" w:fill="auto"/>
            <w:noWrap/>
            <w:vAlign w:val="bottom"/>
            <w:hideMark/>
          </w:tcPr>
          <w:p w:rsidR="004366C4" w:rsidRPr="00A17AB7" w:rsidRDefault="004366C4" w:rsidP="00A17AB7">
            <w:pPr>
              <w:suppressAutoHyphens w:val="0"/>
              <w:spacing w:before="80" w:after="80" w:line="200" w:lineRule="exact"/>
              <w:jc w:val="right"/>
              <w:rPr>
                <w:i/>
                <w:sz w:val="16"/>
                <w:lang w:val="fr-FR"/>
              </w:rPr>
            </w:pPr>
            <w:r w:rsidRPr="00A17AB7">
              <w:rPr>
                <w:i/>
                <w:sz w:val="16"/>
                <w:lang w:val="fr-FR"/>
              </w:rPr>
              <w:t>2010</w:t>
            </w:r>
          </w:p>
        </w:tc>
        <w:tc>
          <w:tcPr>
            <w:tcW w:w="646" w:type="dxa"/>
            <w:tcBorders>
              <w:bottom w:val="single" w:sz="4" w:space="0" w:color="auto"/>
            </w:tcBorders>
            <w:shd w:val="clear" w:color="auto" w:fill="auto"/>
            <w:noWrap/>
            <w:vAlign w:val="bottom"/>
            <w:hideMark/>
          </w:tcPr>
          <w:p w:rsidR="004366C4" w:rsidRPr="00A17AB7" w:rsidRDefault="004366C4" w:rsidP="00A17AB7">
            <w:pPr>
              <w:suppressAutoHyphens w:val="0"/>
              <w:spacing w:before="80" w:after="80" w:line="200" w:lineRule="exact"/>
              <w:jc w:val="right"/>
              <w:rPr>
                <w:i/>
                <w:sz w:val="16"/>
                <w:lang w:val="fr-FR"/>
              </w:rPr>
            </w:pPr>
            <w:r w:rsidRPr="00A17AB7">
              <w:rPr>
                <w:i/>
                <w:sz w:val="16"/>
                <w:lang w:val="fr-FR"/>
              </w:rPr>
              <w:t>2011</w:t>
            </w:r>
          </w:p>
        </w:tc>
        <w:tc>
          <w:tcPr>
            <w:tcW w:w="646" w:type="dxa"/>
            <w:tcBorders>
              <w:bottom w:val="single" w:sz="4" w:space="0" w:color="auto"/>
            </w:tcBorders>
            <w:shd w:val="clear" w:color="auto" w:fill="auto"/>
            <w:noWrap/>
            <w:vAlign w:val="bottom"/>
            <w:hideMark/>
          </w:tcPr>
          <w:p w:rsidR="004366C4" w:rsidRPr="00A17AB7" w:rsidRDefault="004366C4" w:rsidP="00A17AB7">
            <w:pPr>
              <w:suppressAutoHyphens w:val="0"/>
              <w:spacing w:before="80" w:after="80" w:line="200" w:lineRule="exact"/>
              <w:jc w:val="right"/>
              <w:rPr>
                <w:i/>
                <w:sz w:val="16"/>
                <w:lang w:val="fr-FR"/>
              </w:rPr>
            </w:pPr>
            <w:r w:rsidRPr="00A17AB7">
              <w:rPr>
                <w:i/>
                <w:sz w:val="16"/>
                <w:lang w:val="fr-FR"/>
              </w:rPr>
              <w:t>2012</w:t>
            </w:r>
          </w:p>
        </w:tc>
        <w:tc>
          <w:tcPr>
            <w:tcW w:w="646" w:type="dxa"/>
            <w:tcBorders>
              <w:bottom w:val="single" w:sz="4" w:space="0" w:color="auto"/>
            </w:tcBorders>
            <w:shd w:val="clear" w:color="auto" w:fill="auto"/>
            <w:noWrap/>
            <w:vAlign w:val="bottom"/>
            <w:hideMark/>
          </w:tcPr>
          <w:p w:rsidR="004366C4" w:rsidRPr="00A17AB7" w:rsidRDefault="004366C4" w:rsidP="00A17AB7">
            <w:pPr>
              <w:suppressAutoHyphens w:val="0"/>
              <w:spacing w:before="80" w:after="80" w:line="200" w:lineRule="exact"/>
              <w:jc w:val="right"/>
              <w:rPr>
                <w:i/>
                <w:sz w:val="16"/>
                <w:lang w:val="fr-FR"/>
              </w:rPr>
            </w:pPr>
            <w:r w:rsidRPr="00A17AB7">
              <w:rPr>
                <w:i/>
                <w:sz w:val="16"/>
                <w:lang w:val="fr-FR"/>
              </w:rPr>
              <w:t>2013</w:t>
            </w:r>
          </w:p>
        </w:tc>
        <w:tc>
          <w:tcPr>
            <w:tcW w:w="646" w:type="dxa"/>
            <w:tcBorders>
              <w:bottom w:val="single" w:sz="4" w:space="0" w:color="auto"/>
            </w:tcBorders>
            <w:shd w:val="clear" w:color="auto" w:fill="auto"/>
            <w:noWrap/>
            <w:vAlign w:val="bottom"/>
            <w:hideMark/>
          </w:tcPr>
          <w:p w:rsidR="004366C4" w:rsidRPr="00A17AB7" w:rsidRDefault="004366C4" w:rsidP="00A17AB7">
            <w:pPr>
              <w:suppressAutoHyphens w:val="0"/>
              <w:spacing w:before="80" w:after="80" w:line="200" w:lineRule="exact"/>
              <w:jc w:val="right"/>
              <w:rPr>
                <w:i/>
                <w:sz w:val="16"/>
                <w:lang w:val="fr-FR"/>
              </w:rPr>
            </w:pPr>
            <w:r w:rsidRPr="00A17AB7">
              <w:rPr>
                <w:i/>
                <w:sz w:val="16"/>
                <w:lang w:val="fr-FR"/>
              </w:rPr>
              <w:t>2014</w:t>
            </w:r>
          </w:p>
        </w:tc>
        <w:tc>
          <w:tcPr>
            <w:tcW w:w="646" w:type="dxa"/>
            <w:tcBorders>
              <w:bottom w:val="single" w:sz="4" w:space="0" w:color="auto"/>
            </w:tcBorders>
            <w:shd w:val="clear" w:color="auto" w:fill="auto"/>
            <w:noWrap/>
            <w:vAlign w:val="bottom"/>
            <w:hideMark/>
          </w:tcPr>
          <w:p w:rsidR="004366C4" w:rsidRPr="00A17AB7" w:rsidRDefault="004366C4" w:rsidP="00A17AB7">
            <w:pPr>
              <w:suppressAutoHyphens w:val="0"/>
              <w:spacing w:before="80" w:after="80" w:line="200" w:lineRule="exact"/>
              <w:jc w:val="right"/>
              <w:rPr>
                <w:i/>
                <w:sz w:val="16"/>
                <w:lang w:val="fr-FR"/>
              </w:rPr>
            </w:pPr>
            <w:r w:rsidRPr="00A17AB7">
              <w:rPr>
                <w:i/>
                <w:sz w:val="16"/>
                <w:lang w:val="fr-FR"/>
              </w:rPr>
              <w:t>2015</w:t>
            </w:r>
          </w:p>
        </w:tc>
        <w:tc>
          <w:tcPr>
            <w:tcW w:w="646" w:type="dxa"/>
            <w:tcBorders>
              <w:bottom w:val="single" w:sz="4" w:space="0" w:color="auto"/>
            </w:tcBorders>
            <w:shd w:val="clear" w:color="auto" w:fill="auto"/>
            <w:noWrap/>
            <w:vAlign w:val="bottom"/>
            <w:hideMark/>
          </w:tcPr>
          <w:p w:rsidR="004366C4" w:rsidRPr="00A17AB7" w:rsidRDefault="004366C4" w:rsidP="00A17AB7">
            <w:pPr>
              <w:suppressAutoHyphens w:val="0"/>
              <w:spacing w:before="80" w:after="80" w:line="200" w:lineRule="exact"/>
              <w:jc w:val="right"/>
              <w:rPr>
                <w:i/>
                <w:sz w:val="16"/>
                <w:lang w:val="fr-FR"/>
              </w:rPr>
            </w:pPr>
            <w:r w:rsidRPr="00A17AB7">
              <w:rPr>
                <w:i/>
                <w:sz w:val="16"/>
                <w:lang w:val="fr-FR"/>
              </w:rPr>
              <w:t>2016</w:t>
            </w:r>
          </w:p>
        </w:tc>
        <w:tc>
          <w:tcPr>
            <w:tcW w:w="646" w:type="dxa"/>
            <w:tcBorders>
              <w:bottom w:val="single" w:sz="4" w:space="0" w:color="auto"/>
            </w:tcBorders>
            <w:shd w:val="clear" w:color="auto" w:fill="auto"/>
            <w:noWrap/>
            <w:vAlign w:val="bottom"/>
            <w:hideMark/>
          </w:tcPr>
          <w:p w:rsidR="004366C4" w:rsidRPr="00A17AB7" w:rsidRDefault="004366C4" w:rsidP="00A17AB7">
            <w:pPr>
              <w:suppressAutoHyphens w:val="0"/>
              <w:spacing w:before="80" w:after="80" w:line="200" w:lineRule="exact"/>
              <w:jc w:val="right"/>
              <w:rPr>
                <w:i/>
                <w:sz w:val="16"/>
                <w:lang w:val="fr-FR"/>
              </w:rPr>
            </w:pPr>
            <w:r w:rsidRPr="00A17AB7">
              <w:rPr>
                <w:i/>
                <w:sz w:val="16"/>
                <w:lang w:val="fr-FR"/>
              </w:rPr>
              <w:t>2017</w:t>
            </w:r>
          </w:p>
        </w:tc>
      </w:tr>
      <w:tr w:rsidR="00A17AB7" w:rsidRPr="00A17AB7" w:rsidTr="00A17AB7">
        <w:tc>
          <w:tcPr>
            <w:tcW w:w="910" w:type="dxa"/>
            <w:tcBorders>
              <w:top w:val="single" w:sz="4" w:space="0" w:color="auto"/>
            </w:tcBorders>
            <w:shd w:val="clear" w:color="auto" w:fill="auto"/>
            <w:noWrap/>
            <w:hideMark/>
          </w:tcPr>
          <w:p w:rsidR="004366C4" w:rsidRPr="00A17AB7" w:rsidRDefault="004366C4" w:rsidP="00A17AB7">
            <w:pPr>
              <w:suppressAutoHyphens w:val="0"/>
              <w:spacing w:before="80" w:after="80" w:line="220" w:lineRule="exact"/>
              <w:ind w:left="283"/>
              <w:rPr>
                <w:b/>
                <w:bCs/>
                <w:sz w:val="18"/>
                <w:lang w:val="fr-FR"/>
              </w:rPr>
            </w:pPr>
            <w:r w:rsidRPr="00A17AB7">
              <w:rPr>
                <w:b/>
                <w:bCs/>
                <w:sz w:val="18"/>
                <w:lang w:val="fr-FR"/>
              </w:rPr>
              <w:t>Total</w:t>
            </w:r>
          </w:p>
        </w:tc>
        <w:tc>
          <w:tcPr>
            <w:tcW w:w="645" w:type="dxa"/>
            <w:tcBorders>
              <w:top w:val="single" w:sz="4" w:space="0" w:color="auto"/>
            </w:tcBorders>
            <w:shd w:val="clear" w:color="auto" w:fill="auto"/>
            <w:noWrap/>
            <w:vAlign w:val="bottom"/>
            <w:hideMark/>
          </w:tcPr>
          <w:p w:rsidR="004366C4" w:rsidRPr="00A17AB7" w:rsidRDefault="00A17AB7" w:rsidP="00A17AB7">
            <w:pPr>
              <w:suppressAutoHyphens w:val="0"/>
              <w:spacing w:before="80" w:after="80" w:line="220" w:lineRule="exact"/>
              <w:jc w:val="right"/>
              <w:rPr>
                <w:b/>
                <w:bCs/>
                <w:sz w:val="18"/>
                <w:lang w:val="fr-FR"/>
              </w:rPr>
            </w:pPr>
            <w:r w:rsidRPr="00A17AB7">
              <w:rPr>
                <w:b/>
                <w:sz w:val="18"/>
                <w:lang w:val="fr-FR"/>
              </w:rPr>
              <w:t>5 </w:t>
            </w:r>
            <w:r w:rsidR="004366C4" w:rsidRPr="00A17AB7">
              <w:rPr>
                <w:b/>
                <w:sz w:val="18"/>
                <w:lang w:val="fr-FR"/>
              </w:rPr>
              <w:t>809</w:t>
            </w:r>
          </w:p>
        </w:tc>
        <w:tc>
          <w:tcPr>
            <w:tcW w:w="646" w:type="dxa"/>
            <w:tcBorders>
              <w:top w:val="single" w:sz="4" w:space="0" w:color="auto"/>
            </w:tcBorders>
            <w:shd w:val="clear" w:color="auto" w:fill="auto"/>
            <w:noWrap/>
            <w:vAlign w:val="bottom"/>
            <w:hideMark/>
          </w:tcPr>
          <w:p w:rsidR="004366C4" w:rsidRPr="00A17AB7" w:rsidRDefault="00A17AB7" w:rsidP="00A17AB7">
            <w:pPr>
              <w:suppressAutoHyphens w:val="0"/>
              <w:spacing w:before="80" w:after="80" w:line="220" w:lineRule="exact"/>
              <w:jc w:val="right"/>
              <w:rPr>
                <w:b/>
                <w:bCs/>
                <w:sz w:val="18"/>
                <w:lang w:val="fr-FR"/>
              </w:rPr>
            </w:pPr>
            <w:r w:rsidRPr="00A17AB7">
              <w:rPr>
                <w:b/>
                <w:sz w:val="18"/>
                <w:lang w:val="fr-FR"/>
              </w:rPr>
              <w:t>4 </w:t>
            </w:r>
            <w:r w:rsidR="004366C4" w:rsidRPr="00A17AB7">
              <w:rPr>
                <w:b/>
                <w:sz w:val="18"/>
                <w:lang w:val="fr-FR"/>
              </w:rPr>
              <w:t>652</w:t>
            </w:r>
          </w:p>
        </w:tc>
        <w:tc>
          <w:tcPr>
            <w:tcW w:w="646" w:type="dxa"/>
            <w:tcBorders>
              <w:top w:val="single" w:sz="4" w:space="0" w:color="auto"/>
            </w:tcBorders>
            <w:shd w:val="clear" w:color="auto" w:fill="auto"/>
            <w:noWrap/>
            <w:vAlign w:val="bottom"/>
            <w:hideMark/>
          </w:tcPr>
          <w:p w:rsidR="004366C4" w:rsidRPr="00A17AB7" w:rsidRDefault="00A17AB7" w:rsidP="00A17AB7">
            <w:pPr>
              <w:suppressAutoHyphens w:val="0"/>
              <w:spacing w:before="80" w:after="80" w:line="220" w:lineRule="exact"/>
              <w:jc w:val="right"/>
              <w:rPr>
                <w:b/>
                <w:bCs/>
                <w:sz w:val="18"/>
                <w:lang w:val="fr-FR"/>
              </w:rPr>
            </w:pPr>
            <w:r w:rsidRPr="00A17AB7">
              <w:rPr>
                <w:b/>
                <w:sz w:val="18"/>
                <w:lang w:val="fr-FR"/>
              </w:rPr>
              <w:t>4 </w:t>
            </w:r>
            <w:r w:rsidR="004366C4" w:rsidRPr="00A17AB7">
              <w:rPr>
                <w:b/>
                <w:sz w:val="18"/>
                <w:lang w:val="fr-FR"/>
              </w:rPr>
              <w:t>732</w:t>
            </w:r>
          </w:p>
        </w:tc>
        <w:tc>
          <w:tcPr>
            <w:tcW w:w="646" w:type="dxa"/>
            <w:tcBorders>
              <w:top w:val="single" w:sz="4" w:space="0" w:color="auto"/>
            </w:tcBorders>
            <w:shd w:val="clear" w:color="auto" w:fill="auto"/>
            <w:noWrap/>
            <w:vAlign w:val="bottom"/>
            <w:hideMark/>
          </w:tcPr>
          <w:p w:rsidR="004366C4" w:rsidRPr="00A17AB7" w:rsidRDefault="00A17AB7" w:rsidP="00A17AB7">
            <w:pPr>
              <w:suppressAutoHyphens w:val="0"/>
              <w:spacing w:before="80" w:after="80" w:line="220" w:lineRule="exact"/>
              <w:jc w:val="right"/>
              <w:rPr>
                <w:b/>
                <w:bCs/>
                <w:sz w:val="18"/>
                <w:lang w:val="fr-FR"/>
              </w:rPr>
            </w:pPr>
            <w:r w:rsidRPr="00A17AB7">
              <w:rPr>
                <w:b/>
                <w:sz w:val="18"/>
                <w:lang w:val="fr-FR"/>
              </w:rPr>
              <w:t>4 </w:t>
            </w:r>
            <w:r w:rsidR="004366C4" w:rsidRPr="00A17AB7">
              <w:rPr>
                <w:b/>
                <w:sz w:val="18"/>
                <w:lang w:val="fr-FR"/>
              </w:rPr>
              <w:t>402</w:t>
            </w:r>
          </w:p>
        </w:tc>
        <w:tc>
          <w:tcPr>
            <w:tcW w:w="646" w:type="dxa"/>
            <w:tcBorders>
              <w:top w:val="single" w:sz="4" w:space="0" w:color="auto"/>
            </w:tcBorders>
            <w:shd w:val="clear" w:color="auto" w:fill="auto"/>
            <w:noWrap/>
            <w:vAlign w:val="bottom"/>
            <w:hideMark/>
          </w:tcPr>
          <w:p w:rsidR="004366C4" w:rsidRPr="00A17AB7" w:rsidRDefault="00A17AB7" w:rsidP="00A17AB7">
            <w:pPr>
              <w:suppressAutoHyphens w:val="0"/>
              <w:spacing w:before="80" w:after="80" w:line="220" w:lineRule="exact"/>
              <w:jc w:val="right"/>
              <w:rPr>
                <w:b/>
                <w:bCs/>
                <w:sz w:val="18"/>
                <w:lang w:val="fr-FR"/>
              </w:rPr>
            </w:pPr>
            <w:r w:rsidRPr="00A17AB7">
              <w:rPr>
                <w:b/>
                <w:sz w:val="18"/>
                <w:lang w:val="fr-FR"/>
              </w:rPr>
              <w:t>4 </w:t>
            </w:r>
            <w:r w:rsidR="004366C4" w:rsidRPr="00A17AB7">
              <w:rPr>
                <w:b/>
                <w:sz w:val="18"/>
                <w:lang w:val="fr-FR"/>
              </w:rPr>
              <w:t>051</w:t>
            </w:r>
          </w:p>
        </w:tc>
        <w:tc>
          <w:tcPr>
            <w:tcW w:w="646" w:type="dxa"/>
            <w:tcBorders>
              <w:top w:val="single" w:sz="4" w:space="0" w:color="auto"/>
            </w:tcBorders>
            <w:shd w:val="clear" w:color="auto" w:fill="auto"/>
            <w:noWrap/>
            <w:vAlign w:val="bottom"/>
            <w:hideMark/>
          </w:tcPr>
          <w:p w:rsidR="004366C4" w:rsidRPr="00A17AB7" w:rsidRDefault="00A17AB7" w:rsidP="00A17AB7">
            <w:pPr>
              <w:suppressAutoHyphens w:val="0"/>
              <w:spacing w:before="80" w:after="80" w:line="220" w:lineRule="exact"/>
              <w:jc w:val="right"/>
              <w:rPr>
                <w:b/>
                <w:bCs/>
                <w:sz w:val="18"/>
                <w:lang w:val="fr-FR"/>
              </w:rPr>
            </w:pPr>
            <w:r w:rsidRPr="00A17AB7">
              <w:rPr>
                <w:b/>
                <w:sz w:val="18"/>
                <w:lang w:val="fr-FR"/>
              </w:rPr>
              <w:t>3 </w:t>
            </w:r>
            <w:r w:rsidR="004366C4" w:rsidRPr="00A17AB7">
              <w:rPr>
                <w:b/>
                <w:sz w:val="18"/>
                <w:lang w:val="fr-FR"/>
              </w:rPr>
              <w:t>787</w:t>
            </w:r>
          </w:p>
        </w:tc>
        <w:tc>
          <w:tcPr>
            <w:tcW w:w="646" w:type="dxa"/>
            <w:tcBorders>
              <w:top w:val="single" w:sz="4" w:space="0" w:color="auto"/>
            </w:tcBorders>
            <w:shd w:val="clear" w:color="auto" w:fill="auto"/>
            <w:noWrap/>
            <w:vAlign w:val="bottom"/>
            <w:hideMark/>
          </w:tcPr>
          <w:p w:rsidR="004366C4" w:rsidRPr="00A17AB7" w:rsidRDefault="00A17AB7" w:rsidP="00A17AB7">
            <w:pPr>
              <w:suppressAutoHyphens w:val="0"/>
              <w:spacing w:before="80" w:after="80" w:line="220" w:lineRule="exact"/>
              <w:jc w:val="right"/>
              <w:rPr>
                <w:b/>
                <w:bCs/>
                <w:sz w:val="18"/>
                <w:lang w:val="fr-FR"/>
              </w:rPr>
            </w:pPr>
            <w:r w:rsidRPr="00A17AB7">
              <w:rPr>
                <w:b/>
                <w:sz w:val="18"/>
                <w:lang w:val="fr-FR"/>
              </w:rPr>
              <w:t>4 </w:t>
            </w:r>
            <w:r w:rsidR="004366C4" w:rsidRPr="00A17AB7">
              <w:rPr>
                <w:b/>
                <w:sz w:val="18"/>
                <w:lang w:val="fr-FR"/>
              </w:rPr>
              <w:t>268</w:t>
            </w:r>
          </w:p>
        </w:tc>
        <w:tc>
          <w:tcPr>
            <w:tcW w:w="646" w:type="dxa"/>
            <w:tcBorders>
              <w:top w:val="single" w:sz="4" w:space="0" w:color="auto"/>
            </w:tcBorders>
            <w:shd w:val="clear" w:color="auto" w:fill="auto"/>
            <w:noWrap/>
            <w:vAlign w:val="bottom"/>
            <w:hideMark/>
          </w:tcPr>
          <w:p w:rsidR="004366C4" w:rsidRPr="00A17AB7" w:rsidRDefault="00A17AB7" w:rsidP="00A17AB7">
            <w:pPr>
              <w:suppressAutoHyphens w:val="0"/>
              <w:spacing w:before="80" w:after="80" w:line="220" w:lineRule="exact"/>
              <w:jc w:val="right"/>
              <w:rPr>
                <w:b/>
                <w:bCs/>
                <w:sz w:val="18"/>
                <w:lang w:val="fr-FR"/>
              </w:rPr>
            </w:pPr>
            <w:r w:rsidRPr="00A17AB7">
              <w:rPr>
                <w:b/>
                <w:sz w:val="18"/>
                <w:lang w:val="fr-FR"/>
              </w:rPr>
              <w:t>4 </w:t>
            </w:r>
            <w:r w:rsidR="004366C4" w:rsidRPr="00A17AB7">
              <w:rPr>
                <w:b/>
                <w:sz w:val="18"/>
                <w:lang w:val="fr-FR"/>
              </w:rPr>
              <w:t>752</w:t>
            </w:r>
          </w:p>
        </w:tc>
        <w:tc>
          <w:tcPr>
            <w:tcW w:w="646" w:type="dxa"/>
            <w:tcBorders>
              <w:top w:val="single" w:sz="4" w:space="0" w:color="auto"/>
            </w:tcBorders>
            <w:shd w:val="clear" w:color="auto" w:fill="auto"/>
            <w:noWrap/>
            <w:vAlign w:val="bottom"/>
            <w:hideMark/>
          </w:tcPr>
          <w:p w:rsidR="004366C4" w:rsidRPr="00A17AB7" w:rsidRDefault="00A17AB7" w:rsidP="00A17AB7">
            <w:pPr>
              <w:suppressAutoHyphens w:val="0"/>
              <w:spacing w:before="80" w:after="80" w:line="220" w:lineRule="exact"/>
              <w:jc w:val="right"/>
              <w:rPr>
                <w:b/>
                <w:bCs/>
                <w:sz w:val="18"/>
                <w:lang w:val="fr-FR"/>
              </w:rPr>
            </w:pPr>
            <w:r w:rsidRPr="00A17AB7">
              <w:rPr>
                <w:b/>
                <w:sz w:val="18"/>
                <w:lang w:val="fr-FR"/>
              </w:rPr>
              <w:t>5 </w:t>
            </w:r>
            <w:r w:rsidR="004366C4" w:rsidRPr="00A17AB7">
              <w:rPr>
                <w:b/>
                <w:sz w:val="18"/>
                <w:lang w:val="fr-FR"/>
              </w:rPr>
              <w:t>282</w:t>
            </w:r>
          </w:p>
        </w:tc>
        <w:tc>
          <w:tcPr>
            <w:tcW w:w="646" w:type="dxa"/>
            <w:tcBorders>
              <w:top w:val="single" w:sz="4" w:space="0" w:color="auto"/>
            </w:tcBorders>
            <w:shd w:val="clear" w:color="auto" w:fill="auto"/>
            <w:noWrap/>
            <w:vAlign w:val="bottom"/>
            <w:hideMark/>
          </w:tcPr>
          <w:p w:rsidR="004366C4" w:rsidRPr="00A17AB7" w:rsidRDefault="00A17AB7" w:rsidP="00A17AB7">
            <w:pPr>
              <w:suppressAutoHyphens w:val="0"/>
              <w:spacing w:before="80" w:after="80" w:line="220" w:lineRule="exact"/>
              <w:jc w:val="right"/>
              <w:rPr>
                <w:b/>
                <w:bCs/>
                <w:sz w:val="18"/>
                <w:lang w:val="fr-FR"/>
              </w:rPr>
            </w:pPr>
            <w:r w:rsidRPr="00A17AB7">
              <w:rPr>
                <w:b/>
                <w:sz w:val="18"/>
                <w:lang w:val="fr-FR"/>
              </w:rPr>
              <w:t>4 </w:t>
            </w:r>
            <w:r w:rsidR="004366C4" w:rsidRPr="00A17AB7">
              <w:rPr>
                <w:b/>
                <w:sz w:val="18"/>
                <w:lang w:val="fr-FR"/>
              </w:rPr>
              <w:t>640</w:t>
            </w:r>
          </w:p>
        </w:tc>
      </w:tr>
    </w:tbl>
    <w:p w:rsidR="004366C4" w:rsidRPr="00F60C5C" w:rsidRDefault="004366C4" w:rsidP="00A17AB7">
      <w:pPr>
        <w:pStyle w:val="H23G"/>
        <w:rPr>
          <w:spacing w:val="-1"/>
          <w:lang w:val="fr-FR"/>
        </w:rPr>
      </w:pPr>
      <w:r w:rsidRPr="00F60C5C">
        <w:rPr>
          <w:spacing w:val="-1"/>
          <w:lang w:val="fr-FR"/>
        </w:rPr>
        <w:tab/>
      </w:r>
      <w:r w:rsidRPr="00F60C5C">
        <w:rPr>
          <w:spacing w:val="-1"/>
          <w:lang w:val="fr-FR"/>
        </w:rPr>
        <w:tab/>
        <w:t>Pourcentage des visites de contrôle (industrie de transformation du</w:t>
      </w:r>
      <w:r w:rsidR="00F60C5C" w:rsidRPr="00F60C5C">
        <w:rPr>
          <w:spacing w:val="-1"/>
          <w:lang w:val="fr-FR"/>
        </w:rPr>
        <w:t xml:space="preserve"> bois et agriculture)</w:t>
      </w:r>
    </w:p>
    <w:tbl>
      <w:tblPr>
        <w:tblStyle w:val="Grilledutableau"/>
        <w:tblW w:w="736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613"/>
        <w:gridCol w:w="614"/>
        <w:gridCol w:w="614"/>
        <w:gridCol w:w="613"/>
        <w:gridCol w:w="614"/>
        <w:gridCol w:w="614"/>
        <w:gridCol w:w="613"/>
        <w:gridCol w:w="614"/>
        <w:gridCol w:w="614"/>
        <w:gridCol w:w="614"/>
      </w:tblGrid>
      <w:tr w:rsidR="00F60C5C" w:rsidRPr="00F60C5C" w:rsidTr="003C6221">
        <w:trPr>
          <w:tblHeader/>
        </w:trPr>
        <w:tc>
          <w:tcPr>
            <w:tcW w:w="1232" w:type="dxa"/>
            <w:tcBorders>
              <w:top w:val="single" w:sz="4" w:space="0" w:color="auto"/>
              <w:bottom w:val="single" w:sz="12" w:space="0" w:color="auto"/>
            </w:tcBorders>
            <w:shd w:val="clear" w:color="auto" w:fill="auto"/>
            <w:noWrap/>
            <w:vAlign w:val="bottom"/>
            <w:hideMark/>
          </w:tcPr>
          <w:p w:rsidR="004366C4" w:rsidRPr="00F60C5C" w:rsidRDefault="004366C4" w:rsidP="00F60C5C">
            <w:pPr>
              <w:suppressAutoHyphens w:val="0"/>
              <w:spacing w:before="80" w:after="80" w:line="200" w:lineRule="exact"/>
              <w:rPr>
                <w:i/>
                <w:sz w:val="16"/>
                <w:lang w:val="fr-FR"/>
              </w:rPr>
            </w:pPr>
          </w:p>
        </w:tc>
        <w:tc>
          <w:tcPr>
            <w:tcW w:w="613" w:type="dxa"/>
            <w:tcBorders>
              <w:top w:val="single" w:sz="4" w:space="0" w:color="auto"/>
              <w:bottom w:val="single" w:sz="12" w:space="0" w:color="auto"/>
            </w:tcBorders>
            <w:shd w:val="clear" w:color="auto" w:fill="auto"/>
            <w:noWrap/>
            <w:vAlign w:val="bottom"/>
            <w:hideMark/>
          </w:tcPr>
          <w:p w:rsidR="004366C4" w:rsidRPr="00F60C5C" w:rsidRDefault="004366C4" w:rsidP="00F60C5C">
            <w:pPr>
              <w:suppressAutoHyphens w:val="0"/>
              <w:spacing w:before="80" w:after="80" w:line="200" w:lineRule="exact"/>
              <w:jc w:val="right"/>
              <w:rPr>
                <w:i/>
                <w:sz w:val="16"/>
                <w:lang w:val="fr-FR"/>
              </w:rPr>
            </w:pPr>
            <w:r w:rsidRPr="00F60C5C">
              <w:rPr>
                <w:i/>
                <w:sz w:val="16"/>
                <w:lang w:val="fr-FR"/>
              </w:rPr>
              <w:t>2008</w:t>
            </w:r>
          </w:p>
        </w:tc>
        <w:tc>
          <w:tcPr>
            <w:tcW w:w="614" w:type="dxa"/>
            <w:tcBorders>
              <w:top w:val="single" w:sz="4" w:space="0" w:color="auto"/>
              <w:bottom w:val="single" w:sz="12" w:space="0" w:color="auto"/>
            </w:tcBorders>
            <w:shd w:val="clear" w:color="auto" w:fill="auto"/>
            <w:noWrap/>
            <w:vAlign w:val="bottom"/>
            <w:hideMark/>
          </w:tcPr>
          <w:p w:rsidR="004366C4" w:rsidRPr="00F60C5C" w:rsidRDefault="004366C4" w:rsidP="00F60C5C">
            <w:pPr>
              <w:suppressAutoHyphens w:val="0"/>
              <w:spacing w:before="80" w:after="80" w:line="200" w:lineRule="exact"/>
              <w:jc w:val="right"/>
              <w:rPr>
                <w:i/>
                <w:sz w:val="16"/>
                <w:lang w:val="fr-FR"/>
              </w:rPr>
            </w:pPr>
            <w:r w:rsidRPr="00F60C5C">
              <w:rPr>
                <w:i/>
                <w:sz w:val="16"/>
                <w:lang w:val="fr-FR"/>
              </w:rPr>
              <w:t>2009</w:t>
            </w:r>
          </w:p>
        </w:tc>
        <w:tc>
          <w:tcPr>
            <w:tcW w:w="614" w:type="dxa"/>
            <w:tcBorders>
              <w:top w:val="single" w:sz="4" w:space="0" w:color="auto"/>
              <w:bottom w:val="single" w:sz="12" w:space="0" w:color="auto"/>
            </w:tcBorders>
            <w:shd w:val="clear" w:color="auto" w:fill="auto"/>
            <w:noWrap/>
            <w:vAlign w:val="bottom"/>
            <w:hideMark/>
          </w:tcPr>
          <w:p w:rsidR="004366C4" w:rsidRPr="00F60C5C" w:rsidRDefault="004366C4" w:rsidP="00F60C5C">
            <w:pPr>
              <w:suppressAutoHyphens w:val="0"/>
              <w:spacing w:before="80" w:after="80" w:line="200" w:lineRule="exact"/>
              <w:jc w:val="right"/>
              <w:rPr>
                <w:i/>
                <w:sz w:val="16"/>
                <w:lang w:val="fr-FR"/>
              </w:rPr>
            </w:pPr>
            <w:r w:rsidRPr="00F60C5C">
              <w:rPr>
                <w:i/>
                <w:sz w:val="16"/>
                <w:lang w:val="fr-FR"/>
              </w:rPr>
              <w:t>2010</w:t>
            </w:r>
          </w:p>
        </w:tc>
        <w:tc>
          <w:tcPr>
            <w:tcW w:w="613" w:type="dxa"/>
            <w:tcBorders>
              <w:top w:val="single" w:sz="4" w:space="0" w:color="auto"/>
              <w:bottom w:val="single" w:sz="12" w:space="0" w:color="auto"/>
            </w:tcBorders>
            <w:shd w:val="clear" w:color="auto" w:fill="auto"/>
            <w:noWrap/>
            <w:vAlign w:val="bottom"/>
            <w:hideMark/>
          </w:tcPr>
          <w:p w:rsidR="004366C4" w:rsidRPr="00F60C5C" w:rsidRDefault="004366C4" w:rsidP="00F60C5C">
            <w:pPr>
              <w:suppressAutoHyphens w:val="0"/>
              <w:spacing w:before="80" w:after="80" w:line="200" w:lineRule="exact"/>
              <w:jc w:val="right"/>
              <w:rPr>
                <w:i/>
                <w:sz w:val="16"/>
                <w:lang w:val="fr-FR"/>
              </w:rPr>
            </w:pPr>
            <w:r w:rsidRPr="00F60C5C">
              <w:rPr>
                <w:i/>
                <w:sz w:val="16"/>
                <w:lang w:val="fr-FR"/>
              </w:rPr>
              <w:t>2011</w:t>
            </w:r>
          </w:p>
        </w:tc>
        <w:tc>
          <w:tcPr>
            <w:tcW w:w="614" w:type="dxa"/>
            <w:tcBorders>
              <w:top w:val="single" w:sz="4" w:space="0" w:color="auto"/>
              <w:bottom w:val="single" w:sz="12" w:space="0" w:color="auto"/>
            </w:tcBorders>
            <w:shd w:val="clear" w:color="auto" w:fill="auto"/>
            <w:noWrap/>
            <w:vAlign w:val="bottom"/>
            <w:hideMark/>
          </w:tcPr>
          <w:p w:rsidR="004366C4" w:rsidRPr="00F60C5C" w:rsidRDefault="004366C4" w:rsidP="00F60C5C">
            <w:pPr>
              <w:suppressAutoHyphens w:val="0"/>
              <w:spacing w:before="80" w:after="80" w:line="200" w:lineRule="exact"/>
              <w:jc w:val="right"/>
              <w:rPr>
                <w:i/>
                <w:sz w:val="16"/>
                <w:lang w:val="fr-FR"/>
              </w:rPr>
            </w:pPr>
            <w:r w:rsidRPr="00F60C5C">
              <w:rPr>
                <w:i/>
                <w:sz w:val="16"/>
                <w:lang w:val="fr-FR"/>
              </w:rPr>
              <w:t>2012</w:t>
            </w:r>
          </w:p>
        </w:tc>
        <w:tc>
          <w:tcPr>
            <w:tcW w:w="614" w:type="dxa"/>
            <w:tcBorders>
              <w:top w:val="single" w:sz="4" w:space="0" w:color="auto"/>
              <w:bottom w:val="single" w:sz="12" w:space="0" w:color="auto"/>
            </w:tcBorders>
            <w:shd w:val="clear" w:color="auto" w:fill="auto"/>
            <w:noWrap/>
            <w:vAlign w:val="bottom"/>
            <w:hideMark/>
          </w:tcPr>
          <w:p w:rsidR="004366C4" w:rsidRPr="00F60C5C" w:rsidRDefault="004366C4" w:rsidP="00F60C5C">
            <w:pPr>
              <w:suppressAutoHyphens w:val="0"/>
              <w:spacing w:before="80" w:after="80" w:line="200" w:lineRule="exact"/>
              <w:jc w:val="right"/>
              <w:rPr>
                <w:i/>
                <w:sz w:val="16"/>
                <w:lang w:val="fr-FR"/>
              </w:rPr>
            </w:pPr>
            <w:r w:rsidRPr="00F60C5C">
              <w:rPr>
                <w:i/>
                <w:sz w:val="16"/>
                <w:lang w:val="fr-FR"/>
              </w:rPr>
              <w:t>2013</w:t>
            </w:r>
          </w:p>
        </w:tc>
        <w:tc>
          <w:tcPr>
            <w:tcW w:w="613" w:type="dxa"/>
            <w:tcBorders>
              <w:top w:val="single" w:sz="4" w:space="0" w:color="auto"/>
              <w:bottom w:val="single" w:sz="12" w:space="0" w:color="auto"/>
            </w:tcBorders>
            <w:shd w:val="clear" w:color="auto" w:fill="auto"/>
            <w:noWrap/>
            <w:vAlign w:val="bottom"/>
            <w:hideMark/>
          </w:tcPr>
          <w:p w:rsidR="004366C4" w:rsidRPr="00F60C5C" w:rsidRDefault="004366C4" w:rsidP="00F60C5C">
            <w:pPr>
              <w:suppressAutoHyphens w:val="0"/>
              <w:spacing w:before="80" w:after="80" w:line="200" w:lineRule="exact"/>
              <w:jc w:val="right"/>
              <w:rPr>
                <w:i/>
                <w:sz w:val="16"/>
                <w:lang w:val="fr-FR"/>
              </w:rPr>
            </w:pPr>
            <w:r w:rsidRPr="00F60C5C">
              <w:rPr>
                <w:i/>
                <w:sz w:val="16"/>
                <w:lang w:val="fr-FR"/>
              </w:rPr>
              <w:t>2014</w:t>
            </w:r>
          </w:p>
        </w:tc>
        <w:tc>
          <w:tcPr>
            <w:tcW w:w="614" w:type="dxa"/>
            <w:tcBorders>
              <w:top w:val="single" w:sz="4" w:space="0" w:color="auto"/>
              <w:bottom w:val="single" w:sz="12" w:space="0" w:color="auto"/>
            </w:tcBorders>
            <w:shd w:val="clear" w:color="auto" w:fill="auto"/>
            <w:noWrap/>
            <w:vAlign w:val="bottom"/>
            <w:hideMark/>
          </w:tcPr>
          <w:p w:rsidR="004366C4" w:rsidRPr="00F60C5C" w:rsidRDefault="004366C4" w:rsidP="00F60C5C">
            <w:pPr>
              <w:suppressAutoHyphens w:val="0"/>
              <w:spacing w:before="80" w:after="80" w:line="200" w:lineRule="exact"/>
              <w:jc w:val="right"/>
              <w:rPr>
                <w:i/>
                <w:sz w:val="16"/>
                <w:lang w:val="fr-FR"/>
              </w:rPr>
            </w:pPr>
            <w:r w:rsidRPr="00F60C5C">
              <w:rPr>
                <w:i/>
                <w:sz w:val="16"/>
                <w:lang w:val="fr-FR"/>
              </w:rPr>
              <w:t>2015</w:t>
            </w:r>
          </w:p>
        </w:tc>
        <w:tc>
          <w:tcPr>
            <w:tcW w:w="614" w:type="dxa"/>
            <w:tcBorders>
              <w:top w:val="single" w:sz="4" w:space="0" w:color="auto"/>
              <w:bottom w:val="single" w:sz="12" w:space="0" w:color="auto"/>
            </w:tcBorders>
            <w:shd w:val="clear" w:color="auto" w:fill="auto"/>
            <w:noWrap/>
            <w:vAlign w:val="bottom"/>
            <w:hideMark/>
          </w:tcPr>
          <w:p w:rsidR="004366C4" w:rsidRPr="00F60C5C" w:rsidRDefault="004366C4" w:rsidP="00F60C5C">
            <w:pPr>
              <w:suppressAutoHyphens w:val="0"/>
              <w:spacing w:before="80" w:after="80" w:line="200" w:lineRule="exact"/>
              <w:jc w:val="right"/>
              <w:rPr>
                <w:i/>
                <w:sz w:val="16"/>
                <w:lang w:val="fr-FR"/>
              </w:rPr>
            </w:pPr>
            <w:r w:rsidRPr="00F60C5C">
              <w:rPr>
                <w:i/>
                <w:sz w:val="16"/>
                <w:lang w:val="fr-FR"/>
              </w:rPr>
              <w:t>2016</w:t>
            </w:r>
          </w:p>
        </w:tc>
        <w:tc>
          <w:tcPr>
            <w:tcW w:w="614" w:type="dxa"/>
            <w:tcBorders>
              <w:top w:val="single" w:sz="4" w:space="0" w:color="auto"/>
              <w:bottom w:val="single" w:sz="12" w:space="0" w:color="auto"/>
            </w:tcBorders>
            <w:shd w:val="clear" w:color="auto" w:fill="auto"/>
            <w:noWrap/>
            <w:vAlign w:val="bottom"/>
            <w:hideMark/>
          </w:tcPr>
          <w:p w:rsidR="004366C4" w:rsidRPr="00F60C5C" w:rsidRDefault="004366C4" w:rsidP="00F60C5C">
            <w:pPr>
              <w:suppressAutoHyphens w:val="0"/>
              <w:spacing w:before="80" w:after="80" w:line="200" w:lineRule="exact"/>
              <w:jc w:val="right"/>
              <w:rPr>
                <w:i/>
                <w:sz w:val="16"/>
                <w:lang w:val="fr-FR"/>
              </w:rPr>
            </w:pPr>
            <w:r w:rsidRPr="00F60C5C">
              <w:rPr>
                <w:i/>
                <w:sz w:val="16"/>
                <w:lang w:val="fr-FR"/>
              </w:rPr>
              <w:t>2017</w:t>
            </w:r>
          </w:p>
        </w:tc>
      </w:tr>
      <w:tr w:rsidR="00F60C5C" w:rsidRPr="00F60C5C" w:rsidTr="003C6221">
        <w:tc>
          <w:tcPr>
            <w:tcW w:w="1232" w:type="dxa"/>
            <w:tcBorders>
              <w:top w:val="single" w:sz="12" w:space="0" w:color="auto"/>
            </w:tcBorders>
            <w:shd w:val="clear" w:color="auto" w:fill="auto"/>
            <w:noWrap/>
            <w:hideMark/>
          </w:tcPr>
          <w:p w:rsidR="004366C4" w:rsidRPr="00F60C5C" w:rsidRDefault="004366C4" w:rsidP="00F60C5C">
            <w:pPr>
              <w:suppressAutoHyphens w:val="0"/>
              <w:spacing w:before="40" w:after="40" w:line="220" w:lineRule="exact"/>
              <w:rPr>
                <w:sz w:val="18"/>
                <w:lang w:val="fr-FR"/>
              </w:rPr>
            </w:pPr>
            <w:r w:rsidRPr="00F60C5C">
              <w:rPr>
                <w:sz w:val="18"/>
                <w:lang w:val="fr-FR"/>
              </w:rPr>
              <w:t>Industries de transformation</w:t>
            </w:r>
          </w:p>
        </w:tc>
        <w:tc>
          <w:tcPr>
            <w:tcW w:w="613" w:type="dxa"/>
            <w:tcBorders>
              <w:top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6,1</w:t>
            </w:r>
            <w:r w:rsidR="004D29C5">
              <w:rPr>
                <w:sz w:val="18"/>
                <w:lang w:val="fr-FR"/>
              </w:rPr>
              <w:t> </w:t>
            </w:r>
            <w:r w:rsidRPr="00F60C5C">
              <w:rPr>
                <w:sz w:val="18"/>
                <w:lang w:val="fr-FR"/>
              </w:rPr>
              <w:t>%</w:t>
            </w:r>
          </w:p>
        </w:tc>
        <w:tc>
          <w:tcPr>
            <w:tcW w:w="614" w:type="dxa"/>
            <w:tcBorders>
              <w:top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4,8</w:t>
            </w:r>
            <w:r w:rsidR="004D29C5">
              <w:rPr>
                <w:sz w:val="18"/>
                <w:lang w:val="fr-FR"/>
              </w:rPr>
              <w:t> </w:t>
            </w:r>
            <w:r w:rsidRPr="00F60C5C">
              <w:rPr>
                <w:sz w:val="18"/>
                <w:lang w:val="fr-FR"/>
              </w:rPr>
              <w:t>%</w:t>
            </w:r>
          </w:p>
        </w:tc>
        <w:tc>
          <w:tcPr>
            <w:tcW w:w="614" w:type="dxa"/>
            <w:tcBorders>
              <w:top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4,9</w:t>
            </w:r>
            <w:r w:rsidR="004D29C5">
              <w:rPr>
                <w:sz w:val="18"/>
                <w:lang w:val="fr-FR"/>
              </w:rPr>
              <w:t> </w:t>
            </w:r>
            <w:r w:rsidRPr="00F60C5C">
              <w:rPr>
                <w:sz w:val="18"/>
                <w:lang w:val="fr-FR"/>
              </w:rPr>
              <w:t>%</w:t>
            </w:r>
          </w:p>
        </w:tc>
        <w:tc>
          <w:tcPr>
            <w:tcW w:w="613" w:type="dxa"/>
            <w:tcBorders>
              <w:top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6,4</w:t>
            </w:r>
            <w:r w:rsidR="004D29C5">
              <w:rPr>
                <w:sz w:val="18"/>
                <w:lang w:val="fr-FR"/>
              </w:rPr>
              <w:t> </w:t>
            </w:r>
            <w:r w:rsidRPr="00F60C5C">
              <w:rPr>
                <w:sz w:val="18"/>
                <w:lang w:val="fr-FR"/>
              </w:rPr>
              <w:t>%</w:t>
            </w:r>
          </w:p>
        </w:tc>
        <w:tc>
          <w:tcPr>
            <w:tcW w:w="614" w:type="dxa"/>
            <w:tcBorders>
              <w:top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4,9</w:t>
            </w:r>
            <w:r w:rsidR="004D29C5">
              <w:rPr>
                <w:sz w:val="18"/>
                <w:lang w:val="fr-FR"/>
              </w:rPr>
              <w:t> </w:t>
            </w:r>
            <w:r w:rsidRPr="00F60C5C">
              <w:rPr>
                <w:sz w:val="18"/>
                <w:lang w:val="fr-FR"/>
              </w:rPr>
              <w:t>%</w:t>
            </w:r>
          </w:p>
        </w:tc>
        <w:tc>
          <w:tcPr>
            <w:tcW w:w="614" w:type="dxa"/>
            <w:tcBorders>
              <w:top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5,1</w:t>
            </w:r>
            <w:r w:rsidR="004D29C5">
              <w:rPr>
                <w:sz w:val="18"/>
                <w:lang w:val="fr-FR"/>
              </w:rPr>
              <w:t> </w:t>
            </w:r>
            <w:r w:rsidRPr="00F60C5C">
              <w:rPr>
                <w:sz w:val="18"/>
                <w:lang w:val="fr-FR"/>
              </w:rPr>
              <w:t>%</w:t>
            </w:r>
          </w:p>
        </w:tc>
        <w:tc>
          <w:tcPr>
            <w:tcW w:w="613" w:type="dxa"/>
            <w:tcBorders>
              <w:top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6,7</w:t>
            </w:r>
            <w:r w:rsidR="004D29C5">
              <w:rPr>
                <w:sz w:val="18"/>
                <w:lang w:val="fr-FR"/>
              </w:rPr>
              <w:t> </w:t>
            </w:r>
            <w:r w:rsidRPr="00F60C5C">
              <w:rPr>
                <w:sz w:val="18"/>
                <w:lang w:val="fr-FR"/>
              </w:rPr>
              <w:t>%</w:t>
            </w:r>
          </w:p>
        </w:tc>
        <w:tc>
          <w:tcPr>
            <w:tcW w:w="614" w:type="dxa"/>
            <w:tcBorders>
              <w:top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5,0</w:t>
            </w:r>
            <w:r w:rsidR="004D29C5">
              <w:rPr>
                <w:sz w:val="18"/>
                <w:lang w:val="fr-FR"/>
              </w:rPr>
              <w:t> </w:t>
            </w:r>
            <w:r w:rsidRPr="00F60C5C">
              <w:rPr>
                <w:sz w:val="18"/>
                <w:lang w:val="fr-FR"/>
              </w:rPr>
              <w:t>%</w:t>
            </w:r>
          </w:p>
        </w:tc>
        <w:tc>
          <w:tcPr>
            <w:tcW w:w="614" w:type="dxa"/>
            <w:tcBorders>
              <w:top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4,6</w:t>
            </w:r>
            <w:r w:rsidR="004D29C5">
              <w:rPr>
                <w:sz w:val="18"/>
                <w:lang w:val="fr-FR"/>
              </w:rPr>
              <w:t> </w:t>
            </w:r>
            <w:r w:rsidRPr="00F60C5C">
              <w:rPr>
                <w:sz w:val="18"/>
                <w:lang w:val="fr-FR"/>
              </w:rPr>
              <w:t>%</w:t>
            </w:r>
          </w:p>
        </w:tc>
        <w:tc>
          <w:tcPr>
            <w:tcW w:w="614" w:type="dxa"/>
            <w:tcBorders>
              <w:top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4,0</w:t>
            </w:r>
            <w:r w:rsidR="004D29C5">
              <w:rPr>
                <w:sz w:val="18"/>
                <w:lang w:val="fr-FR"/>
              </w:rPr>
              <w:t> </w:t>
            </w:r>
            <w:r w:rsidRPr="00F60C5C">
              <w:rPr>
                <w:sz w:val="18"/>
                <w:lang w:val="fr-FR"/>
              </w:rPr>
              <w:t>%</w:t>
            </w:r>
          </w:p>
        </w:tc>
      </w:tr>
      <w:tr w:rsidR="00F60C5C" w:rsidRPr="00F60C5C" w:rsidTr="003C6221">
        <w:tc>
          <w:tcPr>
            <w:tcW w:w="1232" w:type="dxa"/>
            <w:tcBorders>
              <w:bottom w:val="single" w:sz="12" w:space="0" w:color="auto"/>
            </w:tcBorders>
            <w:shd w:val="clear" w:color="auto" w:fill="auto"/>
            <w:noWrap/>
            <w:hideMark/>
          </w:tcPr>
          <w:p w:rsidR="004366C4" w:rsidRPr="00F60C5C" w:rsidRDefault="004366C4" w:rsidP="00F60C5C">
            <w:pPr>
              <w:suppressAutoHyphens w:val="0"/>
              <w:spacing w:before="40" w:after="40" w:line="220" w:lineRule="exact"/>
              <w:rPr>
                <w:sz w:val="18"/>
                <w:lang w:val="fr-FR"/>
              </w:rPr>
            </w:pPr>
            <w:r w:rsidRPr="00F60C5C">
              <w:rPr>
                <w:sz w:val="18"/>
                <w:lang w:val="fr-FR"/>
              </w:rPr>
              <w:t>Agriculture</w:t>
            </w:r>
          </w:p>
        </w:tc>
        <w:tc>
          <w:tcPr>
            <w:tcW w:w="613" w:type="dxa"/>
            <w:tcBorders>
              <w:bottom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4,5</w:t>
            </w:r>
            <w:r w:rsidR="004D29C5">
              <w:rPr>
                <w:sz w:val="18"/>
                <w:lang w:val="fr-FR"/>
              </w:rPr>
              <w:t> </w:t>
            </w:r>
            <w:r w:rsidRPr="00F60C5C">
              <w:rPr>
                <w:sz w:val="18"/>
                <w:lang w:val="fr-FR"/>
              </w:rPr>
              <w:t>%</w:t>
            </w:r>
          </w:p>
        </w:tc>
        <w:tc>
          <w:tcPr>
            <w:tcW w:w="614" w:type="dxa"/>
            <w:tcBorders>
              <w:bottom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3,3</w:t>
            </w:r>
            <w:r w:rsidR="004D29C5">
              <w:rPr>
                <w:sz w:val="18"/>
                <w:lang w:val="fr-FR"/>
              </w:rPr>
              <w:t> </w:t>
            </w:r>
            <w:r w:rsidRPr="00F60C5C">
              <w:rPr>
                <w:sz w:val="18"/>
                <w:lang w:val="fr-FR"/>
              </w:rPr>
              <w:t>%</w:t>
            </w:r>
          </w:p>
        </w:tc>
        <w:tc>
          <w:tcPr>
            <w:tcW w:w="614" w:type="dxa"/>
            <w:tcBorders>
              <w:bottom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3,9</w:t>
            </w:r>
            <w:r w:rsidR="004D29C5">
              <w:rPr>
                <w:sz w:val="18"/>
                <w:lang w:val="fr-FR"/>
              </w:rPr>
              <w:t> </w:t>
            </w:r>
            <w:r w:rsidRPr="00F60C5C">
              <w:rPr>
                <w:sz w:val="18"/>
                <w:lang w:val="fr-FR"/>
              </w:rPr>
              <w:t>%</w:t>
            </w:r>
          </w:p>
        </w:tc>
        <w:tc>
          <w:tcPr>
            <w:tcW w:w="613" w:type="dxa"/>
            <w:tcBorders>
              <w:bottom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4,9</w:t>
            </w:r>
            <w:r w:rsidR="004D29C5">
              <w:rPr>
                <w:sz w:val="18"/>
                <w:lang w:val="fr-FR"/>
              </w:rPr>
              <w:t> </w:t>
            </w:r>
            <w:r w:rsidRPr="00F60C5C">
              <w:rPr>
                <w:sz w:val="18"/>
                <w:lang w:val="fr-FR"/>
              </w:rPr>
              <w:t>%</w:t>
            </w:r>
          </w:p>
        </w:tc>
        <w:tc>
          <w:tcPr>
            <w:tcW w:w="614" w:type="dxa"/>
            <w:tcBorders>
              <w:bottom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3,9</w:t>
            </w:r>
            <w:r w:rsidR="004D29C5">
              <w:rPr>
                <w:sz w:val="18"/>
                <w:lang w:val="fr-FR"/>
              </w:rPr>
              <w:t> </w:t>
            </w:r>
            <w:r w:rsidRPr="00F60C5C">
              <w:rPr>
                <w:sz w:val="18"/>
                <w:lang w:val="fr-FR"/>
              </w:rPr>
              <w:t>%</w:t>
            </w:r>
          </w:p>
        </w:tc>
        <w:tc>
          <w:tcPr>
            <w:tcW w:w="614" w:type="dxa"/>
            <w:tcBorders>
              <w:bottom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2,6</w:t>
            </w:r>
            <w:r w:rsidR="004D29C5">
              <w:rPr>
                <w:sz w:val="18"/>
                <w:lang w:val="fr-FR"/>
              </w:rPr>
              <w:t> </w:t>
            </w:r>
            <w:r w:rsidRPr="00F60C5C">
              <w:rPr>
                <w:sz w:val="18"/>
                <w:lang w:val="fr-FR"/>
              </w:rPr>
              <w:t>%</w:t>
            </w:r>
          </w:p>
        </w:tc>
        <w:tc>
          <w:tcPr>
            <w:tcW w:w="613" w:type="dxa"/>
            <w:tcBorders>
              <w:bottom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3,0</w:t>
            </w:r>
            <w:r w:rsidR="004D29C5">
              <w:rPr>
                <w:sz w:val="18"/>
                <w:lang w:val="fr-FR"/>
              </w:rPr>
              <w:t> </w:t>
            </w:r>
            <w:r w:rsidRPr="00F60C5C">
              <w:rPr>
                <w:sz w:val="18"/>
                <w:lang w:val="fr-FR"/>
              </w:rPr>
              <w:t>%</w:t>
            </w:r>
          </w:p>
        </w:tc>
        <w:tc>
          <w:tcPr>
            <w:tcW w:w="614" w:type="dxa"/>
            <w:tcBorders>
              <w:bottom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3,7</w:t>
            </w:r>
            <w:r w:rsidR="004D29C5">
              <w:rPr>
                <w:sz w:val="18"/>
                <w:lang w:val="fr-FR"/>
              </w:rPr>
              <w:t> </w:t>
            </w:r>
            <w:r w:rsidRPr="00F60C5C">
              <w:rPr>
                <w:sz w:val="18"/>
                <w:lang w:val="fr-FR"/>
              </w:rPr>
              <w:t>%</w:t>
            </w:r>
          </w:p>
        </w:tc>
        <w:tc>
          <w:tcPr>
            <w:tcW w:w="614" w:type="dxa"/>
            <w:tcBorders>
              <w:bottom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4,7</w:t>
            </w:r>
            <w:r w:rsidR="004D29C5">
              <w:rPr>
                <w:sz w:val="18"/>
                <w:lang w:val="fr-FR"/>
              </w:rPr>
              <w:t> </w:t>
            </w:r>
            <w:r w:rsidRPr="00F60C5C">
              <w:rPr>
                <w:sz w:val="18"/>
                <w:lang w:val="fr-FR"/>
              </w:rPr>
              <w:t>%</w:t>
            </w:r>
          </w:p>
        </w:tc>
        <w:tc>
          <w:tcPr>
            <w:tcW w:w="614" w:type="dxa"/>
            <w:tcBorders>
              <w:bottom w:val="single" w:sz="12" w:space="0" w:color="auto"/>
            </w:tcBorders>
            <w:shd w:val="clear" w:color="auto" w:fill="auto"/>
            <w:noWrap/>
            <w:vAlign w:val="bottom"/>
            <w:hideMark/>
          </w:tcPr>
          <w:p w:rsidR="004366C4" w:rsidRPr="00F60C5C" w:rsidRDefault="004366C4" w:rsidP="00F60C5C">
            <w:pPr>
              <w:suppressAutoHyphens w:val="0"/>
              <w:spacing w:before="40" w:after="40" w:line="220" w:lineRule="exact"/>
              <w:jc w:val="right"/>
              <w:rPr>
                <w:sz w:val="18"/>
                <w:lang w:val="fr-FR"/>
              </w:rPr>
            </w:pPr>
            <w:r w:rsidRPr="00F60C5C">
              <w:rPr>
                <w:sz w:val="18"/>
                <w:lang w:val="fr-FR"/>
              </w:rPr>
              <w:t>3,6</w:t>
            </w:r>
            <w:r w:rsidR="004D29C5">
              <w:rPr>
                <w:sz w:val="18"/>
                <w:lang w:val="fr-FR"/>
              </w:rPr>
              <w:t> </w:t>
            </w:r>
            <w:r w:rsidRPr="00F60C5C">
              <w:rPr>
                <w:sz w:val="18"/>
                <w:lang w:val="fr-FR"/>
              </w:rPr>
              <w:t>%</w:t>
            </w:r>
          </w:p>
        </w:tc>
      </w:tr>
    </w:tbl>
    <w:p w:rsidR="004366C4" w:rsidRPr="002C7AB3" w:rsidRDefault="004366C4" w:rsidP="003C6221">
      <w:pPr>
        <w:pStyle w:val="SingleTxtG"/>
        <w:spacing w:before="120"/>
        <w:rPr>
          <w:lang w:val="fr-FR"/>
        </w:rPr>
      </w:pPr>
      <w:r w:rsidRPr="002C7AB3">
        <w:rPr>
          <w:lang w:val="fr-FR"/>
        </w:rPr>
        <w:t>49.</w:t>
      </w:r>
      <w:r w:rsidRPr="002C7AB3">
        <w:rPr>
          <w:lang w:val="fr-FR"/>
        </w:rPr>
        <w:tab/>
        <w:t>Au cours des dix dernières années, une dizaine d</w:t>
      </w:r>
      <w:r>
        <w:rPr>
          <w:lang w:val="fr-FR"/>
        </w:rPr>
        <w:t>’</w:t>
      </w:r>
      <w:r w:rsidRPr="002C7AB3">
        <w:rPr>
          <w:lang w:val="fr-FR"/>
        </w:rPr>
        <w:t xml:space="preserve">inspections motivées par des plaintes ont été effectuées chaque année. La plupart </w:t>
      </w:r>
      <w:r>
        <w:rPr>
          <w:lang w:val="fr-FR"/>
        </w:rPr>
        <w:t>de ces</w:t>
      </w:r>
      <w:r w:rsidRPr="002C7AB3">
        <w:rPr>
          <w:lang w:val="fr-FR"/>
        </w:rPr>
        <w:t xml:space="preserve"> inspections dans l</w:t>
      </w:r>
      <w:r>
        <w:rPr>
          <w:lang w:val="fr-FR"/>
        </w:rPr>
        <w:t>’</w:t>
      </w:r>
      <w:r w:rsidRPr="002C7AB3">
        <w:rPr>
          <w:lang w:val="fr-FR"/>
        </w:rPr>
        <w:t>agriculture et l</w:t>
      </w:r>
      <w:r>
        <w:rPr>
          <w:lang w:val="fr-FR"/>
        </w:rPr>
        <w:t>’</w:t>
      </w:r>
      <w:r w:rsidRPr="002C7AB3">
        <w:rPr>
          <w:lang w:val="fr-FR"/>
        </w:rPr>
        <w:t>industrie du bois ont été effectuées en 2015 (au total, 24</w:t>
      </w:r>
      <w:r w:rsidR="003C6221">
        <w:rPr>
          <w:lang w:val="fr-FR"/>
        </w:rPr>
        <w:t> </w:t>
      </w:r>
      <w:r w:rsidRPr="002C7AB3">
        <w:rPr>
          <w:lang w:val="fr-FR"/>
        </w:rPr>
        <w:t>inspections). En 2017, quatre inspections ont été effectuées dans les secteurs de l</w:t>
      </w:r>
      <w:r>
        <w:rPr>
          <w:lang w:val="fr-FR"/>
        </w:rPr>
        <w:t>’</w:t>
      </w:r>
      <w:r w:rsidRPr="002C7AB3">
        <w:rPr>
          <w:lang w:val="fr-FR"/>
        </w:rPr>
        <w:t>agriculture et de l</w:t>
      </w:r>
      <w:r>
        <w:rPr>
          <w:lang w:val="fr-FR"/>
        </w:rPr>
        <w:t>’</w:t>
      </w:r>
      <w:r w:rsidRPr="002C7AB3">
        <w:rPr>
          <w:lang w:val="fr-FR"/>
        </w:rPr>
        <w:t>industrie du bois.</w:t>
      </w:r>
    </w:p>
    <w:p w:rsidR="004366C4" w:rsidRPr="002C7AB3" w:rsidRDefault="004366C4" w:rsidP="003C6221">
      <w:pPr>
        <w:pStyle w:val="H1G"/>
        <w:rPr>
          <w:lang w:val="fr-FR"/>
        </w:rPr>
      </w:pPr>
      <w:r w:rsidRPr="002C7AB3">
        <w:rPr>
          <w:lang w:val="fr-FR"/>
        </w:rPr>
        <w:tab/>
      </w:r>
      <w:r w:rsidRPr="002C7AB3">
        <w:rPr>
          <w:lang w:val="fr-FR"/>
        </w:rPr>
        <w:tab/>
        <w:t>Droits syndicaux (art.</w:t>
      </w:r>
      <w:r w:rsidR="003C6221">
        <w:rPr>
          <w:lang w:val="fr-FR"/>
        </w:rPr>
        <w:t> </w:t>
      </w:r>
      <w:r w:rsidRPr="002C7AB3">
        <w:rPr>
          <w:lang w:val="fr-FR"/>
        </w:rPr>
        <w:t>8)</w:t>
      </w:r>
    </w:p>
    <w:p w:rsidR="004366C4" w:rsidRPr="002C7AB3" w:rsidRDefault="004366C4" w:rsidP="001B7EEA">
      <w:pPr>
        <w:pStyle w:val="H23G"/>
        <w:rPr>
          <w:lang w:val="fr-FR"/>
        </w:rPr>
      </w:pPr>
      <w:r w:rsidRPr="002C7AB3">
        <w:rPr>
          <w:lang w:val="fr-FR"/>
        </w:rPr>
        <w:tab/>
      </w:r>
      <w:r w:rsidRPr="002C7AB3">
        <w:rPr>
          <w:lang w:val="fr-FR"/>
        </w:rPr>
        <w:tab/>
      </w:r>
      <w:r>
        <w:rPr>
          <w:lang w:val="fr-FR"/>
        </w:rPr>
        <w:t>D</w:t>
      </w:r>
      <w:r w:rsidRPr="002C7AB3">
        <w:rPr>
          <w:lang w:val="fr-FR"/>
        </w:rPr>
        <w:t>roit de grève</w:t>
      </w:r>
      <w:r w:rsidR="00842CF4">
        <w:rPr>
          <w:lang w:val="fr-FR"/>
        </w:rPr>
        <w:t xml:space="preserve"> − </w:t>
      </w:r>
      <w:r w:rsidRPr="002C7AB3">
        <w:rPr>
          <w:lang w:val="fr-FR"/>
        </w:rPr>
        <w:t>Négociation collective et règlement des conflits collectifs du travail</w:t>
      </w:r>
    </w:p>
    <w:p w:rsidR="004366C4" w:rsidRPr="002C7AB3" w:rsidRDefault="004366C4" w:rsidP="004366C4">
      <w:pPr>
        <w:pStyle w:val="SingleTxtG"/>
        <w:rPr>
          <w:lang w:val="fr-FR"/>
        </w:rPr>
      </w:pPr>
      <w:r w:rsidRPr="002C7AB3">
        <w:rPr>
          <w:lang w:val="fr-FR"/>
        </w:rPr>
        <w:t>50.</w:t>
      </w:r>
      <w:r w:rsidRPr="002C7AB3">
        <w:rPr>
          <w:lang w:val="fr-FR"/>
        </w:rPr>
        <w:tab/>
        <w:t xml:space="preserve">En cas de grève, </w:t>
      </w:r>
      <w:r w:rsidRPr="002C7AB3">
        <w:rPr>
          <w:iCs/>
          <w:lang w:val="fr-FR"/>
        </w:rPr>
        <w:t xml:space="preserve">dans les entreprises et les </w:t>
      </w:r>
      <w:r w:rsidRPr="002C7AB3">
        <w:rPr>
          <w:lang w:val="fr-FR"/>
        </w:rPr>
        <w:t xml:space="preserve">institutions </w:t>
      </w:r>
      <w:r w:rsidRPr="002C7AB3">
        <w:rPr>
          <w:iCs/>
          <w:lang w:val="fr-FR"/>
        </w:rPr>
        <w:t xml:space="preserve">qui ont pour objet de satisfaire les besoins </w:t>
      </w:r>
      <w:r>
        <w:rPr>
          <w:iCs/>
          <w:lang w:val="fr-FR"/>
        </w:rPr>
        <w:t>primaires</w:t>
      </w:r>
      <w:r w:rsidRPr="002C7AB3">
        <w:rPr>
          <w:iCs/>
          <w:lang w:val="fr-FR"/>
        </w:rPr>
        <w:t xml:space="preserve"> de la population et de l</w:t>
      </w:r>
      <w:r>
        <w:rPr>
          <w:iCs/>
          <w:lang w:val="fr-FR"/>
        </w:rPr>
        <w:t>’</w:t>
      </w:r>
      <w:r w:rsidRPr="002C7AB3">
        <w:rPr>
          <w:iCs/>
          <w:lang w:val="fr-FR"/>
        </w:rPr>
        <w:t>économie, l</w:t>
      </w:r>
      <w:r>
        <w:rPr>
          <w:iCs/>
          <w:lang w:val="fr-FR"/>
        </w:rPr>
        <w:t>’</w:t>
      </w:r>
      <w:r w:rsidRPr="002C7AB3">
        <w:rPr>
          <w:iCs/>
          <w:lang w:val="fr-FR"/>
        </w:rPr>
        <w:t>organe qui appelle à la grève ou au lock-out est tenu d</w:t>
      </w:r>
      <w:r>
        <w:rPr>
          <w:iCs/>
          <w:lang w:val="fr-FR"/>
        </w:rPr>
        <w:t>’</w:t>
      </w:r>
      <w:r w:rsidRPr="002C7AB3">
        <w:rPr>
          <w:iCs/>
          <w:lang w:val="fr-FR"/>
        </w:rPr>
        <w:t xml:space="preserve">assurer un service ou une production minimum, </w:t>
      </w:r>
      <w:r>
        <w:rPr>
          <w:lang w:val="fr-FR"/>
        </w:rPr>
        <w:t>dans les conditions</w:t>
      </w:r>
      <w:r w:rsidRPr="002C7AB3">
        <w:rPr>
          <w:lang w:val="fr-FR"/>
        </w:rPr>
        <w:t xml:space="preserve"> </w:t>
      </w:r>
      <w:r w:rsidRPr="002C7AB3">
        <w:rPr>
          <w:bCs/>
          <w:lang w:val="fr-FR"/>
        </w:rPr>
        <w:t>fixée</w:t>
      </w:r>
      <w:r>
        <w:rPr>
          <w:bCs/>
          <w:lang w:val="fr-FR"/>
        </w:rPr>
        <w:t>s</w:t>
      </w:r>
      <w:r w:rsidRPr="002C7AB3">
        <w:rPr>
          <w:lang w:val="fr-FR"/>
        </w:rPr>
        <w:t xml:space="preserve"> </w:t>
      </w:r>
      <w:r w:rsidRPr="002C7AB3">
        <w:rPr>
          <w:iCs/>
          <w:lang w:val="fr-FR"/>
        </w:rPr>
        <w:t>par voie d</w:t>
      </w:r>
      <w:r>
        <w:rPr>
          <w:iCs/>
          <w:lang w:val="fr-FR"/>
        </w:rPr>
        <w:t>’</w:t>
      </w:r>
      <w:r w:rsidRPr="002C7AB3">
        <w:rPr>
          <w:iCs/>
          <w:lang w:val="fr-FR"/>
        </w:rPr>
        <w:t>accord entre les parties</w:t>
      </w:r>
      <w:r w:rsidRPr="002C7AB3">
        <w:rPr>
          <w:lang w:val="fr-FR"/>
        </w:rPr>
        <w:t xml:space="preserve">. En cas de désaccord, le </w:t>
      </w:r>
      <w:r w:rsidRPr="002C7AB3">
        <w:rPr>
          <w:bCs/>
          <w:lang w:val="fr-FR"/>
        </w:rPr>
        <w:t>Conciliateur public</w:t>
      </w:r>
      <w:r w:rsidRPr="002C7AB3">
        <w:rPr>
          <w:lang w:val="fr-FR"/>
        </w:rPr>
        <w:t>, dont la décision lie les parties</w:t>
      </w:r>
      <w:r>
        <w:rPr>
          <w:lang w:val="fr-FR"/>
        </w:rPr>
        <w:t>, décide quels sont les services ou les activités de production indispensables</w:t>
      </w:r>
      <w:r w:rsidRPr="002C7AB3">
        <w:rPr>
          <w:lang w:val="fr-FR"/>
        </w:rPr>
        <w:t>.</w:t>
      </w:r>
    </w:p>
    <w:p w:rsidR="004366C4" w:rsidRPr="002C7AB3" w:rsidRDefault="004366C4" w:rsidP="004366C4">
      <w:pPr>
        <w:pStyle w:val="SingleTxtG"/>
        <w:rPr>
          <w:lang w:val="fr-FR"/>
        </w:rPr>
      </w:pPr>
      <w:r w:rsidRPr="002C7AB3">
        <w:rPr>
          <w:lang w:val="fr-FR"/>
        </w:rPr>
        <w:t>51.</w:t>
      </w:r>
      <w:r w:rsidRPr="002C7AB3">
        <w:rPr>
          <w:lang w:val="fr-FR"/>
        </w:rPr>
        <w:tab/>
        <w:t>Il n</w:t>
      </w:r>
      <w:r>
        <w:rPr>
          <w:lang w:val="fr-FR"/>
        </w:rPr>
        <w:t>’</w:t>
      </w:r>
      <w:r w:rsidRPr="002C7AB3">
        <w:rPr>
          <w:lang w:val="fr-FR"/>
        </w:rPr>
        <w:t xml:space="preserve">existe pas de </w:t>
      </w:r>
      <w:r w:rsidRPr="002C7AB3">
        <w:rPr>
          <w:iCs/>
          <w:lang w:val="fr-FR"/>
        </w:rPr>
        <w:t xml:space="preserve">liste des entreprises et des institutions qui ont pour objet de satisfaire </w:t>
      </w:r>
      <w:r>
        <w:rPr>
          <w:iCs/>
          <w:lang w:val="fr-FR"/>
        </w:rPr>
        <w:t xml:space="preserve">les </w:t>
      </w:r>
      <w:r w:rsidRPr="002C7AB3">
        <w:rPr>
          <w:iCs/>
          <w:lang w:val="fr-FR"/>
        </w:rPr>
        <w:t>besoins primaires de la population et de l</w:t>
      </w:r>
      <w:r>
        <w:rPr>
          <w:iCs/>
          <w:lang w:val="fr-FR"/>
        </w:rPr>
        <w:t>’</w:t>
      </w:r>
      <w:r w:rsidRPr="002C7AB3">
        <w:rPr>
          <w:iCs/>
          <w:lang w:val="fr-FR"/>
        </w:rPr>
        <w:t>économie</w:t>
      </w:r>
      <w:r w:rsidRPr="002C7AB3">
        <w:rPr>
          <w:lang w:val="fr-FR"/>
        </w:rPr>
        <w:t>, car le Gouvernement n</w:t>
      </w:r>
      <w:r>
        <w:rPr>
          <w:lang w:val="fr-FR"/>
        </w:rPr>
        <w:t>’</w:t>
      </w:r>
      <w:r w:rsidRPr="002C7AB3">
        <w:rPr>
          <w:lang w:val="fr-FR"/>
        </w:rPr>
        <w:t>est pas parvenu à un accord avec les partenaires sociaux concernant les entreprises et institutions à inclure dans cette liste</w:t>
      </w:r>
      <w:r w:rsidR="000A35C9">
        <w:rPr>
          <w:lang w:val="fr-FR"/>
        </w:rPr>
        <w:t>.</w:t>
      </w:r>
    </w:p>
    <w:p w:rsidR="004366C4" w:rsidRPr="002C7AB3" w:rsidRDefault="004366C4" w:rsidP="000A35C9">
      <w:pPr>
        <w:pStyle w:val="SingleTxtG"/>
        <w:keepNext/>
        <w:keepLines/>
        <w:rPr>
          <w:lang w:val="fr-FR"/>
        </w:rPr>
      </w:pPr>
      <w:r w:rsidRPr="002C7AB3">
        <w:rPr>
          <w:lang w:val="fr-FR"/>
        </w:rPr>
        <w:lastRenderedPageBreak/>
        <w:t>52.</w:t>
      </w:r>
      <w:r w:rsidRPr="002C7AB3">
        <w:rPr>
          <w:lang w:val="fr-FR"/>
        </w:rPr>
        <w:tab/>
        <w:t xml:space="preserve">Le projet de loi sur </w:t>
      </w:r>
      <w:r w:rsidRPr="002C7AB3">
        <w:rPr>
          <w:iCs/>
          <w:lang w:val="fr-FR"/>
        </w:rPr>
        <w:t>la négociation collective et le règlement des conflits collectifs du travail</w:t>
      </w:r>
      <w:r w:rsidRPr="002C7AB3">
        <w:rPr>
          <w:lang w:val="fr-FR"/>
        </w:rPr>
        <w:t xml:space="preserve">, qui </w:t>
      </w:r>
      <w:r>
        <w:rPr>
          <w:lang w:val="fr-FR"/>
        </w:rPr>
        <w:t>visait</w:t>
      </w:r>
      <w:r w:rsidRPr="002C7AB3">
        <w:rPr>
          <w:lang w:val="fr-FR"/>
        </w:rPr>
        <w:t xml:space="preserve"> notamment </w:t>
      </w:r>
      <w:r>
        <w:rPr>
          <w:lang w:val="fr-FR"/>
        </w:rPr>
        <w:t>à encadrer</w:t>
      </w:r>
      <w:r w:rsidRPr="002C7AB3">
        <w:rPr>
          <w:lang w:val="fr-FR"/>
        </w:rPr>
        <w:t xml:space="preserve"> les services indispensables, a été abandonné en 2015 après sa première lecture, car les travaux </w:t>
      </w:r>
      <w:r>
        <w:rPr>
          <w:lang w:val="fr-FR"/>
        </w:rPr>
        <w:t>n’ont pu être</w:t>
      </w:r>
      <w:r w:rsidRPr="002C7AB3">
        <w:rPr>
          <w:lang w:val="fr-FR"/>
        </w:rPr>
        <w:t xml:space="preserve"> achevés avant l</w:t>
      </w:r>
      <w:r>
        <w:rPr>
          <w:lang w:val="fr-FR"/>
        </w:rPr>
        <w:t>’</w:t>
      </w:r>
      <w:r w:rsidRPr="002C7AB3">
        <w:rPr>
          <w:lang w:val="fr-FR"/>
        </w:rPr>
        <w:t xml:space="preserve">expiration de </w:t>
      </w:r>
      <w:r>
        <w:rPr>
          <w:lang w:val="fr-FR"/>
        </w:rPr>
        <w:t>la législature</w:t>
      </w:r>
      <w:r w:rsidRPr="002C7AB3">
        <w:rPr>
          <w:lang w:val="fr-FR"/>
        </w:rPr>
        <w:t>. Par conséquent, la loi n</w:t>
      </w:r>
      <w:r>
        <w:rPr>
          <w:lang w:val="fr-FR"/>
        </w:rPr>
        <w:t>’</w:t>
      </w:r>
      <w:r w:rsidRPr="002C7AB3">
        <w:rPr>
          <w:lang w:val="fr-FR"/>
        </w:rPr>
        <w:t>a malheureusement pas été adoptée.</w:t>
      </w:r>
    </w:p>
    <w:p w:rsidR="004366C4" w:rsidRPr="002C7AB3" w:rsidRDefault="004366C4" w:rsidP="00B127FF">
      <w:pPr>
        <w:pStyle w:val="H1G"/>
        <w:rPr>
          <w:lang w:val="fr-FR"/>
        </w:rPr>
      </w:pPr>
      <w:r w:rsidRPr="002C7AB3">
        <w:rPr>
          <w:lang w:val="fr-FR"/>
        </w:rPr>
        <w:tab/>
      </w:r>
      <w:r w:rsidRPr="002C7AB3">
        <w:rPr>
          <w:lang w:val="fr-FR"/>
        </w:rPr>
        <w:tab/>
        <w:t>Droit à la sécurité sociale (art.</w:t>
      </w:r>
      <w:r w:rsidR="00B127FF">
        <w:rPr>
          <w:lang w:val="fr-FR"/>
        </w:rPr>
        <w:t> </w:t>
      </w:r>
      <w:r w:rsidRPr="002C7AB3">
        <w:rPr>
          <w:lang w:val="fr-FR"/>
        </w:rPr>
        <w:t>9)</w:t>
      </w:r>
    </w:p>
    <w:p w:rsidR="004366C4" w:rsidRPr="002C7AB3" w:rsidRDefault="004366C4" w:rsidP="00B127FF">
      <w:pPr>
        <w:pStyle w:val="H23G"/>
        <w:rPr>
          <w:lang w:val="fr-FR"/>
        </w:rPr>
      </w:pPr>
      <w:r w:rsidRPr="002C7AB3">
        <w:rPr>
          <w:lang w:val="fr-FR"/>
        </w:rPr>
        <w:tab/>
      </w:r>
      <w:r w:rsidRPr="002C7AB3">
        <w:rPr>
          <w:lang w:val="fr-FR"/>
        </w:rPr>
        <w:tab/>
        <w:t>Régime de pension de retraite</w:t>
      </w:r>
    </w:p>
    <w:p w:rsidR="004366C4" w:rsidRPr="002C7AB3" w:rsidRDefault="004366C4" w:rsidP="004366C4">
      <w:pPr>
        <w:pStyle w:val="SingleTxtG"/>
        <w:rPr>
          <w:lang w:val="fr-FR"/>
        </w:rPr>
      </w:pPr>
      <w:r w:rsidRPr="002C7AB3">
        <w:rPr>
          <w:lang w:val="fr-FR"/>
        </w:rPr>
        <w:t>53.</w:t>
      </w:r>
      <w:r w:rsidRPr="002C7AB3">
        <w:rPr>
          <w:lang w:val="fr-FR"/>
        </w:rPr>
        <w:tab/>
        <w:t xml:space="preserve">Le système de retraite repose sur une approche à trois piliers, qui lie </w:t>
      </w:r>
      <w:r w:rsidRPr="002C7AB3">
        <w:rPr>
          <w:iCs/>
          <w:lang w:val="fr-FR"/>
        </w:rPr>
        <w:t xml:space="preserve">le droit </w:t>
      </w:r>
      <w:r>
        <w:rPr>
          <w:iCs/>
          <w:lang w:val="fr-FR"/>
        </w:rPr>
        <w:t xml:space="preserve">à pension </w:t>
      </w:r>
      <w:r w:rsidRPr="002C7AB3">
        <w:rPr>
          <w:iCs/>
          <w:lang w:val="fr-FR"/>
        </w:rPr>
        <w:t xml:space="preserve">et le montant de la future pension de vieillesse </w:t>
      </w:r>
      <w:r w:rsidRPr="002C7AB3">
        <w:rPr>
          <w:lang w:val="fr-FR"/>
        </w:rPr>
        <w:t xml:space="preserve">aux montants de la taxe </w:t>
      </w:r>
      <w:r w:rsidRPr="002C7AB3">
        <w:rPr>
          <w:bCs/>
          <w:lang w:val="fr-FR"/>
        </w:rPr>
        <w:t>sociale</w:t>
      </w:r>
      <w:r w:rsidRPr="002C7AB3">
        <w:rPr>
          <w:b/>
          <w:bCs/>
          <w:lang w:val="fr-FR"/>
        </w:rPr>
        <w:t xml:space="preserve"> </w:t>
      </w:r>
      <w:r w:rsidRPr="002C7AB3">
        <w:rPr>
          <w:lang w:val="fr-FR"/>
        </w:rPr>
        <w:t xml:space="preserve">versée par la personne ou en son nom pendant </w:t>
      </w:r>
      <w:r w:rsidR="00B127FF">
        <w:rPr>
          <w:lang w:val="fr-FR"/>
        </w:rPr>
        <w:t>toute sa carrière.</w:t>
      </w:r>
    </w:p>
    <w:p w:rsidR="004366C4" w:rsidRPr="002C7AB3" w:rsidRDefault="004366C4" w:rsidP="004366C4">
      <w:pPr>
        <w:pStyle w:val="SingleTxtG"/>
        <w:rPr>
          <w:lang w:val="fr-FR"/>
        </w:rPr>
      </w:pPr>
      <w:r w:rsidRPr="002C7AB3">
        <w:rPr>
          <w:lang w:val="fr-FR"/>
        </w:rPr>
        <w:t>54.</w:t>
      </w:r>
      <w:r w:rsidRPr="002C7AB3">
        <w:rPr>
          <w:lang w:val="fr-FR"/>
        </w:rPr>
        <w:tab/>
        <w:t xml:space="preserve">Le </w:t>
      </w:r>
      <w:r w:rsidRPr="002C7AB3">
        <w:rPr>
          <w:bCs/>
          <w:lang w:val="fr-FR"/>
        </w:rPr>
        <w:t>régime obligatoire de retraite par capitalisation</w:t>
      </w:r>
      <w:r w:rsidRPr="00650A2F">
        <w:rPr>
          <w:bCs/>
          <w:lang w:val="fr-FR"/>
        </w:rPr>
        <w:t xml:space="preserve"> </w:t>
      </w:r>
      <w:r w:rsidRPr="002C7AB3">
        <w:rPr>
          <w:lang w:val="fr-FR"/>
        </w:rPr>
        <w:t>(deuxième pilier</w:t>
      </w:r>
      <w:r w:rsidR="00650A2F">
        <w:rPr>
          <w:lang w:val="fr-FR"/>
        </w:rPr>
        <w:t xml:space="preserve"> (pilier II)</w:t>
      </w:r>
      <w:r w:rsidRPr="002C7AB3">
        <w:rPr>
          <w:lang w:val="fr-FR"/>
        </w:rPr>
        <w:t>), lancé en 2002, est un régime d</w:t>
      </w:r>
      <w:r>
        <w:rPr>
          <w:lang w:val="fr-FR"/>
        </w:rPr>
        <w:t>’</w:t>
      </w:r>
      <w:r w:rsidRPr="002C7AB3">
        <w:rPr>
          <w:lang w:val="fr-FR"/>
        </w:rPr>
        <w:t>épargne individuel</w:t>
      </w:r>
      <w:r>
        <w:rPr>
          <w:lang w:val="fr-FR"/>
        </w:rPr>
        <w:t xml:space="preserve"> dans lequel</w:t>
      </w:r>
      <w:r w:rsidRPr="002C7AB3">
        <w:rPr>
          <w:lang w:val="fr-FR"/>
        </w:rPr>
        <w:t xml:space="preserve"> le montant </w:t>
      </w:r>
      <w:r>
        <w:rPr>
          <w:lang w:val="fr-FR"/>
        </w:rPr>
        <w:t xml:space="preserve">de la pension </w:t>
      </w:r>
      <w:r w:rsidRPr="002C7AB3">
        <w:rPr>
          <w:lang w:val="fr-FR"/>
        </w:rPr>
        <w:t xml:space="preserve">dépend des cotisations et du </w:t>
      </w:r>
      <w:r w:rsidRPr="002C7AB3">
        <w:rPr>
          <w:iCs/>
          <w:lang w:val="fr-FR"/>
        </w:rPr>
        <w:t>taux de rendement</w:t>
      </w:r>
      <w:r w:rsidRPr="002C7AB3">
        <w:rPr>
          <w:lang w:val="fr-FR"/>
        </w:rPr>
        <w:t xml:space="preserve"> du fonds de pension. Des possibilités de retraite complémentaire facultative </w:t>
      </w:r>
      <w:r w:rsidRPr="002C7AB3">
        <w:rPr>
          <w:bCs/>
          <w:lang w:val="fr-FR"/>
        </w:rPr>
        <w:t>par capitalisation</w:t>
      </w:r>
      <w:r w:rsidRPr="002C7AB3">
        <w:rPr>
          <w:lang w:val="fr-FR"/>
        </w:rPr>
        <w:t xml:space="preserve"> auprès de fonds de retraite privés (troisième pilier</w:t>
      </w:r>
      <w:r w:rsidR="00650A2F">
        <w:rPr>
          <w:lang w:val="fr-FR"/>
        </w:rPr>
        <w:t xml:space="preserve"> (pilier III)</w:t>
      </w:r>
      <w:r w:rsidRPr="002C7AB3">
        <w:rPr>
          <w:lang w:val="fr-FR"/>
        </w:rPr>
        <w:t>) ont été créées en 1998.</w:t>
      </w:r>
    </w:p>
    <w:p w:rsidR="004366C4" w:rsidRPr="002C7AB3" w:rsidRDefault="004366C4" w:rsidP="004366C4">
      <w:pPr>
        <w:pStyle w:val="SingleTxtG"/>
        <w:rPr>
          <w:lang w:val="fr-FR"/>
        </w:rPr>
      </w:pPr>
      <w:r w:rsidRPr="002C7AB3">
        <w:rPr>
          <w:lang w:val="fr-FR"/>
        </w:rPr>
        <w:t>55.</w:t>
      </w:r>
      <w:r w:rsidRPr="002C7AB3">
        <w:rPr>
          <w:lang w:val="fr-FR"/>
        </w:rPr>
        <w:tab/>
        <w:t>Depuis 1999, les droits à la pension de vieillesse du premier pilier</w:t>
      </w:r>
      <w:r w:rsidR="00650A2F">
        <w:rPr>
          <w:lang w:val="fr-FR"/>
        </w:rPr>
        <w:t xml:space="preserve"> (pilier I)</w:t>
      </w:r>
      <w:r w:rsidRPr="002C7AB3">
        <w:rPr>
          <w:lang w:val="fr-FR"/>
        </w:rPr>
        <w:t xml:space="preserve"> ne sont acquis que sur la base de la taxe sociale payée. Les travailleurs indépendants sont couverts par tous les piliers à condition qu</w:t>
      </w:r>
      <w:r>
        <w:rPr>
          <w:lang w:val="fr-FR"/>
        </w:rPr>
        <w:t>’</w:t>
      </w:r>
      <w:r w:rsidRPr="002C7AB3">
        <w:rPr>
          <w:lang w:val="fr-FR"/>
        </w:rPr>
        <w:t>ils versent des cotisations. Les personnes travaillant dans l</w:t>
      </w:r>
      <w:r>
        <w:rPr>
          <w:lang w:val="fr-FR"/>
        </w:rPr>
        <w:t>’</w:t>
      </w:r>
      <w:r w:rsidRPr="002C7AB3">
        <w:rPr>
          <w:lang w:val="fr-FR"/>
        </w:rPr>
        <w:t>économie informelle ne son</w:t>
      </w:r>
      <w:r w:rsidR="00B127FF">
        <w:rPr>
          <w:lang w:val="fr-FR"/>
        </w:rPr>
        <w:t>t pas couvertes par les piliers </w:t>
      </w:r>
      <w:r w:rsidRPr="002C7AB3">
        <w:rPr>
          <w:lang w:val="fr-FR"/>
        </w:rPr>
        <w:t xml:space="preserve">I et II car </w:t>
      </w:r>
      <w:r w:rsidR="00401999">
        <w:rPr>
          <w:lang w:val="fr-FR"/>
        </w:rPr>
        <w:t>elles</w:t>
      </w:r>
      <w:r>
        <w:rPr>
          <w:lang w:val="fr-FR"/>
        </w:rPr>
        <w:t xml:space="preserve"> ne s’acquittent d’</w:t>
      </w:r>
      <w:r w:rsidR="00464B28">
        <w:rPr>
          <w:lang w:val="fr-FR"/>
        </w:rPr>
        <w:t>aucune taxe sociale.</w:t>
      </w:r>
    </w:p>
    <w:p w:rsidR="004366C4" w:rsidRPr="002C7AB3" w:rsidRDefault="004366C4" w:rsidP="004366C4">
      <w:pPr>
        <w:pStyle w:val="SingleTxtG"/>
        <w:rPr>
          <w:lang w:val="fr-FR"/>
        </w:rPr>
      </w:pPr>
      <w:r w:rsidRPr="002C7AB3">
        <w:rPr>
          <w:lang w:val="fr-FR"/>
        </w:rPr>
        <w:t>56.</w:t>
      </w:r>
      <w:r w:rsidRPr="002C7AB3">
        <w:rPr>
          <w:lang w:val="fr-FR"/>
        </w:rPr>
        <w:tab/>
        <w:t>En 2017, 304</w:t>
      </w:r>
      <w:r w:rsidR="00B127FF">
        <w:rPr>
          <w:lang w:val="fr-FR"/>
        </w:rPr>
        <w:t> </w:t>
      </w:r>
      <w:r w:rsidRPr="002C7AB3">
        <w:rPr>
          <w:lang w:val="fr-FR"/>
        </w:rPr>
        <w:t>320</w:t>
      </w:r>
      <w:r w:rsidR="00B127FF">
        <w:rPr>
          <w:lang w:val="fr-FR"/>
        </w:rPr>
        <w:t> </w:t>
      </w:r>
      <w:r w:rsidRPr="002C7AB3">
        <w:rPr>
          <w:lang w:val="fr-FR"/>
        </w:rPr>
        <w:t>personnes ont bénéficié d</w:t>
      </w:r>
      <w:r>
        <w:rPr>
          <w:lang w:val="fr-FR"/>
        </w:rPr>
        <w:t>’</w:t>
      </w:r>
      <w:r w:rsidRPr="002C7AB3">
        <w:rPr>
          <w:lang w:val="fr-FR"/>
        </w:rPr>
        <w:t>une pension de retraite du premier pilier. La même année, 706</w:t>
      </w:r>
      <w:r w:rsidR="00B127FF">
        <w:rPr>
          <w:lang w:val="fr-FR"/>
        </w:rPr>
        <w:t> </w:t>
      </w:r>
      <w:r w:rsidRPr="002C7AB3">
        <w:rPr>
          <w:lang w:val="fr-FR"/>
        </w:rPr>
        <w:t>842</w:t>
      </w:r>
      <w:r w:rsidR="00B127FF">
        <w:rPr>
          <w:lang w:val="fr-FR"/>
        </w:rPr>
        <w:t> </w:t>
      </w:r>
      <w:r w:rsidRPr="002C7AB3">
        <w:rPr>
          <w:lang w:val="fr-FR"/>
        </w:rPr>
        <w:t xml:space="preserve">personnes avaient </w:t>
      </w:r>
      <w:r w:rsidRPr="002C7AB3">
        <w:rPr>
          <w:bCs/>
          <w:lang w:val="fr-FR"/>
        </w:rPr>
        <w:t>adhéré à un régime d</w:t>
      </w:r>
      <w:r w:rsidRPr="002C7AB3">
        <w:rPr>
          <w:lang w:val="fr-FR"/>
        </w:rPr>
        <w:t>u deuxième pilier, 57</w:t>
      </w:r>
      <w:r w:rsidR="00B127FF">
        <w:rPr>
          <w:lang w:val="fr-FR"/>
        </w:rPr>
        <w:t> 863 </w:t>
      </w:r>
      <w:r w:rsidRPr="002C7AB3">
        <w:rPr>
          <w:lang w:val="fr-FR"/>
        </w:rPr>
        <w:t>personnes étaient titulaires de contrats d</w:t>
      </w:r>
      <w:r>
        <w:rPr>
          <w:lang w:val="fr-FR"/>
        </w:rPr>
        <w:t>’</w:t>
      </w:r>
      <w:r w:rsidRPr="002C7AB3">
        <w:rPr>
          <w:lang w:val="fr-FR"/>
        </w:rPr>
        <w:t xml:space="preserve">assurance du troisième pilier en cours de validité </w:t>
      </w:r>
      <w:r w:rsidRPr="002C7AB3">
        <w:rPr>
          <w:bCs/>
          <w:lang w:val="fr-FR"/>
        </w:rPr>
        <w:t>avec versements à vie</w:t>
      </w:r>
      <w:r w:rsidRPr="00B127FF">
        <w:rPr>
          <w:bCs/>
          <w:lang w:val="fr-FR"/>
        </w:rPr>
        <w:t xml:space="preserve"> </w:t>
      </w:r>
      <w:r w:rsidRPr="002C7AB3">
        <w:rPr>
          <w:lang w:val="fr-FR"/>
        </w:rPr>
        <w:t>et 45</w:t>
      </w:r>
      <w:r w:rsidR="00B127FF">
        <w:rPr>
          <w:lang w:val="fr-FR"/>
        </w:rPr>
        <w:t> </w:t>
      </w:r>
      <w:r w:rsidRPr="002C7AB3">
        <w:rPr>
          <w:lang w:val="fr-FR"/>
        </w:rPr>
        <w:t>068</w:t>
      </w:r>
      <w:r w:rsidR="00B127FF">
        <w:rPr>
          <w:lang w:val="fr-FR"/>
        </w:rPr>
        <w:t> </w:t>
      </w:r>
      <w:r w:rsidRPr="002C7AB3">
        <w:rPr>
          <w:lang w:val="fr-FR"/>
        </w:rPr>
        <w:t xml:space="preserve">personnes avaient </w:t>
      </w:r>
      <w:r w:rsidRPr="002C7AB3">
        <w:rPr>
          <w:bCs/>
          <w:lang w:val="fr-FR"/>
        </w:rPr>
        <w:t>adhéré à un régime d</w:t>
      </w:r>
      <w:r w:rsidRPr="002C7AB3">
        <w:rPr>
          <w:lang w:val="fr-FR"/>
        </w:rPr>
        <w:t>u troisième pilier</w:t>
      </w:r>
      <w:r w:rsidR="00464B28">
        <w:rPr>
          <w:lang w:val="fr-FR"/>
        </w:rPr>
        <w:t> </w:t>
      </w:r>
      <w:r w:rsidRPr="002C7AB3">
        <w:rPr>
          <w:lang w:val="fr-FR"/>
        </w:rPr>
        <w:t>; on compt</w:t>
      </w:r>
      <w:r w:rsidR="00B127FF">
        <w:rPr>
          <w:lang w:val="fr-FR"/>
        </w:rPr>
        <w:t>ait au total 102 </w:t>
      </w:r>
      <w:r w:rsidRPr="002C7AB3">
        <w:rPr>
          <w:lang w:val="fr-FR"/>
        </w:rPr>
        <w:t>931</w:t>
      </w:r>
      <w:r w:rsidR="00B127FF">
        <w:rPr>
          <w:lang w:val="fr-FR"/>
        </w:rPr>
        <w:t> </w:t>
      </w:r>
      <w:r w:rsidRPr="002C7AB3">
        <w:rPr>
          <w:lang w:val="fr-FR"/>
        </w:rPr>
        <w:t>personnes dans le troisième pilier. À la fin de 2017, 37</w:t>
      </w:r>
      <w:r w:rsidR="00464B28">
        <w:rPr>
          <w:lang w:val="fr-FR"/>
        </w:rPr>
        <w:t> </w:t>
      </w:r>
      <w:r w:rsidRPr="002C7AB3">
        <w:rPr>
          <w:lang w:val="fr-FR"/>
        </w:rPr>
        <w:t>373</w:t>
      </w:r>
      <w:r w:rsidR="00464B28">
        <w:rPr>
          <w:lang w:val="fr-FR"/>
        </w:rPr>
        <w:t> </w:t>
      </w:r>
      <w:r w:rsidRPr="002C7AB3">
        <w:rPr>
          <w:lang w:val="fr-FR"/>
        </w:rPr>
        <w:t>personnes avaient droit à une pension du deuxième pilier et 29</w:t>
      </w:r>
      <w:r w:rsidR="00464B28">
        <w:rPr>
          <w:lang w:val="fr-FR"/>
        </w:rPr>
        <w:t> </w:t>
      </w:r>
      <w:r w:rsidRPr="002C7AB3">
        <w:rPr>
          <w:lang w:val="fr-FR"/>
        </w:rPr>
        <w:t>629 d</w:t>
      </w:r>
      <w:r>
        <w:rPr>
          <w:lang w:val="fr-FR"/>
        </w:rPr>
        <w:t>’</w:t>
      </w:r>
      <w:r w:rsidRPr="002C7AB3">
        <w:rPr>
          <w:lang w:val="fr-FR"/>
        </w:rPr>
        <w:t xml:space="preserve">entre elles avaient </w:t>
      </w:r>
      <w:r>
        <w:rPr>
          <w:lang w:val="fr-FR"/>
        </w:rPr>
        <w:t>fait des déclarations</w:t>
      </w:r>
      <w:r w:rsidRPr="002C7AB3">
        <w:rPr>
          <w:lang w:val="fr-FR"/>
        </w:rPr>
        <w:t xml:space="preserve"> de </w:t>
      </w:r>
      <w:r w:rsidRPr="002C7AB3">
        <w:rPr>
          <w:bCs/>
          <w:lang w:val="fr-FR"/>
        </w:rPr>
        <w:t>versements</w:t>
      </w:r>
      <w:r w:rsidRPr="002C7AB3">
        <w:rPr>
          <w:lang w:val="fr-FR"/>
        </w:rPr>
        <w:t xml:space="preserve">. Soixante et un pourcent des personnes bénéficiant du deuxième pilier avaient reçu des </w:t>
      </w:r>
      <w:r w:rsidRPr="002C7AB3">
        <w:rPr>
          <w:bCs/>
          <w:lang w:val="fr-FR"/>
        </w:rPr>
        <w:t>versements</w:t>
      </w:r>
      <w:r w:rsidRPr="002C7AB3">
        <w:rPr>
          <w:b/>
          <w:bCs/>
          <w:lang w:val="fr-FR"/>
        </w:rPr>
        <w:t xml:space="preserve"> </w:t>
      </w:r>
      <w:r w:rsidRPr="002C7AB3">
        <w:rPr>
          <w:lang w:val="fr-FR"/>
        </w:rPr>
        <w:t>réguliers de la caisse de retraite, 21</w:t>
      </w:r>
      <w:r w:rsidR="00464B28">
        <w:rPr>
          <w:lang w:val="fr-FR"/>
        </w:rPr>
        <w:t> </w:t>
      </w:r>
      <w:r w:rsidRPr="002C7AB3">
        <w:rPr>
          <w:lang w:val="fr-FR"/>
        </w:rPr>
        <w:t>% avaient reçu un remboursement forfaitaire de la caisse de retraite et 19</w:t>
      </w:r>
      <w:r w:rsidR="00464B28">
        <w:rPr>
          <w:lang w:val="fr-FR"/>
        </w:rPr>
        <w:t> </w:t>
      </w:r>
      <w:r w:rsidRPr="002C7AB3">
        <w:rPr>
          <w:lang w:val="fr-FR"/>
        </w:rPr>
        <w:t xml:space="preserve">% recevaient des </w:t>
      </w:r>
      <w:r w:rsidRPr="002C7AB3">
        <w:rPr>
          <w:bCs/>
          <w:lang w:val="fr-FR"/>
        </w:rPr>
        <w:t>versements à vie</w:t>
      </w:r>
      <w:r w:rsidRPr="002C7AB3">
        <w:rPr>
          <w:b/>
          <w:bCs/>
          <w:lang w:val="fr-FR"/>
        </w:rPr>
        <w:t xml:space="preserve"> </w:t>
      </w:r>
      <w:r w:rsidRPr="002C7AB3">
        <w:rPr>
          <w:lang w:val="fr-FR"/>
        </w:rPr>
        <w:t>d</w:t>
      </w:r>
      <w:r>
        <w:rPr>
          <w:lang w:val="fr-FR"/>
        </w:rPr>
        <w:t>’</w:t>
      </w:r>
      <w:r w:rsidRPr="002C7AB3">
        <w:rPr>
          <w:lang w:val="fr-FR"/>
        </w:rPr>
        <w:t>une compagnie d</w:t>
      </w:r>
      <w:r>
        <w:rPr>
          <w:lang w:val="fr-FR"/>
        </w:rPr>
        <w:t>’</w:t>
      </w:r>
      <w:r w:rsidRPr="002C7AB3">
        <w:rPr>
          <w:lang w:val="fr-FR"/>
        </w:rPr>
        <w:t>assurance. Le montant moyen de la pension de retraite du premier pilier s</w:t>
      </w:r>
      <w:r>
        <w:rPr>
          <w:lang w:val="fr-FR"/>
        </w:rPr>
        <w:t>’</w:t>
      </w:r>
      <w:r w:rsidRPr="002C7AB3">
        <w:rPr>
          <w:lang w:val="fr-FR"/>
        </w:rPr>
        <w:t>élevait à 409</w:t>
      </w:r>
      <w:r w:rsidR="00464B28">
        <w:rPr>
          <w:lang w:val="fr-FR"/>
        </w:rPr>
        <w:t> </w:t>
      </w:r>
      <w:r w:rsidRPr="002C7AB3">
        <w:rPr>
          <w:lang w:val="fr-FR"/>
        </w:rPr>
        <w:t xml:space="preserve">euros à la fin de 2017. </w:t>
      </w:r>
      <w:r>
        <w:rPr>
          <w:lang w:val="fr-FR"/>
        </w:rPr>
        <w:t>Pour l</w:t>
      </w:r>
      <w:r w:rsidRPr="002C7AB3">
        <w:rPr>
          <w:lang w:val="fr-FR"/>
        </w:rPr>
        <w:t>es piliers</w:t>
      </w:r>
      <w:r w:rsidR="00464B28">
        <w:rPr>
          <w:lang w:val="fr-FR"/>
        </w:rPr>
        <w:t> </w:t>
      </w:r>
      <w:r w:rsidRPr="002C7AB3">
        <w:rPr>
          <w:lang w:val="fr-FR"/>
        </w:rPr>
        <w:t>I et II réunis</w:t>
      </w:r>
      <w:r>
        <w:rPr>
          <w:lang w:val="fr-FR"/>
        </w:rPr>
        <w:t>,</w:t>
      </w:r>
      <w:r w:rsidRPr="002C7AB3">
        <w:rPr>
          <w:lang w:val="fr-FR"/>
        </w:rPr>
        <w:t xml:space="preserve"> </w:t>
      </w:r>
      <w:r>
        <w:rPr>
          <w:lang w:val="fr-FR"/>
        </w:rPr>
        <w:t>l</w:t>
      </w:r>
      <w:r w:rsidRPr="002C7AB3">
        <w:rPr>
          <w:lang w:val="fr-FR"/>
        </w:rPr>
        <w:t>e montant moyen de la pension s</w:t>
      </w:r>
      <w:r>
        <w:rPr>
          <w:lang w:val="fr-FR"/>
        </w:rPr>
        <w:t>’</w:t>
      </w:r>
      <w:r w:rsidRPr="002C7AB3">
        <w:rPr>
          <w:lang w:val="fr-FR"/>
        </w:rPr>
        <w:t>élevait à 416</w:t>
      </w:r>
      <w:r w:rsidR="00464B28">
        <w:rPr>
          <w:lang w:val="fr-FR"/>
        </w:rPr>
        <w:t> </w:t>
      </w:r>
      <w:r w:rsidRPr="002C7AB3">
        <w:rPr>
          <w:lang w:val="fr-FR"/>
        </w:rPr>
        <w:t>euros. L</w:t>
      </w:r>
      <w:r>
        <w:rPr>
          <w:lang w:val="fr-FR"/>
        </w:rPr>
        <w:t>’</w:t>
      </w:r>
      <w:r w:rsidRPr="002C7AB3">
        <w:rPr>
          <w:lang w:val="fr-FR"/>
        </w:rPr>
        <w:t>incidence du deuxième pilier sur le montant moyen de la pension de retraite est actuellement marginale puisque seulement 2</w:t>
      </w:r>
      <w:r w:rsidR="00464B28">
        <w:rPr>
          <w:lang w:val="fr-FR"/>
        </w:rPr>
        <w:t> </w:t>
      </w:r>
      <w:r w:rsidRPr="002C7AB3">
        <w:rPr>
          <w:lang w:val="fr-FR"/>
        </w:rPr>
        <w:t>% des retraités ont un contrat d</w:t>
      </w:r>
      <w:r>
        <w:rPr>
          <w:lang w:val="fr-FR"/>
        </w:rPr>
        <w:t>’</w:t>
      </w:r>
      <w:r w:rsidRPr="002C7AB3">
        <w:rPr>
          <w:lang w:val="fr-FR"/>
        </w:rPr>
        <w:t xml:space="preserve">assurance du deuxième pilier. Le montant moyen de </w:t>
      </w:r>
      <w:r>
        <w:rPr>
          <w:lang w:val="fr-FR"/>
        </w:rPr>
        <w:t xml:space="preserve">la </w:t>
      </w:r>
      <w:r w:rsidRPr="00A97BAB">
        <w:rPr>
          <w:lang w:val="fr-FR"/>
        </w:rPr>
        <w:t>pension</w:t>
      </w:r>
      <w:r w:rsidRPr="002160E4">
        <w:rPr>
          <w:lang w:val="fr-FR"/>
        </w:rPr>
        <w:t xml:space="preserve"> de retraite </w:t>
      </w:r>
      <w:r w:rsidRPr="002C7AB3">
        <w:rPr>
          <w:lang w:val="fr-FR"/>
        </w:rPr>
        <w:t>du deuxième pilier s</w:t>
      </w:r>
      <w:r>
        <w:rPr>
          <w:lang w:val="fr-FR"/>
        </w:rPr>
        <w:t>’</w:t>
      </w:r>
      <w:r w:rsidRPr="002C7AB3">
        <w:rPr>
          <w:lang w:val="fr-FR"/>
        </w:rPr>
        <w:t>élevait à 54,7</w:t>
      </w:r>
      <w:r w:rsidR="00464B28">
        <w:rPr>
          <w:lang w:val="fr-FR"/>
        </w:rPr>
        <w:t> euros en 2017.</w:t>
      </w:r>
    </w:p>
    <w:p w:rsidR="004366C4" w:rsidRPr="002C7AB3" w:rsidRDefault="004366C4" w:rsidP="004366C4">
      <w:pPr>
        <w:pStyle w:val="SingleTxtG"/>
        <w:rPr>
          <w:lang w:val="fr-FR"/>
        </w:rPr>
      </w:pPr>
      <w:r w:rsidRPr="002C7AB3">
        <w:rPr>
          <w:lang w:val="fr-FR"/>
        </w:rPr>
        <w:t>57.</w:t>
      </w:r>
      <w:r w:rsidRPr="002C7AB3">
        <w:rPr>
          <w:lang w:val="fr-FR"/>
        </w:rPr>
        <w:tab/>
        <w:t>L</w:t>
      </w:r>
      <w:r>
        <w:rPr>
          <w:lang w:val="fr-FR"/>
        </w:rPr>
        <w:t>’</w:t>
      </w:r>
      <w:r w:rsidRPr="002C7AB3">
        <w:rPr>
          <w:lang w:val="fr-FR"/>
        </w:rPr>
        <w:t>augmentation des prestations de retraite effectives s</w:t>
      </w:r>
      <w:r>
        <w:rPr>
          <w:lang w:val="fr-FR"/>
        </w:rPr>
        <w:t>’</w:t>
      </w:r>
      <w:r w:rsidRPr="002C7AB3">
        <w:rPr>
          <w:lang w:val="fr-FR"/>
        </w:rPr>
        <w:t>effectue au moyen d</w:t>
      </w:r>
      <w:r>
        <w:rPr>
          <w:lang w:val="fr-FR"/>
        </w:rPr>
        <w:t>’</w:t>
      </w:r>
      <w:r w:rsidRPr="002C7AB3">
        <w:rPr>
          <w:lang w:val="fr-FR"/>
        </w:rPr>
        <w:t>une indexation régulière. Les pensions ont été indexées en 2018 sur la base d</w:t>
      </w:r>
      <w:r>
        <w:rPr>
          <w:lang w:val="fr-FR"/>
        </w:rPr>
        <w:t>’</w:t>
      </w:r>
      <w:r w:rsidRPr="002C7AB3">
        <w:rPr>
          <w:lang w:val="fr-FR"/>
        </w:rPr>
        <w:t>un indice de 1</w:t>
      </w:r>
      <w:r>
        <w:rPr>
          <w:lang w:val="fr-FR"/>
        </w:rPr>
        <w:t>.</w:t>
      </w:r>
      <w:r w:rsidRPr="002C7AB3">
        <w:rPr>
          <w:lang w:val="fr-FR"/>
        </w:rPr>
        <w:t>076 de sorte que le montant moyen de la pension de vieillesse du premier pilier est passé de 415,6</w:t>
      </w:r>
      <w:r w:rsidR="00484203">
        <w:rPr>
          <w:lang w:val="fr-FR"/>
        </w:rPr>
        <w:t> </w:t>
      </w:r>
      <w:r w:rsidRPr="002C7AB3">
        <w:rPr>
          <w:lang w:val="fr-FR"/>
        </w:rPr>
        <w:t>euros à 446,5</w:t>
      </w:r>
      <w:r w:rsidR="00484203">
        <w:rPr>
          <w:lang w:val="fr-FR"/>
        </w:rPr>
        <w:t> </w:t>
      </w:r>
      <w:r w:rsidRPr="002C7AB3">
        <w:rPr>
          <w:lang w:val="fr-FR"/>
        </w:rPr>
        <w:t>euros. Selon les prévisions, l</w:t>
      </w:r>
      <w:r>
        <w:rPr>
          <w:lang w:val="fr-FR"/>
        </w:rPr>
        <w:t>’</w:t>
      </w:r>
      <w:r w:rsidRPr="002C7AB3">
        <w:rPr>
          <w:lang w:val="fr-FR"/>
        </w:rPr>
        <w:t>indexation des pensions en 2019 aura pour effet d</w:t>
      </w:r>
      <w:r>
        <w:rPr>
          <w:lang w:val="fr-FR"/>
        </w:rPr>
        <w:t>’</w:t>
      </w:r>
      <w:r w:rsidRPr="002C7AB3">
        <w:rPr>
          <w:lang w:val="fr-FR"/>
        </w:rPr>
        <w:t>augmenter de 34 euros la pension moyenne, qui s</w:t>
      </w:r>
      <w:r>
        <w:rPr>
          <w:lang w:val="fr-FR"/>
        </w:rPr>
        <w:t>’</w:t>
      </w:r>
      <w:r w:rsidRPr="002C7AB3">
        <w:rPr>
          <w:lang w:val="fr-FR"/>
        </w:rPr>
        <w:t>établira à 480,40</w:t>
      </w:r>
      <w:r w:rsidR="00484203">
        <w:rPr>
          <w:lang w:val="fr-FR"/>
        </w:rPr>
        <w:t> </w:t>
      </w:r>
      <w:r w:rsidRPr="002C7AB3">
        <w:rPr>
          <w:lang w:val="fr-FR"/>
        </w:rPr>
        <w:t xml:space="preserve">euros. Depuis 2018, un complément de pension est versé au parent, au conjoint du parent, au </w:t>
      </w:r>
      <w:r w:rsidRPr="002C7AB3">
        <w:rPr>
          <w:bCs/>
          <w:lang w:val="fr-FR"/>
        </w:rPr>
        <w:t xml:space="preserve">tuteur ou au parent </w:t>
      </w:r>
      <w:r>
        <w:rPr>
          <w:bCs/>
          <w:lang w:val="fr-FR"/>
        </w:rPr>
        <w:t>nourricier</w:t>
      </w:r>
      <w:r w:rsidRPr="002C7AB3">
        <w:rPr>
          <w:b/>
          <w:bCs/>
          <w:lang w:val="fr-FR"/>
        </w:rPr>
        <w:t xml:space="preserve"> </w:t>
      </w:r>
      <w:r w:rsidRPr="002C7AB3">
        <w:rPr>
          <w:lang w:val="fr-FR"/>
        </w:rPr>
        <w:t xml:space="preserve">pour chaque enfant élevé depuis au moins huit ans, à </w:t>
      </w:r>
      <w:r>
        <w:rPr>
          <w:lang w:val="fr-FR"/>
        </w:rPr>
        <w:t>raison</w:t>
      </w:r>
      <w:r w:rsidRPr="002C7AB3">
        <w:rPr>
          <w:lang w:val="fr-FR"/>
        </w:rPr>
        <w:t xml:space="preserve"> d</w:t>
      </w:r>
      <w:r>
        <w:rPr>
          <w:lang w:val="fr-FR"/>
        </w:rPr>
        <w:t>’</w:t>
      </w:r>
      <w:r w:rsidRPr="002C7AB3">
        <w:rPr>
          <w:lang w:val="fr-FR"/>
        </w:rPr>
        <w:t xml:space="preserve">une fois </w:t>
      </w:r>
      <w:r w:rsidRPr="002C7AB3">
        <w:rPr>
          <w:iCs/>
          <w:lang w:val="fr-FR"/>
        </w:rPr>
        <w:t>la valeur d</w:t>
      </w:r>
      <w:r>
        <w:rPr>
          <w:iCs/>
          <w:lang w:val="fr-FR"/>
        </w:rPr>
        <w:t>’</w:t>
      </w:r>
      <w:r w:rsidRPr="002C7AB3">
        <w:rPr>
          <w:iCs/>
          <w:lang w:val="fr-FR"/>
        </w:rPr>
        <w:t xml:space="preserve">une annuité </w:t>
      </w:r>
      <w:r>
        <w:rPr>
          <w:iCs/>
          <w:lang w:val="fr-FR"/>
        </w:rPr>
        <w:t xml:space="preserve">du </w:t>
      </w:r>
      <w:r w:rsidRPr="002C7AB3">
        <w:rPr>
          <w:iCs/>
          <w:lang w:val="fr-FR"/>
        </w:rPr>
        <w:t xml:space="preserve">service ouvrant droit à pension </w:t>
      </w:r>
      <w:r w:rsidRPr="002C7AB3">
        <w:rPr>
          <w:lang w:val="fr-FR"/>
        </w:rPr>
        <w:t>(6</w:t>
      </w:r>
      <w:r w:rsidR="0004670D">
        <w:rPr>
          <w:lang w:val="fr-FR"/>
        </w:rPr>
        <w:t>,</w:t>
      </w:r>
      <w:r w:rsidR="00484203">
        <w:rPr>
          <w:lang w:val="fr-FR"/>
        </w:rPr>
        <w:t>161 </w:t>
      </w:r>
      <w:r w:rsidRPr="002C7AB3">
        <w:rPr>
          <w:lang w:val="fr-FR"/>
        </w:rPr>
        <w:t>euros). Ce</w:t>
      </w:r>
      <w:r w:rsidR="00484203">
        <w:rPr>
          <w:lang w:val="fr-FR"/>
        </w:rPr>
        <w:t> </w:t>
      </w:r>
      <w:r w:rsidRPr="002C7AB3">
        <w:rPr>
          <w:lang w:val="fr-FR"/>
        </w:rPr>
        <w:t>complément de pension est versé à 229</w:t>
      </w:r>
      <w:r w:rsidR="00484203">
        <w:rPr>
          <w:lang w:val="fr-FR"/>
        </w:rPr>
        <w:t> </w:t>
      </w:r>
      <w:r w:rsidRPr="002C7AB3">
        <w:rPr>
          <w:lang w:val="fr-FR"/>
        </w:rPr>
        <w:t>000</w:t>
      </w:r>
      <w:r w:rsidR="00484203">
        <w:rPr>
          <w:lang w:val="fr-FR"/>
        </w:rPr>
        <w:t> </w:t>
      </w:r>
      <w:r w:rsidRPr="002C7AB3">
        <w:rPr>
          <w:lang w:val="fr-FR"/>
        </w:rPr>
        <w:t xml:space="preserve">retraités. Les retraités vivant seuls </w:t>
      </w:r>
      <w:r>
        <w:rPr>
          <w:lang w:val="fr-FR"/>
        </w:rPr>
        <w:t>touchent</w:t>
      </w:r>
      <w:r w:rsidRPr="002C7AB3">
        <w:rPr>
          <w:lang w:val="fr-FR"/>
        </w:rPr>
        <w:t xml:space="preserve"> une allocation. En octobre 2018, 79</w:t>
      </w:r>
      <w:r w:rsidR="00484203">
        <w:rPr>
          <w:lang w:val="fr-FR"/>
        </w:rPr>
        <w:t> </w:t>
      </w:r>
      <w:r w:rsidRPr="002C7AB3">
        <w:rPr>
          <w:lang w:val="fr-FR"/>
        </w:rPr>
        <w:t>370</w:t>
      </w:r>
      <w:r w:rsidR="00484203">
        <w:rPr>
          <w:lang w:val="fr-FR"/>
        </w:rPr>
        <w:t> </w:t>
      </w:r>
      <w:r w:rsidRPr="002C7AB3">
        <w:rPr>
          <w:lang w:val="fr-FR"/>
        </w:rPr>
        <w:t>retraités recevaient une allocation de 115</w:t>
      </w:r>
      <w:r w:rsidR="00484203">
        <w:rPr>
          <w:lang w:val="fr-FR"/>
        </w:rPr>
        <w:t> </w:t>
      </w:r>
      <w:r w:rsidRPr="002C7AB3">
        <w:rPr>
          <w:lang w:val="fr-FR"/>
        </w:rPr>
        <w:t>euros. En</w:t>
      </w:r>
      <w:r w:rsidR="00484203">
        <w:rPr>
          <w:lang w:val="fr-FR"/>
        </w:rPr>
        <w:t> </w:t>
      </w:r>
      <w:r w:rsidRPr="002C7AB3">
        <w:rPr>
          <w:lang w:val="fr-FR"/>
        </w:rPr>
        <w:t>2018, le montant de l</w:t>
      </w:r>
      <w:r>
        <w:rPr>
          <w:lang w:val="fr-FR"/>
        </w:rPr>
        <w:t>’</w:t>
      </w:r>
      <w:r w:rsidRPr="002C7AB3">
        <w:rPr>
          <w:lang w:val="fr-FR"/>
        </w:rPr>
        <w:t>allocation aux personnes victimes de répression est passé de 192</w:t>
      </w:r>
      <w:r w:rsidR="00484203">
        <w:rPr>
          <w:lang w:val="fr-FR"/>
        </w:rPr>
        <w:t> </w:t>
      </w:r>
      <w:r w:rsidRPr="002C7AB3">
        <w:rPr>
          <w:lang w:val="fr-FR"/>
        </w:rPr>
        <w:t>euros à 230</w:t>
      </w:r>
      <w:r w:rsidR="00484203">
        <w:rPr>
          <w:lang w:val="fr-FR"/>
        </w:rPr>
        <w:t> </w:t>
      </w:r>
      <w:r w:rsidRPr="002C7AB3">
        <w:rPr>
          <w:lang w:val="fr-FR"/>
        </w:rPr>
        <w:t xml:space="preserve">euros. La majorité des bénéficiaires de </w:t>
      </w:r>
      <w:r>
        <w:rPr>
          <w:lang w:val="fr-FR"/>
        </w:rPr>
        <w:t xml:space="preserve">cette </w:t>
      </w:r>
      <w:r w:rsidRPr="002C7AB3">
        <w:rPr>
          <w:lang w:val="fr-FR"/>
        </w:rPr>
        <w:t xml:space="preserve">allocation sont des retraités. </w:t>
      </w:r>
      <w:r>
        <w:rPr>
          <w:lang w:val="fr-FR"/>
        </w:rPr>
        <w:t>Depuis</w:t>
      </w:r>
      <w:r w:rsidRPr="002C7AB3">
        <w:rPr>
          <w:lang w:val="fr-FR"/>
        </w:rPr>
        <w:t xml:space="preserve"> 2018, le montant de l</w:t>
      </w:r>
      <w:r>
        <w:rPr>
          <w:lang w:val="fr-FR"/>
        </w:rPr>
        <w:t>’</w:t>
      </w:r>
      <w:r w:rsidRPr="002C7AB3">
        <w:rPr>
          <w:lang w:val="fr-FR"/>
        </w:rPr>
        <w:t>allocation exonéré</w:t>
      </w:r>
      <w:r w:rsidR="00401999">
        <w:rPr>
          <w:lang w:val="fr-FR"/>
        </w:rPr>
        <w:t>e</w:t>
      </w:r>
      <w:r w:rsidRPr="002C7AB3">
        <w:rPr>
          <w:lang w:val="fr-FR"/>
        </w:rPr>
        <w:t xml:space="preserve"> d</w:t>
      </w:r>
      <w:r>
        <w:rPr>
          <w:lang w:val="fr-FR"/>
        </w:rPr>
        <w:t>’</w:t>
      </w:r>
      <w:r w:rsidRPr="002C7AB3">
        <w:rPr>
          <w:lang w:val="fr-FR"/>
        </w:rPr>
        <w:t>impôt a été porté à 500</w:t>
      </w:r>
      <w:r w:rsidR="00484203">
        <w:rPr>
          <w:lang w:val="fr-FR"/>
        </w:rPr>
        <w:t> </w:t>
      </w:r>
      <w:r w:rsidRPr="002C7AB3">
        <w:rPr>
          <w:lang w:val="fr-FR"/>
        </w:rPr>
        <w:t>euros, de sorte que la pension de vieillesse moyenne est exonérée d</w:t>
      </w:r>
      <w:r>
        <w:rPr>
          <w:lang w:val="fr-FR"/>
        </w:rPr>
        <w:t>’</w:t>
      </w:r>
      <w:r w:rsidRPr="002C7AB3">
        <w:rPr>
          <w:lang w:val="fr-FR"/>
        </w:rPr>
        <w:t>impôt.</w:t>
      </w:r>
    </w:p>
    <w:p w:rsidR="004366C4" w:rsidRPr="002C7AB3" w:rsidRDefault="004366C4" w:rsidP="00484203">
      <w:pPr>
        <w:pStyle w:val="H23G"/>
        <w:rPr>
          <w:lang w:val="fr-FR"/>
        </w:rPr>
      </w:pPr>
      <w:r w:rsidRPr="002C7AB3">
        <w:rPr>
          <w:lang w:val="fr-FR"/>
        </w:rPr>
        <w:tab/>
      </w:r>
      <w:r w:rsidRPr="002C7AB3">
        <w:rPr>
          <w:lang w:val="fr-FR"/>
        </w:rPr>
        <w:tab/>
        <w:t>Réforme re</w:t>
      </w:r>
      <w:r w:rsidR="00484203">
        <w:rPr>
          <w:lang w:val="fr-FR"/>
        </w:rPr>
        <w:t>lative à la capacité de travail</w:t>
      </w:r>
    </w:p>
    <w:p w:rsidR="004366C4" w:rsidRDefault="004366C4" w:rsidP="00577640">
      <w:pPr>
        <w:pStyle w:val="SingleTxtG"/>
      </w:pPr>
      <w:r w:rsidRPr="00577640">
        <w:t>58.</w:t>
      </w:r>
      <w:r w:rsidRPr="00577640">
        <w:tab/>
        <w:t>Le nombre de bénéficiaires de l’allocation de capacité de travail s’est établi à près de 60</w:t>
      </w:r>
      <w:r w:rsidR="00484203" w:rsidRPr="00577640">
        <w:t> </w:t>
      </w:r>
      <w:r w:rsidRPr="00577640">
        <w:t>000 à la fin du troisième trimestre de 2018. Le montant moyen de cette allocation est progressivement passé de 119</w:t>
      </w:r>
      <w:r w:rsidR="00484203" w:rsidRPr="00577640">
        <w:t> </w:t>
      </w:r>
      <w:r w:rsidRPr="00577640">
        <w:t>euros (troisième trimestre 2016) à 281</w:t>
      </w:r>
      <w:r w:rsidR="00484203" w:rsidRPr="00577640">
        <w:t> </w:t>
      </w:r>
      <w:r w:rsidRPr="00577640">
        <w:t xml:space="preserve">euros (troisième </w:t>
      </w:r>
      <w:r w:rsidRPr="00577640">
        <w:lastRenderedPageBreak/>
        <w:t>trimestre 2018). Le montant moyen de la pension pour incapacité de travail était de 386</w:t>
      </w:r>
      <w:r w:rsidR="00484203" w:rsidRPr="00577640">
        <w:t> </w:t>
      </w:r>
      <w:r w:rsidRPr="00577640">
        <w:t>euros en septembre 2018 et de 223</w:t>
      </w:r>
      <w:r w:rsidR="00484203" w:rsidRPr="00577640">
        <w:t> </w:t>
      </w:r>
      <w:r w:rsidRPr="00577640">
        <w:t>euros pour les personnes ayant une capacité de travail partielle.</w:t>
      </w:r>
    </w:p>
    <w:p w:rsidR="00401999" w:rsidRDefault="00B65E0A" w:rsidP="00401999">
      <w:pPr>
        <w:pStyle w:val="H23G"/>
        <w:rPr>
          <w:b w:val="0"/>
          <w:sz w:val="16"/>
          <w:szCs w:val="16"/>
          <w:lang w:val="fr-FR"/>
        </w:rPr>
      </w:pPr>
      <w:r w:rsidRPr="002C7AB3">
        <w:rPr>
          <w:iCs/>
          <w:noProof/>
          <w:sz w:val="18"/>
          <w:lang w:eastAsia="fr-CH"/>
        </w:rPr>
        <w:drawing>
          <wp:anchor distT="0" distB="0" distL="114300" distR="114300" simplePos="0" relativeHeight="251656704" behindDoc="0" locked="0" layoutInCell="1" allowOverlap="1" wp14:anchorId="4E355EF0" wp14:editId="7087ECC2">
            <wp:simplePos x="0" y="0"/>
            <wp:positionH relativeFrom="column">
              <wp:posOffset>723265</wp:posOffset>
            </wp:positionH>
            <wp:positionV relativeFrom="paragraph">
              <wp:posOffset>633095</wp:posOffset>
            </wp:positionV>
            <wp:extent cx="4680000" cy="3090296"/>
            <wp:effectExtent l="19050" t="19050" r="25400" b="15240"/>
            <wp:wrapTopAndBottom/>
            <wp:docPr id="6"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3090296"/>
                    </a:xfrm>
                    <a:prstGeom prst="rect">
                      <a:avLst/>
                    </a:prstGeom>
                    <a:noFill/>
                    <a:ln w="127">
                      <a:solidFill>
                        <a:schemeClr val="tx1"/>
                      </a:solidFill>
                    </a:ln>
                  </pic:spPr>
                </pic:pic>
              </a:graphicData>
            </a:graphic>
            <wp14:sizeRelH relativeFrom="page">
              <wp14:pctWidth>0</wp14:pctWidth>
            </wp14:sizeRelH>
            <wp14:sizeRelV relativeFrom="page">
              <wp14:pctHeight>0</wp14:pctHeight>
            </wp14:sizeRelV>
          </wp:anchor>
        </w:drawing>
      </w:r>
      <w:r w:rsidR="00401999" w:rsidRPr="00401999">
        <w:rPr>
          <w:b w:val="0"/>
          <w:lang w:val="fr-FR"/>
        </w:rPr>
        <w:tab/>
      </w:r>
      <w:r w:rsidR="00401999" w:rsidRPr="00401999">
        <w:rPr>
          <w:b w:val="0"/>
          <w:lang w:val="fr-FR"/>
        </w:rPr>
        <w:tab/>
        <w:t>Figure 1</w:t>
      </w:r>
      <w:r w:rsidR="00401999">
        <w:rPr>
          <w:lang w:val="fr-FR"/>
        </w:rPr>
        <w:t xml:space="preserve"> </w:t>
      </w:r>
      <w:r w:rsidR="00401999">
        <w:rPr>
          <w:lang w:val="fr-FR"/>
        </w:rPr>
        <w:br/>
        <w:t>B</w:t>
      </w:r>
      <w:r w:rsidR="00401999" w:rsidRPr="002C7AB3">
        <w:rPr>
          <w:lang w:val="fr-FR"/>
        </w:rPr>
        <w:t>énéficiaires de l</w:t>
      </w:r>
      <w:r w:rsidR="00401999">
        <w:rPr>
          <w:lang w:val="fr-FR"/>
        </w:rPr>
        <w:t>’</w:t>
      </w:r>
      <w:r w:rsidR="00401999" w:rsidRPr="002C7AB3">
        <w:rPr>
          <w:lang w:val="fr-FR"/>
        </w:rPr>
        <w:t>allocation de capacité de travail</w:t>
      </w:r>
      <w:r w:rsidR="00401999">
        <w:rPr>
          <w:lang w:val="fr-FR"/>
        </w:rPr>
        <w:t xml:space="preserve"> </w:t>
      </w:r>
      <w:r w:rsidR="00401999">
        <w:rPr>
          <w:lang w:val="fr-FR"/>
        </w:rPr>
        <w:br/>
      </w:r>
      <w:r w:rsidR="00401999" w:rsidRPr="00401999">
        <w:rPr>
          <w:b w:val="0"/>
          <w:sz w:val="16"/>
          <w:szCs w:val="16"/>
          <w:lang w:val="fr-FR"/>
        </w:rPr>
        <w:t>(En mois)</w:t>
      </w:r>
      <w:r w:rsidR="00401999" w:rsidRPr="006F6EE3">
        <w:rPr>
          <w:rStyle w:val="Appelnotedebasdep"/>
          <w:b w:val="0"/>
        </w:rPr>
        <w:footnoteReference w:id="12"/>
      </w:r>
    </w:p>
    <w:p w:rsidR="004366C4" w:rsidRPr="006F6EE3" w:rsidRDefault="004366C4" w:rsidP="006F6EE3">
      <w:pPr>
        <w:pStyle w:val="SingleTxtG"/>
        <w:spacing w:before="360" w:after="240"/>
        <w:ind w:firstLine="170"/>
        <w:rPr>
          <w:sz w:val="18"/>
          <w:szCs w:val="18"/>
          <w:lang w:val="fr-FR"/>
        </w:rPr>
      </w:pPr>
      <w:r w:rsidRPr="006F6EE3">
        <w:rPr>
          <w:i/>
          <w:iCs/>
          <w:sz w:val="18"/>
          <w:szCs w:val="18"/>
          <w:lang w:val="fr-FR"/>
        </w:rPr>
        <w:t>Source</w:t>
      </w:r>
      <w:r w:rsidR="00484203" w:rsidRPr="006F6EE3">
        <w:rPr>
          <w:iCs/>
          <w:sz w:val="18"/>
          <w:szCs w:val="18"/>
          <w:lang w:val="fr-FR"/>
        </w:rPr>
        <w:t> </w:t>
      </w:r>
      <w:r w:rsidRPr="006F6EE3">
        <w:rPr>
          <w:sz w:val="18"/>
          <w:szCs w:val="18"/>
          <w:lang w:val="fr-FR"/>
        </w:rPr>
        <w:t>: Caisse d’</w:t>
      </w:r>
      <w:r w:rsidRPr="006F6EE3">
        <w:rPr>
          <w:iCs/>
          <w:sz w:val="18"/>
          <w:szCs w:val="18"/>
          <w:lang w:val="fr-FR"/>
        </w:rPr>
        <w:t>assurance chômage</w:t>
      </w:r>
      <w:r w:rsidRPr="006F6EE3">
        <w:rPr>
          <w:sz w:val="18"/>
          <w:szCs w:val="18"/>
          <w:lang w:val="fr-FR"/>
        </w:rPr>
        <w:t>.</w:t>
      </w:r>
    </w:p>
    <w:p w:rsidR="004366C4" w:rsidRPr="00FB381B" w:rsidRDefault="006F6EE3" w:rsidP="006F6EE3">
      <w:pPr>
        <w:pStyle w:val="H23G"/>
        <w:rPr>
          <w:lang w:val="fr-FR"/>
        </w:rPr>
      </w:pPr>
      <w:r w:rsidRPr="006F6EE3">
        <w:rPr>
          <w:b w:val="0"/>
          <w:lang w:val="fr-FR"/>
        </w:rPr>
        <w:tab/>
      </w:r>
      <w:r w:rsidRPr="006F6EE3">
        <w:rPr>
          <w:b w:val="0"/>
          <w:lang w:val="fr-FR"/>
        </w:rPr>
        <w:tab/>
        <w:t>Figure 2.1</w:t>
      </w:r>
      <w:r>
        <w:rPr>
          <w:lang w:val="fr-FR"/>
        </w:rPr>
        <w:t xml:space="preserve"> </w:t>
      </w:r>
      <w:r>
        <w:rPr>
          <w:lang w:val="fr-FR"/>
        </w:rPr>
        <w:br/>
      </w:r>
      <w:r w:rsidR="004366C4" w:rsidRPr="002C7AB3">
        <w:rPr>
          <w:lang w:val="fr-FR"/>
        </w:rPr>
        <w:t>Montant moyen de l</w:t>
      </w:r>
      <w:r w:rsidR="004366C4">
        <w:rPr>
          <w:lang w:val="fr-FR"/>
        </w:rPr>
        <w:t>’</w:t>
      </w:r>
      <w:r w:rsidR="004366C4" w:rsidRPr="002C7AB3">
        <w:rPr>
          <w:lang w:val="fr-FR"/>
        </w:rPr>
        <w:t xml:space="preserve">allocation de capacité de travail </w:t>
      </w:r>
      <w:r w:rsidR="00FB381B">
        <w:rPr>
          <w:lang w:val="fr-FR"/>
        </w:rPr>
        <w:br/>
      </w:r>
      <w:r w:rsidR="00FB381B" w:rsidRPr="00FB381B">
        <w:rPr>
          <w:b w:val="0"/>
          <w:sz w:val="16"/>
          <w:szCs w:val="16"/>
          <w:lang w:val="fr-FR"/>
        </w:rPr>
        <w:t xml:space="preserve">(En mois, </w:t>
      </w:r>
      <w:r w:rsidR="004366C4" w:rsidRPr="00FB381B">
        <w:rPr>
          <w:b w:val="0"/>
          <w:sz w:val="16"/>
          <w:szCs w:val="16"/>
          <w:lang w:val="fr-FR"/>
        </w:rPr>
        <w:t>euros)</w:t>
      </w:r>
    </w:p>
    <w:p w:rsidR="004366C4" w:rsidRPr="002C7AB3" w:rsidRDefault="004366C4" w:rsidP="004366C4">
      <w:pPr>
        <w:pStyle w:val="SingleTxtG"/>
        <w:rPr>
          <w:lang w:val="fr-FR"/>
        </w:rPr>
      </w:pPr>
      <w:r w:rsidRPr="002C7AB3">
        <w:rPr>
          <w:noProof/>
          <w:lang w:eastAsia="fr-CH"/>
        </w:rPr>
        <w:drawing>
          <wp:inline distT="0" distB="0" distL="0" distR="0" wp14:anchorId="02631FAD" wp14:editId="2FC2E14D">
            <wp:extent cx="4680000" cy="2260408"/>
            <wp:effectExtent l="19050" t="19050" r="25400" b="2603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2260408"/>
                    </a:xfrm>
                    <a:prstGeom prst="rect">
                      <a:avLst/>
                    </a:prstGeom>
                    <a:noFill/>
                    <a:ln w="127">
                      <a:solidFill>
                        <a:schemeClr val="tx1"/>
                      </a:solidFill>
                    </a:ln>
                  </pic:spPr>
                </pic:pic>
              </a:graphicData>
            </a:graphic>
          </wp:inline>
        </w:drawing>
      </w:r>
    </w:p>
    <w:p w:rsidR="004366C4" w:rsidRPr="006F6EE3" w:rsidRDefault="004366C4" w:rsidP="006F6EE3">
      <w:pPr>
        <w:pStyle w:val="SingleTxtG"/>
        <w:spacing w:before="120" w:after="240"/>
        <w:ind w:firstLine="170"/>
        <w:rPr>
          <w:sz w:val="18"/>
          <w:szCs w:val="18"/>
          <w:lang w:val="fr-FR"/>
        </w:rPr>
      </w:pPr>
      <w:r w:rsidRPr="006F6EE3">
        <w:rPr>
          <w:i/>
          <w:sz w:val="18"/>
          <w:szCs w:val="18"/>
          <w:lang w:val="fr-FR"/>
        </w:rPr>
        <w:t>Source</w:t>
      </w:r>
      <w:r w:rsidR="006F6EE3" w:rsidRPr="006F6EE3">
        <w:rPr>
          <w:sz w:val="18"/>
          <w:szCs w:val="18"/>
          <w:lang w:val="fr-FR"/>
        </w:rPr>
        <w:t> </w:t>
      </w:r>
      <w:r w:rsidRPr="006F6EE3">
        <w:rPr>
          <w:sz w:val="18"/>
          <w:szCs w:val="18"/>
          <w:lang w:val="fr-FR"/>
        </w:rPr>
        <w:t>: Caisse d’assurance chômage.</w:t>
      </w:r>
    </w:p>
    <w:p w:rsidR="004366C4" w:rsidRPr="002C7AB3" w:rsidRDefault="006F6EE3" w:rsidP="00577640">
      <w:pPr>
        <w:pStyle w:val="H23G"/>
        <w:spacing w:after="240"/>
        <w:rPr>
          <w:bCs/>
          <w:lang w:val="fr-FR"/>
        </w:rPr>
      </w:pPr>
      <w:r w:rsidRPr="006F6EE3">
        <w:rPr>
          <w:b w:val="0"/>
          <w:lang w:val="fr-FR"/>
        </w:rPr>
        <w:lastRenderedPageBreak/>
        <w:tab/>
      </w:r>
      <w:r w:rsidRPr="006F6EE3">
        <w:rPr>
          <w:b w:val="0"/>
          <w:lang w:val="fr-FR"/>
        </w:rPr>
        <w:tab/>
      </w:r>
      <w:r w:rsidR="004366C4" w:rsidRPr="006F6EE3">
        <w:rPr>
          <w:b w:val="0"/>
          <w:lang w:val="fr-FR"/>
        </w:rPr>
        <w:t xml:space="preserve">Figure 2.2 </w:t>
      </w:r>
      <w:r w:rsidRPr="006F6EE3">
        <w:rPr>
          <w:lang w:val="fr-FR"/>
        </w:rPr>
        <w:br/>
      </w:r>
      <w:r w:rsidR="004366C4" w:rsidRPr="002C7AB3">
        <w:rPr>
          <w:lang w:val="fr-FR"/>
        </w:rPr>
        <w:t>Montant moyen de l</w:t>
      </w:r>
      <w:r w:rsidR="004366C4">
        <w:rPr>
          <w:lang w:val="fr-FR"/>
        </w:rPr>
        <w:t>’</w:t>
      </w:r>
      <w:r w:rsidR="004366C4" w:rsidRPr="002C7AB3">
        <w:rPr>
          <w:lang w:val="fr-FR"/>
        </w:rPr>
        <w:t xml:space="preserve">allocation de capacité de travail </w:t>
      </w:r>
      <w:r w:rsidR="00AB4243">
        <w:rPr>
          <w:lang w:val="fr-FR"/>
        </w:rPr>
        <w:br/>
      </w:r>
      <w:r w:rsidR="00AB4243" w:rsidRPr="00FB381B">
        <w:rPr>
          <w:b w:val="0"/>
          <w:sz w:val="16"/>
          <w:szCs w:val="16"/>
          <w:lang w:val="fr-FR"/>
        </w:rPr>
        <w:t>(En mois, euros)</w:t>
      </w:r>
    </w:p>
    <w:p w:rsidR="004366C4" w:rsidRPr="002C7AB3" w:rsidRDefault="004366C4" w:rsidP="004366C4">
      <w:pPr>
        <w:pStyle w:val="SingleTxtG"/>
        <w:rPr>
          <w:lang w:val="fr-FR"/>
        </w:rPr>
      </w:pPr>
      <w:r w:rsidRPr="002C7AB3">
        <w:rPr>
          <w:noProof/>
          <w:lang w:eastAsia="fr-CH"/>
        </w:rPr>
        <w:drawing>
          <wp:inline distT="0" distB="0" distL="0" distR="0" wp14:anchorId="624A1C51" wp14:editId="502D3BFF">
            <wp:extent cx="4854102" cy="3206470"/>
            <wp:effectExtent l="19050" t="19050" r="22860" b="13335"/>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1403" cy="3211293"/>
                    </a:xfrm>
                    <a:prstGeom prst="rect">
                      <a:avLst/>
                    </a:prstGeom>
                    <a:noFill/>
                    <a:ln w="127">
                      <a:solidFill>
                        <a:schemeClr val="tx1"/>
                      </a:solidFill>
                    </a:ln>
                  </pic:spPr>
                </pic:pic>
              </a:graphicData>
            </a:graphic>
          </wp:inline>
        </w:drawing>
      </w:r>
    </w:p>
    <w:p w:rsidR="004366C4" w:rsidRPr="006F6EE3" w:rsidRDefault="004366C4" w:rsidP="006F6EE3">
      <w:pPr>
        <w:pStyle w:val="SingleTxtG"/>
        <w:spacing w:before="120" w:after="240"/>
        <w:ind w:firstLine="170"/>
        <w:rPr>
          <w:sz w:val="18"/>
          <w:szCs w:val="18"/>
          <w:lang w:val="fr-FR"/>
        </w:rPr>
      </w:pPr>
      <w:r w:rsidRPr="006F6EE3">
        <w:rPr>
          <w:i/>
          <w:sz w:val="18"/>
          <w:szCs w:val="18"/>
          <w:lang w:val="fr-FR"/>
        </w:rPr>
        <w:t>Source</w:t>
      </w:r>
      <w:r w:rsidR="006F6EE3">
        <w:rPr>
          <w:i/>
          <w:sz w:val="18"/>
          <w:szCs w:val="18"/>
          <w:lang w:val="fr-FR"/>
        </w:rPr>
        <w:t> </w:t>
      </w:r>
      <w:r w:rsidRPr="006F6EE3">
        <w:rPr>
          <w:sz w:val="18"/>
          <w:szCs w:val="18"/>
          <w:lang w:val="fr-FR"/>
        </w:rPr>
        <w:t>: Caisse d’assurance chômage.</w:t>
      </w:r>
    </w:p>
    <w:p w:rsidR="004366C4" w:rsidRPr="002C7AB3" w:rsidRDefault="004366C4" w:rsidP="004366C4">
      <w:pPr>
        <w:pStyle w:val="SingleTxtG"/>
        <w:rPr>
          <w:lang w:val="fr-FR"/>
        </w:rPr>
      </w:pPr>
      <w:r w:rsidRPr="002C7AB3">
        <w:rPr>
          <w:lang w:val="fr-FR"/>
        </w:rPr>
        <w:t>59.</w:t>
      </w:r>
      <w:r w:rsidRPr="002C7AB3">
        <w:rPr>
          <w:lang w:val="fr-FR"/>
        </w:rPr>
        <w:tab/>
        <w:t>Si l</w:t>
      </w:r>
      <w:r>
        <w:rPr>
          <w:lang w:val="fr-FR"/>
        </w:rPr>
        <w:t>’</w:t>
      </w:r>
      <w:r w:rsidRPr="002C7AB3">
        <w:rPr>
          <w:lang w:val="fr-FR"/>
        </w:rPr>
        <w:t>on compare les montants de l</w:t>
      </w:r>
      <w:r>
        <w:rPr>
          <w:lang w:val="fr-FR"/>
        </w:rPr>
        <w:t>’</w:t>
      </w:r>
      <w:r w:rsidRPr="002C7AB3">
        <w:rPr>
          <w:lang w:val="fr-FR"/>
        </w:rPr>
        <w:t>allocation de capacité de travail avec ceux de la pension d</w:t>
      </w:r>
      <w:r>
        <w:rPr>
          <w:lang w:val="fr-FR"/>
        </w:rPr>
        <w:t>’</w:t>
      </w:r>
      <w:r w:rsidRPr="002C7AB3">
        <w:rPr>
          <w:lang w:val="fr-FR"/>
        </w:rPr>
        <w:t>incapacité antérieure, on constate que la majorité des bénéficiaires ont perçu des prestations supérieures à celles qu</w:t>
      </w:r>
      <w:r>
        <w:rPr>
          <w:lang w:val="fr-FR"/>
        </w:rPr>
        <w:t>’</w:t>
      </w:r>
      <w:r w:rsidRPr="002C7AB3">
        <w:rPr>
          <w:lang w:val="fr-FR"/>
        </w:rPr>
        <w:t>ils percevaient auparavant.</w:t>
      </w:r>
    </w:p>
    <w:p w:rsidR="004366C4" w:rsidRPr="002C7AB3" w:rsidRDefault="006F6EE3" w:rsidP="006F6EE3">
      <w:pPr>
        <w:pStyle w:val="H23G"/>
        <w:rPr>
          <w:bCs/>
          <w:lang w:val="fr-FR"/>
        </w:rPr>
      </w:pPr>
      <w:r w:rsidRPr="006F6EE3">
        <w:rPr>
          <w:b w:val="0"/>
          <w:lang w:val="fr-FR"/>
        </w:rPr>
        <w:tab/>
      </w:r>
      <w:r w:rsidRPr="006F6EE3">
        <w:rPr>
          <w:b w:val="0"/>
          <w:lang w:val="fr-FR"/>
        </w:rPr>
        <w:tab/>
      </w:r>
      <w:r w:rsidR="004366C4" w:rsidRPr="006F6EE3">
        <w:rPr>
          <w:b w:val="0"/>
          <w:lang w:val="fr-FR"/>
        </w:rPr>
        <w:t>Figure 3</w:t>
      </w:r>
      <w:r w:rsidR="004366C4" w:rsidRPr="002C7AB3">
        <w:rPr>
          <w:lang w:val="fr-FR"/>
        </w:rPr>
        <w:t xml:space="preserve"> </w:t>
      </w:r>
      <w:r>
        <w:rPr>
          <w:lang w:val="fr-FR"/>
        </w:rPr>
        <w:br/>
      </w:r>
      <w:r w:rsidR="004366C4" w:rsidRPr="002C7AB3">
        <w:rPr>
          <w:lang w:val="fr-FR"/>
        </w:rPr>
        <w:t>Nombre de bénéficiaires de l</w:t>
      </w:r>
      <w:r w:rsidR="004366C4">
        <w:rPr>
          <w:lang w:val="fr-FR"/>
        </w:rPr>
        <w:t>’</w:t>
      </w:r>
      <w:r w:rsidR="004366C4" w:rsidRPr="002C7AB3">
        <w:rPr>
          <w:lang w:val="fr-FR"/>
        </w:rPr>
        <w:t xml:space="preserve">allocation de capacité de travail (décembre 2017) </w:t>
      </w:r>
      <w:r>
        <w:rPr>
          <w:lang w:val="fr-FR"/>
        </w:rPr>
        <w:br/>
      </w:r>
      <w:r w:rsidR="004366C4" w:rsidRPr="002C7AB3">
        <w:rPr>
          <w:lang w:val="fr-FR"/>
        </w:rPr>
        <w:t>par niveau de capacité de travail et pourcentage</w:t>
      </w:r>
      <w:r>
        <w:rPr>
          <w:lang w:val="fr-FR"/>
        </w:rPr>
        <w:t xml:space="preserve"> de capacité, et proportion des </w:t>
      </w:r>
      <w:r w:rsidR="004366C4" w:rsidRPr="002C7AB3">
        <w:rPr>
          <w:lang w:val="fr-FR"/>
        </w:rPr>
        <w:t>bénéficiaires par niveau de revenu</w:t>
      </w:r>
    </w:p>
    <w:p w:rsidR="004366C4" w:rsidRPr="002C7AB3" w:rsidRDefault="004366C4" w:rsidP="004366C4">
      <w:pPr>
        <w:pStyle w:val="SingleTxtG"/>
        <w:rPr>
          <w:lang w:val="fr-FR"/>
        </w:rPr>
      </w:pPr>
      <w:r w:rsidRPr="002C7AB3">
        <w:rPr>
          <w:noProof/>
          <w:lang w:eastAsia="fr-CH"/>
        </w:rPr>
        <w:drawing>
          <wp:inline distT="0" distB="0" distL="0" distR="0" wp14:anchorId="7263870A" wp14:editId="6F408FED">
            <wp:extent cx="3600000" cy="3406462"/>
            <wp:effectExtent l="19050" t="19050" r="19685" b="2286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3406462"/>
                    </a:xfrm>
                    <a:prstGeom prst="rect">
                      <a:avLst/>
                    </a:prstGeom>
                    <a:noFill/>
                    <a:ln w="127">
                      <a:solidFill>
                        <a:schemeClr val="tx1"/>
                      </a:solidFill>
                    </a:ln>
                  </pic:spPr>
                </pic:pic>
              </a:graphicData>
            </a:graphic>
          </wp:inline>
        </w:drawing>
      </w:r>
    </w:p>
    <w:p w:rsidR="004366C4" w:rsidRPr="002C7AB3" w:rsidRDefault="004366C4" w:rsidP="004366C4">
      <w:pPr>
        <w:pStyle w:val="SingleTxtG"/>
        <w:rPr>
          <w:lang w:val="fr-FR"/>
        </w:rPr>
      </w:pPr>
      <w:r w:rsidRPr="002C7AB3">
        <w:rPr>
          <w:noProof/>
          <w:lang w:eastAsia="fr-CH"/>
        </w:rPr>
        <w:lastRenderedPageBreak/>
        <w:drawing>
          <wp:inline distT="0" distB="0" distL="0" distR="0" wp14:anchorId="1ADE7CB3" wp14:editId="64628D68">
            <wp:extent cx="3600000" cy="2861231"/>
            <wp:effectExtent l="19050" t="19050" r="19685" b="15875"/>
            <wp:docPr id="5"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2861231"/>
                    </a:xfrm>
                    <a:prstGeom prst="rect">
                      <a:avLst/>
                    </a:prstGeom>
                    <a:noFill/>
                    <a:ln w="127">
                      <a:solidFill>
                        <a:schemeClr val="tx1"/>
                      </a:solidFill>
                    </a:ln>
                  </pic:spPr>
                </pic:pic>
              </a:graphicData>
            </a:graphic>
          </wp:inline>
        </w:drawing>
      </w:r>
    </w:p>
    <w:p w:rsidR="004366C4" w:rsidRPr="00200897" w:rsidRDefault="004366C4" w:rsidP="00200897">
      <w:pPr>
        <w:pStyle w:val="SingleTxtG"/>
        <w:spacing w:before="120" w:after="240"/>
        <w:ind w:firstLine="170"/>
        <w:rPr>
          <w:i/>
          <w:sz w:val="18"/>
          <w:szCs w:val="18"/>
          <w:lang w:val="fr-FR"/>
        </w:rPr>
      </w:pPr>
      <w:r w:rsidRPr="00200897">
        <w:rPr>
          <w:i/>
          <w:sz w:val="18"/>
          <w:szCs w:val="18"/>
          <w:lang w:val="fr-FR"/>
        </w:rPr>
        <w:t>Source</w:t>
      </w:r>
      <w:r w:rsidR="00200897" w:rsidRPr="00200897">
        <w:rPr>
          <w:i/>
          <w:sz w:val="18"/>
          <w:szCs w:val="18"/>
          <w:lang w:val="fr-FR"/>
        </w:rPr>
        <w:t> </w:t>
      </w:r>
      <w:r w:rsidRPr="00200897">
        <w:rPr>
          <w:sz w:val="18"/>
          <w:szCs w:val="18"/>
          <w:lang w:val="fr-FR"/>
        </w:rPr>
        <w:t>: Caisse d’assurance chômage, Caisse de sécurité sociale, calculs du Ministère des affaires sociales.</w:t>
      </w:r>
    </w:p>
    <w:p w:rsidR="004366C4" w:rsidRPr="002C7AB3" w:rsidRDefault="004366C4" w:rsidP="004366C4">
      <w:pPr>
        <w:pStyle w:val="SingleTxtG"/>
        <w:rPr>
          <w:lang w:val="fr-FR"/>
        </w:rPr>
      </w:pPr>
      <w:r w:rsidRPr="002C7AB3">
        <w:rPr>
          <w:lang w:val="fr-FR"/>
        </w:rPr>
        <w:t>60.</w:t>
      </w:r>
      <w:r w:rsidRPr="002C7AB3">
        <w:rPr>
          <w:lang w:val="fr-FR"/>
        </w:rPr>
        <w:tab/>
        <w:t xml:space="preserve">Le Ministère des affaires sociales </w:t>
      </w:r>
      <w:r>
        <w:rPr>
          <w:lang w:val="fr-FR"/>
        </w:rPr>
        <w:t>étudie</w:t>
      </w:r>
      <w:r w:rsidRPr="002C7AB3">
        <w:rPr>
          <w:lang w:val="fr-FR"/>
        </w:rPr>
        <w:t xml:space="preserve"> actuellement les possibilités de modifier le système d</w:t>
      </w:r>
      <w:r>
        <w:rPr>
          <w:lang w:val="fr-FR"/>
        </w:rPr>
        <w:t>’</w:t>
      </w:r>
      <w:r w:rsidRPr="002C7AB3">
        <w:rPr>
          <w:iCs/>
          <w:lang w:val="fr-FR"/>
        </w:rPr>
        <w:t>allocations de chômage</w:t>
      </w:r>
      <w:r w:rsidRPr="002C7AB3">
        <w:rPr>
          <w:lang w:val="fr-FR"/>
        </w:rPr>
        <w:t xml:space="preserve">. </w:t>
      </w:r>
      <w:r>
        <w:rPr>
          <w:lang w:val="fr-FR"/>
        </w:rPr>
        <w:t>C</w:t>
      </w:r>
      <w:r w:rsidRPr="002C7AB3">
        <w:rPr>
          <w:lang w:val="fr-FR"/>
        </w:rPr>
        <w:t>es allocations (allocations d</w:t>
      </w:r>
      <w:r>
        <w:rPr>
          <w:lang w:val="fr-FR"/>
        </w:rPr>
        <w:t>’</w:t>
      </w:r>
      <w:r w:rsidRPr="002C7AB3">
        <w:rPr>
          <w:lang w:val="fr-FR"/>
        </w:rPr>
        <w:t>assurance chômage et prestations de chômage) doivent assurer un revenu adéquat aux personnes qui sont à la recherche d</w:t>
      </w:r>
      <w:r>
        <w:rPr>
          <w:lang w:val="fr-FR"/>
        </w:rPr>
        <w:t>’</w:t>
      </w:r>
      <w:r w:rsidRPr="002C7AB3">
        <w:rPr>
          <w:lang w:val="fr-FR"/>
        </w:rPr>
        <w:t xml:space="preserve">un emploi et leur permettre </w:t>
      </w:r>
      <w:r>
        <w:rPr>
          <w:lang w:val="fr-FR"/>
        </w:rPr>
        <w:t>de ne pas tomber dans la</w:t>
      </w:r>
      <w:r w:rsidRPr="002C7AB3">
        <w:rPr>
          <w:lang w:val="fr-FR"/>
        </w:rPr>
        <w:t xml:space="preserve"> pauvreté. Elles doivent également favoriser </w:t>
      </w:r>
      <w:r>
        <w:rPr>
          <w:lang w:val="fr-FR"/>
        </w:rPr>
        <w:t>le</w:t>
      </w:r>
      <w:r w:rsidRPr="002C7AB3">
        <w:rPr>
          <w:lang w:val="fr-FR"/>
        </w:rPr>
        <w:t xml:space="preserve"> retour rapide </w:t>
      </w:r>
      <w:r>
        <w:rPr>
          <w:lang w:val="fr-FR"/>
        </w:rPr>
        <w:t xml:space="preserve">des chômeurs </w:t>
      </w:r>
      <w:r w:rsidRPr="002C7AB3">
        <w:rPr>
          <w:lang w:val="fr-FR"/>
        </w:rPr>
        <w:t xml:space="preserve">sur le marché du travail. </w:t>
      </w:r>
      <w:r>
        <w:rPr>
          <w:lang w:val="fr-FR"/>
        </w:rPr>
        <w:t>Il est proposé d’examiner</w:t>
      </w:r>
      <w:r w:rsidRPr="002C7AB3">
        <w:rPr>
          <w:lang w:val="fr-FR"/>
        </w:rPr>
        <w:t xml:space="preserve"> différents scénarios fondés sur les lacunes du système d</w:t>
      </w:r>
      <w:r>
        <w:rPr>
          <w:lang w:val="fr-FR"/>
        </w:rPr>
        <w:t>’</w:t>
      </w:r>
      <w:r w:rsidRPr="002C7AB3">
        <w:rPr>
          <w:lang w:val="fr-FR"/>
        </w:rPr>
        <w:t xml:space="preserve">allocation </w:t>
      </w:r>
      <w:r>
        <w:rPr>
          <w:lang w:val="fr-FR"/>
        </w:rPr>
        <w:t>de</w:t>
      </w:r>
      <w:r w:rsidRPr="002C7AB3">
        <w:rPr>
          <w:lang w:val="fr-FR"/>
        </w:rPr>
        <w:t xml:space="preserve"> chômage et sur les problèmes connexes. Les premiers résultats seront présentés en 2019.</w:t>
      </w:r>
    </w:p>
    <w:p w:rsidR="004366C4" w:rsidRPr="002C7AB3" w:rsidRDefault="004366C4" w:rsidP="00C762D3">
      <w:pPr>
        <w:pStyle w:val="H1G"/>
        <w:rPr>
          <w:lang w:val="fr-FR"/>
        </w:rPr>
      </w:pPr>
      <w:r w:rsidRPr="002C7AB3">
        <w:rPr>
          <w:lang w:val="fr-FR"/>
        </w:rPr>
        <w:tab/>
      </w:r>
      <w:r w:rsidRPr="002C7AB3">
        <w:rPr>
          <w:lang w:val="fr-FR"/>
        </w:rPr>
        <w:tab/>
        <w:t>Protection de la famille et de l</w:t>
      </w:r>
      <w:r>
        <w:rPr>
          <w:lang w:val="fr-FR"/>
        </w:rPr>
        <w:t>’</w:t>
      </w:r>
      <w:r w:rsidR="0021318E">
        <w:rPr>
          <w:lang w:val="fr-FR"/>
        </w:rPr>
        <w:t>enfant (art. </w:t>
      </w:r>
      <w:r w:rsidR="00C762D3">
        <w:rPr>
          <w:lang w:val="fr-FR"/>
        </w:rPr>
        <w:t>10)</w:t>
      </w:r>
    </w:p>
    <w:p w:rsidR="004366C4" w:rsidRPr="002C7AB3" w:rsidRDefault="004366C4" w:rsidP="00C762D3">
      <w:pPr>
        <w:pStyle w:val="H23G"/>
        <w:rPr>
          <w:lang w:val="fr-FR"/>
        </w:rPr>
      </w:pPr>
      <w:r w:rsidRPr="002C7AB3">
        <w:rPr>
          <w:lang w:val="fr-FR"/>
        </w:rPr>
        <w:tab/>
      </w:r>
      <w:r w:rsidRPr="002C7AB3">
        <w:rPr>
          <w:lang w:val="fr-FR"/>
        </w:rPr>
        <w:tab/>
        <w:t xml:space="preserve">Prévention de la </w:t>
      </w:r>
      <w:r w:rsidRPr="002C7AB3">
        <w:rPr>
          <w:iCs/>
          <w:lang w:val="fr-FR"/>
        </w:rPr>
        <w:t>violence familiale</w:t>
      </w:r>
    </w:p>
    <w:p w:rsidR="004366C4" w:rsidRPr="002C7AB3" w:rsidRDefault="004366C4" w:rsidP="004366C4">
      <w:pPr>
        <w:pStyle w:val="SingleTxtG"/>
        <w:rPr>
          <w:lang w:val="fr-FR"/>
        </w:rPr>
      </w:pPr>
      <w:r w:rsidRPr="002C7AB3">
        <w:rPr>
          <w:lang w:val="fr-FR"/>
        </w:rPr>
        <w:t>61.</w:t>
      </w:r>
      <w:r w:rsidRPr="002C7AB3">
        <w:rPr>
          <w:lang w:val="fr-FR"/>
        </w:rPr>
        <w:tab/>
        <w:t>En janvier 2015, une modification apportée au Code pénal estonien</w:t>
      </w:r>
      <w:r w:rsidRPr="00645B63">
        <w:rPr>
          <w:rStyle w:val="Appelnotedebasdep"/>
        </w:rPr>
        <w:footnoteReference w:id="13"/>
      </w:r>
      <w:r w:rsidRPr="002C7AB3">
        <w:rPr>
          <w:lang w:val="fr-FR"/>
        </w:rPr>
        <w:t xml:space="preserve"> est entrée en vigueur, en vertu de laquelle </w:t>
      </w:r>
      <w:r w:rsidRPr="002C7AB3">
        <w:rPr>
          <w:iCs/>
          <w:lang w:val="fr-FR"/>
        </w:rPr>
        <w:t xml:space="preserve">les atteintes à la santé </w:t>
      </w:r>
      <w:r>
        <w:rPr>
          <w:iCs/>
          <w:lang w:val="fr-FR"/>
        </w:rPr>
        <w:t>d’autrui</w:t>
      </w:r>
      <w:r w:rsidRPr="002C7AB3">
        <w:rPr>
          <w:lang w:val="fr-FR"/>
        </w:rPr>
        <w:t xml:space="preserve"> et les </w:t>
      </w:r>
      <w:r>
        <w:rPr>
          <w:lang w:val="fr-FR"/>
        </w:rPr>
        <w:t>violences</w:t>
      </w:r>
      <w:r w:rsidRPr="002C7AB3">
        <w:rPr>
          <w:lang w:val="fr-FR"/>
        </w:rPr>
        <w:t xml:space="preserve"> physiques, </w:t>
      </w:r>
      <w:r>
        <w:rPr>
          <w:lang w:val="fr-FR"/>
        </w:rPr>
        <w:t>si elles</w:t>
      </w:r>
      <w:r w:rsidRPr="002C7AB3">
        <w:rPr>
          <w:lang w:val="fr-FR"/>
        </w:rPr>
        <w:t xml:space="preserve"> sont </w:t>
      </w:r>
      <w:r>
        <w:rPr>
          <w:iCs/>
          <w:lang w:val="fr-FR"/>
        </w:rPr>
        <w:t>infligées</w:t>
      </w:r>
      <w:r w:rsidRPr="002C7AB3">
        <w:rPr>
          <w:iCs/>
          <w:lang w:val="fr-FR"/>
        </w:rPr>
        <w:t xml:space="preserve"> dans le cadre d</w:t>
      </w:r>
      <w:r>
        <w:rPr>
          <w:iCs/>
          <w:lang w:val="fr-FR"/>
        </w:rPr>
        <w:t>’</w:t>
      </w:r>
      <w:r w:rsidRPr="002C7AB3">
        <w:rPr>
          <w:iCs/>
          <w:lang w:val="fr-FR"/>
        </w:rPr>
        <w:t xml:space="preserve">une relation </w:t>
      </w:r>
      <w:r>
        <w:rPr>
          <w:iCs/>
          <w:lang w:val="fr-FR"/>
        </w:rPr>
        <w:t>de proximité</w:t>
      </w:r>
      <w:r w:rsidRPr="002C7AB3">
        <w:rPr>
          <w:iCs/>
          <w:lang w:val="fr-FR"/>
        </w:rPr>
        <w:t xml:space="preserve"> ou de subordination</w:t>
      </w:r>
      <w:r w:rsidRPr="002C7AB3">
        <w:rPr>
          <w:lang w:val="fr-FR"/>
        </w:rPr>
        <w:t xml:space="preserve">, </w:t>
      </w:r>
      <w:r>
        <w:rPr>
          <w:lang w:val="fr-FR"/>
        </w:rPr>
        <w:t xml:space="preserve">ce qui constitue une circonstance aggravante, </w:t>
      </w:r>
      <w:r w:rsidRPr="002C7AB3">
        <w:rPr>
          <w:iCs/>
          <w:lang w:val="fr-FR"/>
        </w:rPr>
        <w:t xml:space="preserve">sont </w:t>
      </w:r>
      <w:r>
        <w:rPr>
          <w:iCs/>
          <w:lang w:val="fr-FR"/>
        </w:rPr>
        <w:t>passibles</w:t>
      </w:r>
      <w:r w:rsidRPr="002C7AB3">
        <w:rPr>
          <w:iCs/>
          <w:lang w:val="fr-FR"/>
        </w:rPr>
        <w:t xml:space="preserve"> d</w:t>
      </w:r>
      <w:r>
        <w:rPr>
          <w:iCs/>
          <w:lang w:val="fr-FR"/>
        </w:rPr>
        <w:t>’</w:t>
      </w:r>
      <w:r w:rsidRPr="002C7AB3">
        <w:rPr>
          <w:iCs/>
          <w:lang w:val="fr-FR"/>
        </w:rPr>
        <w:t>une peine d</w:t>
      </w:r>
      <w:r>
        <w:rPr>
          <w:iCs/>
          <w:lang w:val="fr-FR"/>
        </w:rPr>
        <w:t>’</w:t>
      </w:r>
      <w:r w:rsidRPr="002C7AB3">
        <w:rPr>
          <w:iCs/>
          <w:lang w:val="fr-FR"/>
        </w:rPr>
        <w:t>amende ou d</w:t>
      </w:r>
      <w:r>
        <w:rPr>
          <w:iCs/>
          <w:lang w:val="fr-FR"/>
        </w:rPr>
        <w:t>’</w:t>
      </w:r>
      <w:r w:rsidRPr="002C7AB3">
        <w:rPr>
          <w:iCs/>
          <w:lang w:val="fr-FR"/>
        </w:rPr>
        <w:t>une peine d</w:t>
      </w:r>
      <w:r>
        <w:rPr>
          <w:iCs/>
          <w:lang w:val="fr-FR"/>
        </w:rPr>
        <w:t>’</w:t>
      </w:r>
      <w:r w:rsidRPr="002C7AB3">
        <w:rPr>
          <w:iCs/>
          <w:lang w:val="fr-FR"/>
        </w:rPr>
        <w:t>emprisonnement pouvant atteindre jusqu</w:t>
      </w:r>
      <w:r>
        <w:rPr>
          <w:iCs/>
          <w:lang w:val="fr-FR"/>
        </w:rPr>
        <w:t>’</w:t>
      </w:r>
      <w:r w:rsidRPr="002C7AB3">
        <w:rPr>
          <w:iCs/>
          <w:lang w:val="fr-FR"/>
        </w:rPr>
        <w:t xml:space="preserve">à cinq ans </w:t>
      </w:r>
      <w:r w:rsidRPr="002C7AB3">
        <w:rPr>
          <w:lang w:val="fr-FR"/>
        </w:rPr>
        <w:t>(art</w:t>
      </w:r>
      <w:r w:rsidR="009A37AC">
        <w:rPr>
          <w:lang w:val="fr-FR"/>
        </w:rPr>
        <w:t>. 121, par. </w:t>
      </w:r>
      <w:r w:rsidRPr="002C7AB3">
        <w:rPr>
          <w:lang w:val="fr-FR"/>
        </w:rPr>
        <w:t>2</w:t>
      </w:r>
      <w:r>
        <w:rPr>
          <w:lang w:val="fr-FR"/>
        </w:rPr>
        <w:t>.</w:t>
      </w:r>
      <w:r w:rsidRPr="002C7AB3">
        <w:rPr>
          <w:lang w:val="fr-FR"/>
        </w:rPr>
        <w:t xml:space="preserve">2). Les données relatives à la violence familiale portent en grande partie sur cette </w:t>
      </w:r>
      <w:r>
        <w:rPr>
          <w:lang w:val="fr-FR"/>
        </w:rPr>
        <w:t>forme aggravée d’</w:t>
      </w:r>
      <w:r w:rsidRPr="002C7AB3">
        <w:rPr>
          <w:lang w:val="fr-FR"/>
        </w:rPr>
        <w:t xml:space="preserve">infraction. </w:t>
      </w:r>
      <w:r>
        <w:rPr>
          <w:lang w:val="fr-FR"/>
        </w:rPr>
        <w:t>Dans le cadre de la</w:t>
      </w:r>
      <w:r w:rsidRPr="002C7AB3">
        <w:rPr>
          <w:lang w:val="fr-FR"/>
        </w:rPr>
        <w:t xml:space="preserve"> modification </w:t>
      </w:r>
      <w:r>
        <w:rPr>
          <w:lang w:val="fr-FR"/>
        </w:rPr>
        <w:t>du Code pénal, on s’est attaché à redéfinir les</w:t>
      </w:r>
      <w:r w:rsidRPr="002C7AB3">
        <w:rPr>
          <w:lang w:val="fr-FR"/>
        </w:rPr>
        <w:t xml:space="preserve"> </w:t>
      </w:r>
      <w:r w:rsidRPr="002C7AB3">
        <w:rPr>
          <w:iCs/>
          <w:lang w:val="fr-FR"/>
        </w:rPr>
        <w:t xml:space="preserve">circonstances aggravantes </w:t>
      </w:r>
      <w:r w:rsidRPr="002C7AB3">
        <w:rPr>
          <w:lang w:val="fr-FR"/>
        </w:rPr>
        <w:t xml:space="preserve">applicables à toutes les infractions, </w:t>
      </w:r>
      <w:r>
        <w:rPr>
          <w:lang w:val="fr-FR"/>
        </w:rPr>
        <w:t>qui doivent</w:t>
      </w:r>
      <w:r w:rsidRPr="002C7AB3">
        <w:rPr>
          <w:lang w:val="fr-FR"/>
        </w:rPr>
        <w:t xml:space="preserve"> être prises en compte lors de l</w:t>
      </w:r>
      <w:r>
        <w:rPr>
          <w:lang w:val="fr-FR"/>
        </w:rPr>
        <w:t>’</w:t>
      </w:r>
      <w:r w:rsidRPr="002C7AB3">
        <w:rPr>
          <w:lang w:val="fr-FR"/>
        </w:rPr>
        <w:t xml:space="preserve">examen du </w:t>
      </w:r>
      <w:r w:rsidRPr="002C7AB3">
        <w:rPr>
          <w:iCs/>
          <w:lang w:val="fr-FR"/>
        </w:rPr>
        <w:t xml:space="preserve">degré de culpabilité </w:t>
      </w:r>
      <w:r w:rsidR="009A37AC">
        <w:rPr>
          <w:lang w:val="fr-FR"/>
        </w:rPr>
        <w:t>et de la peine (art. </w:t>
      </w:r>
      <w:r w:rsidRPr="002C7AB3">
        <w:rPr>
          <w:lang w:val="fr-FR"/>
        </w:rPr>
        <w:t>58).</w:t>
      </w:r>
    </w:p>
    <w:p w:rsidR="004366C4" w:rsidRPr="002C7AB3" w:rsidRDefault="004366C4" w:rsidP="004366C4">
      <w:pPr>
        <w:pStyle w:val="SingleTxtG"/>
        <w:rPr>
          <w:lang w:val="fr-FR"/>
        </w:rPr>
      </w:pPr>
      <w:r w:rsidRPr="002C7AB3">
        <w:rPr>
          <w:lang w:val="fr-FR"/>
        </w:rPr>
        <w:t>62.</w:t>
      </w:r>
      <w:r w:rsidRPr="002C7AB3">
        <w:rPr>
          <w:lang w:val="fr-FR"/>
        </w:rPr>
        <w:tab/>
        <w:t>L</w:t>
      </w:r>
      <w:r>
        <w:rPr>
          <w:lang w:val="fr-FR"/>
        </w:rPr>
        <w:t>’</w:t>
      </w:r>
      <w:r w:rsidRPr="002C7AB3">
        <w:rPr>
          <w:lang w:val="fr-FR"/>
        </w:rPr>
        <w:t>Estonie a appliqué la directive de l</w:t>
      </w:r>
      <w:r>
        <w:rPr>
          <w:lang w:val="fr-FR"/>
        </w:rPr>
        <w:t>’</w:t>
      </w:r>
      <w:r w:rsidRPr="002C7AB3">
        <w:rPr>
          <w:lang w:val="fr-FR"/>
        </w:rPr>
        <w:t>Union européenne relative aux droits des victimes et a adhéré aux Conventions de Lanzarote et d</w:t>
      </w:r>
      <w:r>
        <w:rPr>
          <w:lang w:val="fr-FR"/>
        </w:rPr>
        <w:t>’</w:t>
      </w:r>
      <w:r w:rsidRPr="002C7AB3">
        <w:rPr>
          <w:lang w:val="fr-FR"/>
        </w:rPr>
        <w:t>Istanbul du Conseil de l</w:t>
      </w:r>
      <w:r>
        <w:rPr>
          <w:lang w:val="fr-FR"/>
        </w:rPr>
        <w:t>’</w:t>
      </w:r>
      <w:r w:rsidR="009A37AC">
        <w:rPr>
          <w:lang w:val="fr-FR"/>
        </w:rPr>
        <w:t>Europe. Le </w:t>
      </w:r>
      <w:r w:rsidRPr="002C7AB3">
        <w:rPr>
          <w:iCs/>
          <w:lang w:val="fr-FR"/>
        </w:rPr>
        <w:t xml:space="preserve">harcèlement sexuel </w:t>
      </w:r>
      <w:r w:rsidRPr="002C7AB3">
        <w:rPr>
          <w:lang w:val="fr-FR"/>
        </w:rPr>
        <w:t xml:space="preserve">et le harcèlement criminel ont été </w:t>
      </w:r>
      <w:r>
        <w:rPr>
          <w:lang w:val="fr-FR"/>
        </w:rPr>
        <w:t>incriminés</w:t>
      </w:r>
      <w:r w:rsidRPr="002C7AB3">
        <w:rPr>
          <w:lang w:val="fr-FR"/>
        </w:rPr>
        <w:t xml:space="preserve"> </w:t>
      </w:r>
      <w:r>
        <w:rPr>
          <w:lang w:val="fr-FR"/>
        </w:rPr>
        <w:t>en</w:t>
      </w:r>
      <w:r w:rsidRPr="002C7AB3">
        <w:rPr>
          <w:lang w:val="fr-FR"/>
        </w:rPr>
        <w:t xml:space="preserve"> </w:t>
      </w:r>
      <w:r w:rsidRPr="002C7AB3">
        <w:rPr>
          <w:iCs/>
          <w:lang w:val="fr-FR"/>
        </w:rPr>
        <w:t>droit interne</w:t>
      </w:r>
      <w:r w:rsidRPr="002C7AB3">
        <w:rPr>
          <w:lang w:val="fr-FR"/>
        </w:rPr>
        <w:t>.</w:t>
      </w:r>
    </w:p>
    <w:p w:rsidR="004366C4" w:rsidRPr="002C7AB3" w:rsidRDefault="004366C4" w:rsidP="00C762D3">
      <w:pPr>
        <w:pStyle w:val="H23G"/>
        <w:rPr>
          <w:lang w:val="fr-FR"/>
        </w:rPr>
      </w:pPr>
      <w:r w:rsidRPr="002C7AB3">
        <w:rPr>
          <w:lang w:val="fr-FR"/>
        </w:rPr>
        <w:tab/>
      </w:r>
      <w:r w:rsidRPr="002C7AB3">
        <w:rPr>
          <w:lang w:val="fr-FR"/>
        </w:rPr>
        <w:tab/>
        <w:t>Nombre annuel d</w:t>
      </w:r>
      <w:r>
        <w:rPr>
          <w:lang w:val="fr-FR"/>
        </w:rPr>
        <w:t>’</w:t>
      </w:r>
      <w:r w:rsidRPr="002C7AB3">
        <w:rPr>
          <w:lang w:val="fr-FR"/>
        </w:rPr>
        <w:t>infractions pénales enregistrées pour</w:t>
      </w:r>
      <w:r w:rsidR="009A37AC">
        <w:rPr>
          <w:lang w:val="fr-FR"/>
        </w:rPr>
        <w:t xml:space="preserve"> violence familiale au cours de </w:t>
      </w:r>
      <w:r w:rsidRPr="002C7AB3">
        <w:rPr>
          <w:lang w:val="fr-FR"/>
        </w:rPr>
        <w:t>la période 2015-2017</w:t>
      </w:r>
      <w:r w:rsidRPr="009A37AC">
        <w:rPr>
          <w:rStyle w:val="Appelnotedebasdep"/>
          <w:b w:val="0"/>
        </w:rPr>
        <w:footnoteReference w:id="14"/>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227"/>
        <w:gridCol w:w="1381"/>
        <w:gridCol w:w="1381"/>
        <w:gridCol w:w="1381"/>
      </w:tblGrid>
      <w:tr w:rsidR="004366C4" w:rsidRPr="009A37AC" w:rsidTr="009A37AC">
        <w:trPr>
          <w:tblHeader/>
        </w:trPr>
        <w:tc>
          <w:tcPr>
            <w:tcW w:w="3227" w:type="dxa"/>
            <w:shd w:val="clear" w:color="auto" w:fill="auto"/>
            <w:tcMar>
              <w:top w:w="0" w:type="dxa"/>
              <w:left w:w="108" w:type="dxa"/>
              <w:bottom w:w="0" w:type="dxa"/>
              <w:right w:w="108" w:type="dxa"/>
            </w:tcMar>
            <w:vAlign w:val="bottom"/>
            <w:hideMark/>
          </w:tcPr>
          <w:p w:rsidR="004366C4" w:rsidRPr="009A37AC" w:rsidRDefault="004366C4" w:rsidP="009A37AC">
            <w:pPr>
              <w:suppressAutoHyphens w:val="0"/>
              <w:spacing w:before="80" w:after="80" w:line="200" w:lineRule="exact"/>
              <w:rPr>
                <w:i/>
                <w:sz w:val="16"/>
                <w:lang w:val="fr-FR"/>
              </w:rPr>
            </w:pPr>
            <w:r w:rsidRPr="009A37AC">
              <w:rPr>
                <w:i/>
                <w:sz w:val="16"/>
                <w:lang w:val="fr-FR"/>
              </w:rPr>
              <w:t>Année</w:t>
            </w:r>
          </w:p>
        </w:tc>
        <w:tc>
          <w:tcPr>
            <w:tcW w:w="1381" w:type="dxa"/>
            <w:shd w:val="clear" w:color="auto" w:fill="auto"/>
            <w:tcMar>
              <w:top w:w="0" w:type="dxa"/>
              <w:left w:w="108" w:type="dxa"/>
              <w:bottom w:w="0" w:type="dxa"/>
              <w:right w:w="108" w:type="dxa"/>
            </w:tcMar>
            <w:vAlign w:val="bottom"/>
            <w:hideMark/>
          </w:tcPr>
          <w:p w:rsidR="004366C4" w:rsidRPr="009A37AC" w:rsidRDefault="004366C4" w:rsidP="009A37AC">
            <w:pPr>
              <w:suppressAutoHyphens w:val="0"/>
              <w:spacing w:before="80" w:after="80" w:line="200" w:lineRule="exact"/>
              <w:jc w:val="right"/>
              <w:rPr>
                <w:i/>
                <w:sz w:val="16"/>
                <w:lang w:val="fr-FR"/>
              </w:rPr>
            </w:pPr>
            <w:r w:rsidRPr="009A37AC">
              <w:rPr>
                <w:i/>
                <w:sz w:val="16"/>
                <w:lang w:val="fr-FR"/>
              </w:rPr>
              <w:t>2015</w:t>
            </w:r>
          </w:p>
        </w:tc>
        <w:tc>
          <w:tcPr>
            <w:tcW w:w="1381" w:type="dxa"/>
            <w:shd w:val="clear" w:color="auto" w:fill="auto"/>
            <w:tcMar>
              <w:top w:w="0" w:type="dxa"/>
              <w:left w:w="108" w:type="dxa"/>
              <w:bottom w:w="0" w:type="dxa"/>
              <w:right w:w="108" w:type="dxa"/>
            </w:tcMar>
            <w:vAlign w:val="bottom"/>
            <w:hideMark/>
          </w:tcPr>
          <w:p w:rsidR="004366C4" w:rsidRPr="009A37AC" w:rsidRDefault="004366C4" w:rsidP="009A37AC">
            <w:pPr>
              <w:suppressAutoHyphens w:val="0"/>
              <w:spacing w:before="80" w:after="80" w:line="200" w:lineRule="exact"/>
              <w:jc w:val="right"/>
              <w:rPr>
                <w:i/>
                <w:sz w:val="16"/>
                <w:lang w:val="fr-FR"/>
              </w:rPr>
            </w:pPr>
            <w:r w:rsidRPr="009A37AC">
              <w:rPr>
                <w:i/>
                <w:sz w:val="16"/>
                <w:lang w:val="fr-FR"/>
              </w:rPr>
              <w:t>2016</w:t>
            </w:r>
          </w:p>
        </w:tc>
        <w:tc>
          <w:tcPr>
            <w:tcW w:w="1381" w:type="dxa"/>
            <w:shd w:val="clear" w:color="auto" w:fill="auto"/>
            <w:tcMar>
              <w:top w:w="0" w:type="dxa"/>
              <w:left w:w="108" w:type="dxa"/>
              <w:bottom w:w="0" w:type="dxa"/>
              <w:right w:w="108" w:type="dxa"/>
            </w:tcMar>
            <w:vAlign w:val="bottom"/>
            <w:hideMark/>
          </w:tcPr>
          <w:p w:rsidR="004366C4" w:rsidRPr="009A37AC" w:rsidRDefault="004366C4" w:rsidP="009A37AC">
            <w:pPr>
              <w:suppressAutoHyphens w:val="0"/>
              <w:spacing w:before="80" w:after="80" w:line="200" w:lineRule="exact"/>
              <w:jc w:val="right"/>
              <w:rPr>
                <w:i/>
                <w:sz w:val="16"/>
                <w:lang w:val="fr-FR"/>
              </w:rPr>
            </w:pPr>
            <w:r w:rsidRPr="009A37AC">
              <w:rPr>
                <w:i/>
                <w:sz w:val="16"/>
                <w:lang w:val="fr-FR"/>
              </w:rPr>
              <w:t>2017</w:t>
            </w:r>
          </w:p>
        </w:tc>
      </w:tr>
      <w:tr w:rsidR="004366C4" w:rsidRPr="009A37AC" w:rsidTr="009A37AC">
        <w:tc>
          <w:tcPr>
            <w:tcW w:w="3227" w:type="dxa"/>
            <w:shd w:val="clear" w:color="auto" w:fill="auto"/>
            <w:tcMar>
              <w:top w:w="0" w:type="dxa"/>
              <w:left w:w="108" w:type="dxa"/>
              <w:bottom w:w="0" w:type="dxa"/>
              <w:right w:w="108" w:type="dxa"/>
            </w:tcMar>
            <w:hideMark/>
          </w:tcPr>
          <w:p w:rsidR="004366C4" w:rsidRPr="009A37AC" w:rsidRDefault="004366C4" w:rsidP="009A37AC">
            <w:pPr>
              <w:suppressAutoHyphens w:val="0"/>
              <w:spacing w:before="40" w:after="40" w:line="220" w:lineRule="exact"/>
              <w:rPr>
                <w:sz w:val="18"/>
                <w:lang w:val="fr-FR"/>
              </w:rPr>
            </w:pPr>
            <w:r w:rsidRPr="009A37AC">
              <w:rPr>
                <w:sz w:val="18"/>
                <w:lang w:val="fr-FR"/>
              </w:rPr>
              <w:t>Nombre d’infractions pénales enregistrées pour violence familiale</w:t>
            </w:r>
          </w:p>
        </w:tc>
        <w:tc>
          <w:tcPr>
            <w:tcW w:w="1381" w:type="dxa"/>
            <w:shd w:val="clear" w:color="auto" w:fill="auto"/>
            <w:tcMar>
              <w:top w:w="0" w:type="dxa"/>
              <w:left w:w="108" w:type="dxa"/>
              <w:bottom w:w="0" w:type="dxa"/>
              <w:right w:w="108" w:type="dxa"/>
            </w:tcMar>
            <w:vAlign w:val="bottom"/>
            <w:hideMark/>
          </w:tcPr>
          <w:p w:rsidR="004366C4" w:rsidRPr="009A37AC" w:rsidRDefault="00182428" w:rsidP="009A37AC">
            <w:pPr>
              <w:suppressAutoHyphens w:val="0"/>
              <w:spacing w:before="40" w:after="40" w:line="220" w:lineRule="exact"/>
              <w:jc w:val="right"/>
              <w:rPr>
                <w:sz w:val="18"/>
                <w:lang w:val="fr-FR"/>
              </w:rPr>
            </w:pPr>
            <w:r>
              <w:rPr>
                <w:sz w:val="18"/>
                <w:lang w:val="fr-FR"/>
              </w:rPr>
              <w:t>2 </w:t>
            </w:r>
            <w:r w:rsidR="004366C4" w:rsidRPr="009A37AC">
              <w:rPr>
                <w:sz w:val="18"/>
                <w:lang w:val="fr-FR"/>
              </w:rPr>
              <w:t>997</w:t>
            </w:r>
          </w:p>
        </w:tc>
        <w:tc>
          <w:tcPr>
            <w:tcW w:w="1381" w:type="dxa"/>
            <w:shd w:val="clear" w:color="auto" w:fill="auto"/>
            <w:tcMar>
              <w:top w:w="0" w:type="dxa"/>
              <w:left w:w="108" w:type="dxa"/>
              <w:bottom w:w="0" w:type="dxa"/>
              <w:right w:w="108" w:type="dxa"/>
            </w:tcMar>
            <w:vAlign w:val="bottom"/>
            <w:hideMark/>
          </w:tcPr>
          <w:p w:rsidR="004366C4" w:rsidRPr="009A37AC" w:rsidRDefault="00182428" w:rsidP="009A37AC">
            <w:pPr>
              <w:suppressAutoHyphens w:val="0"/>
              <w:spacing w:before="40" w:after="40" w:line="220" w:lineRule="exact"/>
              <w:jc w:val="right"/>
              <w:rPr>
                <w:sz w:val="18"/>
                <w:lang w:val="fr-FR"/>
              </w:rPr>
            </w:pPr>
            <w:r>
              <w:rPr>
                <w:sz w:val="18"/>
                <w:lang w:val="fr-FR"/>
              </w:rPr>
              <w:t>3 </w:t>
            </w:r>
            <w:r w:rsidR="004366C4" w:rsidRPr="009A37AC">
              <w:rPr>
                <w:sz w:val="18"/>
                <w:lang w:val="fr-FR"/>
              </w:rPr>
              <w:t>017</w:t>
            </w:r>
          </w:p>
        </w:tc>
        <w:tc>
          <w:tcPr>
            <w:tcW w:w="1381" w:type="dxa"/>
            <w:shd w:val="clear" w:color="auto" w:fill="auto"/>
            <w:tcMar>
              <w:top w:w="0" w:type="dxa"/>
              <w:left w:w="108" w:type="dxa"/>
              <w:bottom w:w="0" w:type="dxa"/>
              <w:right w:w="108" w:type="dxa"/>
            </w:tcMar>
            <w:vAlign w:val="bottom"/>
            <w:hideMark/>
          </w:tcPr>
          <w:p w:rsidR="004366C4" w:rsidRPr="009A37AC" w:rsidRDefault="00182428" w:rsidP="009A37AC">
            <w:pPr>
              <w:suppressAutoHyphens w:val="0"/>
              <w:spacing w:before="40" w:after="40" w:line="220" w:lineRule="exact"/>
              <w:jc w:val="right"/>
              <w:rPr>
                <w:sz w:val="18"/>
                <w:lang w:val="fr-FR"/>
              </w:rPr>
            </w:pPr>
            <w:r>
              <w:rPr>
                <w:sz w:val="18"/>
                <w:lang w:val="fr-FR"/>
              </w:rPr>
              <w:t>2 </w:t>
            </w:r>
            <w:r w:rsidR="004366C4" w:rsidRPr="009A37AC">
              <w:rPr>
                <w:sz w:val="18"/>
                <w:lang w:val="fr-FR"/>
              </w:rPr>
              <w:t>632</w:t>
            </w:r>
          </w:p>
        </w:tc>
      </w:tr>
    </w:tbl>
    <w:p w:rsidR="004366C4" w:rsidRPr="002C7AB3" w:rsidRDefault="004366C4" w:rsidP="00C762D3">
      <w:pPr>
        <w:pStyle w:val="SingleTxtG"/>
        <w:spacing w:before="120"/>
        <w:rPr>
          <w:lang w:val="fr-FR"/>
        </w:rPr>
      </w:pPr>
      <w:r w:rsidRPr="002C7AB3">
        <w:rPr>
          <w:lang w:val="fr-FR"/>
        </w:rPr>
        <w:lastRenderedPageBreak/>
        <w:t>63.</w:t>
      </w:r>
      <w:r w:rsidRPr="002C7AB3">
        <w:rPr>
          <w:lang w:val="fr-FR"/>
        </w:rPr>
        <w:tab/>
        <w:t>Les infractions de violence familiale sont principalement classées (86</w:t>
      </w:r>
      <w:r w:rsidR="00C46468">
        <w:rPr>
          <w:lang w:val="fr-FR"/>
        </w:rPr>
        <w:t> </w:t>
      </w:r>
      <w:r w:rsidRPr="002C7AB3">
        <w:rPr>
          <w:lang w:val="fr-FR"/>
        </w:rPr>
        <w:t xml:space="preserve">%) dans la catégorie des violences physiques </w:t>
      </w:r>
      <w:r>
        <w:rPr>
          <w:lang w:val="fr-FR"/>
        </w:rPr>
        <w:t xml:space="preserve">infligées </w:t>
      </w:r>
      <w:r w:rsidRPr="002C7AB3">
        <w:rPr>
          <w:lang w:val="fr-FR"/>
        </w:rPr>
        <w:t>dans le cadre d</w:t>
      </w:r>
      <w:r>
        <w:rPr>
          <w:lang w:val="fr-FR"/>
        </w:rPr>
        <w:t>’</w:t>
      </w:r>
      <w:r w:rsidRPr="002C7AB3">
        <w:rPr>
          <w:lang w:val="fr-FR"/>
        </w:rPr>
        <w:t xml:space="preserve">une relation </w:t>
      </w:r>
      <w:r>
        <w:rPr>
          <w:lang w:val="fr-FR"/>
        </w:rPr>
        <w:t>de proximité</w:t>
      </w:r>
      <w:r w:rsidRPr="002C7AB3">
        <w:rPr>
          <w:lang w:val="fr-FR"/>
        </w:rPr>
        <w:t xml:space="preserve"> ou d</w:t>
      </w:r>
      <w:r>
        <w:rPr>
          <w:lang w:val="fr-FR"/>
        </w:rPr>
        <w:t>’</w:t>
      </w:r>
      <w:r w:rsidRPr="002C7AB3">
        <w:rPr>
          <w:lang w:val="fr-FR"/>
        </w:rPr>
        <w:t>un lien de dépendance, visée par l</w:t>
      </w:r>
      <w:r>
        <w:rPr>
          <w:lang w:val="fr-FR"/>
        </w:rPr>
        <w:t>’</w:t>
      </w:r>
      <w:r w:rsidR="00C46468">
        <w:rPr>
          <w:lang w:val="fr-FR"/>
        </w:rPr>
        <w:t>article 121 (par. </w:t>
      </w:r>
      <w:r w:rsidRPr="002C7AB3">
        <w:rPr>
          <w:lang w:val="fr-FR"/>
        </w:rPr>
        <w:t>2</w:t>
      </w:r>
      <w:r>
        <w:rPr>
          <w:lang w:val="fr-FR"/>
        </w:rPr>
        <w:t>.</w:t>
      </w:r>
      <w:r w:rsidRPr="002C7AB3">
        <w:rPr>
          <w:lang w:val="fr-FR"/>
        </w:rPr>
        <w:t>2) du Code pénal.</w:t>
      </w:r>
    </w:p>
    <w:p w:rsidR="004366C4" w:rsidRPr="002C7AB3" w:rsidRDefault="004366C4" w:rsidP="00C46468">
      <w:pPr>
        <w:pStyle w:val="SingleTxtG"/>
        <w:keepNext/>
        <w:keepLines/>
        <w:rPr>
          <w:lang w:val="fr-FR"/>
        </w:rPr>
      </w:pPr>
      <w:r w:rsidRPr="002C7AB3">
        <w:rPr>
          <w:lang w:val="fr-FR"/>
        </w:rPr>
        <w:t>64.</w:t>
      </w:r>
      <w:r w:rsidRPr="002C7AB3">
        <w:rPr>
          <w:lang w:val="fr-FR"/>
        </w:rPr>
        <w:tab/>
        <w:t>Données sur les procédures pénales relatives aux infractions de violenc</w:t>
      </w:r>
      <w:r w:rsidR="00C46468">
        <w:rPr>
          <w:lang w:val="fr-FR"/>
        </w:rPr>
        <w:t>e familiale </w:t>
      </w:r>
      <w:r w:rsidRPr="002C7AB3">
        <w:rPr>
          <w:lang w:val="fr-FR"/>
        </w:rPr>
        <w:t>:</w:t>
      </w:r>
    </w:p>
    <w:p w:rsidR="004366C4" w:rsidRPr="00886F2F" w:rsidRDefault="004366C4" w:rsidP="00C46468">
      <w:pPr>
        <w:pStyle w:val="Bullet1G"/>
        <w:rPr>
          <w:spacing w:val="-2"/>
          <w:lang w:val="fr-FR"/>
        </w:rPr>
      </w:pPr>
      <w:r w:rsidRPr="00886F2F">
        <w:rPr>
          <w:spacing w:val="-2"/>
          <w:lang w:val="fr-FR"/>
        </w:rPr>
        <w:t>Les violences corporelles infligées dans le cadre d’une relation de proximité</w:t>
      </w:r>
      <w:r w:rsidR="00C46468" w:rsidRPr="00886F2F">
        <w:rPr>
          <w:spacing w:val="-2"/>
          <w:lang w:val="fr-FR"/>
        </w:rPr>
        <w:t xml:space="preserve"> ou de dépendance représentent 90 </w:t>
      </w:r>
      <w:r w:rsidRPr="00886F2F">
        <w:rPr>
          <w:spacing w:val="-2"/>
          <w:lang w:val="fr-FR"/>
        </w:rPr>
        <w:t>% de l’ensemble des infractions punies par le</w:t>
      </w:r>
      <w:r w:rsidR="00C46468" w:rsidRPr="00886F2F">
        <w:rPr>
          <w:spacing w:val="-2"/>
          <w:lang w:val="fr-FR"/>
        </w:rPr>
        <w:t xml:space="preserve"> paragraphe </w:t>
      </w:r>
      <w:r w:rsidRPr="00886F2F">
        <w:rPr>
          <w:spacing w:val="-2"/>
          <w:lang w:val="fr-FR"/>
        </w:rPr>
        <w:t>2 de l’</w:t>
      </w:r>
      <w:r w:rsidR="00C46468" w:rsidRPr="00886F2F">
        <w:rPr>
          <w:spacing w:val="-2"/>
          <w:lang w:val="fr-FR"/>
        </w:rPr>
        <w:t>article </w:t>
      </w:r>
      <w:r w:rsidRPr="00886F2F">
        <w:rPr>
          <w:spacing w:val="-2"/>
          <w:lang w:val="fr-FR"/>
        </w:rPr>
        <w:t>121 du Co</w:t>
      </w:r>
      <w:r w:rsidR="00C46468" w:rsidRPr="00886F2F">
        <w:rPr>
          <w:spacing w:val="-2"/>
          <w:lang w:val="fr-FR"/>
        </w:rPr>
        <w:t>de pénal estonien. En 2017, 763 </w:t>
      </w:r>
      <w:r w:rsidRPr="00886F2F">
        <w:rPr>
          <w:spacing w:val="-2"/>
          <w:lang w:val="fr-FR"/>
        </w:rPr>
        <w:t>personnes ont été poursuivi</w:t>
      </w:r>
      <w:r w:rsidR="00C46468" w:rsidRPr="00886F2F">
        <w:rPr>
          <w:spacing w:val="-2"/>
          <w:lang w:val="fr-FR"/>
        </w:rPr>
        <w:t>es en application du paragraphe </w:t>
      </w:r>
      <w:r w:rsidRPr="00886F2F">
        <w:rPr>
          <w:spacing w:val="-2"/>
          <w:lang w:val="fr-FR"/>
        </w:rPr>
        <w:t>2 de l’</w:t>
      </w:r>
      <w:r w:rsidR="00C46468" w:rsidRPr="00886F2F">
        <w:rPr>
          <w:spacing w:val="-2"/>
          <w:lang w:val="fr-FR"/>
        </w:rPr>
        <w:t>article </w:t>
      </w:r>
      <w:r w:rsidRPr="00886F2F">
        <w:rPr>
          <w:spacing w:val="-2"/>
          <w:lang w:val="fr-FR"/>
        </w:rPr>
        <w:t>121 et 891 procédures pénales ont été menées à terme (en 2016, ces chiffres s’élevaien</w:t>
      </w:r>
      <w:r w:rsidR="00C46468" w:rsidRPr="00886F2F">
        <w:rPr>
          <w:spacing w:val="-2"/>
          <w:lang w:val="fr-FR"/>
        </w:rPr>
        <w:t>t respectivement à 788 et 881).</w:t>
      </w:r>
    </w:p>
    <w:p w:rsidR="004366C4" w:rsidRPr="002C7AB3" w:rsidRDefault="004366C4" w:rsidP="004366C4">
      <w:pPr>
        <w:pStyle w:val="SingleTxtG"/>
        <w:rPr>
          <w:lang w:val="fr-FR"/>
        </w:rPr>
      </w:pPr>
      <w:r w:rsidRPr="002C7AB3">
        <w:rPr>
          <w:lang w:val="fr-FR"/>
        </w:rPr>
        <w:t>65.</w:t>
      </w:r>
      <w:r w:rsidRPr="002C7AB3">
        <w:rPr>
          <w:lang w:val="fr-FR"/>
        </w:rPr>
        <w:tab/>
        <w:t xml:space="preserve">Données relatives aux </w:t>
      </w:r>
      <w:r w:rsidRPr="002C7AB3">
        <w:rPr>
          <w:iCs/>
          <w:lang w:val="fr-FR"/>
        </w:rPr>
        <w:t>sanctions appliquées aux auteurs de violence familiale</w:t>
      </w:r>
      <w:r w:rsidR="00C46468">
        <w:rPr>
          <w:iCs/>
          <w:lang w:val="fr-FR"/>
        </w:rPr>
        <w:t> </w:t>
      </w:r>
      <w:r w:rsidRPr="002C7AB3">
        <w:rPr>
          <w:iCs/>
          <w:lang w:val="fr-FR"/>
        </w:rPr>
        <w:t>:</w:t>
      </w:r>
    </w:p>
    <w:p w:rsidR="004366C4" w:rsidRPr="006503B3" w:rsidRDefault="004366C4" w:rsidP="00EF5A80">
      <w:pPr>
        <w:pStyle w:val="Bullet1G"/>
        <w:rPr>
          <w:spacing w:val="-2"/>
          <w:lang w:val="fr-FR"/>
        </w:rPr>
      </w:pPr>
      <w:r w:rsidRPr="006503B3">
        <w:rPr>
          <w:spacing w:val="-2"/>
          <w:lang w:val="fr-FR"/>
        </w:rPr>
        <w:t>Selon les résultats de l’</w:t>
      </w:r>
      <w:r w:rsidR="00EF5A80" w:rsidRPr="006503B3">
        <w:rPr>
          <w:spacing w:val="-2"/>
          <w:lang w:val="fr-FR"/>
        </w:rPr>
        <w:t>étude de 2013, 53 </w:t>
      </w:r>
      <w:r w:rsidRPr="006503B3">
        <w:rPr>
          <w:spacing w:val="-2"/>
          <w:lang w:val="fr-FR"/>
        </w:rPr>
        <w:t xml:space="preserve">% des auteurs de violence familiale se sont </w:t>
      </w:r>
      <w:r w:rsidRPr="006503B3">
        <w:rPr>
          <w:bCs/>
          <w:spacing w:val="-2"/>
          <w:lang w:val="fr-FR"/>
        </w:rPr>
        <w:t>vu</w:t>
      </w:r>
      <w:r w:rsidRPr="006503B3">
        <w:rPr>
          <w:b/>
          <w:bCs/>
          <w:spacing w:val="-2"/>
          <w:lang w:val="fr-FR"/>
        </w:rPr>
        <w:t xml:space="preserve"> </w:t>
      </w:r>
      <w:r w:rsidRPr="006503B3">
        <w:rPr>
          <w:spacing w:val="-2"/>
          <w:lang w:val="fr-FR"/>
        </w:rPr>
        <w:t>infliger une peine d’</w:t>
      </w:r>
      <w:r w:rsidR="00EF5A80" w:rsidRPr="006503B3">
        <w:rPr>
          <w:spacing w:val="-2"/>
          <w:lang w:val="fr-FR"/>
        </w:rPr>
        <w:t>emprisonnement avec sursis, 20 </w:t>
      </w:r>
      <w:r w:rsidRPr="006503B3">
        <w:rPr>
          <w:spacing w:val="-2"/>
          <w:lang w:val="fr-FR"/>
        </w:rPr>
        <w:t>% ont été condamnés à des travaux d’</w:t>
      </w:r>
      <w:r w:rsidR="00EF5A80" w:rsidRPr="006503B3">
        <w:rPr>
          <w:spacing w:val="-2"/>
          <w:lang w:val="fr-FR"/>
        </w:rPr>
        <w:t>intérêt général, 14 </w:t>
      </w:r>
      <w:r w:rsidRPr="006503B3">
        <w:rPr>
          <w:spacing w:val="-2"/>
          <w:lang w:val="fr-FR"/>
        </w:rPr>
        <w:t xml:space="preserve">% à une </w:t>
      </w:r>
      <w:r w:rsidRPr="006503B3">
        <w:rPr>
          <w:bCs/>
          <w:spacing w:val="-2"/>
          <w:lang w:val="fr-FR"/>
        </w:rPr>
        <w:t xml:space="preserve">peine pécuniaire </w:t>
      </w:r>
      <w:r w:rsidR="00EF5A80" w:rsidRPr="006503B3">
        <w:rPr>
          <w:spacing w:val="-2"/>
          <w:lang w:val="fr-FR"/>
        </w:rPr>
        <w:t>et 13 </w:t>
      </w:r>
      <w:r w:rsidRPr="006503B3">
        <w:rPr>
          <w:spacing w:val="-2"/>
          <w:lang w:val="fr-FR"/>
        </w:rPr>
        <w:t>% ont été placés en pris</w:t>
      </w:r>
      <w:r w:rsidR="00EF5A80" w:rsidRPr="006503B3">
        <w:rPr>
          <w:spacing w:val="-2"/>
          <w:lang w:val="fr-FR"/>
        </w:rPr>
        <w:t>on.</w:t>
      </w:r>
    </w:p>
    <w:p w:rsidR="004366C4" w:rsidRPr="002C7AB3" w:rsidRDefault="004366C4" w:rsidP="004366C4">
      <w:pPr>
        <w:pStyle w:val="SingleTxtG"/>
        <w:rPr>
          <w:lang w:val="fr-FR"/>
        </w:rPr>
      </w:pPr>
      <w:r w:rsidRPr="002C7AB3">
        <w:rPr>
          <w:lang w:val="fr-FR"/>
        </w:rPr>
        <w:t>66.</w:t>
      </w:r>
      <w:r w:rsidRPr="002C7AB3">
        <w:rPr>
          <w:lang w:val="fr-FR"/>
        </w:rPr>
        <w:tab/>
        <w:t xml:space="preserve">Nombre annuel </w:t>
      </w:r>
      <w:r>
        <w:rPr>
          <w:lang w:val="fr-FR"/>
        </w:rPr>
        <w:t>d’ordonnances de protection</w:t>
      </w:r>
      <w:r w:rsidR="00EF5A80">
        <w:rPr>
          <w:lang w:val="fr-FR"/>
        </w:rPr>
        <w:t xml:space="preserve"> temporaire :</w:t>
      </w:r>
    </w:p>
    <w:p w:rsidR="004366C4" w:rsidRPr="002C7AB3" w:rsidRDefault="004366C4" w:rsidP="00EF5A80">
      <w:pPr>
        <w:pStyle w:val="Bullet1G"/>
        <w:rPr>
          <w:lang w:val="fr-FR"/>
        </w:rPr>
      </w:pPr>
      <w:r w:rsidRPr="002C7AB3">
        <w:rPr>
          <w:iCs/>
          <w:lang w:val="fr-FR"/>
        </w:rPr>
        <w:t xml:space="preserve">Nombre de demandes </w:t>
      </w:r>
      <w:r>
        <w:rPr>
          <w:iCs/>
          <w:lang w:val="fr-FR"/>
        </w:rPr>
        <w:t>de protection</w:t>
      </w:r>
      <w:r w:rsidRPr="002C7AB3">
        <w:rPr>
          <w:lang w:val="fr-FR"/>
        </w:rPr>
        <w:t xml:space="preserve"> et d</w:t>
      </w:r>
      <w:r>
        <w:rPr>
          <w:lang w:val="fr-FR"/>
        </w:rPr>
        <w:t>’</w:t>
      </w:r>
      <w:r w:rsidRPr="002C7AB3">
        <w:rPr>
          <w:lang w:val="fr-FR"/>
        </w:rPr>
        <w:t xml:space="preserve">ordonnances rendues au cours de la période 2011-2017. La plupart des ordonnances ont été rendues et appliquées dans </w:t>
      </w:r>
      <w:r>
        <w:rPr>
          <w:lang w:val="fr-FR"/>
        </w:rPr>
        <w:t>d</w:t>
      </w:r>
      <w:r w:rsidRPr="002C7AB3">
        <w:rPr>
          <w:lang w:val="fr-FR"/>
        </w:rPr>
        <w:t xml:space="preserve">es affaires </w:t>
      </w:r>
      <w:r>
        <w:rPr>
          <w:lang w:val="fr-FR"/>
        </w:rPr>
        <w:t>de</w:t>
      </w:r>
      <w:r w:rsidRPr="002C7AB3">
        <w:rPr>
          <w:lang w:val="fr-FR"/>
        </w:rPr>
        <w:t xml:space="preserve"> la violence familiale (93</w:t>
      </w:r>
      <w:r w:rsidR="00EF5A80">
        <w:rPr>
          <w:lang w:val="fr-FR"/>
        </w:rPr>
        <w:t> </w:t>
      </w:r>
      <w:r w:rsidRPr="002C7AB3">
        <w:rPr>
          <w:lang w:val="fr-FR"/>
        </w:rPr>
        <w:t>%).</w:t>
      </w:r>
    </w:p>
    <w:p w:rsidR="004366C4" w:rsidRPr="002C7AB3" w:rsidRDefault="00EF5A80" w:rsidP="00EF5A80">
      <w:pPr>
        <w:pStyle w:val="H23G"/>
        <w:spacing w:after="240"/>
        <w:rPr>
          <w:bCs/>
          <w:lang w:val="fr-FR"/>
        </w:rPr>
      </w:pPr>
      <w:r w:rsidRPr="00EF5A80">
        <w:rPr>
          <w:b w:val="0"/>
          <w:lang w:val="fr-FR"/>
        </w:rPr>
        <w:tab/>
      </w:r>
      <w:r w:rsidRPr="00EF5A80">
        <w:rPr>
          <w:b w:val="0"/>
          <w:lang w:val="fr-FR"/>
        </w:rPr>
        <w:tab/>
      </w:r>
      <w:r w:rsidR="004366C4" w:rsidRPr="00EF5A80">
        <w:rPr>
          <w:b w:val="0"/>
          <w:lang w:val="fr-FR"/>
        </w:rPr>
        <w:t>Figure 1</w:t>
      </w:r>
      <w:r w:rsidR="004366C4" w:rsidRPr="002C7AB3">
        <w:rPr>
          <w:lang w:val="fr-FR"/>
        </w:rPr>
        <w:t xml:space="preserve"> </w:t>
      </w:r>
      <w:r>
        <w:rPr>
          <w:lang w:val="fr-FR"/>
        </w:rPr>
        <w:br/>
      </w:r>
      <w:r w:rsidR="004366C4" w:rsidRPr="002C7AB3">
        <w:rPr>
          <w:lang w:val="fr-FR"/>
        </w:rPr>
        <w:t xml:space="preserve">Nombre de demandes </w:t>
      </w:r>
      <w:r w:rsidR="004366C4">
        <w:rPr>
          <w:lang w:val="fr-FR"/>
        </w:rPr>
        <w:t>de protection</w:t>
      </w:r>
      <w:r w:rsidR="004366C4" w:rsidRPr="002C7AB3">
        <w:rPr>
          <w:lang w:val="fr-FR"/>
        </w:rPr>
        <w:t xml:space="preserve"> et d</w:t>
      </w:r>
      <w:r w:rsidR="004366C4">
        <w:rPr>
          <w:lang w:val="fr-FR"/>
        </w:rPr>
        <w:t>’</w:t>
      </w:r>
      <w:r w:rsidR="004366C4" w:rsidRPr="002C7AB3">
        <w:rPr>
          <w:lang w:val="fr-FR"/>
        </w:rPr>
        <w:t>ordonnances rendues, 2011-2017 (nombre de demandes en bleu, nombre d</w:t>
      </w:r>
      <w:r w:rsidR="004366C4">
        <w:rPr>
          <w:lang w:val="fr-FR"/>
        </w:rPr>
        <w:t>’</w:t>
      </w:r>
      <w:r w:rsidR="004366C4" w:rsidRPr="002C7AB3">
        <w:rPr>
          <w:lang w:val="fr-FR"/>
        </w:rPr>
        <w:t>ordonnances rendues en rouge)</w:t>
      </w:r>
    </w:p>
    <w:p w:rsidR="004366C4" w:rsidRPr="002C7AB3" w:rsidRDefault="004366C4" w:rsidP="004366C4">
      <w:pPr>
        <w:pStyle w:val="SingleTxtG"/>
        <w:rPr>
          <w:lang w:val="fr-FR"/>
        </w:rPr>
      </w:pPr>
      <w:r w:rsidRPr="002C7AB3">
        <w:rPr>
          <w:noProof/>
          <w:lang w:eastAsia="fr-CH"/>
        </w:rPr>
        <w:drawing>
          <wp:inline distT="0" distB="0" distL="0" distR="0" wp14:anchorId="33D7B955" wp14:editId="75EDB097">
            <wp:extent cx="4680000" cy="1224965"/>
            <wp:effectExtent l="19050" t="19050" r="25400" b="13335"/>
            <wp:docPr id="4" name="Pilt 4" descr="cid:image001.png@01D47AB0.7E149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id:image001.png@01D47AB0.7E149D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80000" cy="1224965"/>
                    </a:xfrm>
                    <a:prstGeom prst="rect">
                      <a:avLst/>
                    </a:prstGeom>
                    <a:noFill/>
                    <a:ln w="127">
                      <a:solidFill>
                        <a:schemeClr val="tx1"/>
                      </a:solidFill>
                    </a:ln>
                  </pic:spPr>
                </pic:pic>
              </a:graphicData>
            </a:graphic>
          </wp:inline>
        </w:drawing>
      </w:r>
    </w:p>
    <w:p w:rsidR="004366C4" w:rsidRPr="002C7AB3" w:rsidRDefault="004366C4" w:rsidP="00491147">
      <w:pPr>
        <w:pStyle w:val="SingleTxtG"/>
        <w:spacing w:before="120"/>
        <w:rPr>
          <w:lang w:val="fr-FR"/>
        </w:rPr>
      </w:pPr>
      <w:r w:rsidRPr="002C7AB3">
        <w:rPr>
          <w:lang w:val="fr-FR"/>
        </w:rPr>
        <w:t>67.</w:t>
      </w:r>
      <w:r w:rsidRPr="002C7AB3">
        <w:rPr>
          <w:lang w:val="fr-FR"/>
        </w:rPr>
        <w:tab/>
        <w:t>L</w:t>
      </w:r>
      <w:r>
        <w:rPr>
          <w:lang w:val="fr-FR"/>
        </w:rPr>
        <w:t>’</w:t>
      </w:r>
      <w:r w:rsidRPr="002C7AB3">
        <w:rPr>
          <w:lang w:val="fr-FR"/>
        </w:rPr>
        <w:t xml:space="preserve">Estonie a adopté un </w:t>
      </w:r>
      <w:r>
        <w:rPr>
          <w:lang w:val="fr-FR"/>
        </w:rPr>
        <w:t xml:space="preserve">vaste </w:t>
      </w:r>
      <w:r w:rsidRPr="002C7AB3">
        <w:rPr>
          <w:lang w:val="fr-FR"/>
        </w:rPr>
        <w:t xml:space="preserve">cadre </w:t>
      </w:r>
      <w:r>
        <w:rPr>
          <w:lang w:val="fr-FR"/>
        </w:rPr>
        <w:t xml:space="preserve">législatif et politique pour </w:t>
      </w:r>
      <w:r w:rsidRPr="002C7AB3">
        <w:rPr>
          <w:lang w:val="fr-FR"/>
        </w:rPr>
        <w:t>prévenir et combattre la violence familiale. La Stratégie nationale de prévention de la violence (2015-2020)</w:t>
      </w:r>
      <w:r w:rsidRPr="00645B63">
        <w:rPr>
          <w:rStyle w:val="Appelnotedebasdep"/>
        </w:rPr>
        <w:footnoteReference w:id="15"/>
      </w:r>
      <w:r>
        <w:rPr>
          <w:lang w:val="fr-FR"/>
        </w:rPr>
        <w:t>, qui</w:t>
      </w:r>
      <w:r w:rsidRPr="002C7AB3">
        <w:rPr>
          <w:lang w:val="fr-FR"/>
        </w:rPr>
        <w:t xml:space="preserve"> est mise en œuvre actuellement</w:t>
      </w:r>
      <w:r>
        <w:rPr>
          <w:lang w:val="fr-FR"/>
        </w:rPr>
        <w:t>, comprend un volet concernant</w:t>
      </w:r>
      <w:r w:rsidR="0038241F">
        <w:rPr>
          <w:lang w:val="fr-FR"/>
        </w:rPr>
        <w:t xml:space="preserve"> la violence familiale. En </w:t>
      </w:r>
      <w:r w:rsidRPr="002C7AB3">
        <w:rPr>
          <w:lang w:val="fr-FR"/>
        </w:rPr>
        <w:t>2016, le Groupe directeur de la Stratégie de prévention de la violence (2015-2020), qui rassemble sept ministères (Ministère de la justice, Ministère de l</w:t>
      </w:r>
      <w:r>
        <w:rPr>
          <w:lang w:val="fr-FR"/>
        </w:rPr>
        <w:t>’</w:t>
      </w:r>
      <w:r w:rsidRPr="002C7AB3">
        <w:rPr>
          <w:lang w:val="fr-FR"/>
        </w:rPr>
        <w:t>éducation et de la recherche, Ministère de la culture, Ministère des affaires économiques et des communications, Ministère de l</w:t>
      </w:r>
      <w:r>
        <w:rPr>
          <w:lang w:val="fr-FR"/>
        </w:rPr>
        <w:t>’</w:t>
      </w:r>
      <w:r w:rsidRPr="002C7AB3">
        <w:rPr>
          <w:lang w:val="fr-FR"/>
        </w:rPr>
        <w:t>intérieur, Ministère des affaires sociales, Ministère des affaires étrangères), a été constitué afin de coordonner les activités des parties responsables et d</w:t>
      </w:r>
      <w:r>
        <w:rPr>
          <w:lang w:val="fr-FR"/>
        </w:rPr>
        <w:t>’</w:t>
      </w:r>
      <w:r w:rsidRPr="002C7AB3">
        <w:rPr>
          <w:lang w:val="fr-FR"/>
        </w:rPr>
        <w:t>examiner l</w:t>
      </w:r>
      <w:r>
        <w:rPr>
          <w:lang w:val="fr-FR"/>
        </w:rPr>
        <w:t>’</w:t>
      </w:r>
      <w:r w:rsidRPr="002C7AB3">
        <w:rPr>
          <w:lang w:val="fr-FR"/>
        </w:rPr>
        <w:t xml:space="preserve">évolution </w:t>
      </w:r>
      <w:r>
        <w:rPr>
          <w:lang w:val="fr-FR"/>
        </w:rPr>
        <w:t xml:space="preserve">de la situation en la matière, les problèmes appelant </w:t>
      </w:r>
      <w:r w:rsidRPr="002C7AB3">
        <w:rPr>
          <w:lang w:val="fr-FR"/>
        </w:rPr>
        <w:t xml:space="preserve">des solutions et </w:t>
      </w:r>
      <w:r>
        <w:rPr>
          <w:lang w:val="fr-FR"/>
        </w:rPr>
        <w:t>les</w:t>
      </w:r>
      <w:r w:rsidRPr="002C7AB3">
        <w:rPr>
          <w:lang w:val="fr-FR"/>
        </w:rPr>
        <w:t xml:space="preserve"> modification</w:t>
      </w:r>
      <w:r>
        <w:rPr>
          <w:lang w:val="fr-FR"/>
        </w:rPr>
        <w:t>s à apporter</w:t>
      </w:r>
      <w:r w:rsidRPr="002C7AB3">
        <w:rPr>
          <w:lang w:val="fr-FR"/>
        </w:rPr>
        <w:t xml:space="preserve"> </w:t>
      </w:r>
      <w:r>
        <w:rPr>
          <w:lang w:val="fr-FR"/>
        </w:rPr>
        <w:t>a</w:t>
      </w:r>
      <w:r w:rsidRPr="002C7AB3">
        <w:rPr>
          <w:lang w:val="fr-FR"/>
        </w:rPr>
        <w:t xml:space="preserve">u programme opérationnel de </w:t>
      </w:r>
      <w:r>
        <w:rPr>
          <w:lang w:val="fr-FR"/>
        </w:rPr>
        <w:t>la</w:t>
      </w:r>
      <w:r w:rsidRPr="002C7AB3">
        <w:rPr>
          <w:lang w:val="fr-FR"/>
        </w:rPr>
        <w:t xml:space="preserve"> S</w:t>
      </w:r>
      <w:r w:rsidR="0038241F">
        <w:rPr>
          <w:lang w:val="fr-FR"/>
        </w:rPr>
        <w:t>tratégie.</w:t>
      </w:r>
    </w:p>
    <w:p w:rsidR="004366C4" w:rsidRPr="002C7AB3" w:rsidRDefault="004366C4" w:rsidP="004366C4">
      <w:pPr>
        <w:pStyle w:val="SingleTxtG"/>
        <w:rPr>
          <w:lang w:val="fr-FR"/>
        </w:rPr>
      </w:pPr>
      <w:r w:rsidRPr="002C7AB3">
        <w:rPr>
          <w:lang w:val="fr-FR"/>
        </w:rPr>
        <w:t>68.</w:t>
      </w:r>
      <w:r w:rsidRPr="002C7AB3">
        <w:rPr>
          <w:lang w:val="fr-FR"/>
        </w:rPr>
        <w:tab/>
        <w:t>L</w:t>
      </w:r>
      <w:r>
        <w:rPr>
          <w:lang w:val="fr-FR"/>
        </w:rPr>
        <w:t>’</w:t>
      </w:r>
      <w:r w:rsidRPr="002C7AB3">
        <w:rPr>
          <w:lang w:val="fr-FR"/>
        </w:rPr>
        <w:t>Estonie a adopté une approche multisectorielle de l</w:t>
      </w:r>
      <w:r>
        <w:rPr>
          <w:lang w:val="fr-FR"/>
        </w:rPr>
        <w:t>’</w:t>
      </w:r>
      <w:r w:rsidRPr="002C7AB3">
        <w:rPr>
          <w:lang w:val="fr-FR"/>
        </w:rPr>
        <w:t>aide aux victimes de violence familiale et le Centre national d</w:t>
      </w:r>
      <w:r>
        <w:rPr>
          <w:lang w:val="fr-FR"/>
        </w:rPr>
        <w:t>’</w:t>
      </w:r>
      <w:r w:rsidRPr="002C7AB3">
        <w:rPr>
          <w:lang w:val="fr-FR"/>
        </w:rPr>
        <w:t xml:space="preserve">aide aux victimes coordonne les travaux dans ce domaine et dirige le réseau dans tout le pays. En 2017, </w:t>
      </w:r>
      <w:r>
        <w:rPr>
          <w:lang w:val="fr-FR"/>
        </w:rPr>
        <w:t xml:space="preserve">on a lancé </w:t>
      </w:r>
      <w:r w:rsidRPr="002C7AB3">
        <w:rPr>
          <w:lang w:val="fr-FR"/>
        </w:rPr>
        <w:t xml:space="preserve">un projet visant à protéger </w:t>
      </w:r>
      <w:r w:rsidRPr="002C7AB3">
        <w:rPr>
          <w:iCs/>
          <w:lang w:val="fr-FR"/>
        </w:rPr>
        <w:t>les victimes de la violence familiale</w:t>
      </w:r>
      <w:r>
        <w:rPr>
          <w:iCs/>
          <w:lang w:val="fr-FR"/>
        </w:rPr>
        <w:t xml:space="preserve">, qui </w:t>
      </w:r>
      <w:r w:rsidRPr="002C7AB3">
        <w:rPr>
          <w:lang w:val="fr-FR"/>
        </w:rPr>
        <w:t>sera mis en œuvre dans l</w:t>
      </w:r>
      <w:r>
        <w:rPr>
          <w:lang w:val="fr-FR"/>
        </w:rPr>
        <w:t>’</w:t>
      </w:r>
      <w:r w:rsidRPr="002C7AB3">
        <w:rPr>
          <w:lang w:val="fr-FR"/>
        </w:rPr>
        <w:t>ensemble du pays d</w:t>
      </w:r>
      <w:r>
        <w:rPr>
          <w:lang w:val="fr-FR"/>
        </w:rPr>
        <w:t>’</w:t>
      </w:r>
      <w:r w:rsidR="0038241F">
        <w:rPr>
          <w:lang w:val="fr-FR"/>
        </w:rPr>
        <w:t>ici à 2021 </w:t>
      </w:r>
      <w:r w:rsidRPr="002C7AB3">
        <w:rPr>
          <w:lang w:val="fr-FR"/>
        </w:rPr>
        <w:t>; il porte sur l</w:t>
      </w:r>
      <w:r>
        <w:rPr>
          <w:lang w:val="fr-FR"/>
        </w:rPr>
        <w:t>’</w:t>
      </w:r>
      <w:r w:rsidRPr="002C7AB3">
        <w:rPr>
          <w:lang w:val="fr-FR"/>
        </w:rPr>
        <w:t xml:space="preserve">application </w:t>
      </w:r>
      <w:r>
        <w:rPr>
          <w:lang w:val="fr-FR"/>
        </w:rPr>
        <w:t>de la</w:t>
      </w:r>
      <w:r w:rsidRPr="002C7AB3">
        <w:rPr>
          <w:lang w:val="fr-FR"/>
        </w:rPr>
        <w:t xml:space="preserve"> loi, la protection sociale et la protection des enfants, les foyers pour femmes et d</w:t>
      </w:r>
      <w:r>
        <w:rPr>
          <w:lang w:val="fr-FR"/>
        </w:rPr>
        <w:t>’</w:t>
      </w:r>
      <w:r w:rsidRPr="002C7AB3">
        <w:rPr>
          <w:lang w:val="fr-FR"/>
        </w:rPr>
        <w:t xml:space="preserve">autres partenaires concernés. Dans les cas de violence familiale grave, des </w:t>
      </w:r>
      <w:r>
        <w:rPr>
          <w:lang w:val="fr-FR"/>
        </w:rPr>
        <w:t>ateliers</w:t>
      </w:r>
      <w:r w:rsidRPr="002C7AB3">
        <w:rPr>
          <w:lang w:val="fr-FR"/>
        </w:rPr>
        <w:t xml:space="preserve"> d</w:t>
      </w:r>
      <w:r>
        <w:rPr>
          <w:lang w:val="fr-FR"/>
        </w:rPr>
        <w:t>’</w:t>
      </w:r>
      <w:r w:rsidRPr="002C7AB3">
        <w:rPr>
          <w:lang w:val="fr-FR"/>
        </w:rPr>
        <w:t xml:space="preserve">évaluation des risques réunissant plusieurs institutions compétentes sont organisés. Ces deux approches </w:t>
      </w:r>
      <w:r>
        <w:rPr>
          <w:lang w:val="fr-FR"/>
        </w:rPr>
        <w:t>combinées</w:t>
      </w:r>
      <w:r w:rsidRPr="002C7AB3">
        <w:rPr>
          <w:lang w:val="fr-FR"/>
        </w:rPr>
        <w:t xml:space="preserve"> devraient garantir la sécurité et la sûreté des victimes et de leurs enfa</w:t>
      </w:r>
      <w:r w:rsidR="00F44FD7">
        <w:rPr>
          <w:lang w:val="fr-FR"/>
        </w:rPr>
        <w:t>nts.</w:t>
      </w:r>
    </w:p>
    <w:p w:rsidR="004366C4" w:rsidRPr="002C7AB3" w:rsidRDefault="004366C4" w:rsidP="00C5334C">
      <w:pPr>
        <w:pStyle w:val="SingleTxtG"/>
        <w:keepNext/>
        <w:keepLines/>
        <w:rPr>
          <w:lang w:val="fr-FR"/>
        </w:rPr>
      </w:pPr>
      <w:r w:rsidRPr="002C7AB3">
        <w:rPr>
          <w:lang w:val="fr-FR"/>
        </w:rPr>
        <w:lastRenderedPageBreak/>
        <w:t>69.</w:t>
      </w:r>
      <w:r w:rsidRPr="002C7AB3">
        <w:rPr>
          <w:lang w:val="fr-FR"/>
        </w:rPr>
        <w:tab/>
        <w:t>Les services fournis par l</w:t>
      </w:r>
      <w:r>
        <w:rPr>
          <w:lang w:val="fr-FR"/>
        </w:rPr>
        <w:t>’</w:t>
      </w:r>
      <w:r w:rsidRPr="002C7AB3">
        <w:rPr>
          <w:lang w:val="fr-FR"/>
        </w:rPr>
        <w:t xml:space="preserve">État aux victimes de violence familiale </w:t>
      </w:r>
      <w:r>
        <w:rPr>
          <w:lang w:val="fr-FR"/>
        </w:rPr>
        <w:t xml:space="preserve">prennent différentes formes : </w:t>
      </w:r>
      <w:r w:rsidRPr="002C7AB3">
        <w:rPr>
          <w:lang w:val="fr-FR"/>
        </w:rPr>
        <w:t>services d</w:t>
      </w:r>
      <w:r>
        <w:rPr>
          <w:lang w:val="fr-FR"/>
        </w:rPr>
        <w:t>’</w:t>
      </w:r>
      <w:r w:rsidR="0038241F">
        <w:rPr>
          <w:lang w:val="fr-FR"/>
        </w:rPr>
        <w:t>aide </w:t>
      </w:r>
      <w:r w:rsidRPr="002C7AB3">
        <w:rPr>
          <w:lang w:val="fr-FR"/>
        </w:rPr>
        <w:t xml:space="preserve">; foyers pour femmes ; </w:t>
      </w:r>
      <w:r>
        <w:rPr>
          <w:lang w:val="fr-FR"/>
        </w:rPr>
        <w:t xml:space="preserve">et </w:t>
      </w:r>
      <w:r w:rsidRPr="002C7AB3">
        <w:rPr>
          <w:iCs/>
          <w:lang w:val="fr-FR"/>
        </w:rPr>
        <w:t>numéros d</w:t>
      </w:r>
      <w:r>
        <w:rPr>
          <w:iCs/>
          <w:lang w:val="fr-FR"/>
        </w:rPr>
        <w:t>’</w:t>
      </w:r>
      <w:r w:rsidRPr="002C7AB3">
        <w:rPr>
          <w:iCs/>
          <w:lang w:val="fr-FR"/>
        </w:rPr>
        <w:t xml:space="preserve">urgence </w:t>
      </w:r>
      <w:r w:rsidRPr="002C7AB3">
        <w:rPr>
          <w:lang w:val="fr-FR"/>
        </w:rPr>
        <w:t xml:space="preserve">accessibles </w:t>
      </w:r>
      <w:r w:rsidR="0038241F">
        <w:rPr>
          <w:lang w:val="fr-FR"/>
        </w:rPr>
        <w:t>vingt-quatre</w:t>
      </w:r>
      <w:r w:rsidRPr="002C7AB3">
        <w:rPr>
          <w:lang w:val="fr-FR"/>
        </w:rPr>
        <w:t xml:space="preserve"> heures sur </w:t>
      </w:r>
      <w:r w:rsidR="0038241F">
        <w:rPr>
          <w:lang w:val="fr-FR"/>
        </w:rPr>
        <w:t>vingt-quatre</w:t>
      </w:r>
      <w:r w:rsidRPr="002C7AB3">
        <w:rPr>
          <w:lang w:val="fr-FR"/>
        </w:rPr>
        <w:t xml:space="preserve">. Il existe des services ciblés pour les victimes </w:t>
      </w:r>
      <w:r>
        <w:rPr>
          <w:lang w:val="fr-FR"/>
        </w:rPr>
        <w:t>de violences</w:t>
      </w:r>
      <w:r w:rsidRPr="002C7AB3">
        <w:rPr>
          <w:lang w:val="fr-FR"/>
        </w:rPr>
        <w:t xml:space="preserve"> sexuelles/de viol, pour les femmes prostituées/exploitées sexuellement et pour les hommes et les femmes victimes de la traite.</w:t>
      </w:r>
    </w:p>
    <w:p w:rsidR="004366C4" w:rsidRPr="002C7AB3" w:rsidRDefault="004366C4" w:rsidP="004366C4">
      <w:pPr>
        <w:pStyle w:val="SingleTxtG"/>
        <w:rPr>
          <w:lang w:val="fr-FR"/>
        </w:rPr>
      </w:pPr>
      <w:r w:rsidRPr="002C7AB3">
        <w:rPr>
          <w:lang w:val="fr-FR"/>
        </w:rPr>
        <w:t>70.</w:t>
      </w:r>
      <w:r w:rsidRPr="002C7AB3">
        <w:rPr>
          <w:lang w:val="fr-FR"/>
        </w:rPr>
        <w:tab/>
        <w:t>Les administrations locales fournissent une assistance sociale, un logement sûr et d</w:t>
      </w:r>
      <w:r>
        <w:rPr>
          <w:lang w:val="fr-FR"/>
        </w:rPr>
        <w:t>’</w:t>
      </w:r>
      <w:r w:rsidRPr="002C7AB3">
        <w:rPr>
          <w:lang w:val="fr-FR"/>
        </w:rPr>
        <w:t xml:space="preserve">autres services utiles aux victimes de violence familiale, </w:t>
      </w:r>
      <w:r>
        <w:rPr>
          <w:lang w:val="fr-FR"/>
        </w:rPr>
        <w:t>y</w:t>
      </w:r>
      <w:r w:rsidR="006503B3">
        <w:rPr>
          <w:lang w:val="fr-FR"/>
        </w:rPr>
        <w:t> </w:t>
      </w:r>
      <w:r>
        <w:rPr>
          <w:lang w:val="fr-FR"/>
        </w:rPr>
        <w:t>compris un accueil dans</w:t>
      </w:r>
      <w:r w:rsidRPr="002C7AB3">
        <w:rPr>
          <w:lang w:val="fr-FR"/>
        </w:rPr>
        <w:t xml:space="preserve"> des </w:t>
      </w:r>
      <w:r w:rsidRPr="002C7AB3">
        <w:rPr>
          <w:bCs/>
          <w:lang w:val="fr-FR"/>
        </w:rPr>
        <w:t>refuges</w:t>
      </w:r>
      <w:r w:rsidRPr="00BE78E7">
        <w:rPr>
          <w:bCs/>
          <w:lang w:val="fr-FR"/>
        </w:rPr>
        <w:t xml:space="preserve"> </w:t>
      </w:r>
      <w:r w:rsidR="006503B3">
        <w:rPr>
          <w:lang w:val="fr-FR"/>
        </w:rPr>
        <w:t>pour les mères et les enfants.</w:t>
      </w:r>
    </w:p>
    <w:p w:rsidR="004366C4" w:rsidRPr="002C7AB3" w:rsidRDefault="004366C4" w:rsidP="00C762D3">
      <w:pPr>
        <w:pStyle w:val="H23G"/>
        <w:rPr>
          <w:lang w:val="fr-FR"/>
        </w:rPr>
      </w:pPr>
      <w:r w:rsidRPr="002C7AB3">
        <w:rPr>
          <w:lang w:val="fr-FR"/>
        </w:rPr>
        <w:tab/>
      </w:r>
      <w:r w:rsidRPr="002C7AB3">
        <w:rPr>
          <w:lang w:val="fr-FR"/>
        </w:rPr>
        <w:tab/>
        <w:t>Protection des enfants</w:t>
      </w:r>
    </w:p>
    <w:p w:rsidR="004366C4" w:rsidRPr="00BE78E7" w:rsidRDefault="004366C4" w:rsidP="004366C4">
      <w:pPr>
        <w:pStyle w:val="SingleTxtG"/>
        <w:rPr>
          <w:spacing w:val="-3"/>
          <w:lang w:val="fr-FR"/>
        </w:rPr>
      </w:pPr>
      <w:r w:rsidRPr="00BE78E7">
        <w:rPr>
          <w:spacing w:val="-3"/>
          <w:lang w:val="fr-FR"/>
        </w:rPr>
        <w:t>71.</w:t>
      </w:r>
      <w:r w:rsidRPr="00BE78E7">
        <w:rPr>
          <w:spacing w:val="-3"/>
          <w:lang w:val="fr-FR"/>
        </w:rPr>
        <w:tab/>
        <w:t xml:space="preserve">La </w:t>
      </w:r>
      <w:r w:rsidRPr="00BE78E7">
        <w:rPr>
          <w:bCs/>
          <w:spacing w:val="-3"/>
          <w:lang w:val="fr-FR"/>
        </w:rPr>
        <w:t>loi sur les contrats de travail</w:t>
      </w:r>
      <w:r w:rsidRPr="00BE78E7">
        <w:rPr>
          <w:b/>
          <w:bCs/>
          <w:spacing w:val="-3"/>
          <w:lang w:val="fr-FR"/>
        </w:rPr>
        <w:t xml:space="preserve"> </w:t>
      </w:r>
      <w:r w:rsidRPr="00BE78E7">
        <w:rPr>
          <w:spacing w:val="-3"/>
          <w:lang w:val="fr-FR"/>
        </w:rPr>
        <w:t xml:space="preserve">a été modifiée en 2017 afin de parvenir à une plus grande souplesse dans les relations de travail avec les mineurs tout en veillant à ce que ceux-ci soient correctement protégés. Comme suite à cette modification, les employeurs sont davantage encouragés à proposer des contrats de travail plutôt que des contrats de prestation de services </w:t>
      </w:r>
      <w:r w:rsidRPr="00BE78E7">
        <w:rPr>
          <w:spacing w:val="-1"/>
          <w:lang w:val="fr-FR"/>
        </w:rPr>
        <w:t>aux mineurs. Les inspecteurs du travail peuvent considérer qu’un contrat de prestation de services constitue en fait un contrat de travail si ce con</w:t>
      </w:r>
      <w:r w:rsidR="001F3BB2" w:rsidRPr="00BE78E7">
        <w:rPr>
          <w:spacing w:val="-1"/>
          <w:lang w:val="fr-FR"/>
        </w:rPr>
        <w:t>trat en a les caractéristiques.</w:t>
      </w:r>
    </w:p>
    <w:p w:rsidR="004366C4" w:rsidRPr="002C7AB3" w:rsidRDefault="004366C4" w:rsidP="004366C4">
      <w:pPr>
        <w:pStyle w:val="SingleTxtG"/>
        <w:rPr>
          <w:lang w:val="fr-FR"/>
        </w:rPr>
      </w:pPr>
      <w:r w:rsidRPr="002C7AB3">
        <w:rPr>
          <w:lang w:val="fr-FR"/>
        </w:rPr>
        <w:t>72.</w:t>
      </w:r>
      <w:r w:rsidRPr="002C7AB3">
        <w:rPr>
          <w:lang w:val="fr-FR"/>
        </w:rPr>
        <w:tab/>
        <w:t xml:space="preserve">Si un enfant travaille </w:t>
      </w:r>
      <w:r>
        <w:rPr>
          <w:lang w:val="fr-FR"/>
        </w:rPr>
        <w:t>sans contrat</w:t>
      </w:r>
      <w:r w:rsidRPr="002C7AB3">
        <w:rPr>
          <w:lang w:val="fr-FR"/>
        </w:rPr>
        <w:t xml:space="preserve"> de travail formel, c</w:t>
      </w:r>
      <w:r>
        <w:rPr>
          <w:lang w:val="fr-FR"/>
        </w:rPr>
        <w:t>’</w:t>
      </w:r>
      <w:r w:rsidRPr="002C7AB3">
        <w:rPr>
          <w:lang w:val="fr-FR"/>
        </w:rPr>
        <w:t>est aux parents ou à la personne qui élève l</w:t>
      </w:r>
      <w:r>
        <w:rPr>
          <w:lang w:val="fr-FR"/>
        </w:rPr>
        <w:t>’</w:t>
      </w:r>
      <w:r w:rsidRPr="002C7AB3">
        <w:rPr>
          <w:lang w:val="fr-FR"/>
        </w:rPr>
        <w:t>enfant qu</w:t>
      </w:r>
      <w:r>
        <w:rPr>
          <w:lang w:val="fr-FR"/>
        </w:rPr>
        <w:t>’</w:t>
      </w:r>
      <w:r w:rsidRPr="002C7AB3">
        <w:rPr>
          <w:lang w:val="fr-FR"/>
        </w:rPr>
        <w:t xml:space="preserve">incombe la responsabilité première de garantir ses droits et son bien-être. </w:t>
      </w:r>
      <w:r>
        <w:rPr>
          <w:lang w:val="fr-FR"/>
        </w:rPr>
        <w:t>Quiconque</w:t>
      </w:r>
      <w:r w:rsidRPr="002C7AB3">
        <w:rPr>
          <w:lang w:val="fr-FR"/>
        </w:rPr>
        <w:t xml:space="preserve"> a connaissance d</w:t>
      </w:r>
      <w:r>
        <w:rPr>
          <w:lang w:val="fr-FR"/>
        </w:rPr>
        <w:t>’</w:t>
      </w:r>
      <w:r w:rsidRPr="002C7AB3">
        <w:rPr>
          <w:lang w:val="fr-FR"/>
        </w:rPr>
        <w:t>une menace pour le bien-être d</w:t>
      </w:r>
      <w:r>
        <w:rPr>
          <w:lang w:val="fr-FR"/>
        </w:rPr>
        <w:t>’</w:t>
      </w:r>
      <w:r w:rsidRPr="002C7AB3">
        <w:rPr>
          <w:lang w:val="fr-FR"/>
        </w:rPr>
        <w:t>un enfant est tenu d</w:t>
      </w:r>
      <w:r>
        <w:rPr>
          <w:lang w:val="fr-FR"/>
        </w:rPr>
        <w:t>’</w:t>
      </w:r>
      <w:r w:rsidRPr="002C7AB3">
        <w:rPr>
          <w:lang w:val="fr-FR"/>
        </w:rPr>
        <w:t xml:space="preserve">en avertir les pouvoirs locaux ou le </w:t>
      </w:r>
      <w:r w:rsidRPr="002C7AB3">
        <w:rPr>
          <w:iCs/>
          <w:lang w:val="fr-FR"/>
        </w:rPr>
        <w:t>service d</w:t>
      </w:r>
      <w:r>
        <w:rPr>
          <w:iCs/>
          <w:lang w:val="fr-FR"/>
        </w:rPr>
        <w:t>’</w:t>
      </w:r>
      <w:r w:rsidRPr="002C7AB3">
        <w:rPr>
          <w:iCs/>
          <w:lang w:val="fr-FR"/>
        </w:rPr>
        <w:t xml:space="preserve">assistance téléphonique </w:t>
      </w:r>
      <w:r w:rsidRPr="002C7AB3">
        <w:rPr>
          <w:lang w:val="fr-FR"/>
        </w:rPr>
        <w:t>pour l</w:t>
      </w:r>
      <w:r>
        <w:rPr>
          <w:lang w:val="fr-FR"/>
        </w:rPr>
        <w:t>’</w:t>
      </w:r>
      <w:r w:rsidRPr="002C7AB3">
        <w:rPr>
          <w:lang w:val="fr-FR"/>
        </w:rPr>
        <w:t>enfance (11611) du lieu où réside l</w:t>
      </w:r>
      <w:r>
        <w:rPr>
          <w:lang w:val="fr-FR"/>
        </w:rPr>
        <w:t>’</w:t>
      </w:r>
      <w:r w:rsidRPr="002C7AB3">
        <w:rPr>
          <w:lang w:val="fr-FR"/>
        </w:rPr>
        <w:t>enfant ayant besoin d</w:t>
      </w:r>
      <w:r>
        <w:rPr>
          <w:lang w:val="fr-FR"/>
        </w:rPr>
        <w:t>’</w:t>
      </w:r>
      <w:r w:rsidRPr="002C7AB3">
        <w:rPr>
          <w:lang w:val="fr-FR"/>
        </w:rPr>
        <w:t>aide.</w:t>
      </w:r>
    </w:p>
    <w:p w:rsidR="004366C4" w:rsidRPr="002C7AB3" w:rsidRDefault="00ED3384" w:rsidP="00ED3384">
      <w:pPr>
        <w:pStyle w:val="H23G"/>
        <w:rPr>
          <w:bCs/>
          <w:lang w:val="fr-FR"/>
        </w:rPr>
      </w:pPr>
      <w:r w:rsidRPr="00ED3384">
        <w:rPr>
          <w:b w:val="0"/>
          <w:lang w:val="fr-FR"/>
        </w:rPr>
        <w:tab/>
      </w:r>
      <w:r w:rsidRPr="00ED3384">
        <w:rPr>
          <w:b w:val="0"/>
          <w:lang w:val="fr-FR"/>
        </w:rPr>
        <w:tab/>
      </w:r>
      <w:r w:rsidR="004366C4" w:rsidRPr="00ED3384">
        <w:rPr>
          <w:b w:val="0"/>
          <w:lang w:val="fr-FR"/>
        </w:rPr>
        <w:t>Tableau 1</w:t>
      </w:r>
      <w:r w:rsidR="004366C4" w:rsidRPr="002C7AB3">
        <w:rPr>
          <w:lang w:val="fr-FR"/>
        </w:rPr>
        <w:t xml:space="preserve"> </w:t>
      </w:r>
      <w:r>
        <w:rPr>
          <w:lang w:val="fr-FR"/>
        </w:rPr>
        <w:br/>
      </w:r>
      <w:r w:rsidR="004366C4" w:rsidRPr="00ED3384">
        <w:rPr>
          <w:spacing w:val="-1"/>
          <w:lang w:val="fr-FR"/>
        </w:rPr>
        <w:t>Mineurs qui travaillent, par groupe d’âge, tous types de contrats confondus, 2012-2017</w:t>
      </w:r>
    </w:p>
    <w:tbl>
      <w:tblPr>
        <w:tblStyle w:val="Tableausimple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709"/>
        <w:gridCol w:w="1415"/>
        <w:gridCol w:w="1415"/>
        <w:gridCol w:w="1415"/>
        <w:gridCol w:w="1415"/>
        <w:gridCol w:w="1001"/>
      </w:tblGrid>
      <w:tr w:rsidR="008E1958" w:rsidRPr="00FD4FD7" w:rsidTr="008E19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12" w:space="0" w:color="auto"/>
            </w:tcBorders>
            <w:shd w:val="clear" w:color="auto" w:fill="auto"/>
            <w:noWrap/>
            <w:vAlign w:val="bottom"/>
            <w:hideMark/>
          </w:tcPr>
          <w:p w:rsidR="004366C4" w:rsidRPr="008E1958" w:rsidRDefault="004366C4" w:rsidP="00FD4FD7">
            <w:pPr>
              <w:suppressAutoHyphens w:val="0"/>
              <w:spacing w:before="80" w:after="80" w:line="200" w:lineRule="exact"/>
              <w:rPr>
                <w:b w:val="0"/>
                <w:i/>
                <w:sz w:val="16"/>
                <w:lang w:val="fr-FR"/>
              </w:rPr>
            </w:pPr>
            <w:r w:rsidRPr="008E1958">
              <w:rPr>
                <w:b w:val="0"/>
                <w:i/>
                <w:sz w:val="16"/>
                <w:lang w:val="fr-FR"/>
              </w:rPr>
              <w:t>Année</w:t>
            </w:r>
          </w:p>
        </w:tc>
        <w:tc>
          <w:tcPr>
            <w:tcW w:w="1415" w:type="dxa"/>
            <w:tcBorders>
              <w:top w:val="single" w:sz="4" w:space="0" w:color="auto"/>
              <w:bottom w:val="single" w:sz="12" w:space="0" w:color="auto"/>
            </w:tcBorders>
            <w:shd w:val="clear" w:color="auto" w:fill="auto"/>
            <w:noWrap/>
            <w:vAlign w:val="bottom"/>
            <w:hideMark/>
          </w:tcPr>
          <w:p w:rsidR="004366C4" w:rsidRPr="00B41E88" w:rsidRDefault="008E1958" w:rsidP="00B41E88">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pacing w:val="-1"/>
                <w:sz w:val="16"/>
                <w:lang w:val="fr-FR"/>
              </w:rPr>
            </w:pPr>
            <w:r w:rsidRPr="00B41E88">
              <w:rPr>
                <w:b w:val="0"/>
                <w:i/>
                <w:spacing w:val="-1"/>
                <w:sz w:val="16"/>
                <w:lang w:val="fr-FR"/>
              </w:rPr>
              <w:t xml:space="preserve">Âgé de </w:t>
            </w:r>
            <w:r w:rsidR="00B41E88" w:rsidRPr="00B41E88">
              <w:rPr>
                <w:b w:val="0"/>
                <w:i/>
                <w:spacing w:val="-1"/>
                <w:sz w:val="16"/>
                <w:lang w:val="fr-FR"/>
              </w:rPr>
              <w:t>moins</w:t>
            </w:r>
            <w:r w:rsidRPr="00B41E88">
              <w:rPr>
                <w:b w:val="0"/>
                <w:i/>
                <w:spacing w:val="-1"/>
                <w:sz w:val="16"/>
                <w:lang w:val="fr-FR"/>
              </w:rPr>
              <w:t xml:space="preserve"> de 7 </w:t>
            </w:r>
            <w:r w:rsidR="004366C4" w:rsidRPr="00B41E88">
              <w:rPr>
                <w:b w:val="0"/>
                <w:i/>
                <w:spacing w:val="-1"/>
                <w:sz w:val="16"/>
                <w:lang w:val="fr-FR"/>
              </w:rPr>
              <w:t>ans</w:t>
            </w:r>
          </w:p>
        </w:tc>
        <w:tc>
          <w:tcPr>
            <w:tcW w:w="1415" w:type="dxa"/>
            <w:tcBorders>
              <w:top w:val="single" w:sz="4" w:space="0" w:color="auto"/>
              <w:bottom w:val="single" w:sz="12" w:space="0" w:color="auto"/>
            </w:tcBorders>
            <w:shd w:val="clear" w:color="auto" w:fill="auto"/>
            <w:noWrap/>
            <w:vAlign w:val="bottom"/>
            <w:hideMark/>
          </w:tcPr>
          <w:p w:rsidR="004366C4" w:rsidRPr="00FD4FD7" w:rsidRDefault="008E1958" w:rsidP="00FD4FD7">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Pr>
                <w:b w:val="0"/>
                <w:i/>
                <w:sz w:val="16"/>
                <w:lang w:val="fr-FR"/>
              </w:rPr>
              <w:t>Âgés de 7 à 11 </w:t>
            </w:r>
            <w:r w:rsidR="004366C4" w:rsidRPr="00FD4FD7">
              <w:rPr>
                <w:b w:val="0"/>
                <w:i/>
                <w:sz w:val="16"/>
                <w:lang w:val="fr-FR"/>
              </w:rPr>
              <w:t>ans</w:t>
            </w:r>
          </w:p>
        </w:tc>
        <w:tc>
          <w:tcPr>
            <w:tcW w:w="1415" w:type="dxa"/>
            <w:tcBorders>
              <w:top w:val="single" w:sz="4" w:space="0" w:color="auto"/>
              <w:bottom w:val="single" w:sz="12" w:space="0" w:color="auto"/>
            </w:tcBorders>
            <w:shd w:val="clear" w:color="auto" w:fill="auto"/>
            <w:noWrap/>
            <w:vAlign w:val="bottom"/>
            <w:hideMark/>
          </w:tcPr>
          <w:p w:rsidR="004366C4" w:rsidRPr="00FD4FD7" w:rsidRDefault="008E1958" w:rsidP="00FD4FD7">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Pr>
                <w:b w:val="0"/>
                <w:i/>
                <w:sz w:val="16"/>
                <w:lang w:val="fr-FR"/>
              </w:rPr>
              <w:t>Âgés de 12 à 14 </w:t>
            </w:r>
            <w:r w:rsidR="004366C4" w:rsidRPr="00FD4FD7">
              <w:rPr>
                <w:b w:val="0"/>
                <w:i/>
                <w:sz w:val="16"/>
                <w:lang w:val="fr-FR"/>
              </w:rPr>
              <w:t>ans</w:t>
            </w:r>
          </w:p>
        </w:tc>
        <w:tc>
          <w:tcPr>
            <w:tcW w:w="1415" w:type="dxa"/>
            <w:tcBorders>
              <w:top w:val="single" w:sz="4" w:space="0" w:color="auto"/>
              <w:bottom w:val="single" w:sz="12" w:space="0" w:color="auto"/>
            </w:tcBorders>
            <w:shd w:val="clear" w:color="auto" w:fill="auto"/>
            <w:noWrap/>
            <w:vAlign w:val="bottom"/>
            <w:hideMark/>
          </w:tcPr>
          <w:p w:rsidR="004366C4" w:rsidRPr="00FD4FD7" w:rsidRDefault="008E1958" w:rsidP="00FD4FD7">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Pr>
                <w:b w:val="0"/>
                <w:i/>
                <w:sz w:val="16"/>
                <w:lang w:val="fr-FR"/>
              </w:rPr>
              <w:t>Âgés de 15 à 17 </w:t>
            </w:r>
            <w:r w:rsidR="004366C4" w:rsidRPr="00FD4FD7">
              <w:rPr>
                <w:b w:val="0"/>
                <w:i/>
                <w:sz w:val="16"/>
                <w:lang w:val="fr-FR"/>
              </w:rPr>
              <w:t>ans</w:t>
            </w:r>
          </w:p>
        </w:tc>
        <w:tc>
          <w:tcPr>
            <w:tcW w:w="1001" w:type="dxa"/>
            <w:tcBorders>
              <w:top w:val="single" w:sz="4" w:space="0" w:color="auto"/>
              <w:bottom w:val="single" w:sz="12" w:space="0" w:color="auto"/>
            </w:tcBorders>
            <w:shd w:val="clear" w:color="auto" w:fill="auto"/>
            <w:noWrap/>
            <w:vAlign w:val="bottom"/>
            <w:hideMark/>
          </w:tcPr>
          <w:p w:rsidR="004366C4" w:rsidRPr="00B41E88" w:rsidRDefault="004366C4" w:rsidP="00FD4FD7">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sz w:val="16"/>
                <w:lang w:val="fr-FR"/>
              </w:rPr>
            </w:pPr>
            <w:r w:rsidRPr="00B41E88">
              <w:rPr>
                <w:b w:val="0"/>
                <w:i/>
                <w:sz w:val="16"/>
                <w:lang w:val="fr-FR"/>
              </w:rPr>
              <w:t>Total</w:t>
            </w:r>
          </w:p>
        </w:tc>
      </w:tr>
      <w:tr w:rsidR="004366C4" w:rsidRPr="00FD4FD7" w:rsidTr="008E1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12" w:space="0" w:color="auto"/>
              <w:bottom w:val="none" w:sz="0" w:space="0" w:color="auto"/>
            </w:tcBorders>
            <w:shd w:val="clear" w:color="auto" w:fill="auto"/>
            <w:noWrap/>
            <w:hideMark/>
          </w:tcPr>
          <w:p w:rsidR="004366C4" w:rsidRPr="008E1958" w:rsidRDefault="004366C4" w:rsidP="00FD4FD7">
            <w:pPr>
              <w:suppressAutoHyphens w:val="0"/>
              <w:spacing w:before="40" w:after="40" w:line="220" w:lineRule="exact"/>
              <w:rPr>
                <w:b w:val="0"/>
                <w:sz w:val="18"/>
                <w:lang w:val="fr-FR"/>
              </w:rPr>
            </w:pPr>
            <w:r w:rsidRPr="008E1958">
              <w:rPr>
                <w:b w:val="0"/>
                <w:sz w:val="18"/>
                <w:lang w:val="fr-FR"/>
              </w:rPr>
              <w:t>2012</w:t>
            </w:r>
          </w:p>
        </w:tc>
        <w:tc>
          <w:tcPr>
            <w:tcW w:w="1415" w:type="dxa"/>
            <w:tcBorders>
              <w:top w:val="single" w:sz="12" w:space="0" w:color="auto"/>
              <w:bottom w:val="none" w:sz="0" w:space="0" w:color="auto"/>
            </w:tcBorders>
            <w:shd w:val="clear" w:color="auto" w:fill="auto"/>
            <w:noWrap/>
            <w:vAlign w:val="bottom"/>
            <w:hideMark/>
          </w:tcPr>
          <w:p w:rsidR="004366C4" w:rsidRPr="00FD4FD7" w:rsidRDefault="004366C4"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sidRPr="00FD4FD7">
              <w:rPr>
                <w:sz w:val="18"/>
                <w:lang w:val="fr-FR"/>
              </w:rPr>
              <w:t>8</w:t>
            </w:r>
          </w:p>
        </w:tc>
        <w:tc>
          <w:tcPr>
            <w:tcW w:w="1415" w:type="dxa"/>
            <w:tcBorders>
              <w:top w:val="single" w:sz="12" w:space="0" w:color="auto"/>
              <w:bottom w:val="none" w:sz="0" w:space="0" w:color="auto"/>
            </w:tcBorders>
            <w:shd w:val="clear" w:color="auto" w:fill="auto"/>
            <w:noWrap/>
            <w:vAlign w:val="bottom"/>
            <w:hideMark/>
          </w:tcPr>
          <w:p w:rsidR="004366C4" w:rsidRPr="00FD4FD7" w:rsidRDefault="004366C4"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sidRPr="00FD4FD7">
              <w:rPr>
                <w:sz w:val="18"/>
                <w:lang w:val="fr-FR"/>
              </w:rPr>
              <w:t>120</w:t>
            </w:r>
          </w:p>
        </w:tc>
        <w:tc>
          <w:tcPr>
            <w:tcW w:w="1415" w:type="dxa"/>
            <w:tcBorders>
              <w:top w:val="single" w:sz="12" w:space="0" w:color="auto"/>
              <w:bottom w:val="none" w:sz="0" w:space="0" w:color="auto"/>
            </w:tcBorders>
            <w:shd w:val="clear" w:color="auto" w:fill="auto"/>
            <w:noWrap/>
            <w:vAlign w:val="bottom"/>
            <w:hideMark/>
          </w:tcPr>
          <w:p w:rsidR="004366C4" w:rsidRPr="00FD4FD7" w:rsidRDefault="004366C4" w:rsidP="00B41E8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sidRPr="00FD4FD7">
              <w:rPr>
                <w:sz w:val="18"/>
                <w:lang w:val="fr-FR"/>
              </w:rPr>
              <w:t>1</w:t>
            </w:r>
            <w:r w:rsidR="00B41E88">
              <w:rPr>
                <w:sz w:val="18"/>
                <w:lang w:val="fr-FR"/>
              </w:rPr>
              <w:t> </w:t>
            </w:r>
            <w:r w:rsidRPr="00FD4FD7">
              <w:rPr>
                <w:sz w:val="18"/>
                <w:lang w:val="fr-FR"/>
              </w:rPr>
              <w:t>807</w:t>
            </w:r>
          </w:p>
        </w:tc>
        <w:tc>
          <w:tcPr>
            <w:tcW w:w="1415" w:type="dxa"/>
            <w:tcBorders>
              <w:top w:val="single" w:sz="12" w:space="0" w:color="auto"/>
              <w:bottom w:val="none" w:sz="0" w:space="0" w:color="auto"/>
            </w:tcBorders>
            <w:shd w:val="clear" w:color="auto" w:fill="auto"/>
            <w:noWrap/>
            <w:vAlign w:val="bottom"/>
            <w:hideMark/>
          </w:tcPr>
          <w:p w:rsidR="004366C4" w:rsidRPr="00FD4FD7" w:rsidRDefault="004366C4" w:rsidP="00B41E8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sidRPr="00FD4FD7">
              <w:rPr>
                <w:sz w:val="18"/>
                <w:lang w:val="fr-FR"/>
              </w:rPr>
              <w:t>6</w:t>
            </w:r>
            <w:r w:rsidR="00B41E88">
              <w:rPr>
                <w:sz w:val="18"/>
                <w:lang w:val="fr-FR"/>
              </w:rPr>
              <w:t> </w:t>
            </w:r>
            <w:r w:rsidRPr="00FD4FD7">
              <w:rPr>
                <w:sz w:val="18"/>
                <w:lang w:val="fr-FR"/>
              </w:rPr>
              <w:t>284</w:t>
            </w:r>
          </w:p>
        </w:tc>
        <w:tc>
          <w:tcPr>
            <w:tcW w:w="1001" w:type="dxa"/>
            <w:tcBorders>
              <w:top w:val="single" w:sz="12" w:space="0" w:color="auto"/>
              <w:bottom w:val="none" w:sz="0" w:space="0" w:color="auto"/>
            </w:tcBorders>
            <w:shd w:val="clear" w:color="auto" w:fill="auto"/>
            <w:noWrap/>
            <w:vAlign w:val="bottom"/>
            <w:hideMark/>
          </w:tcPr>
          <w:p w:rsidR="004366C4" w:rsidRPr="00B41E88" w:rsidRDefault="004366C4" w:rsidP="00B41E8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sidRPr="00B41E88">
              <w:rPr>
                <w:sz w:val="18"/>
                <w:lang w:val="fr-FR"/>
              </w:rPr>
              <w:t>8</w:t>
            </w:r>
            <w:r w:rsidR="00B41E88">
              <w:rPr>
                <w:sz w:val="18"/>
                <w:lang w:val="fr-FR"/>
              </w:rPr>
              <w:t> </w:t>
            </w:r>
            <w:r w:rsidRPr="00B41E88">
              <w:rPr>
                <w:sz w:val="18"/>
                <w:lang w:val="fr-FR"/>
              </w:rPr>
              <w:t>219</w:t>
            </w:r>
          </w:p>
        </w:tc>
      </w:tr>
      <w:tr w:rsidR="004366C4" w:rsidRPr="00FD4FD7" w:rsidTr="008E1958">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hideMark/>
          </w:tcPr>
          <w:p w:rsidR="004366C4" w:rsidRPr="008E1958" w:rsidRDefault="004366C4" w:rsidP="00FD4FD7">
            <w:pPr>
              <w:suppressAutoHyphens w:val="0"/>
              <w:spacing w:before="40" w:after="40" w:line="220" w:lineRule="exact"/>
              <w:rPr>
                <w:b w:val="0"/>
                <w:sz w:val="18"/>
                <w:lang w:val="fr-FR"/>
              </w:rPr>
            </w:pPr>
            <w:r w:rsidRPr="008E1958">
              <w:rPr>
                <w:b w:val="0"/>
                <w:sz w:val="18"/>
                <w:lang w:val="fr-FR"/>
              </w:rPr>
              <w:t>2013</w:t>
            </w:r>
          </w:p>
        </w:tc>
        <w:tc>
          <w:tcPr>
            <w:tcW w:w="1415" w:type="dxa"/>
            <w:shd w:val="clear" w:color="auto" w:fill="auto"/>
            <w:noWrap/>
            <w:vAlign w:val="bottom"/>
            <w:hideMark/>
          </w:tcPr>
          <w:p w:rsidR="004366C4" w:rsidRPr="00FD4FD7" w:rsidRDefault="004366C4"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FD4FD7">
              <w:rPr>
                <w:sz w:val="18"/>
                <w:lang w:val="fr-FR"/>
              </w:rPr>
              <w:t>11</w:t>
            </w:r>
          </w:p>
        </w:tc>
        <w:tc>
          <w:tcPr>
            <w:tcW w:w="1415" w:type="dxa"/>
            <w:shd w:val="clear" w:color="auto" w:fill="auto"/>
            <w:noWrap/>
            <w:vAlign w:val="bottom"/>
            <w:hideMark/>
          </w:tcPr>
          <w:p w:rsidR="004366C4" w:rsidRPr="00FD4FD7" w:rsidRDefault="004366C4"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FD4FD7">
              <w:rPr>
                <w:sz w:val="18"/>
                <w:lang w:val="fr-FR"/>
              </w:rPr>
              <w:t>112</w:t>
            </w:r>
          </w:p>
        </w:tc>
        <w:tc>
          <w:tcPr>
            <w:tcW w:w="1415" w:type="dxa"/>
            <w:shd w:val="clear" w:color="auto" w:fill="auto"/>
            <w:noWrap/>
            <w:vAlign w:val="bottom"/>
            <w:hideMark/>
          </w:tcPr>
          <w:p w:rsidR="004366C4" w:rsidRPr="00FD4FD7" w:rsidRDefault="00B41E88"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Pr>
                <w:sz w:val="18"/>
                <w:lang w:val="fr-FR"/>
              </w:rPr>
              <w:t>1 </w:t>
            </w:r>
            <w:r w:rsidR="004366C4" w:rsidRPr="00FD4FD7">
              <w:rPr>
                <w:sz w:val="18"/>
                <w:lang w:val="fr-FR"/>
              </w:rPr>
              <w:t>882</w:t>
            </w:r>
          </w:p>
        </w:tc>
        <w:tc>
          <w:tcPr>
            <w:tcW w:w="1415" w:type="dxa"/>
            <w:shd w:val="clear" w:color="auto" w:fill="auto"/>
            <w:noWrap/>
            <w:vAlign w:val="bottom"/>
            <w:hideMark/>
          </w:tcPr>
          <w:p w:rsidR="004366C4" w:rsidRPr="00FD4FD7" w:rsidRDefault="00B41E88"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Pr>
                <w:sz w:val="18"/>
                <w:lang w:val="fr-FR"/>
              </w:rPr>
              <w:t>6 </w:t>
            </w:r>
            <w:r w:rsidR="004366C4" w:rsidRPr="00FD4FD7">
              <w:rPr>
                <w:sz w:val="18"/>
                <w:lang w:val="fr-FR"/>
              </w:rPr>
              <w:t>609</w:t>
            </w:r>
          </w:p>
        </w:tc>
        <w:tc>
          <w:tcPr>
            <w:tcW w:w="1001" w:type="dxa"/>
            <w:shd w:val="clear" w:color="auto" w:fill="auto"/>
            <w:noWrap/>
            <w:vAlign w:val="bottom"/>
            <w:hideMark/>
          </w:tcPr>
          <w:p w:rsidR="004366C4" w:rsidRPr="00B41E88" w:rsidRDefault="00B41E88"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Pr>
                <w:sz w:val="18"/>
                <w:lang w:val="fr-FR"/>
              </w:rPr>
              <w:t>8 </w:t>
            </w:r>
            <w:r w:rsidR="004366C4" w:rsidRPr="00B41E88">
              <w:rPr>
                <w:sz w:val="18"/>
                <w:lang w:val="fr-FR"/>
              </w:rPr>
              <w:t>614</w:t>
            </w:r>
          </w:p>
        </w:tc>
      </w:tr>
      <w:tr w:rsidR="004366C4" w:rsidRPr="00FD4FD7" w:rsidTr="008E1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shd w:val="clear" w:color="auto" w:fill="auto"/>
            <w:noWrap/>
            <w:hideMark/>
          </w:tcPr>
          <w:p w:rsidR="004366C4" w:rsidRPr="008E1958" w:rsidRDefault="004366C4" w:rsidP="00FD4FD7">
            <w:pPr>
              <w:suppressAutoHyphens w:val="0"/>
              <w:spacing w:before="40" w:after="40" w:line="220" w:lineRule="exact"/>
              <w:rPr>
                <w:b w:val="0"/>
                <w:sz w:val="18"/>
                <w:lang w:val="fr-FR"/>
              </w:rPr>
            </w:pPr>
            <w:r w:rsidRPr="008E1958">
              <w:rPr>
                <w:b w:val="0"/>
                <w:sz w:val="18"/>
                <w:lang w:val="fr-FR"/>
              </w:rPr>
              <w:t>2014</w:t>
            </w:r>
          </w:p>
        </w:tc>
        <w:tc>
          <w:tcPr>
            <w:tcW w:w="1415" w:type="dxa"/>
            <w:tcBorders>
              <w:top w:val="none" w:sz="0" w:space="0" w:color="auto"/>
              <w:bottom w:val="none" w:sz="0" w:space="0" w:color="auto"/>
            </w:tcBorders>
            <w:shd w:val="clear" w:color="auto" w:fill="auto"/>
            <w:noWrap/>
            <w:vAlign w:val="bottom"/>
            <w:hideMark/>
          </w:tcPr>
          <w:p w:rsidR="004366C4" w:rsidRPr="00FD4FD7" w:rsidRDefault="004366C4"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sidRPr="00FD4FD7">
              <w:rPr>
                <w:sz w:val="18"/>
                <w:lang w:val="fr-FR"/>
              </w:rPr>
              <w:t>8</w:t>
            </w:r>
          </w:p>
        </w:tc>
        <w:tc>
          <w:tcPr>
            <w:tcW w:w="1415" w:type="dxa"/>
            <w:tcBorders>
              <w:top w:val="none" w:sz="0" w:space="0" w:color="auto"/>
              <w:bottom w:val="none" w:sz="0" w:space="0" w:color="auto"/>
            </w:tcBorders>
            <w:shd w:val="clear" w:color="auto" w:fill="auto"/>
            <w:noWrap/>
            <w:vAlign w:val="bottom"/>
            <w:hideMark/>
          </w:tcPr>
          <w:p w:rsidR="004366C4" w:rsidRPr="00FD4FD7" w:rsidRDefault="004366C4"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sidRPr="00FD4FD7">
              <w:rPr>
                <w:sz w:val="18"/>
                <w:lang w:val="fr-FR"/>
              </w:rPr>
              <w:t>165</w:t>
            </w:r>
          </w:p>
        </w:tc>
        <w:tc>
          <w:tcPr>
            <w:tcW w:w="1415" w:type="dxa"/>
            <w:tcBorders>
              <w:top w:val="none" w:sz="0" w:space="0" w:color="auto"/>
              <w:bottom w:val="none" w:sz="0" w:space="0" w:color="auto"/>
            </w:tcBorders>
            <w:shd w:val="clear" w:color="auto" w:fill="auto"/>
            <w:noWrap/>
            <w:vAlign w:val="bottom"/>
            <w:hideMark/>
          </w:tcPr>
          <w:p w:rsidR="004366C4" w:rsidRPr="00FD4FD7" w:rsidRDefault="00B41E88"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Pr>
                <w:sz w:val="18"/>
                <w:lang w:val="fr-FR"/>
              </w:rPr>
              <w:t>2 </w:t>
            </w:r>
            <w:r w:rsidR="004366C4" w:rsidRPr="00FD4FD7">
              <w:rPr>
                <w:sz w:val="18"/>
                <w:lang w:val="fr-FR"/>
              </w:rPr>
              <w:t>055</w:t>
            </w:r>
          </w:p>
        </w:tc>
        <w:tc>
          <w:tcPr>
            <w:tcW w:w="1415" w:type="dxa"/>
            <w:tcBorders>
              <w:top w:val="none" w:sz="0" w:space="0" w:color="auto"/>
              <w:bottom w:val="none" w:sz="0" w:space="0" w:color="auto"/>
            </w:tcBorders>
            <w:shd w:val="clear" w:color="auto" w:fill="auto"/>
            <w:noWrap/>
            <w:vAlign w:val="bottom"/>
            <w:hideMark/>
          </w:tcPr>
          <w:p w:rsidR="004366C4" w:rsidRPr="00FD4FD7" w:rsidRDefault="00B41E88"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Pr>
                <w:sz w:val="18"/>
                <w:lang w:val="fr-FR"/>
              </w:rPr>
              <w:t>7 </w:t>
            </w:r>
            <w:r w:rsidR="004366C4" w:rsidRPr="00FD4FD7">
              <w:rPr>
                <w:sz w:val="18"/>
                <w:lang w:val="fr-FR"/>
              </w:rPr>
              <w:t>902</w:t>
            </w:r>
          </w:p>
        </w:tc>
        <w:tc>
          <w:tcPr>
            <w:tcW w:w="1001" w:type="dxa"/>
            <w:tcBorders>
              <w:top w:val="none" w:sz="0" w:space="0" w:color="auto"/>
              <w:bottom w:val="none" w:sz="0" w:space="0" w:color="auto"/>
            </w:tcBorders>
            <w:shd w:val="clear" w:color="auto" w:fill="auto"/>
            <w:noWrap/>
            <w:vAlign w:val="bottom"/>
            <w:hideMark/>
          </w:tcPr>
          <w:p w:rsidR="004366C4" w:rsidRPr="00B41E88" w:rsidRDefault="00B41E88"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Pr>
                <w:sz w:val="18"/>
                <w:lang w:val="fr-FR"/>
              </w:rPr>
              <w:t>10 </w:t>
            </w:r>
            <w:r w:rsidR="004366C4" w:rsidRPr="00B41E88">
              <w:rPr>
                <w:sz w:val="18"/>
                <w:lang w:val="fr-FR"/>
              </w:rPr>
              <w:t>130</w:t>
            </w:r>
          </w:p>
        </w:tc>
      </w:tr>
      <w:tr w:rsidR="004366C4" w:rsidRPr="00FD4FD7" w:rsidTr="008E1958">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hideMark/>
          </w:tcPr>
          <w:p w:rsidR="004366C4" w:rsidRPr="008E1958" w:rsidRDefault="004366C4" w:rsidP="00FD4FD7">
            <w:pPr>
              <w:suppressAutoHyphens w:val="0"/>
              <w:spacing w:before="40" w:after="40" w:line="220" w:lineRule="exact"/>
              <w:rPr>
                <w:b w:val="0"/>
                <w:sz w:val="18"/>
                <w:lang w:val="fr-FR"/>
              </w:rPr>
            </w:pPr>
            <w:r w:rsidRPr="008E1958">
              <w:rPr>
                <w:b w:val="0"/>
                <w:sz w:val="18"/>
                <w:lang w:val="fr-FR"/>
              </w:rPr>
              <w:t>2015</w:t>
            </w:r>
          </w:p>
        </w:tc>
        <w:tc>
          <w:tcPr>
            <w:tcW w:w="1415" w:type="dxa"/>
            <w:shd w:val="clear" w:color="auto" w:fill="auto"/>
            <w:noWrap/>
            <w:vAlign w:val="bottom"/>
            <w:hideMark/>
          </w:tcPr>
          <w:p w:rsidR="004366C4" w:rsidRPr="00FD4FD7" w:rsidRDefault="004366C4"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FD4FD7">
              <w:rPr>
                <w:sz w:val="18"/>
                <w:lang w:val="fr-FR"/>
              </w:rPr>
              <w:t>8</w:t>
            </w:r>
          </w:p>
        </w:tc>
        <w:tc>
          <w:tcPr>
            <w:tcW w:w="1415" w:type="dxa"/>
            <w:shd w:val="clear" w:color="auto" w:fill="auto"/>
            <w:noWrap/>
            <w:vAlign w:val="bottom"/>
            <w:hideMark/>
          </w:tcPr>
          <w:p w:rsidR="004366C4" w:rsidRPr="00FD4FD7" w:rsidRDefault="004366C4"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FD4FD7">
              <w:rPr>
                <w:sz w:val="18"/>
                <w:lang w:val="fr-FR"/>
              </w:rPr>
              <w:t>151</w:t>
            </w:r>
          </w:p>
        </w:tc>
        <w:tc>
          <w:tcPr>
            <w:tcW w:w="1415" w:type="dxa"/>
            <w:shd w:val="clear" w:color="auto" w:fill="auto"/>
            <w:noWrap/>
            <w:vAlign w:val="bottom"/>
            <w:hideMark/>
          </w:tcPr>
          <w:p w:rsidR="004366C4" w:rsidRPr="00FD4FD7" w:rsidRDefault="00B41E88"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Pr>
                <w:sz w:val="18"/>
                <w:lang w:val="fr-FR"/>
              </w:rPr>
              <w:t>2 </w:t>
            </w:r>
            <w:r w:rsidR="004366C4" w:rsidRPr="00FD4FD7">
              <w:rPr>
                <w:sz w:val="18"/>
                <w:lang w:val="fr-FR"/>
              </w:rPr>
              <w:t>039</w:t>
            </w:r>
          </w:p>
        </w:tc>
        <w:tc>
          <w:tcPr>
            <w:tcW w:w="1415" w:type="dxa"/>
            <w:shd w:val="clear" w:color="auto" w:fill="auto"/>
            <w:noWrap/>
            <w:vAlign w:val="bottom"/>
            <w:hideMark/>
          </w:tcPr>
          <w:p w:rsidR="004366C4" w:rsidRPr="00FD4FD7" w:rsidRDefault="004366C4" w:rsidP="00B41E8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FD4FD7">
              <w:rPr>
                <w:sz w:val="18"/>
                <w:lang w:val="fr-FR"/>
              </w:rPr>
              <w:t>8</w:t>
            </w:r>
            <w:r w:rsidR="00B41E88">
              <w:rPr>
                <w:sz w:val="18"/>
                <w:lang w:val="fr-FR"/>
              </w:rPr>
              <w:t> </w:t>
            </w:r>
            <w:r w:rsidRPr="00FD4FD7">
              <w:rPr>
                <w:sz w:val="18"/>
                <w:lang w:val="fr-FR"/>
              </w:rPr>
              <w:t>663</w:t>
            </w:r>
          </w:p>
        </w:tc>
        <w:tc>
          <w:tcPr>
            <w:tcW w:w="1001" w:type="dxa"/>
            <w:shd w:val="clear" w:color="auto" w:fill="auto"/>
            <w:noWrap/>
            <w:vAlign w:val="bottom"/>
            <w:hideMark/>
          </w:tcPr>
          <w:p w:rsidR="004366C4" w:rsidRPr="00B41E88" w:rsidRDefault="00B41E88"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Pr>
                <w:sz w:val="18"/>
                <w:lang w:val="fr-FR"/>
              </w:rPr>
              <w:t>10 </w:t>
            </w:r>
            <w:r w:rsidR="004366C4" w:rsidRPr="00B41E88">
              <w:rPr>
                <w:sz w:val="18"/>
                <w:lang w:val="fr-FR"/>
              </w:rPr>
              <w:t>861</w:t>
            </w:r>
          </w:p>
        </w:tc>
      </w:tr>
      <w:tr w:rsidR="004366C4" w:rsidRPr="00FD4FD7" w:rsidTr="008E1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shd w:val="clear" w:color="auto" w:fill="auto"/>
            <w:noWrap/>
            <w:hideMark/>
          </w:tcPr>
          <w:p w:rsidR="004366C4" w:rsidRPr="008E1958" w:rsidRDefault="004366C4" w:rsidP="00FD4FD7">
            <w:pPr>
              <w:suppressAutoHyphens w:val="0"/>
              <w:spacing w:before="40" w:after="40" w:line="220" w:lineRule="exact"/>
              <w:rPr>
                <w:b w:val="0"/>
                <w:sz w:val="18"/>
                <w:lang w:val="fr-FR"/>
              </w:rPr>
            </w:pPr>
            <w:r w:rsidRPr="008E1958">
              <w:rPr>
                <w:b w:val="0"/>
                <w:sz w:val="18"/>
                <w:lang w:val="fr-FR"/>
              </w:rPr>
              <w:t>2016</w:t>
            </w:r>
          </w:p>
        </w:tc>
        <w:tc>
          <w:tcPr>
            <w:tcW w:w="1415" w:type="dxa"/>
            <w:tcBorders>
              <w:top w:val="none" w:sz="0" w:space="0" w:color="auto"/>
              <w:bottom w:val="none" w:sz="0" w:space="0" w:color="auto"/>
            </w:tcBorders>
            <w:shd w:val="clear" w:color="auto" w:fill="auto"/>
            <w:noWrap/>
            <w:vAlign w:val="bottom"/>
            <w:hideMark/>
          </w:tcPr>
          <w:p w:rsidR="004366C4" w:rsidRPr="00FD4FD7" w:rsidRDefault="004366C4"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sidRPr="00FD4FD7">
              <w:rPr>
                <w:sz w:val="18"/>
                <w:lang w:val="fr-FR"/>
              </w:rPr>
              <w:t>7</w:t>
            </w:r>
          </w:p>
        </w:tc>
        <w:tc>
          <w:tcPr>
            <w:tcW w:w="1415" w:type="dxa"/>
            <w:tcBorders>
              <w:top w:val="none" w:sz="0" w:space="0" w:color="auto"/>
              <w:bottom w:val="none" w:sz="0" w:space="0" w:color="auto"/>
            </w:tcBorders>
            <w:shd w:val="clear" w:color="auto" w:fill="auto"/>
            <w:noWrap/>
            <w:vAlign w:val="bottom"/>
            <w:hideMark/>
          </w:tcPr>
          <w:p w:rsidR="004366C4" w:rsidRPr="00FD4FD7" w:rsidRDefault="004366C4"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sidRPr="00FD4FD7">
              <w:rPr>
                <w:sz w:val="18"/>
                <w:lang w:val="fr-FR"/>
              </w:rPr>
              <w:t>155</w:t>
            </w:r>
          </w:p>
        </w:tc>
        <w:tc>
          <w:tcPr>
            <w:tcW w:w="1415" w:type="dxa"/>
            <w:tcBorders>
              <w:top w:val="none" w:sz="0" w:space="0" w:color="auto"/>
              <w:bottom w:val="none" w:sz="0" w:space="0" w:color="auto"/>
            </w:tcBorders>
            <w:shd w:val="clear" w:color="auto" w:fill="auto"/>
            <w:noWrap/>
            <w:vAlign w:val="bottom"/>
            <w:hideMark/>
          </w:tcPr>
          <w:p w:rsidR="004366C4" w:rsidRPr="00FD4FD7" w:rsidRDefault="00B41E88"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Pr>
                <w:sz w:val="18"/>
                <w:lang w:val="fr-FR"/>
              </w:rPr>
              <w:t>2 </w:t>
            </w:r>
            <w:r w:rsidR="004366C4" w:rsidRPr="00FD4FD7">
              <w:rPr>
                <w:sz w:val="18"/>
                <w:lang w:val="fr-FR"/>
              </w:rPr>
              <w:t>039</w:t>
            </w:r>
          </w:p>
        </w:tc>
        <w:tc>
          <w:tcPr>
            <w:tcW w:w="1415" w:type="dxa"/>
            <w:tcBorders>
              <w:top w:val="none" w:sz="0" w:space="0" w:color="auto"/>
              <w:bottom w:val="none" w:sz="0" w:space="0" w:color="auto"/>
            </w:tcBorders>
            <w:shd w:val="clear" w:color="auto" w:fill="auto"/>
            <w:noWrap/>
            <w:vAlign w:val="bottom"/>
            <w:hideMark/>
          </w:tcPr>
          <w:p w:rsidR="004366C4" w:rsidRPr="00FD4FD7" w:rsidRDefault="00B41E88"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Pr>
                <w:sz w:val="18"/>
                <w:lang w:val="fr-FR"/>
              </w:rPr>
              <w:t>8 </w:t>
            </w:r>
            <w:r w:rsidR="004366C4" w:rsidRPr="00FD4FD7">
              <w:rPr>
                <w:sz w:val="18"/>
                <w:lang w:val="fr-FR"/>
              </w:rPr>
              <w:t>849</w:t>
            </w:r>
          </w:p>
        </w:tc>
        <w:tc>
          <w:tcPr>
            <w:tcW w:w="1001" w:type="dxa"/>
            <w:tcBorders>
              <w:top w:val="none" w:sz="0" w:space="0" w:color="auto"/>
              <w:bottom w:val="none" w:sz="0" w:space="0" w:color="auto"/>
            </w:tcBorders>
            <w:shd w:val="clear" w:color="auto" w:fill="auto"/>
            <w:noWrap/>
            <w:vAlign w:val="bottom"/>
            <w:hideMark/>
          </w:tcPr>
          <w:p w:rsidR="004366C4" w:rsidRPr="00B41E88" w:rsidRDefault="00B41E88" w:rsidP="00FD4FD7">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FR"/>
              </w:rPr>
            </w:pPr>
            <w:r>
              <w:rPr>
                <w:sz w:val="18"/>
                <w:lang w:val="fr-FR"/>
              </w:rPr>
              <w:t>11 </w:t>
            </w:r>
            <w:r w:rsidR="004366C4" w:rsidRPr="00B41E88">
              <w:rPr>
                <w:sz w:val="18"/>
                <w:lang w:val="fr-FR"/>
              </w:rPr>
              <w:t>050</w:t>
            </w:r>
          </w:p>
        </w:tc>
      </w:tr>
      <w:tr w:rsidR="008E1958" w:rsidRPr="00FD4FD7" w:rsidTr="008E1958">
        <w:tc>
          <w:tcPr>
            <w:cnfStyle w:val="001000000000" w:firstRow="0" w:lastRow="0" w:firstColumn="1" w:lastColumn="0" w:oddVBand="0" w:evenVBand="0" w:oddHBand="0" w:evenHBand="0" w:firstRowFirstColumn="0" w:firstRowLastColumn="0" w:lastRowFirstColumn="0" w:lastRowLastColumn="0"/>
            <w:tcW w:w="709" w:type="dxa"/>
            <w:tcBorders>
              <w:bottom w:val="single" w:sz="12" w:space="0" w:color="auto"/>
            </w:tcBorders>
            <w:shd w:val="clear" w:color="auto" w:fill="auto"/>
            <w:noWrap/>
            <w:hideMark/>
          </w:tcPr>
          <w:p w:rsidR="004366C4" w:rsidRPr="008E1958" w:rsidRDefault="004366C4" w:rsidP="00FD4FD7">
            <w:pPr>
              <w:suppressAutoHyphens w:val="0"/>
              <w:spacing w:before="40" w:after="40" w:line="220" w:lineRule="exact"/>
              <w:rPr>
                <w:b w:val="0"/>
                <w:sz w:val="18"/>
                <w:lang w:val="fr-FR"/>
              </w:rPr>
            </w:pPr>
            <w:r w:rsidRPr="008E1958">
              <w:rPr>
                <w:b w:val="0"/>
                <w:sz w:val="18"/>
                <w:lang w:val="fr-FR"/>
              </w:rPr>
              <w:t>2017</w:t>
            </w:r>
          </w:p>
        </w:tc>
        <w:tc>
          <w:tcPr>
            <w:tcW w:w="1415" w:type="dxa"/>
            <w:tcBorders>
              <w:bottom w:val="single" w:sz="12" w:space="0" w:color="auto"/>
            </w:tcBorders>
            <w:shd w:val="clear" w:color="auto" w:fill="auto"/>
            <w:noWrap/>
            <w:vAlign w:val="bottom"/>
            <w:hideMark/>
          </w:tcPr>
          <w:p w:rsidR="004366C4" w:rsidRPr="00FD4FD7" w:rsidRDefault="004366C4"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FD4FD7">
              <w:rPr>
                <w:sz w:val="18"/>
                <w:lang w:val="fr-FR"/>
              </w:rPr>
              <w:t>10</w:t>
            </w:r>
          </w:p>
        </w:tc>
        <w:tc>
          <w:tcPr>
            <w:tcW w:w="1415" w:type="dxa"/>
            <w:tcBorders>
              <w:bottom w:val="single" w:sz="12" w:space="0" w:color="auto"/>
            </w:tcBorders>
            <w:shd w:val="clear" w:color="auto" w:fill="auto"/>
            <w:noWrap/>
            <w:vAlign w:val="bottom"/>
            <w:hideMark/>
          </w:tcPr>
          <w:p w:rsidR="004366C4" w:rsidRPr="00FD4FD7" w:rsidRDefault="004366C4"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sidRPr="00FD4FD7">
              <w:rPr>
                <w:sz w:val="18"/>
                <w:lang w:val="fr-FR"/>
              </w:rPr>
              <w:t>119</w:t>
            </w:r>
          </w:p>
        </w:tc>
        <w:tc>
          <w:tcPr>
            <w:tcW w:w="1415" w:type="dxa"/>
            <w:tcBorders>
              <w:bottom w:val="single" w:sz="12" w:space="0" w:color="auto"/>
            </w:tcBorders>
            <w:shd w:val="clear" w:color="auto" w:fill="auto"/>
            <w:noWrap/>
            <w:vAlign w:val="bottom"/>
            <w:hideMark/>
          </w:tcPr>
          <w:p w:rsidR="004366C4" w:rsidRPr="00FD4FD7" w:rsidRDefault="00B41E88"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Pr>
                <w:sz w:val="18"/>
                <w:lang w:val="fr-FR"/>
              </w:rPr>
              <w:t>2 </w:t>
            </w:r>
            <w:r w:rsidR="004366C4" w:rsidRPr="00FD4FD7">
              <w:rPr>
                <w:sz w:val="18"/>
                <w:lang w:val="fr-FR"/>
              </w:rPr>
              <w:t>146</w:t>
            </w:r>
          </w:p>
        </w:tc>
        <w:tc>
          <w:tcPr>
            <w:tcW w:w="1415" w:type="dxa"/>
            <w:tcBorders>
              <w:bottom w:val="single" w:sz="12" w:space="0" w:color="auto"/>
            </w:tcBorders>
            <w:shd w:val="clear" w:color="auto" w:fill="auto"/>
            <w:noWrap/>
            <w:vAlign w:val="bottom"/>
            <w:hideMark/>
          </w:tcPr>
          <w:p w:rsidR="004366C4" w:rsidRPr="00FD4FD7" w:rsidRDefault="00B41E88"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Pr>
                <w:sz w:val="18"/>
                <w:lang w:val="fr-FR"/>
              </w:rPr>
              <w:t>10 </w:t>
            </w:r>
            <w:r w:rsidR="004366C4" w:rsidRPr="00FD4FD7">
              <w:rPr>
                <w:sz w:val="18"/>
                <w:lang w:val="fr-FR"/>
              </w:rPr>
              <w:t>359</w:t>
            </w:r>
          </w:p>
        </w:tc>
        <w:tc>
          <w:tcPr>
            <w:tcW w:w="1001" w:type="dxa"/>
            <w:tcBorders>
              <w:bottom w:val="single" w:sz="12" w:space="0" w:color="auto"/>
            </w:tcBorders>
            <w:shd w:val="clear" w:color="auto" w:fill="auto"/>
            <w:noWrap/>
            <w:vAlign w:val="bottom"/>
            <w:hideMark/>
          </w:tcPr>
          <w:p w:rsidR="004366C4" w:rsidRPr="00B41E88" w:rsidRDefault="00B41E88" w:rsidP="00FD4FD7">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FR"/>
              </w:rPr>
            </w:pPr>
            <w:r>
              <w:rPr>
                <w:sz w:val="18"/>
                <w:lang w:val="fr-FR"/>
              </w:rPr>
              <w:t>12 </w:t>
            </w:r>
            <w:r w:rsidR="004366C4" w:rsidRPr="00B41E88">
              <w:rPr>
                <w:sz w:val="18"/>
                <w:lang w:val="fr-FR"/>
              </w:rPr>
              <w:t>634</w:t>
            </w:r>
          </w:p>
        </w:tc>
      </w:tr>
    </w:tbl>
    <w:p w:rsidR="004366C4" w:rsidRPr="00BE78E7" w:rsidRDefault="004366C4" w:rsidP="00AA15D1">
      <w:pPr>
        <w:pStyle w:val="SingleTxtG"/>
        <w:spacing w:before="120" w:after="240"/>
        <w:ind w:firstLine="170"/>
        <w:rPr>
          <w:sz w:val="18"/>
          <w:szCs w:val="18"/>
          <w:lang w:val="fr-FR"/>
        </w:rPr>
      </w:pPr>
      <w:r w:rsidRPr="00BE78E7">
        <w:rPr>
          <w:i/>
          <w:iCs/>
          <w:sz w:val="18"/>
          <w:szCs w:val="18"/>
          <w:lang w:val="fr-FR"/>
        </w:rPr>
        <w:t>Source</w:t>
      </w:r>
      <w:r w:rsidR="00AA15D1" w:rsidRPr="00BE78E7">
        <w:rPr>
          <w:iCs/>
          <w:sz w:val="18"/>
          <w:szCs w:val="18"/>
          <w:lang w:val="fr-FR"/>
        </w:rPr>
        <w:t> </w:t>
      </w:r>
      <w:r w:rsidRPr="00BE78E7">
        <w:rPr>
          <w:iCs/>
          <w:sz w:val="18"/>
          <w:szCs w:val="18"/>
          <w:lang w:val="fr-FR"/>
        </w:rPr>
        <w:t>: Administration fiscale et douanière.</w:t>
      </w:r>
    </w:p>
    <w:p w:rsidR="004366C4" w:rsidRDefault="00177601" w:rsidP="00177601">
      <w:pPr>
        <w:pStyle w:val="H23G"/>
        <w:rPr>
          <w:spacing w:val="-2"/>
          <w:lang w:val="fr-FR"/>
        </w:rPr>
      </w:pPr>
      <w:r w:rsidRPr="00177601">
        <w:rPr>
          <w:b w:val="0"/>
          <w:lang w:val="fr-FR"/>
        </w:rPr>
        <w:tab/>
      </w:r>
      <w:r w:rsidRPr="00177601">
        <w:rPr>
          <w:b w:val="0"/>
          <w:lang w:val="fr-FR"/>
        </w:rPr>
        <w:tab/>
      </w:r>
      <w:r w:rsidR="004366C4" w:rsidRPr="00177601">
        <w:rPr>
          <w:b w:val="0"/>
          <w:lang w:val="fr-FR"/>
        </w:rPr>
        <w:t xml:space="preserve">Tableau 2 </w:t>
      </w:r>
      <w:r w:rsidRPr="00177601">
        <w:rPr>
          <w:lang w:val="fr-FR"/>
        </w:rPr>
        <w:br/>
      </w:r>
      <w:r w:rsidR="004366C4" w:rsidRPr="00177601">
        <w:rPr>
          <w:spacing w:val="-2"/>
          <w:lang w:val="fr-FR"/>
        </w:rPr>
        <w:t>Mineurs qui travaillent, par sexe et groupe d’âge, tous types de contrats confondus, 2017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694"/>
        <w:gridCol w:w="1574"/>
        <w:gridCol w:w="1436"/>
        <w:gridCol w:w="1477"/>
        <w:gridCol w:w="1422"/>
        <w:gridCol w:w="767"/>
      </w:tblGrid>
      <w:tr w:rsidR="00B0415B" w:rsidRPr="00B0415B" w:rsidTr="00B0415B">
        <w:trPr>
          <w:tblHeader/>
        </w:trPr>
        <w:tc>
          <w:tcPr>
            <w:tcW w:w="689" w:type="dxa"/>
            <w:tcBorders>
              <w:top w:val="single" w:sz="4" w:space="0" w:color="auto"/>
              <w:bottom w:val="single" w:sz="12" w:space="0" w:color="auto"/>
            </w:tcBorders>
            <w:shd w:val="clear" w:color="auto" w:fill="auto"/>
            <w:vAlign w:val="bottom"/>
          </w:tcPr>
          <w:p w:rsidR="00B0415B" w:rsidRPr="00B0415B" w:rsidRDefault="00B0415B" w:rsidP="00B0415B">
            <w:pPr>
              <w:spacing w:before="80" w:after="80" w:line="200" w:lineRule="exact"/>
              <w:rPr>
                <w:i/>
                <w:sz w:val="16"/>
                <w:lang w:val="fr-FR"/>
              </w:rPr>
            </w:pPr>
            <w:r>
              <w:rPr>
                <w:i/>
                <w:sz w:val="16"/>
                <w:lang w:val="fr-FR"/>
              </w:rPr>
              <w:t>Sexe</w:t>
            </w:r>
          </w:p>
        </w:tc>
        <w:tc>
          <w:tcPr>
            <w:tcW w:w="1565" w:type="dxa"/>
            <w:tcBorders>
              <w:top w:val="single" w:sz="4" w:space="0" w:color="auto"/>
              <w:bottom w:val="single" w:sz="12" w:space="0" w:color="auto"/>
            </w:tcBorders>
            <w:shd w:val="clear" w:color="auto" w:fill="auto"/>
            <w:vAlign w:val="bottom"/>
          </w:tcPr>
          <w:p w:rsidR="00B0415B" w:rsidRPr="00B0415B" w:rsidRDefault="00B41E88" w:rsidP="00B0415B">
            <w:pPr>
              <w:spacing w:before="80" w:after="80" w:line="200" w:lineRule="exact"/>
              <w:jc w:val="right"/>
              <w:rPr>
                <w:i/>
                <w:sz w:val="16"/>
                <w:lang w:val="fr-FR"/>
              </w:rPr>
            </w:pPr>
            <w:r w:rsidRPr="00B41E88">
              <w:rPr>
                <w:i/>
                <w:spacing w:val="-1"/>
                <w:sz w:val="16"/>
                <w:lang w:val="fr-FR"/>
              </w:rPr>
              <w:t>Âgé de moins de 7 ans</w:t>
            </w:r>
          </w:p>
        </w:tc>
        <w:tc>
          <w:tcPr>
            <w:tcW w:w="1428" w:type="dxa"/>
            <w:tcBorders>
              <w:top w:val="single" w:sz="4" w:space="0" w:color="auto"/>
              <w:bottom w:val="single" w:sz="12" w:space="0" w:color="auto"/>
            </w:tcBorders>
            <w:shd w:val="clear" w:color="auto" w:fill="auto"/>
            <w:vAlign w:val="bottom"/>
          </w:tcPr>
          <w:p w:rsidR="00B0415B" w:rsidRPr="00B0415B" w:rsidRDefault="00B0415B" w:rsidP="00B0415B">
            <w:pPr>
              <w:spacing w:before="80" w:after="80" w:line="200" w:lineRule="exact"/>
              <w:jc w:val="right"/>
              <w:rPr>
                <w:i/>
                <w:sz w:val="16"/>
                <w:lang w:val="fr-FR"/>
              </w:rPr>
            </w:pPr>
            <w:r>
              <w:rPr>
                <w:i/>
                <w:sz w:val="16"/>
                <w:lang w:val="fr-FR"/>
              </w:rPr>
              <w:t>Âgé de 7 à 11 ans</w:t>
            </w:r>
          </w:p>
        </w:tc>
        <w:tc>
          <w:tcPr>
            <w:tcW w:w="1469" w:type="dxa"/>
            <w:tcBorders>
              <w:top w:val="single" w:sz="4" w:space="0" w:color="auto"/>
              <w:bottom w:val="single" w:sz="12" w:space="0" w:color="auto"/>
            </w:tcBorders>
            <w:shd w:val="clear" w:color="auto" w:fill="auto"/>
            <w:vAlign w:val="bottom"/>
          </w:tcPr>
          <w:p w:rsidR="00B0415B" w:rsidRPr="00B0415B" w:rsidRDefault="00B0415B" w:rsidP="00B0415B">
            <w:pPr>
              <w:spacing w:before="80" w:after="80" w:line="200" w:lineRule="exact"/>
              <w:jc w:val="right"/>
              <w:rPr>
                <w:i/>
                <w:sz w:val="16"/>
                <w:lang w:val="fr-FR"/>
              </w:rPr>
            </w:pPr>
            <w:r>
              <w:rPr>
                <w:i/>
                <w:sz w:val="16"/>
                <w:lang w:val="fr-FR"/>
              </w:rPr>
              <w:t>Âgé de 12 à 14 ans</w:t>
            </w:r>
          </w:p>
        </w:tc>
        <w:tc>
          <w:tcPr>
            <w:tcW w:w="1414" w:type="dxa"/>
            <w:tcBorders>
              <w:top w:val="single" w:sz="4" w:space="0" w:color="auto"/>
              <w:bottom w:val="single" w:sz="12" w:space="0" w:color="auto"/>
            </w:tcBorders>
            <w:shd w:val="clear" w:color="auto" w:fill="auto"/>
            <w:vAlign w:val="bottom"/>
          </w:tcPr>
          <w:p w:rsidR="00B0415B" w:rsidRPr="00B0415B" w:rsidRDefault="00B0415B" w:rsidP="00B0415B">
            <w:pPr>
              <w:spacing w:before="80" w:after="80" w:line="200" w:lineRule="exact"/>
              <w:jc w:val="right"/>
              <w:rPr>
                <w:i/>
                <w:sz w:val="16"/>
                <w:lang w:val="fr-FR"/>
              </w:rPr>
            </w:pPr>
            <w:r>
              <w:rPr>
                <w:i/>
                <w:sz w:val="16"/>
                <w:lang w:val="fr-FR"/>
              </w:rPr>
              <w:t>Âgé de 15 à 17 ans</w:t>
            </w:r>
          </w:p>
        </w:tc>
        <w:tc>
          <w:tcPr>
            <w:tcW w:w="763" w:type="dxa"/>
            <w:tcBorders>
              <w:top w:val="single" w:sz="4" w:space="0" w:color="auto"/>
              <w:bottom w:val="single" w:sz="12" w:space="0" w:color="auto"/>
            </w:tcBorders>
            <w:shd w:val="clear" w:color="auto" w:fill="auto"/>
            <w:vAlign w:val="bottom"/>
          </w:tcPr>
          <w:p w:rsidR="00B0415B" w:rsidRPr="00B41E88" w:rsidRDefault="00B0415B" w:rsidP="00B0415B">
            <w:pPr>
              <w:spacing w:before="80" w:after="80" w:line="200" w:lineRule="exact"/>
              <w:jc w:val="right"/>
              <w:rPr>
                <w:i/>
                <w:sz w:val="16"/>
                <w:lang w:val="fr-FR"/>
              </w:rPr>
            </w:pPr>
            <w:r w:rsidRPr="00B41E88">
              <w:rPr>
                <w:i/>
                <w:sz w:val="16"/>
                <w:lang w:val="fr-FR"/>
              </w:rPr>
              <w:t>Total</w:t>
            </w:r>
          </w:p>
        </w:tc>
      </w:tr>
      <w:tr w:rsidR="00B0415B" w:rsidTr="00B0415B">
        <w:tc>
          <w:tcPr>
            <w:tcW w:w="689" w:type="dxa"/>
            <w:tcBorders>
              <w:top w:val="single" w:sz="12" w:space="0" w:color="auto"/>
            </w:tcBorders>
            <w:shd w:val="clear" w:color="auto" w:fill="auto"/>
            <w:vAlign w:val="bottom"/>
          </w:tcPr>
          <w:p w:rsidR="00B0415B" w:rsidRPr="00B0415B" w:rsidRDefault="00B0415B" w:rsidP="00B0415B">
            <w:pPr>
              <w:spacing w:before="40" w:after="40" w:line="220" w:lineRule="exact"/>
              <w:rPr>
                <w:sz w:val="18"/>
                <w:lang w:val="fr-FR"/>
              </w:rPr>
            </w:pPr>
            <w:r>
              <w:rPr>
                <w:sz w:val="18"/>
                <w:lang w:val="fr-FR"/>
              </w:rPr>
              <w:t>Garçons</w:t>
            </w:r>
          </w:p>
        </w:tc>
        <w:tc>
          <w:tcPr>
            <w:tcW w:w="1565" w:type="dxa"/>
            <w:tcBorders>
              <w:top w:val="single" w:sz="12" w:space="0" w:color="auto"/>
            </w:tcBorders>
            <w:shd w:val="clear" w:color="auto" w:fill="auto"/>
            <w:vAlign w:val="bottom"/>
          </w:tcPr>
          <w:p w:rsidR="00B0415B" w:rsidRPr="00B0415B" w:rsidRDefault="00B0415B" w:rsidP="00B0415B">
            <w:pPr>
              <w:spacing w:before="40" w:after="40" w:line="220" w:lineRule="exact"/>
              <w:jc w:val="right"/>
              <w:rPr>
                <w:sz w:val="18"/>
                <w:lang w:val="fr-FR"/>
              </w:rPr>
            </w:pPr>
            <w:r>
              <w:rPr>
                <w:sz w:val="18"/>
                <w:lang w:val="fr-FR"/>
              </w:rPr>
              <w:t>6</w:t>
            </w:r>
          </w:p>
        </w:tc>
        <w:tc>
          <w:tcPr>
            <w:tcW w:w="1428" w:type="dxa"/>
            <w:tcBorders>
              <w:top w:val="single" w:sz="12" w:space="0" w:color="auto"/>
            </w:tcBorders>
            <w:shd w:val="clear" w:color="auto" w:fill="auto"/>
            <w:vAlign w:val="bottom"/>
          </w:tcPr>
          <w:p w:rsidR="00B0415B" w:rsidRPr="00B0415B" w:rsidRDefault="00B0415B" w:rsidP="00B0415B">
            <w:pPr>
              <w:spacing w:before="40" w:after="40" w:line="220" w:lineRule="exact"/>
              <w:jc w:val="right"/>
              <w:rPr>
                <w:sz w:val="18"/>
                <w:lang w:val="fr-FR"/>
              </w:rPr>
            </w:pPr>
            <w:r>
              <w:rPr>
                <w:sz w:val="18"/>
                <w:lang w:val="fr-FR"/>
              </w:rPr>
              <w:t>67</w:t>
            </w:r>
          </w:p>
        </w:tc>
        <w:tc>
          <w:tcPr>
            <w:tcW w:w="1469" w:type="dxa"/>
            <w:tcBorders>
              <w:top w:val="single" w:sz="12" w:space="0" w:color="auto"/>
            </w:tcBorders>
            <w:shd w:val="clear" w:color="auto" w:fill="auto"/>
            <w:vAlign w:val="bottom"/>
          </w:tcPr>
          <w:p w:rsidR="00B0415B" w:rsidRPr="00B0415B" w:rsidRDefault="00B0415B" w:rsidP="00B0415B">
            <w:pPr>
              <w:spacing w:before="40" w:after="40" w:line="220" w:lineRule="exact"/>
              <w:jc w:val="right"/>
              <w:rPr>
                <w:sz w:val="18"/>
                <w:lang w:val="fr-FR"/>
              </w:rPr>
            </w:pPr>
            <w:r>
              <w:rPr>
                <w:sz w:val="18"/>
                <w:lang w:val="fr-FR"/>
              </w:rPr>
              <w:t>992</w:t>
            </w:r>
          </w:p>
        </w:tc>
        <w:tc>
          <w:tcPr>
            <w:tcW w:w="1414" w:type="dxa"/>
            <w:tcBorders>
              <w:top w:val="single" w:sz="12" w:space="0" w:color="auto"/>
            </w:tcBorders>
            <w:shd w:val="clear" w:color="auto" w:fill="auto"/>
            <w:vAlign w:val="bottom"/>
          </w:tcPr>
          <w:p w:rsidR="00B0415B" w:rsidRPr="00B0415B" w:rsidRDefault="00B0415B" w:rsidP="00B0415B">
            <w:pPr>
              <w:spacing w:before="40" w:after="40" w:line="220" w:lineRule="exact"/>
              <w:jc w:val="right"/>
              <w:rPr>
                <w:sz w:val="18"/>
                <w:lang w:val="fr-FR"/>
              </w:rPr>
            </w:pPr>
            <w:r>
              <w:rPr>
                <w:sz w:val="18"/>
                <w:lang w:val="fr-FR"/>
              </w:rPr>
              <w:t>4 413</w:t>
            </w:r>
          </w:p>
        </w:tc>
        <w:tc>
          <w:tcPr>
            <w:tcW w:w="763" w:type="dxa"/>
            <w:tcBorders>
              <w:top w:val="single" w:sz="12" w:space="0" w:color="auto"/>
            </w:tcBorders>
            <w:shd w:val="clear" w:color="auto" w:fill="auto"/>
            <w:vAlign w:val="bottom"/>
          </w:tcPr>
          <w:p w:rsidR="00B0415B" w:rsidRPr="00B41E88" w:rsidRDefault="00B0415B" w:rsidP="00B0415B">
            <w:pPr>
              <w:spacing w:before="40" w:after="40" w:line="220" w:lineRule="exact"/>
              <w:jc w:val="right"/>
              <w:rPr>
                <w:sz w:val="18"/>
                <w:lang w:val="fr-FR"/>
              </w:rPr>
            </w:pPr>
            <w:r w:rsidRPr="00B41E88">
              <w:rPr>
                <w:sz w:val="18"/>
                <w:lang w:val="fr-FR"/>
              </w:rPr>
              <w:t>5 478</w:t>
            </w:r>
          </w:p>
        </w:tc>
      </w:tr>
      <w:tr w:rsidR="00B0415B" w:rsidTr="00B0415B">
        <w:tc>
          <w:tcPr>
            <w:tcW w:w="689" w:type="dxa"/>
            <w:tcBorders>
              <w:bottom w:val="single" w:sz="4" w:space="0" w:color="auto"/>
            </w:tcBorders>
            <w:shd w:val="clear" w:color="auto" w:fill="auto"/>
            <w:vAlign w:val="bottom"/>
          </w:tcPr>
          <w:p w:rsidR="00B0415B" w:rsidRPr="00B0415B" w:rsidRDefault="00B0415B" w:rsidP="00B0415B">
            <w:pPr>
              <w:spacing w:before="40" w:after="40" w:line="220" w:lineRule="exact"/>
              <w:rPr>
                <w:sz w:val="18"/>
                <w:lang w:val="fr-FR"/>
              </w:rPr>
            </w:pPr>
            <w:r>
              <w:rPr>
                <w:sz w:val="18"/>
                <w:lang w:val="fr-FR"/>
              </w:rPr>
              <w:t>Filles</w:t>
            </w:r>
          </w:p>
        </w:tc>
        <w:tc>
          <w:tcPr>
            <w:tcW w:w="1565" w:type="dxa"/>
            <w:tcBorders>
              <w:bottom w:val="single" w:sz="4" w:space="0" w:color="auto"/>
            </w:tcBorders>
            <w:shd w:val="clear" w:color="auto" w:fill="auto"/>
            <w:vAlign w:val="bottom"/>
          </w:tcPr>
          <w:p w:rsidR="00B0415B" w:rsidRPr="00B0415B" w:rsidRDefault="00B0415B" w:rsidP="00B0415B">
            <w:pPr>
              <w:spacing w:before="40" w:after="40" w:line="220" w:lineRule="exact"/>
              <w:jc w:val="right"/>
              <w:rPr>
                <w:sz w:val="18"/>
                <w:lang w:val="fr-FR"/>
              </w:rPr>
            </w:pPr>
            <w:r>
              <w:rPr>
                <w:sz w:val="18"/>
                <w:lang w:val="fr-FR"/>
              </w:rPr>
              <w:t>4</w:t>
            </w:r>
          </w:p>
        </w:tc>
        <w:tc>
          <w:tcPr>
            <w:tcW w:w="1428" w:type="dxa"/>
            <w:tcBorders>
              <w:bottom w:val="single" w:sz="4" w:space="0" w:color="auto"/>
            </w:tcBorders>
            <w:shd w:val="clear" w:color="auto" w:fill="auto"/>
            <w:vAlign w:val="bottom"/>
          </w:tcPr>
          <w:p w:rsidR="00B0415B" w:rsidRPr="00B0415B" w:rsidRDefault="00B0415B" w:rsidP="00B0415B">
            <w:pPr>
              <w:spacing w:before="40" w:after="40" w:line="220" w:lineRule="exact"/>
              <w:jc w:val="right"/>
              <w:rPr>
                <w:sz w:val="18"/>
                <w:lang w:val="fr-FR"/>
              </w:rPr>
            </w:pPr>
            <w:r>
              <w:rPr>
                <w:sz w:val="18"/>
                <w:lang w:val="fr-FR"/>
              </w:rPr>
              <w:t>51</w:t>
            </w:r>
          </w:p>
        </w:tc>
        <w:tc>
          <w:tcPr>
            <w:tcW w:w="1469" w:type="dxa"/>
            <w:tcBorders>
              <w:bottom w:val="single" w:sz="4" w:space="0" w:color="auto"/>
            </w:tcBorders>
            <w:shd w:val="clear" w:color="auto" w:fill="auto"/>
            <w:vAlign w:val="bottom"/>
          </w:tcPr>
          <w:p w:rsidR="00B0415B" w:rsidRPr="00B0415B" w:rsidRDefault="00B0415B" w:rsidP="00B0415B">
            <w:pPr>
              <w:spacing w:before="40" w:after="40" w:line="220" w:lineRule="exact"/>
              <w:jc w:val="right"/>
              <w:rPr>
                <w:sz w:val="18"/>
                <w:lang w:val="fr-FR"/>
              </w:rPr>
            </w:pPr>
            <w:r>
              <w:rPr>
                <w:sz w:val="18"/>
                <w:lang w:val="fr-FR"/>
              </w:rPr>
              <w:t>1 154</w:t>
            </w:r>
          </w:p>
        </w:tc>
        <w:tc>
          <w:tcPr>
            <w:tcW w:w="1414" w:type="dxa"/>
            <w:tcBorders>
              <w:bottom w:val="single" w:sz="4" w:space="0" w:color="auto"/>
            </w:tcBorders>
            <w:shd w:val="clear" w:color="auto" w:fill="auto"/>
            <w:vAlign w:val="bottom"/>
          </w:tcPr>
          <w:p w:rsidR="00B0415B" w:rsidRPr="00B0415B" w:rsidRDefault="00B0415B" w:rsidP="00B0415B">
            <w:pPr>
              <w:spacing w:before="40" w:after="40" w:line="220" w:lineRule="exact"/>
              <w:jc w:val="right"/>
              <w:rPr>
                <w:sz w:val="18"/>
                <w:lang w:val="fr-FR"/>
              </w:rPr>
            </w:pPr>
            <w:r>
              <w:rPr>
                <w:sz w:val="18"/>
                <w:lang w:val="fr-FR"/>
              </w:rPr>
              <w:t>5 946</w:t>
            </w:r>
          </w:p>
        </w:tc>
        <w:tc>
          <w:tcPr>
            <w:tcW w:w="763" w:type="dxa"/>
            <w:tcBorders>
              <w:bottom w:val="single" w:sz="4" w:space="0" w:color="auto"/>
            </w:tcBorders>
            <w:shd w:val="clear" w:color="auto" w:fill="auto"/>
            <w:vAlign w:val="bottom"/>
          </w:tcPr>
          <w:p w:rsidR="00B0415B" w:rsidRPr="00B41E88" w:rsidRDefault="00B0415B" w:rsidP="00B0415B">
            <w:pPr>
              <w:spacing w:before="40" w:after="40" w:line="220" w:lineRule="exact"/>
              <w:jc w:val="right"/>
              <w:rPr>
                <w:sz w:val="18"/>
                <w:lang w:val="fr-FR"/>
              </w:rPr>
            </w:pPr>
            <w:r w:rsidRPr="00B41E88">
              <w:rPr>
                <w:sz w:val="18"/>
                <w:lang w:val="fr-FR"/>
              </w:rPr>
              <w:t>7 155</w:t>
            </w:r>
          </w:p>
        </w:tc>
      </w:tr>
      <w:tr w:rsidR="00B0415B" w:rsidRPr="00B0415B" w:rsidTr="00B0415B">
        <w:tc>
          <w:tcPr>
            <w:tcW w:w="689" w:type="dxa"/>
            <w:tcBorders>
              <w:top w:val="single" w:sz="4" w:space="0" w:color="auto"/>
              <w:bottom w:val="single" w:sz="12" w:space="0" w:color="auto"/>
            </w:tcBorders>
            <w:shd w:val="clear" w:color="auto" w:fill="auto"/>
            <w:vAlign w:val="bottom"/>
          </w:tcPr>
          <w:p w:rsidR="00B0415B" w:rsidRPr="00B0415B" w:rsidRDefault="00B0415B" w:rsidP="00B0415B">
            <w:pPr>
              <w:spacing w:before="80" w:after="80" w:line="220" w:lineRule="exact"/>
              <w:ind w:left="283"/>
              <w:rPr>
                <w:b/>
                <w:sz w:val="18"/>
                <w:lang w:val="fr-FR"/>
              </w:rPr>
            </w:pPr>
            <w:r>
              <w:rPr>
                <w:b/>
                <w:sz w:val="18"/>
                <w:lang w:val="fr-FR"/>
              </w:rPr>
              <w:t>Total</w:t>
            </w:r>
          </w:p>
        </w:tc>
        <w:tc>
          <w:tcPr>
            <w:tcW w:w="1565" w:type="dxa"/>
            <w:tcBorders>
              <w:top w:val="single" w:sz="4" w:space="0" w:color="auto"/>
              <w:bottom w:val="single" w:sz="12" w:space="0" w:color="auto"/>
            </w:tcBorders>
            <w:shd w:val="clear" w:color="auto" w:fill="auto"/>
            <w:vAlign w:val="bottom"/>
          </w:tcPr>
          <w:p w:rsidR="00B0415B" w:rsidRPr="00B0415B" w:rsidRDefault="00B0415B" w:rsidP="00B0415B">
            <w:pPr>
              <w:spacing w:before="80" w:after="80" w:line="220" w:lineRule="exact"/>
              <w:jc w:val="right"/>
              <w:rPr>
                <w:b/>
                <w:sz w:val="18"/>
                <w:lang w:val="fr-FR"/>
              </w:rPr>
            </w:pPr>
            <w:r>
              <w:rPr>
                <w:b/>
                <w:sz w:val="18"/>
                <w:lang w:val="fr-FR"/>
              </w:rPr>
              <w:t>10</w:t>
            </w:r>
          </w:p>
        </w:tc>
        <w:tc>
          <w:tcPr>
            <w:tcW w:w="1428" w:type="dxa"/>
            <w:tcBorders>
              <w:top w:val="single" w:sz="4" w:space="0" w:color="auto"/>
              <w:bottom w:val="single" w:sz="12" w:space="0" w:color="auto"/>
            </w:tcBorders>
            <w:shd w:val="clear" w:color="auto" w:fill="auto"/>
            <w:vAlign w:val="bottom"/>
          </w:tcPr>
          <w:p w:rsidR="00B0415B" w:rsidRPr="00B0415B" w:rsidRDefault="00B0415B" w:rsidP="00B0415B">
            <w:pPr>
              <w:spacing w:before="80" w:after="80" w:line="220" w:lineRule="exact"/>
              <w:jc w:val="right"/>
              <w:rPr>
                <w:b/>
                <w:sz w:val="18"/>
                <w:lang w:val="fr-FR"/>
              </w:rPr>
            </w:pPr>
            <w:r>
              <w:rPr>
                <w:b/>
                <w:sz w:val="18"/>
                <w:lang w:val="fr-FR"/>
              </w:rPr>
              <w:t>118</w:t>
            </w:r>
          </w:p>
        </w:tc>
        <w:tc>
          <w:tcPr>
            <w:tcW w:w="1469" w:type="dxa"/>
            <w:tcBorders>
              <w:top w:val="single" w:sz="4" w:space="0" w:color="auto"/>
              <w:bottom w:val="single" w:sz="12" w:space="0" w:color="auto"/>
            </w:tcBorders>
            <w:shd w:val="clear" w:color="auto" w:fill="auto"/>
            <w:vAlign w:val="bottom"/>
          </w:tcPr>
          <w:p w:rsidR="00B0415B" w:rsidRPr="00B0415B" w:rsidRDefault="00B0415B" w:rsidP="00B0415B">
            <w:pPr>
              <w:spacing w:before="80" w:after="80" w:line="220" w:lineRule="exact"/>
              <w:jc w:val="right"/>
              <w:rPr>
                <w:b/>
                <w:sz w:val="18"/>
                <w:lang w:val="fr-FR"/>
              </w:rPr>
            </w:pPr>
            <w:r>
              <w:rPr>
                <w:b/>
                <w:sz w:val="18"/>
                <w:lang w:val="fr-FR"/>
              </w:rPr>
              <w:t>2 146</w:t>
            </w:r>
          </w:p>
        </w:tc>
        <w:tc>
          <w:tcPr>
            <w:tcW w:w="1414" w:type="dxa"/>
            <w:tcBorders>
              <w:top w:val="single" w:sz="4" w:space="0" w:color="auto"/>
              <w:bottom w:val="single" w:sz="12" w:space="0" w:color="auto"/>
            </w:tcBorders>
            <w:shd w:val="clear" w:color="auto" w:fill="auto"/>
            <w:vAlign w:val="bottom"/>
          </w:tcPr>
          <w:p w:rsidR="00B0415B" w:rsidRPr="00B0415B" w:rsidRDefault="00B0415B" w:rsidP="00B0415B">
            <w:pPr>
              <w:spacing w:before="80" w:after="80" w:line="220" w:lineRule="exact"/>
              <w:jc w:val="right"/>
              <w:rPr>
                <w:b/>
                <w:sz w:val="18"/>
                <w:lang w:val="fr-FR"/>
              </w:rPr>
            </w:pPr>
            <w:r>
              <w:rPr>
                <w:b/>
                <w:sz w:val="18"/>
                <w:lang w:val="fr-FR"/>
              </w:rPr>
              <w:t>10 359</w:t>
            </w:r>
          </w:p>
        </w:tc>
        <w:tc>
          <w:tcPr>
            <w:tcW w:w="763" w:type="dxa"/>
            <w:tcBorders>
              <w:top w:val="single" w:sz="4" w:space="0" w:color="auto"/>
              <w:bottom w:val="single" w:sz="12" w:space="0" w:color="auto"/>
            </w:tcBorders>
            <w:shd w:val="clear" w:color="auto" w:fill="auto"/>
            <w:vAlign w:val="bottom"/>
          </w:tcPr>
          <w:p w:rsidR="00B0415B" w:rsidRPr="00B41E88" w:rsidRDefault="00B0415B" w:rsidP="00B0415B">
            <w:pPr>
              <w:spacing w:before="80" w:after="80" w:line="220" w:lineRule="exact"/>
              <w:jc w:val="right"/>
              <w:rPr>
                <w:sz w:val="18"/>
                <w:lang w:val="fr-FR"/>
              </w:rPr>
            </w:pPr>
            <w:r w:rsidRPr="00B41E88">
              <w:rPr>
                <w:sz w:val="18"/>
                <w:lang w:val="fr-FR"/>
              </w:rPr>
              <w:t>12 633</w:t>
            </w:r>
          </w:p>
        </w:tc>
      </w:tr>
    </w:tbl>
    <w:p w:rsidR="004366C4" w:rsidRPr="000A73E3" w:rsidRDefault="004366C4" w:rsidP="00AA15D1">
      <w:pPr>
        <w:pStyle w:val="SingleTxtG"/>
        <w:spacing w:before="120" w:after="240"/>
        <w:ind w:firstLine="170"/>
        <w:rPr>
          <w:sz w:val="18"/>
          <w:szCs w:val="18"/>
          <w:lang w:val="fr-FR"/>
        </w:rPr>
      </w:pPr>
      <w:r w:rsidRPr="000A73E3">
        <w:rPr>
          <w:i/>
          <w:sz w:val="18"/>
          <w:szCs w:val="18"/>
          <w:lang w:val="fr-FR"/>
        </w:rPr>
        <w:t>Source</w:t>
      </w:r>
      <w:r w:rsidR="00AA15D1" w:rsidRPr="000A73E3">
        <w:rPr>
          <w:sz w:val="18"/>
          <w:szCs w:val="18"/>
          <w:lang w:val="fr-FR"/>
        </w:rPr>
        <w:t> </w:t>
      </w:r>
      <w:r w:rsidRPr="000A73E3">
        <w:rPr>
          <w:sz w:val="18"/>
          <w:szCs w:val="18"/>
          <w:lang w:val="fr-FR"/>
        </w:rPr>
        <w:t>: Administration fiscale et douanière.</w:t>
      </w:r>
    </w:p>
    <w:p w:rsidR="004366C4" w:rsidRPr="002C7AB3" w:rsidRDefault="004366C4" w:rsidP="004366C4">
      <w:pPr>
        <w:pStyle w:val="SingleTxtG"/>
        <w:rPr>
          <w:lang w:val="fr-FR"/>
        </w:rPr>
      </w:pPr>
      <w:r w:rsidRPr="002C7AB3">
        <w:rPr>
          <w:lang w:val="fr-FR"/>
        </w:rPr>
        <w:t>73.</w:t>
      </w:r>
      <w:r w:rsidRPr="002C7AB3">
        <w:rPr>
          <w:lang w:val="fr-FR"/>
        </w:rPr>
        <w:tab/>
      </w:r>
      <w:r>
        <w:rPr>
          <w:lang w:val="fr-FR"/>
        </w:rPr>
        <w:t>Outre</w:t>
      </w:r>
      <w:r w:rsidRPr="002C7AB3">
        <w:rPr>
          <w:lang w:val="fr-FR"/>
        </w:rPr>
        <w:t xml:space="preserve"> des inspections régulières, l</w:t>
      </w:r>
      <w:r>
        <w:rPr>
          <w:lang w:val="fr-FR"/>
        </w:rPr>
        <w:t>’</w:t>
      </w:r>
      <w:r w:rsidRPr="002C7AB3">
        <w:rPr>
          <w:lang w:val="fr-FR"/>
        </w:rPr>
        <w:t xml:space="preserve">inspection du travail </w:t>
      </w:r>
      <w:r>
        <w:rPr>
          <w:lang w:val="fr-FR"/>
        </w:rPr>
        <w:t>procède à</w:t>
      </w:r>
      <w:r w:rsidRPr="002C7AB3">
        <w:rPr>
          <w:lang w:val="fr-FR"/>
        </w:rPr>
        <w:t xml:space="preserve"> des inspections ciblées </w:t>
      </w:r>
      <w:r>
        <w:rPr>
          <w:lang w:val="fr-FR"/>
        </w:rPr>
        <w:t>auprès</w:t>
      </w:r>
      <w:r w:rsidRPr="002C7AB3">
        <w:rPr>
          <w:lang w:val="fr-FR"/>
        </w:rPr>
        <w:t xml:space="preserve"> </w:t>
      </w:r>
      <w:r>
        <w:rPr>
          <w:lang w:val="fr-FR"/>
        </w:rPr>
        <w:t>d</w:t>
      </w:r>
      <w:r w:rsidRPr="002C7AB3">
        <w:rPr>
          <w:lang w:val="fr-FR"/>
        </w:rPr>
        <w:t>es mineurs qui travaillent pendant l</w:t>
      </w:r>
      <w:r>
        <w:rPr>
          <w:lang w:val="fr-FR"/>
        </w:rPr>
        <w:t>’</w:t>
      </w:r>
      <w:r w:rsidRPr="002C7AB3">
        <w:rPr>
          <w:lang w:val="fr-FR"/>
        </w:rPr>
        <w:t>été. Grâce à l</w:t>
      </w:r>
      <w:r>
        <w:rPr>
          <w:lang w:val="fr-FR"/>
        </w:rPr>
        <w:t>’</w:t>
      </w:r>
      <w:r w:rsidRPr="002C7AB3">
        <w:rPr>
          <w:lang w:val="fr-FR"/>
        </w:rPr>
        <w:t xml:space="preserve">attention accrue accordée aux mineurs depuis quelques années, les violations des droits des mineurs </w:t>
      </w:r>
      <w:r>
        <w:rPr>
          <w:lang w:val="fr-FR"/>
        </w:rPr>
        <w:t>pour ce qui est de leurs</w:t>
      </w:r>
      <w:r w:rsidRPr="002C7AB3">
        <w:rPr>
          <w:lang w:val="fr-FR"/>
        </w:rPr>
        <w:t xml:space="preserve"> conditions de travail ont sensiblement diminué depuis 2008. Il est difficile d</w:t>
      </w:r>
      <w:r>
        <w:rPr>
          <w:lang w:val="fr-FR"/>
        </w:rPr>
        <w:t>’</w:t>
      </w:r>
      <w:r w:rsidRPr="002C7AB3">
        <w:rPr>
          <w:lang w:val="fr-FR"/>
        </w:rPr>
        <w:t>établir le nombre précis d</w:t>
      </w:r>
      <w:r>
        <w:rPr>
          <w:lang w:val="fr-FR"/>
        </w:rPr>
        <w:t>’</w:t>
      </w:r>
      <w:r w:rsidRPr="002C7AB3">
        <w:rPr>
          <w:lang w:val="fr-FR"/>
        </w:rPr>
        <w:t xml:space="preserve">inspections effectuées </w:t>
      </w:r>
      <w:r>
        <w:rPr>
          <w:lang w:val="fr-FR"/>
        </w:rPr>
        <w:t>auprès</w:t>
      </w:r>
      <w:r w:rsidRPr="002C7AB3">
        <w:rPr>
          <w:lang w:val="fr-FR"/>
        </w:rPr>
        <w:t xml:space="preserve"> </w:t>
      </w:r>
      <w:r>
        <w:rPr>
          <w:lang w:val="fr-FR"/>
        </w:rPr>
        <w:t>d</w:t>
      </w:r>
      <w:r w:rsidRPr="002C7AB3">
        <w:rPr>
          <w:lang w:val="fr-FR"/>
        </w:rPr>
        <w:t xml:space="preserve">e mineurs car les conditions de travail des mineurs sont également contrôlées lors des </w:t>
      </w:r>
      <w:r w:rsidRPr="002C7AB3">
        <w:rPr>
          <w:iCs/>
          <w:lang w:val="fr-FR"/>
        </w:rPr>
        <w:t>inspections de routine</w:t>
      </w:r>
      <w:r w:rsidR="00F44FD7">
        <w:rPr>
          <w:lang w:val="fr-FR"/>
        </w:rPr>
        <w:t>.</w:t>
      </w:r>
    </w:p>
    <w:p w:rsidR="004366C4" w:rsidRPr="002C7AB3" w:rsidRDefault="00C41189" w:rsidP="00C41189">
      <w:pPr>
        <w:pStyle w:val="H23G"/>
        <w:rPr>
          <w:lang w:val="fr-FR"/>
        </w:rPr>
      </w:pPr>
      <w:r w:rsidRPr="00C41189">
        <w:rPr>
          <w:b w:val="0"/>
          <w:lang w:val="fr-FR"/>
        </w:rPr>
        <w:lastRenderedPageBreak/>
        <w:tab/>
      </w:r>
      <w:r w:rsidRPr="00C41189">
        <w:rPr>
          <w:b w:val="0"/>
          <w:lang w:val="fr-FR"/>
        </w:rPr>
        <w:tab/>
      </w:r>
      <w:r w:rsidR="004366C4" w:rsidRPr="00C41189">
        <w:rPr>
          <w:b w:val="0"/>
          <w:lang w:val="fr-FR"/>
        </w:rPr>
        <w:t>Tableau 3</w:t>
      </w:r>
      <w:r w:rsidR="004366C4" w:rsidRPr="00C5313C">
        <w:rPr>
          <w:b w:val="0"/>
          <w:lang w:val="fr-FR"/>
        </w:rPr>
        <w:t xml:space="preserve"> </w:t>
      </w:r>
      <w:r>
        <w:rPr>
          <w:lang w:val="fr-FR"/>
        </w:rPr>
        <w:br/>
        <w:t>V</w:t>
      </w:r>
      <w:r w:rsidR="004366C4" w:rsidRPr="002C7AB3">
        <w:rPr>
          <w:lang w:val="fr-FR"/>
        </w:rPr>
        <w:t>iolations relatives aux conditions de travail de mineurs, 2014-2017</w:t>
      </w:r>
    </w:p>
    <w:tbl>
      <w:tblPr>
        <w:tblW w:w="7370" w:type="dxa"/>
        <w:tblInd w:w="1134" w:type="dxa"/>
        <w:tblLayout w:type="fixed"/>
        <w:tblCellMar>
          <w:left w:w="0" w:type="dxa"/>
          <w:right w:w="0" w:type="dxa"/>
        </w:tblCellMar>
        <w:tblLook w:val="04A0" w:firstRow="1" w:lastRow="0" w:firstColumn="1" w:lastColumn="0" w:noHBand="0" w:noVBand="1"/>
      </w:tblPr>
      <w:tblGrid>
        <w:gridCol w:w="3970"/>
        <w:gridCol w:w="883"/>
        <w:gridCol w:w="996"/>
        <w:gridCol w:w="926"/>
        <w:gridCol w:w="595"/>
      </w:tblGrid>
      <w:tr w:rsidR="003E0993" w:rsidRPr="00C41189" w:rsidTr="00BE78E7">
        <w:trPr>
          <w:tblHeader/>
        </w:trPr>
        <w:tc>
          <w:tcPr>
            <w:tcW w:w="3962" w:type="dxa"/>
            <w:tcBorders>
              <w:top w:val="single" w:sz="4" w:space="0" w:color="auto"/>
              <w:bottom w:val="single" w:sz="12" w:space="0" w:color="auto"/>
            </w:tcBorders>
            <w:shd w:val="clear" w:color="auto" w:fill="auto"/>
            <w:vAlign w:val="bottom"/>
          </w:tcPr>
          <w:p w:rsidR="004366C4" w:rsidRPr="00C41189" w:rsidRDefault="004366C4" w:rsidP="00C41189">
            <w:pPr>
              <w:suppressAutoHyphens w:val="0"/>
              <w:spacing w:before="80" w:after="80" w:line="200" w:lineRule="exact"/>
              <w:rPr>
                <w:i/>
                <w:sz w:val="16"/>
                <w:lang w:val="fr-FR"/>
              </w:rPr>
            </w:pPr>
          </w:p>
        </w:tc>
        <w:tc>
          <w:tcPr>
            <w:tcW w:w="881" w:type="dxa"/>
            <w:tcBorders>
              <w:top w:val="single" w:sz="4" w:space="0" w:color="auto"/>
              <w:bottom w:val="single" w:sz="12" w:space="0" w:color="auto"/>
            </w:tcBorders>
            <w:shd w:val="clear" w:color="auto" w:fill="auto"/>
            <w:vAlign w:val="bottom"/>
            <w:hideMark/>
          </w:tcPr>
          <w:p w:rsidR="004366C4" w:rsidRPr="00C41189" w:rsidRDefault="004366C4" w:rsidP="00C41189">
            <w:pPr>
              <w:suppressAutoHyphens w:val="0"/>
              <w:spacing w:before="80" w:after="80" w:line="200" w:lineRule="exact"/>
              <w:jc w:val="right"/>
              <w:rPr>
                <w:i/>
                <w:sz w:val="16"/>
                <w:lang w:val="fr-FR"/>
              </w:rPr>
            </w:pPr>
            <w:r w:rsidRPr="00C41189">
              <w:rPr>
                <w:i/>
                <w:sz w:val="16"/>
                <w:lang w:val="fr-FR"/>
              </w:rPr>
              <w:t>2014</w:t>
            </w:r>
          </w:p>
        </w:tc>
        <w:tc>
          <w:tcPr>
            <w:tcW w:w="994" w:type="dxa"/>
            <w:tcBorders>
              <w:top w:val="single" w:sz="4" w:space="0" w:color="auto"/>
              <w:bottom w:val="single" w:sz="12" w:space="0" w:color="auto"/>
            </w:tcBorders>
            <w:shd w:val="clear" w:color="auto" w:fill="auto"/>
            <w:vAlign w:val="bottom"/>
            <w:hideMark/>
          </w:tcPr>
          <w:p w:rsidR="004366C4" w:rsidRPr="00C41189" w:rsidRDefault="004366C4" w:rsidP="00C41189">
            <w:pPr>
              <w:suppressAutoHyphens w:val="0"/>
              <w:spacing w:before="80" w:after="80" w:line="200" w:lineRule="exact"/>
              <w:jc w:val="right"/>
              <w:rPr>
                <w:i/>
                <w:sz w:val="16"/>
                <w:lang w:val="fr-FR"/>
              </w:rPr>
            </w:pPr>
            <w:r w:rsidRPr="00C41189">
              <w:rPr>
                <w:i/>
                <w:sz w:val="16"/>
                <w:lang w:val="fr-FR"/>
              </w:rPr>
              <w:t>2015</w:t>
            </w:r>
          </w:p>
        </w:tc>
        <w:tc>
          <w:tcPr>
            <w:tcW w:w="924" w:type="dxa"/>
            <w:tcBorders>
              <w:top w:val="single" w:sz="4" w:space="0" w:color="auto"/>
              <w:bottom w:val="single" w:sz="12" w:space="0" w:color="auto"/>
            </w:tcBorders>
            <w:shd w:val="clear" w:color="auto" w:fill="auto"/>
            <w:vAlign w:val="bottom"/>
            <w:hideMark/>
          </w:tcPr>
          <w:p w:rsidR="004366C4" w:rsidRPr="00C41189" w:rsidRDefault="004366C4" w:rsidP="00C41189">
            <w:pPr>
              <w:suppressAutoHyphens w:val="0"/>
              <w:spacing w:before="80" w:after="80" w:line="200" w:lineRule="exact"/>
              <w:jc w:val="right"/>
              <w:rPr>
                <w:i/>
                <w:sz w:val="16"/>
                <w:lang w:val="fr-FR"/>
              </w:rPr>
            </w:pPr>
            <w:r w:rsidRPr="00C41189">
              <w:rPr>
                <w:i/>
                <w:sz w:val="16"/>
                <w:lang w:val="fr-FR"/>
              </w:rPr>
              <w:t>2016</w:t>
            </w:r>
          </w:p>
        </w:tc>
        <w:tc>
          <w:tcPr>
            <w:tcW w:w="594" w:type="dxa"/>
            <w:tcBorders>
              <w:top w:val="single" w:sz="4" w:space="0" w:color="auto"/>
              <w:bottom w:val="single" w:sz="12" w:space="0" w:color="auto"/>
            </w:tcBorders>
            <w:shd w:val="clear" w:color="auto" w:fill="auto"/>
            <w:vAlign w:val="bottom"/>
            <w:hideMark/>
          </w:tcPr>
          <w:p w:rsidR="004366C4" w:rsidRPr="00C41189" w:rsidRDefault="004366C4" w:rsidP="00C41189">
            <w:pPr>
              <w:suppressAutoHyphens w:val="0"/>
              <w:spacing w:before="80" w:after="80" w:line="200" w:lineRule="exact"/>
              <w:jc w:val="right"/>
              <w:rPr>
                <w:i/>
                <w:sz w:val="16"/>
                <w:lang w:val="fr-FR"/>
              </w:rPr>
            </w:pPr>
            <w:r w:rsidRPr="00C41189">
              <w:rPr>
                <w:i/>
                <w:sz w:val="16"/>
                <w:lang w:val="fr-FR"/>
              </w:rPr>
              <w:t>2017</w:t>
            </w:r>
          </w:p>
        </w:tc>
      </w:tr>
      <w:tr w:rsidR="00BE78E7" w:rsidRPr="00C41189" w:rsidTr="00BE78E7">
        <w:tc>
          <w:tcPr>
            <w:tcW w:w="3962" w:type="dxa"/>
            <w:tcBorders>
              <w:top w:val="single" w:sz="12" w:space="0" w:color="auto"/>
            </w:tcBorders>
            <w:shd w:val="clear" w:color="auto" w:fill="auto"/>
            <w:hideMark/>
          </w:tcPr>
          <w:p w:rsidR="004366C4" w:rsidRPr="00C41189" w:rsidRDefault="004366C4" w:rsidP="00365835">
            <w:pPr>
              <w:suppressAutoHyphens w:val="0"/>
              <w:spacing w:before="40" w:after="40" w:line="220" w:lineRule="exact"/>
              <w:rPr>
                <w:sz w:val="18"/>
                <w:lang w:val="fr-FR"/>
              </w:rPr>
            </w:pPr>
            <w:r w:rsidRPr="00C41189">
              <w:rPr>
                <w:sz w:val="18"/>
                <w:lang w:val="fr-FR"/>
              </w:rPr>
              <w:t>Conclusion d’un contrat de travail ou recrutement d’</w:t>
            </w:r>
            <w:r w:rsidR="00C41189">
              <w:rPr>
                <w:sz w:val="18"/>
                <w:lang w:val="fr-FR"/>
              </w:rPr>
              <w:t>un mineur pour effectuer un</w:t>
            </w:r>
            <w:r w:rsidR="00365835">
              <w:rPr>
                <w:sz w:val="18"/>
                <w:lang w:val="fr-FR"/>
              </w:rPr>
              <w:t xml:space="preserve"> </w:t>
            </w:r>
            <w:r w:rsidRPr="00C41189">
              <w:rPr>
                <w:sz w:val="18"/>
                <w:lang w:val="fr-FR"/>
              </w:rPr>
              <w:t>travail interdit</w:t>
            </w:r>
          </w:p>
        </w:tc>
        <w:tc>
          <w:tcPr>
            <w:tcW w:w="881" w:type="dxa"/>
            <w:tcBorders>
              <w:top w:val="single" w:sz="12" w:space="0" w:color="auto"/>
            </w:tcBorders>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2</w:t>
            </w:r>
          </w:p>
        </w:tc>
        <w:tc>
          <w:tcPr>
            <w:tcW w:w="994" w:type="dxa"/>
            <w:tcBorders>
              <w:top w:val="single" w:sz="12" w:space="0" w:color="auto"/>
            </w:tcBorders>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1</w:t>
            </w:r>
          </w:p>
        </w:tc>
        <w:tc>
          <w:tcPr>
            <w:tcW w:w="924" w:type="dxa"/>
            <w:tcBorders>
              <w:top w:val="single" w:sz="12" w:space="0" w:color="auto"/>
            </w:tcBorders>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w:t>
            </w:r>
          </w:p>
        </w:tc>
        <w:tc>
          <w:tcPr>
            <w:tcW w:w="594" w:type="dxa"/>
            <w:tcBorders>
              <w:top w:val="single" w:sz="12" w:space="0" w:color="auto"/>
            </w:tcBorders>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w:t>
            </w:r>
          </w:p>
        </w:tc>
      </w:tr>
      <w:tr w:rsidR="00BE78E7" w:rsidRPr="00C41189" w:rsidTr="00BE78E7">
        <w:tc>
          <w:tcPr>
            <w:tcW w:w="3962" w:type="dxa"/>
            <w:shd w:val="clear" w:color="auto" w:fill="auto"/>
            <w:hideMark/>
          </w:tcPr>
          <w:p w:rsidR="004366C4" w:rsidRPr="00C41189" w:rsidRDefault="004366C4" w:rsidP="00C41189">
            <w:pPr>
              <w:suppressAutoHyphens w:val="0"/>
              <w:spacing w:before="40" w:after="40" w:line="220" w:lineRule="exact"/>
              <w:rPr>
                <w:sz w:val="18"/>
                <w:lang w:val="fr-FR"/>
              </w:rPr>
            </w:pPr>
            <w:r w:rsidRPr="00C41189">
              <w:rPr>
                <w:sz w:val="18"/>
                <w:lang w:val="fr-FR"/>
              </w:rPr>
              <w:t>Conclusion d’un contrat de travail avec un mineur sans consentement préalable de son représentant légal</w:t>
            </w:r>
          </w:p>
        </w:tc>
        <w:tc>
          <w:tcPr>
            <w:tcW w:w="881"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w:t>
            </w:r>
          </w:p>
        </w:tc>
        <w:tc>
          <w:tcPr>
            <w:tcW w:w="9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2</w:t>
            </w:r>
          </w:p>
        </w:tc>
        <w:tc>
          <w:tcPr>
            <w:tcW w:w="92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w:t>
            </w:r>
          </w:p>
        </w:tc>
        <w:tc>
          <w:tcPr>
            <w:tcW w:w="5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1</w:t>
            </w:r>
          </w:p>
        </w:tc>
      </w:tr>
      <w:tr w:rsidR="00BE78E7" w:rsidRPr="00C41189" w:rsidTr="00BE78E7">
        <w:tc>
          <w:tcPr>
            <w:tcW w:w="3962" w:type="dxa"/>
            <w:shd w:val="clear" w:color="auto" w:fill="auto"/>
            <w:hideMark/>
          </w:tcPr>
          <w:p w:rsidR="004366C4" w:rsidRPr="00C41189" w:rsidRDefault="004366C4" w:rsidP="00C41189">
            <w:pPr>
              <w:suppressAutoHyphens w:val="0"/>
              <w:spacing w:before="40" w:after="40" w:line="220" w:lineRule="exact"/>
              <w:rPr>
                <w:sz w:val="18"/>
                <w:lang w:val="fr-FR"/>
              </w:rPr>
            </w:pPr>
            <w:r w:rsidRPr="00C41189">
              <w:rPr>
                <w:sz w:val="18"/>
                <w:lang w:val="fr-FR"/>
              </w:rPr>
              <w:t>Conclusion d’un contrat de travail sans consentement de l’inspecteur du travail</w:t>
            </w:r>
          </w:p>
        </w:tc>
        <w:tc>
          <w:tcPr>
            <w:tcW w:w="881" w:type="dxa"/>
            <w:shd w:val="clear" w:color="auto" w:fill="auto"/>
            <w:vAlign w:val="bottom"/>
          </w:tcPr>
          <w:p w:rsidR="004366C4" w:rsidRPr="00C41189" w:rsidRDefault="004366C4" w:rsidP="00C41189">
            <w:pPr>
              <w:suppressAutoHyphens w:val="0"/>
              <w:spacing w:before="40" w:after="40" w:line="220" w:lineRule="exact"/>
              <w:jc w:val="right"/>
              <w:rPr>
                <w:sz w:val="18"/>
                <w:lang w:val="fr-FR"/>
              </w:rPr>
            </w:pPr>
          </w:p>
        </w:tc>
        <w:tc>
          <w:tcPr>
            <w:tcW w:w="9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w:t>
            </w:r>
          </w:p>
        </w:tc>
        <w:tc>
          <w:tcPr>
            <w:tcW w:w="92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w:t>
            </w:r>
          </w:p>
        </w:tc>
        <w:tc>
          <w:tcPr>
            <w:tcW w:w="5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w:t>
            </w:r>
          </w:p>
        </w:tc>
      </w:tr>
      <w:tr w:rsidR="00BE78E7" w:rsidRPr="00C41189" w:rsidTr="00BE78E7">
        <w:tc>
          <w:tcPr>
            <w:tcW w:w="3962" w:type="dxa"/>
            <w:shd w:val="clear" w:color="auto" w:fill="auto"/>
            <w:hideMark/>
          </w:tcPr>
          <w:p w:rsidR="004366C4" w:rsidRPr="00C41189" w:rsidRDefault="004366C4" w:rsidP="00C41189">
            <w:pPr>
              <w:suppressAutoHyphens w:val="0"/>
              <w:spacing w:before="40" w:after="40" w:line="220" w:lineRule="exact"/>
              <w:rPr>
                <w:sz w:val="18"/>
                <w:lang w:val="fr-FR"/>
              </w:rPr>
            </w:pPr>
            <w:r w:rsidRPr="00C41189">
              <w:rPr>
                <w:sz w:val="18"/>
                <w:lang w:val="fr-FR"/>
              </w:rPr>
              <w:t>Durée du travail supérieure à la prescription légale</w:t>
            </w:r>
          </w:p>
        </w:tc>
        <w:tc>
          <w:tcPr>
            <w:tcW w:w="881"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3</w:t>
            </w:r>
          </w:p>
        </w:tc>
        <w:tc>
          <w:tcPr>
            <w:tcW w:w="9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3</w:t>
            </w:r>
          </w:p>
        </w:tc>
        <w:tc>
          <w:tcPr>
            <w:tcW w:w="92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1</w:t>
            </w:r>
          </w:p>
        </w:tc>
        <w:tc>
          <w:tcPr>
            <w:tcW w:w="5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4</w:t>
            </w:r>
          </w:p>
        </w:tc>
      </w:tr>
      <w:tr w:rsidR="00BE78E7" w:rsidRPr="00C41189" w:rsidTr="00BE78E7">
        <w:tc>
          <w:tcPr>
            <w:tcW w:w="3962" w:type="dxa"/>
            <w:shd w:val="clear" w:color="auto" w:fill="auto"/>
            <w:hideMark/>
          </w:tcPr>
          <w:p w:rsidR="004366C4" w:rsidRPr="00C41189" w:rsidRDefault="004366C4" w:rsidP="00C41189">
            <w:pPr>
              <w:suppressAutoHyphens w:val="0"/>
              <w:spacing w:before="40" w:after="40" w:line="220" w:lineRule="exact"/>
              <w:rPr>
                <w:sz w:val="18"/>
                <w:lang w:val="fr-FR"/>
              </w:rPr>
            </w:pPr>
            <w:r w:rsidRPr="00C41189">
              <w:rPr>
                <w:sz w:val="18"/>
                <w:lang w:val="fr-FR"/>
              </w:rPr>
              <w:t xml:space="preserve">Accord relatif à la prestation d’heures supplémentaires </w:t>
            </w:r>
          </w:p>
        </w:tc>
        <w:tc>
          <w:tcPr>
            <w:tcW w:w="881"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w:t>
            </w:r>
          </w:p>
        </w:tc>
        <w:tc>
          <w:tcPr>
            <w:tcW w:w="9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1</w:t>
            </w:r>
          </w:p>
        </w:tc>
        <w:tc>
          <w:tcPr>
            <w:tcW w:w="92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w:t>
            </w:r>
          </w:p>
        </w:tc>
        <w:tc>
          <w:tcPr>
            <w:tcW w:w="5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w:t>
            </w:r>
          </w:p>
        </w:tc>
      </w:tr>
      <w:tr w:rsidR="00BE78E7" w:rsidRPr="00C41189" w:rsidTr="00BE78E7">
        <w:tc>
          <w:tcPr>
            <w:tcW w:w="3962" w:type="dxa"/>
            <w:shd w:val="clear" w:color="auto" w:fill="auto"/>
            <w:hideMark/>
          </w:tcPr>
          <w:p w:rsidR="004366C4" w:rsidRPr="00C41189" w:rsidRDefault="00CE082F" w:rsidP="00C41189">
            <w:pPr>
              <w:suppressAutoHyphens w:val="0"/>
              <w:spacing w:before="40" w:after="40" w:line="220" w:lineRule="exact"/>
              <w:rPr>
                <w:sz w:val="18"/>
                <w:lang w:val="fr-FR"/>
              </w:rPr>
            </w:pPr>
            <w:r>
              <w:rPr>
                <w:sz w:val="18"/>
                <w:lang w:val="fr-FR"/>
              </w:rPr>
              <w:t>Pause inférieure à 30 </w:t>
            </w:r>
            <w:r w:rsidR="004366C4" w:rsidRPr="00C41189">
              <w:rPr>
                <w:sz w:val="18"/>
                <w:lang w:val="fr-FR"/>
              </w:rPr>
              <w:t>minutes pour un travail d’</w:t>
            </w:r>
            <w:r>
              <w:rPr>
                <w:sz w:val="18"/>
                <w:lang w:val="fr-FR"/>
              </w:rPr>
              <w:t>au moins 4,5 </w:t>
            </w:r>
            <w:r w:rsidR="004366C4" w:rsidRPr="00C41189">
              <w:rPr>
                <w:sz w:val="18"/>
                <w:lang w:val="fr-FR"/>
              </w:rPr>
              <w:t>heures</w:t>
            </w:r>
          </w:p>
        </w:tc>
        <w:tc>
          <w:tcPr>
            <w:tcW w:w="881"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1</w:t>
            </w:r>
          </w:p>
        </w:tc>
        <w:tc>
          <w:tcPr>
            <w:tcW w:w="9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3</w:t>
            </w:r>
          </w:p>
        </w:tc>
        <w:tc>
          <w:tcPr>
            <w:tcW w:w="92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w:t>
            </w:r>
          </w:p>
        </w:tc>
        <w:tc>
          <w:tcPr>
            <w:tcW w:w="5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1</w:t>
            </w:r>
          </w:p>
        </w:tc>
      </w:tr>
      <w:tr w:rsidR="00BE78E7" w:rsidRPr="00C41189" w:rsidTr="00BE78E7">
        <w:tc>
          <w:tcPr>
            <w:tcW w:w="3962" w:type="dxa"/>
            <w:shd w:val="clear" w:color="auto" w:fill="auto"/>
            <w:hideMark/>
          </w:tcPr>
          <w:p w:rsidR="004366C4" w:rsidRPr="00C41189" w:rsidRDefault="004366C4" w:rsidP="00C41189">
            <w:pPr>
              <w:suppressAutoHyphens w:val="0"/>
              <w:spacing w:before="40" w:after="40" w:line="220" w:lineRule="exact"/>
              <w:rPr>
                <w:sz w:val="18"/>
                <w:lang w:val="fr-FR"/>
              </w:rPr>
            </w:pPr>
            <w:r w:rsidRPr="00C41189">
              <w:rPr>
                <w:sz w:val="18"/>
                <w:lang w:val="fr-FR"/>
              </w:rPr>
              <w:t>Non-respect des restrictions relatives à l’emploi</w:t>
            </w:r>
            <w:r w:rsidR="00CE082F">
              <w:rPr>
                <w:sz w:val="18"/>
                <w:lang w:val="fr-FR"/>
              </w:rPr>
              <w:t xml:space="preserve"> de </w:t>
            </w:r>
            <w:r w:rsidRPr="00C41189">
              <w:rPr>
                <w:sz w:val="18"/>
                <w:lang w:val="fr-FR"/>
              </w:rPr>
              <w:t>mineurs</w:t>
            </w:r>
          </w:p>
        </w:tc>
        <w:tc>
          <w:tcPr>
            <w:tcW w:w="881"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2</w:t>
            </w:r>
          </w:p>
        </w:tc>
        <w:tc>
          <w:tcPr>
            <w:tcW w:w="9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4</w:t>
            </w:r>
          </w:p>
        </w:tc>
        <w:tc>
          <w:tcPr>
            <w:tcW w:w="92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1</w:t>
            </w:r>
          </w:p>
        </w:tc>
        <w:tc>
          <w:tcPr>
            <w:tcW w:w="594" w:type="dxa"/>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1</w:t>
            </w:r>
          </w:p>
        </w:tc>
      </w:tr>
      <w:tr w:rsidR="003E0993" w:rsidRPr="00C41189" w:rsidTr="00BE78E7">
        <w:tc>
          <w:tcPr>
            <w:tcW w:w="3962" w:type="dxa"/>
            <w:tcBorders>
              <w:bottom w:val="single" w:sz="4" w:space="0" w:color="auto"/>
            </w:tcBorders>
            <w:shd w:val="clear" w:color="auto" w:fill="auto"/>
            <w:hideMark/>
          </w:tcPr>
          <w:p w:rsidR="004366C4" w:rsidRPr="00C41189" w:rsidRDefault="004366C4" w:rsidP="00C41189">
            <w:pPr>
              <w:suppressAutoHyphens w:val="0"/>
              <w:spacing w:before="40" w:after="40" w:line="220" w:lineRule="exact"/>
              <w:rPr>
                <w:sz w:val="18"/>
                <w:lang w:val="fr-FR"/>
              </w:rPr>
            </w:pPr>
            <w:r w:rsidRPr="00C41189">
              <w:rPr>
                <w:sz w:val="18"/>
                <w:lang w:val="fr-FR"/>
              </w:rPr>
              <w:t>Non-respect des presc</w:t>
            </w:r>
            <w:r w:rsidR="00BE78E7">
              <w:rPr>
                <w:sz w:val="18"/>
                <w:lang w:val="fr-FR"/>
              </w:rPr>
              <w:t>riptions en matière de temps de </w:t>
            </w:r>
            <w:r w:rsidRPr="00C41189">
              <w:rPr>
                <w:sz w:val="18"/>
                <w:lang w:val="fr-FR"/>
              </w:rPr>
              <w:t>repos journalier</w:t>
            </w:r>
          </w:p>
        </w:tc>
        <w:tc>
          <w:tcPr>
            <w:tcW w:w="881" w:type="dxa"/>
            <w:tcBorders>
              <w:bottom w:val="single" w:sz="4" w:space="0" w:color="auto"/>
            </w:tcBorders>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1</w:t>
            </w:r>
          </w:p>
        </w:tc>
        <w:tc>
          <w:tcPr>
            <w:tcW w:w="994" w:type="dxa"/>
            <w:tcBorders>
              <w:bottom w:val="single" w:sz="4" w:space="0" w:color="auto"/>
            </w:tcBorders>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7</w:t>
            </w:r>
          </w:p>
        </w:tc>
        <w:tc>
          <w:tcPr>
            <w:tcW w:w="924" w:type="dxa"/>
            <w:tcBorders>
              <w:bottom w:val="single" w:sz="4" w:space="0" w:color="auto"/>
            </w:tcBorders>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1</w:t>
            </w:r>
          </w:p>
        </w:tc>
        <w:tc>
          <w:tcPr>
            <w:tcW w:w="594" w:type="dxa"/>
            <w:tcBorders>
              <w:bottom w:val="single" w:sz="4" w:space="0" w:color="auto"/>
            </w:tcBorders>
            <w:shd w:val="clear" w:color="auto" w:fill="auto"/>
            <w:vAlign w:val="bottom"/>
            <w:hideMark/>
          </w:tcPr>
          <w:p w:rsidR="004366C4" w:rsidRPr="00C41189" w:rsidRDefault="004366C4" w:rsidP="00C41189">
            <w:pPr>
              <w:suppressAutoHyphens w:val="0"/>
              <w:spacing w:before="40" w:after="40" w:line="220" w:lineRule="exact"/>
              <w:jc w:val="right"/>
              <w:rPr>
                <w:sz w:val="18"/>
                <w:lang w:val="fr-FR"/>
              </w:rPr>
            </w:pPr>
            <w:r w:rsidRPr="00C41189">
              <w:rPr>
                <w:sz w:val="18"/>
                <w:lang w:val="fr-FR"/>
              </w:rPr>
              <w:t>1</w:t>
            </w:r>
          </w:p>
        </w:tc>
      </w:tr>
      <w:tr w:rsidR="003E0993" w:rsidRPr="002E46A2" w:rsidTr="00BE78E7">
        <w:tc>
          <w:tcPr>
            <w:tcW w:w="3962" w:type="dxa"/>
            <w:tcBorders>
              <w:top w:val="single" w:sz="4" w:space="0" w:color="auto"/>
              <w:bottom w:val="single" w:sz="12" w:space="0" w:color="auto"/>
            </w:tcBorders>
            <w:shd w:val="clear" w:color="auto" w:fill="auto"/>
            <w:hideMark/>
          </w:tcPr>
          <w:p w:rsidR="004366C4" w:rsidRPr="002E46A2" w:rsidRDefault="004366C4" w:rsidP="002E46A2">
            <w:pPr>
              <w:suppressAutoHyphens w:val="0"/>
              <w:spacing w:before="80" w:after="80" w:line="220" w:lineRule="exact"/>
              <w:ind w:left="283"/>
              <w:rPr>
                <w:b/>
                <w:sz w:val="18"/>
                <w:lang w:val="fr-FR"/>
              </w:rPr>
            </w:pPr>
            <w:r w:rsidRPr="002E46A2">
              <w:rPr>
                <w:b/>
                <w:iCs/>
                <w:sz w:val="18"/>
                <w:lang w:val="fr-FR"/>
              </w:rPr>
              <w:t>Total</w:t>
            </w:r>
          </w:p>
        </w:tc>
        <w:tc>
          <w:tcPr>
            <w:tcW w:w="881" w:type="dxa"/>
            <w:tcBorders>
              <w:top w:val="single" w:sz="4" w:space="0" w:color="auto"/>
              <w:bottom w:val="single" w:sz="12" w:space="0" w:color="auto"/>
            </w:tcBorders>
            <w:shd w:val="clear" w:color="auto" w:fill="auto"/>
            <w:vAlign w:val="bottom"/>
            <w:hideMark/>
          </w:tcPr>
          <w:p w:rsidR="004366C4" w:rsidRPr="002E46A2" w:rsidRDefault="004366C4" w:rsidP="002E46A2">
            <w:pPr>
              <w:suppressAutoHyphens w:val="0"/>
              <w:spacing w:before="80" w:after="80" w:line="220" w:lineRule="exact"/>
              <w:jc w:val="right"/>
              <w:rPr>
                <w:b/>
                <w:sz w:val="18"/>
                <w:lang w:val="fr-FR"/>
              </w:rPr>
            </w:pPr>
            <w:r w:rsidRPr="002E46A2">
              <w:rPr>
                <w:b/>
                <w:sz w:val="18"/>
                <w:lang w:val="fr-FR"/>
              </w:rPr>
              <w:t>9</w:t>
            </w:r>
          </w:p>
        </w:tc>
        <w:tc>
          <w:tcPr>
            <w:tcW w:w="994" w:type="dxa"/>
            <w:tcBorders>
              <w:top w:val="single" w:sz="4" w:space="0" w:color="auto"/>
              <w:bottom w:val="single" w:sz="12" w:space="0" w:color="auto"/>
            </w:tcBorders>
            <w:shd w:val="clear" w:color="auto" w:fill="auto"/>
            <w:vAlign w:val="bottom"/>
            <w:hideMark/>
          </w:tcPr>
          <w:p w:rsidR="004366C4" w:rsidRPr="002E46A2" w:rsidRDefault="004366C4" w:rsidP="002E46A2">
            <w:pPr>
              <w:suppressAutoHyphens w:val="0"/>
              <w:spacing w:before="80" w:after="80" w:line="220" w:lineRule="exact"/>
              <w:jc w:val="right"/>
              <w:rPr>
                <w:b/>
                <w:sz w:val="18"/>
                <w:lang w:val="fr-FR"/>
              </w:rPr>
            </w:pPr>
            <w:r w:rsidRPr="002E46A2">
              <w:rPr>
                <w:b/>
                <w:sz w:val="18"/>
                <w:lang w:val="fr-FR"/>
              </w:rPr>
              <w:t>21</w:t>
            </w:r>
          </w:p>
        </w:tc>
        <w:tc>
          <w:tcPr>
            <w:tcW w:w="924" w:type="dxa"/>
            <w:tcBorders>
              <w:top w:val="single" w:sz="4" w:space="0" w:color="auto"/>
              <w:bottom w:val="single" w:sz="12" w:space="0" w:color="auto"/>
            </w:tcBorders>
            <w:shd w:val="clear" w:color="auto" w:fill="auto"/>
            <w:vAlign w:val="bottom"/>
            <w:hideMark/>
          </w:tcPr>
          <w:p w:rsidR="004366C4" w:rsidRPr="002E46A2" w:rsidRDefault="004366C4" w:rsidP="002E46A2">
            <w:pPr>
              <w:suppressAutoHyphens w:val="0"/>
              <w:spacing w:before="80" w:after="80" w:line="220" w:lineRule="exact"/>
              <w:jc w:val="right"/>
              <w:rPr>
                <w:b/>
                <w:sz w:val="18"/>
                <w:lang w:val="fr-FR"/>
              </w:rPr>
            </w:pPr>
            <w:r w:rsidRPr="002E46A2">
              <w:rPr>
                <w:b/>
                <w:sz w:val="18"/>
                <w:lang w:val="fr-FR"/>
              </w:rPr>
              <w:t>3</w:t>
            </w:r>
          </w:p>
        </w:tc>
        <w:tc>
          <w:tcPr>
            <w:tcW w:w="594" w:type="dxa"/>
            <w:tcBorders>
              <w:top w:val="single" w:sz="4" w:space="0" w:color="auto"/>
              <w:bottom w:val="single" w:sz="12" w:space="0" w:color="auto"/>
            </w:tcBorders>
            <w:shd w:val="clear" w:color="auto" w:fill="auto"/>
            <w:vAlign w:val="bottom"/>
            <w:hideMark/>
          </w:tcPr>
          <w:p w:rsidR="004366C4" w:rsidRPr="002E46A2" w:rsidRDefault="004366C4" w:rsidP="002E46A2">
            <w:pPr>
              <w:suppressAutoHyphens w:val="0"/>
              <w:spacing w:before="80" w:after="80" w:line="220" w:lineRule="exact"/>
              <w:jc w:val="right"/>
              <w:rPr>
                <w:b/>
                <w:sz w:val="18"/>
                <w:lang w:val="fr-FR"/>
              </w:rPr>
            </w:pPr>
            <w:r w:rsidRPr="002E46A2">
              <w:rPr>
                <w:b/>
                <w:sz w:val="18"/>
                <w:lang w:val="fr-FR"/>
              </w:rPr>
              <w:t>8</w:t>
            </w:r>
          </w:p>
        </w:tc>
      </w:tr>
    </w:tbl>
    <w:p w:rsidR="004366C4" w:rsidRPr="00C41189" w:rsidRDefault="004366C4" w:rsidP="00C41189">
      <w:pPr>
        <w:pStyle w:val="SingleTxtG"/>
        <w:spacing w:before="120" w:after="240"/>
        <w:ind w:firstLine="170"/>
        <w:rPr>
          <w:sz w:val="18"/>
          <w:szCs w:val="18"/>
          <w:lang w:val="fr-FR"/>
        </w:rPr>
      </w:pPr>
      <w:r w:rsidRPr="00C41189">
        <w:rPr>
          <w:i/>
          <w:sz w:val="18"/>
          <w:szCs w:val="18"/>
          <w:lang w:val="fr-FR"/>
        </w:rPr>
        <w:t>Source</w:t>
      </w:r>
      <w:r w:rsidR="00C41189" w:rsidRPr="00C41189">
        <w:rPr>
          <w:sz w:val="18"/>
          <w:szCs w:val="18"/>
          <w:lang w:val="fr-FR"/>
        </w:rPr>
        <w:t> </w:t>
      </w:r>
      <w:r w:rsidRPr="00C41189">
        <w:rPr>
          <w:sz w:val="18"/>
          <w:szCs w:val="18"/>
          <w:lang w:val="fr-FR"/>
        </w:rPr>
        <w:t>: Inspection du travail.</w:t>
      </w:r>
    </w:p>
    <w:p w:rsidR="004366C4" w:rsidRPr="002C7AB3" w:rsidRDefault="004366C4" w:rsidP="004366C4">
      <w:pPr>
        <w:pStyle w:val="SingleTxtG"/>
        <w:rPr>
          <w:lang w:val="fr-FR"/>
        </w:rPr>
      </w:pPr>
      <w:r w:rsidRPr="002C7AB3">
        <w:rPr>
          <w:lang w:val="fr-FR"/>
        </w:rPr>
        <w:t>74.</w:t>
      </w:r>
      <w:r w:rsidRPr="002C7AB3">
        <w:rPr>
          <w:lang w:val="fr-FR"/>
        </w:rPr>
        <w:tab/>
        <w:t xml:space="preserve">Les sanctions pour non-respect des restrictions relatives à </w:t>
      </w:r>
      <w:r>
        <w:rPr>
          <w:lang w:val="fr-FR"/>
        </w:rPr>
        <w:t>l’emploi</w:t>
      </w:r>
      <w:r w:rsidRPr="002C7AB3">
        <w:rPr>
          <w:lang w:val="fr-FR"/>
        </w:rPr>
        <w:t xml:space="preserve"> de mineurs ont été les suivantes</w:t>
      </w:r>
      <w:r w:rsidR="004A1ECE">
        <w:rPr>
          <w:lang w:val="fr-FR"/>
        </w:rPr>
        <w:t> </w:t>
      </w:r>
      <w:r w:rsidRPr="002C7AB3">
        <w:rPr>
          <w:lang w:val="fr-FR"/>
        </w:rPr>
        <w:t>:</w:t>
      </w:r>
    </w:p>
    <w:p w:rsidR="004366C4" w:rsidRPr="00430EE6" w:rsidRDefault="004366C4" w:rsidP="004A1ECE">
      <w:pPr>
        <w:pStyle w:val="SingleTxtG"/>
        <w:ind w:firstLine="567"/>
        <w:rPr>
          <w:spacing w:val="-4"/>
          <w:lang w:val="fr-FR"/>
        </w:rPr>
      </w:pPr>
      <w:r w:rsidRPr="00430EE6">
        <w:rPr>
          <w:i/>
          <w:spacing w:val="-4"/>
          <w:lang w:val="fr-FR"/>
        </w:rPr>
        <w:t>Procédures relatives à des infracteurs mineures</w:t>
      </w:r>
      <w:r w:rsidRPr="00430EE6">
        <w:rPr>
          <w:i/>
          <w:iCs/>
          <w:spacing w:val="-4"/>
          <w:lang w:val="fr-FR"/>
        </w:rPr>
        <w:t xml:space="preserve"> </w:t>
      </w:r>
      <w:r w:rsidRPr="00430EE6">
        <w:rPr>
          <w:i/>
          <w:spacing w:val="-4"/>
          <w:lang w:val="fr-FR"/>
        </w:rPr>
        <w:t xml:space="preserve">commises par des </w:t>
      </w:r>
      <w:r w:rsidR="004A1ECE" w:rsidRPr="00430EE6">
        <w:rPr>
          <w:i/>
          <w:iCs/>
          <w:spacing w:val="-4"/>
          <w:lang w:val="fr-FR"/>
        </w:rPr>
        <w:t>personnes physiques</w:t>
      </w:r>
      <w:r w:rsidR="004A1ECE" w:rsidRPr="00430EE6">
        <w:rPr>
          <w:iCs/>
          <w:spacing w:val="-4"/>
          <w:lang w:val="fr-FR"/>
        </w:rPr>
        <w:t> </w:t>
      </w:r>
      <w:r w:rsidRPr="00430EE6">
        <w:rPr>
          <w:spacing w:val="-4"/>
          <w:lang w:val="fr-FR"/>
        </w:rPr>
        <w:t>:</w:t>
      </w:r>
    </w:p>
    <w:p w:rsidR="004366C4" w:rsidRPr="002C7AB3" w:rsidRDefault="004366C4" w:rsidP="009D155D">
      <w:pPr>
        <w:pStyle w:val="Bullet2G"/>
        <w:rPr>
          <w:lang w:val="fr-FR"/>
        </w:rPr>
      </w:pPr>
      <w:r w:rsidRPr="002C7AB3">
        <w:rPr>
          <w:lang w:val="fr-FR"/>
        </w:rPr>
        <w:t xml:space="preserve">2014 </w:t>
      </w:r>
      <w:r w:rsidR="004A1ECE">
        <w:rPr>
          <w:lang w:val="fr-FR"/>
        </w:rPr>
        <w:t>−</w:t>
      </w:r>
      <w:r w:rsidRPr="002C7AB3">
        <w:rPr>
          <w:lang w:val="fr-FR"/>
        </w:rPr>
        <w:t xml:space="preserve"> 1 pro</w:t>
      </w:r>
      <w:r w:rsidR="004A1ECE">
        <w:rPr>
          <w:lang w:val="fr-FR"/>
        </w:rPr>
        <w:t>cédure accélérée, amende de 140 euros </w:t>
      </w:r>
      <w:r w:rsidRPr="002C7AB3">
        <w:rPr>
          <w:lang w:val="fr-FR"/>
        </w:rPr>
        <w:t>;</w:t>
      </w:r>
    </w:p>
    <w:p w:rsidR="004366C4" w:rsidRPr="002C7AB3" w:rsidRDefault="004A1ECE" w:rsidP="009D155D">
      <w:pPr>
        <w:pStyle w:val="Bullet2G"/>
        <w:rPr>
          <w:lang w:val="fr-FR"/>
        </w:rPr>
      </w:pPr>
      <w:r>
        <w:rPr>
          <w:lang w:val="fr-FR"/>
        </w:rPr>
        <w:t xml:space="preserve">2015 − </w:t>
      </w:r>
      <w:r w:rsidR="004366C4" w:rsidRPr="002C7AB3">
        <w:rPr>
          <w:lang w:val="fr-FR"/>
        </w:rPr>
        <w:t>1 procédure accélérée, amende de 120</w:t>
      </w:r>
      <w:r>
        <w:rPr>
          <w:lang w:val="fr-FR"/>
        </w:rPr>
        <w:t> euros </w:t>
      </w:r>
      <w:r w:rsidR="004366C4" w:rsidRPr="002C7AB3">
        <w:rPr>
          <w:lang w:val="fr-FR"/>
        </w:rPr>
        <w:t>;</w:t>
      </w:r>
    </w:p>
    <w:p w:rsidR="004366C4" w:rsidRPr="002C7AB3" w:rsidRDefault="004366C4" w:rsidP="009D155D">
      <w:pPr>
        <w:pStyle w:val="Bullet2G"/>
        <w:rPr>
          <w:lang w:val="fr-FR"/>
        </w:rPr>
      </w:pPr>
      <w:r w:rsidRPr="002C7AB3">
        <w:rPr>
          <w:lang w:val="fr-FR"/>
        </w:rPr>
        <w:t>201</w:t>
      </w:r>
      <w:r w:rsidR="009D155D">
        <w:rPr>
          <w:lang w:val="fr-FR"/>
        </w:rPr>
        <w:t>7</w:t>
      </w:r>
      <w:r w:rsidRPr="002C7AB3">
        <w:rPr>
          <w:lang w:val="fr-FR"/>
        </w:rPr>
        <w:t xml:space="preserve"> </w:t>
      </w:r>
      <w:r w:rsidR="004A1ECE">
        <w:rPr>
          <w:lang w:val="fr-FR"/>
        </w:rPr>
        <w:t>−</w:t>
      </w:r>
      <w:r w:rsidRPr="002C7AB3">
        <w:rPr>
          <w:lang w:val="fr-FR"/>
        </w:rPr>
        <w:t xml:space="preserve"> 1 pro</w:t>
      </w:r>
      <w:r w:rsidR="004A1ECE">
        <w:rPr>
          <w:lang w:val="fr-FR"/>
        </w:rPr>
        <w:t>cédure accélérée, amende de 300 euros.</w:t>
      </w:r>
    </w:p>
    <w:p w:rsidR="004366C4" w:rsidRPr="00430EE6" w:rsidRDefault="004366C4" w:rsidP="004A1ECE">
      <w:pPr>
        <w:pStyle w:val="SingleTxtG"/>
        <w:ind w:firstLine="567"/>
        <w:rPr>
          <w:spacing w:val="-4"/>
          <w:lang w:val="fr-FR"/>
        </w:rPr>
      </w:pPr>
      <w:r w:rsidRPr="00430EE6">
        <w:rPr>
          <w:i/>
          <w:spacing w:val="-4"/>
          <w:lang w:val="fr-FR"/>
        </w:rPr>
        <w:t>Procédures relatives à des infracteurs mineures</w:t>
      </w:r>
      <w:r w:rsidRPr="00430EE6">
        <w:rPr>
          <w:i/>
          <w:iCs/>
          <w:spacing w:val="-4"/>
          <w:lang w:val="fr-FR"/>
        </w:rPr>
        <w:t xml:space="preserve"> </w:t>
      </w:r>
      <w:r w:rsidRPr="00430EE6">
        <w:rPr>
          <w:i/>
          <w:spacing w:val="-4"/>
          <w:lang w:val="fr-FR"/>
        </w:rPr>
        <w:t>commises</w:t>
      </w:r>
      <w:r w:rsidR="004A1ECE" w:rsidRPr="00430EE6">
        <w:rPr>
          <w:i/>
          <w:spacing w:val="-4"/>
          <w:lang w:val="fr-FR"/>
        </w:rPr>
        <w:t xml:space="preserve"> par des personnes morales</w:t>
      </w:r>
      <w:r w:rsidR="004A1ECE" w:rsidRPr="00430EE6">
        <w:rPr>
          <w:spacing w:val="-4"/>
          <w:lang w:val="fr-FR"/>
        </w:rPr>
        <w:t> </w:t>
      </w:r>
      <w:r w:rsidRPr="00430EE6">
        <w:rPr>
          <w:spacing w:val="-4"/>
          <w:lang w:val="fr-FR"/>
        </w:rPr>
        <w:t>:</w:t>
      </w:r>
    </w:p>
    <w:p w:rsidR="004366C4" w:rsidRPr="002C7AB3" w:rsidRDefault="00430EE6" w:rsidP="009D155D">
      <w:pPr>
        <w:pStyle w:val="Bullet2G"/>
        <w:rPr>
          <w:lang w:val="fr-FR"/>
        </w:rPr>
      </w:pPr>
      <w:r>
        <w:rPr>
          <w:lang w:val="fr-FR"/>
        </w:rPr>
        <w:t>2016 −</w:t>
      </w:r>
      <w:r w:rsidR="004366C4" w:rsidRPr="002C7AB3">
        <w:rPr>
          <w:lang w:val="fr-FR"/>
        </w:rPr>
        <w:t xml:space="preserve"> 1 </w:t>
      </w:r>
      <w:r w:rsidR="004366C4" w:rsidRPr="002C7AB3">
        <w:rPr>
          <w:bCs/>
          <w:lang w:val="fr-FR"/>
        </w:rPr>
        <w:t>procédure générale</w:t>
      </w:r>
      <w:r w:rsidR="004366C4" w:rsidRPr="002C7AB3">
        <w:rPr>
          <w:lang w:val="fr-FR"/>
        </w:rPr>
        <w:t>, amende de 500</w:t>
      </w:r>
      <w:r>
        <w:rPr>
          <w:lang w:val="fr-FR"/>
        </w:rPr>
        <w:t> euros </w:t>
      </w:r>
      <w:r w:rsidR="004366C4" w:rsidRPr="002C7AB3">
        <w:rPr>
          <w:lang w:val="fr-FR"/>
        </w:rPr>
        <w:t>;</w:t>
      </w:r>
    </w:p>
    <w:p w:rsidR="00F73908" w:rsidRDefault="00430EE6" w:rsidP="009D155D">
      <w:pPr>
        <w:pStyle w:val="Bullet2G"/>
        <w:rPr>
          <w:lang w:val="fr-FR"/>
        </w:rPr>
      </w:pPr>
      <w:r>
        <w:rPr>
          <w:lang w:val="fr-FR"/>
        </w:rPr>
        <w:t>2017 −</w:t>
      </w:r>
      <w:r w:rsidR="004366C4" w:rsidRPr="002C7AB3">
        <w:rPr>
          <w:lang w:val="fr-FR"/>
        </w:rPr>
        <w:t xml:space="preserve"> 1 procédure pour délit mineur, mais clôturée en raison de l</w:t>
      </w:r>
      <w:r w:rsidR="004366C4">
        <w:rPr>
          <w:lang w:val="fr-FR"/>
        </w:rPr>
        <w:t>’</w:t>
      </w:r>
      <w:r w:rsidR="004366C4" w:rsidRPr="002C7AB3">
        <w:rPr>
          <w:lang w:val="fr-FR"/>
        </w:rPr>
        <w:t>écoulement du délai de prescription.</w:t>
      </w:r>
    </w:p>
    <w:p w:rsidR="00BC6837" w:rsidRPr="007D1229" w:rsidRDefault="00BC6837" w:rsidP="00BC6837">
      <w:pPr>
        <w:pStyle w:val="H1G"/>
      </w:pPr>
      <w:r w:rsidRPr="007D1229">
        <w:rPr>
          <w:lang w:val="fr-FR"/>
        </w:rPr>
        <w:tab/>
      </w:r>
      <w:r w:rsidRPr="007D1229">
        <w:rPr>
          <w:lang w:val="fr-FR"/>
        </w:rPr>
        <w:tab/>
        <w:t>Droit à un n</w:t>
      </w:r>
      <w:r>
        <w:rPr>
          <w:lang w:val="fr-FR"/>
        </w:rPr>
        <w:t>iveau de vie suffisant (art. </w:t>
      </w:r>
      <w:r w:rsidRPr="007D1229">
        <w:rPr>
          <w:lang w:val="fr-FR"/>
        </w:rPr>
        <w:t>11)</w:t>
      </w:r>
    </w:p>
    <w:p w:rsidR="00BC6837" w:rsidRPr="007D1229" w:rsidRDefault="00BC6837" w:rsidP="00BC6837">
      <w:pPr>
        <w:pStyle w:val="H23G"/>
      </w:pPr>
      <w:r w:rsidRPr="007D1229">
        <w:rPr>
          <w:lang w:val="fr-FR"/>
        </w:rPr>
        <w:tab/>
      </w:r>
      <w:r w:rsidRPr="007D1229">
        <w:rPr>
          <w:lang w:val="fr-FR"/>
        </w:rPr>
        <w:tab/>
        <w:t>Réduction de la pauvreté</w:t>
      </w:r>
    </w:p>
    <w:p w:rsidR="00BC6837" w:rsidRPr="007D1229" w:rsidRDefault="00BC6837" w:rsidP="00BC6837">
      <w:pPr>
        <w:pStyle w:val="SingleTxtG"/>
      </w:pPr>
      <w:r w:rsidRPr="007D1229">
        <w:rPr>
          <w:lang w:val="fr-FR"/>
        </w:rPr>
        <w:t>75.</w:t>
      </w:r>
      <w:r w:rsidRPr="007D1229">
        <w:rPr>
          <w:lang w:val="fr-FR"/>
        </w:rPr>
        <w:tab/>
        <w:t xml:space="preserve">Les allocations de subsistance, qui tiennent compte du seuil de subsistance et des dépenses de logement, sont une prestation sociale versée aux personnes </w:t>
      </w:r>
      <w:r>
        <w:rPr>
          <w:lang w:val="fr-FR"/>
        </w:rPr>
        <w:t>démunies</w:t>
      </w:r>
      <w:r w:rsidRPr="007D1229">
        <w:rPr>
          <w:lang w:val="fr-FR"/>
        </w:rPr>
        <w:t xml:space="preserve"> et </w:t>
      </w:r>
      <w:r>
        <w:rPr>
          <w:lang w:val="fr-FR"/>
        </w:rPr>
        <w:t>financée par</w:t>
      </w:r>
      <w:r w:rsidRPr="007D1229">
        <w:rPr>
          <w:lang w:val="fr-FR"/>
        </w:rPr>
        <w:t xml:space="preserve"> le budget de l</w:t>
      </w:r>
      <w:r>
        <w:rPr>
          <w:lang w:val="fr-FR"/>
        </w:rPr>
        <w:t>’</w:t>
      </w:r>
      <w:r w:rsidRPr="007D1229">
        <w:rPr>
          <w:lang w:val="fr-FR"/>
        </w:rPr>
        <w:t xml:space="preserve">État. </w:t>
      </w:r>
      <w:r>
        <w:rPr>
          <w:lang w:val="fr-FR"/>
        </w:rPr>
        <w:t>Elle</w:t>
      </w:r>
      <w:r w:rsidRPr="007D1229">
        <w:rPr>
          <w:lang w:val="fr-FR"/>
        </w:rPr>
        <w:t xml:space="preserve"> </w:t>
      </w:r>
      <w:r>
        <w:rPr>
          <w:lang w:val="fr-FR"/>
        </w:rPr>
        <w:t>est</w:t>
      </w:r>
      <w:r w:rsidRPr="007D1229">
        <w:rPr>
          <w:lang w:val="fr-FR"/>
        </w:rPr>
        <w:t xml:space="preserve"> octroyée aux </w:t>
      </w:r>
      <w:r>
        <w:rPr>
          <w:lang w:val="fr-FR"/>
        </w:rPr>
        <w:t xml:space="preserve">personnes dont le revenu, après </w:t>
      </w:r>
      <w:r w:rsidRPr="007D1229">
        <w:rPr>
          <w:lang w:val="fr-FR"/>
        </w:rPr>
        <w:t xml:space="preserve">paiement des dépenses de logement, est inférieur au seuil de subsistance. </w:t>
      </w:r>
      <w:r>
        <w:rPr>
          <w:lang w:val="fr-FR"/>
        </w:rPr>
        <w:t xml:space="preserve">Elle </w:t>
      </w:r>
      <w:r w:rsidRPr="007D1229">
        <w:rPr>
          <w:lang w:val="fr-FR"/>
        </w:rPr>
        <w:t>n</w:t>
      </w:r>
      <w:r>
        <w:rPr>
          <w:lang w:val="fr-FR"/>
        </w:rPr>
        <w:t>’</w:t>
      </w:r>
      <w:r w:rsidRPr="007D1229">
        <w:rPr>
          <w:lang w:val="fr-FR"/>
        </w:rPr>
        <w:t xml:space="preserve">a pas de limite de temps et son montant varie chaque mois en fonction du nombre de membres </w:t>
      </w:r>
      <w:r>
        <w:rPr>
          <w:lang w:val="fr-FR"/>
        </w:rPr>
        <w:t>d’un foyer et des dépenses de logement.</w:t>
      </w:r>
    </w:p>
    <w:p w:rsidR="00BC6837" w:rsidRPr="007D1229" w:rsidRDefault="00BC6837" w:rsidP="00BC6837">
      <w:pPr>
        <w:pStyle w:val="SingleTxtG"/>
      </w:pPr>
      <w:r w:rsidRPr="007D1229">
        <w:rPr>
          <w:lang w:val="fr-FR"/>
        </w:rPr>
        <w:t>76.</w:t>
      </w:r>
      <w:r w:rsidRPr="007D1229">
        <w:rPr>
          <w:lang w:val="fr-FR"/>
        </w:rPr>
        <w:tab/>
        <w:t xml:space="preserve">Le seuil de subsistance est déterminé et revu à chaque année budgétaire par le Parlement qui tient compte des dépenses minimum </w:t>
      </w:r>
      <w:r>
        <w:rPr>
          <w:lang w:val="fr-FR"/>
        </w:rPr>
        <w:t>nécessaires</w:t>
      </w:r>
      <w:r w:rsidRPr="007D1229">
        <w:rPr>
          <w:lang w:val="fr-FR"/>
        </w:rPr>
        <w:t xml:space="preserve"> à l</w:t>
      </w:r>
      <w:r>
        <w:rPr>
          <w:lang w:val="fr-FR"/>
        </w:rPr>
        <w:t>’</w:t>
      </w:r>
      <w:r w:rsidRPr="007D1229">
        <w:rPr>
          <w:lang w:val="fr-FR"/>
        </w:rPr>
        <w:t>achat de nourriture, de vêtements, de chaussures et d</w:t>
      </w:r>
      <w:r>
        <w:rPr>
          <w:lang w:val="fr-FR"/>
        </w:rPr>
        <w:t>’</w:t>
      </w:r>
      <w:r w:rsidRPr="007D1229">
        <w:rPr>
          <w:lang w:val="fr-FR"/>
        </w:rPr>
        <w:t xml:space="preserve">autres biens et services </w:t>
      </w:r>
      <w:r>
        <w:rPr>
          <w:lang w:val="fr-FR"/>
        </w:rPr>
        <w:t>nécessaires pour répondre</w:t>
      </w:r>
      <w:r w:rsidRPr="007D1229">
        <w:rPr>
          <w:lang w:val="fr-FR"/>
        </w:rPr>
        <w:t xml:space="preserve"> aux besoins essen</w:t>
      </w:r>
      <w:r>
        <w:rPr>
          <w:lang w:val="fr-FR"/>
        </w:rPr>
        <w:t>tiels des personnes concernées.</w:t>
      </w:r>
    </w:p>
    <w:p w:rsidR="00BC6837" w:rsidRPr="007D1229" w:rsidRDefault="00BC6837" w:rsidP="00BC6837">
      <w:pPr>
        <w:pStyle w:val="SingleTxtG"/>
      </w:pPr>
      <w:r w:rsidRPr="007D1229">
        <w:rPr>
          <w:lang w:val="fr-FR"/>
        </w:rPr>
        <w:t>77.</w:t>
      </w:r>
      <w:r w:rsidRPr="007D1229">
        <w:rPr>
          <w:lang w:val="fr-FR"/>
        </w:rPr>
        <w:tab/>
        <w:t>En 2018, le seuil de subsistance pour une personne seule ou le premier membre d</w:t>
      </w:r>
      <w:r>
        <w:rPr>
          <w:lang w:val="fr-FR"/>
        </w:rPr>
        <w:t>’</w:t>
      </w:r>
      <w:r w:rsidRPr="007D1229">
        <w:rPr>
          <w:lang w:val="fr-FR"/>
        </w:rPr>
        <w:t>un foyer est de 140</w:t>
      </w:r>
      <w:r>
        <w:rPr>
          <w:lang w:val="fr-FR"/>
        </w:rPr>
        <w:t> </w:t>
      </w:r>
      <w:r w:rsidRPr="007D1229">
        <w:rPr>
          <w:lang w:val="fr-FR"/>
        </w:rPr>
        <w:t xml:space="preserve">euros par mois, </w:t>
      </w:r>
      <w:r>
        <w:rPr>
          <w:lang w:val="fr-FR"/>
        </w:rPr>
        <w:t>et augmente</w:t>
      </w:r>
      <w:r w:rsidRPr="007D1229">
        <w:rPr>
          <w:lang w:val="fr-FR"/>
        </w:rPr>
        <w:t xml:space="preserve"> de 80</w:t>
      </w:r>
      <w:r>
        <w:rPr>
          <w:lang w:val="fr-FR"/>
        </w:rPr>
        <w:t> % (soit 112 </w:t>
      </w:r>
      <w:r w:rsidRPr="007D1229">
        <w:rPr>
          <w:lang w:val="fr-FR"/>
        </w:rPr>
        <w:t>euros) pour chaque nouvel adulte et de 120</w:t>
      </w:r>
      <w:r>
        <w:rPr>
          <w:lang w:val="fr-FR"/>
        </w:rPr>
        <w:t> </w:t>
      </w:r>
      <w:r w:rsidRPr="007D1229">
        <w:rPr>
          <w:lang w:val="fr-FR"/>
        </w:rPr>
        <w:t>% (soit 16</w:t>
      </w:r>
      <w:r>
        <w:rPr>
          <w:lang w:val="fr-FR"/>
        </w:rPr>
        <w:t>8 </w:t>
      </w:r>
      <w:r w:rsidRPr="007D1229">
        <w:rPr>
          <w:lang w:val="fr-FR"/>
        </w:rPr>
        <w:t>euros) pour chaq</w:t>
      </w:r>
      <w:r>
        <w:rPr>
          <w:lang w:val="fr-FR"/>
        </w:rPr>
        <w:t>ue nouvel enfant de moins de 18 ans. Il </w:t>
      </w:r>
      <w:r w:rsidRPr="007D1229">
        <w:rPr>
          <w:lang w:val="fr-FR"/>
        </w:rPr>
        <w:t>convient de noter que le seuil de subsistance pour les enfants est passé de 80</w:t>
      </w:r>
      <w:r>
        <w:rPr>
          <w:lang w:val="fr-FR"/>
        </w:rPr>
        <w:t> % en 2016 à </w:t>
      </w:r>
      <w:r w:rsidRPr="007D1229">
        <w:rPr>
          <w:lang w:val="fr-FR"/>
        </w:rPr>
        <w:t>120</w:t>
      </w:r>
      <w:r>
        <w:rPr>
          <w:lang w:val="fr-FR"/>
        </w:rPr>
        <w:t> </w:t>
      </w:r>
      <w:r w:rsidRPr="007D1229">
        <w:rPr>
          <w:lang w:val="fr-FR"/>
        </w:rPr>
        <w:t>% en 2018.</w:t>
      </w:r>
    </w:p>
    <w:p w:rsidR="00BC6837" w:rsidRPr="007D1229" w:rsidRDefault="00BC6837" w:rsidP="00BC6837">
      <w:pPr>
        <w:pStyle w:val="SingleTxtG"/>
      </w:pPr>
      <w:r w:rsidRPr="007D1229">
        <w:rPr>
          <w:lang w:val="fr-FR"/>
        </w:rPr>
        <w:lastRenderedPageBreak/>
        <w:t>78.</w:t>
      </w:r>
      <w:r w:rsidRPr="007D1229">
        <w:rPr>
          <w:lang w:val="fr-FR"/>
        </w:rPr>
        <w:tab/>
        <w:t>En 2016, l</w:t>
      </w:r>
      <w:r>
        <w:rPr>
          <w:lang w:val="fr-FR"/>
        </w:rPr>
        <w:t>’</w:t>
      </w:r>
      <w:r w:rsidRPr="007D1229">
        <w:rPr>
          <w:lang w:val="fr-FR"/>
        </w:rPr>
        <w:t>Estonie a adopté le Plan de développement de la protection sociale 2016</w:t>
      </w:r>
      <w:r>
        <w:rPr>
          <w:lang w:val="fr-FR"/>
        </w:rPr>
        <w:t>−</w:t>
      </w:r>
      <w:r w:rsidRPr="007D1229">
        <w:rPr>
          <w:lang w:val="fr-FR"/>
        </w:rPr>
        <w:t xml:space="preserve">2023, </w:t>
      </w:r>
      <w:r>
        <w:rPr>
          <w:lang w:val="fr-FR"/>
        </w:rPr>
        <w:t>dont l’une des priorités est d’aligner le</w:t>
      </w:r>
      <w:r w:rsidRPr="007D1229">
        <w:rPr>
          <w:lang w:val="fr-FR"/>
        </w:rPr>
        <w:t xml:space="preserve"> seuil de subsistance sur le minimum vital. En 2018, le seuil de subsistance pour une personne seule ou le premier membre d</w:t>
      </w:r>
      <w:r>
        <w:rPr>
          <w:lang w:val="fr-FR"/>
        </w:rPr>
        <w:t>’un foyer est supérieur de 8 </w:t>
      </w:r>
      <w:r w:rsidRPr="007D1229">
        <w:rPr>
          <w:lang w:val="fr-FR"/>
        </w:rPr>
        <w:t>euros au minimum vital</w:t>
      </w:r>
      <w:r>
        <w:rPr>
          <w:lang w:val="fr-FR"/>
        </w:rPr>
        <w:t>,</w:t>
      </w:r>
      <w:r w:rsidRPr="007D1229">
        <w:rPr>
          <w:lang w:val="fr-FR"/>
        </w:rPr>
        <w:t xml:space="preserve"> </w:t>
      </w:r>
      <w:r>
        <w:rPr>
          <w:lang w:val="fr-FR"/>
        </w:rPr>
        <w:t>avant</w:t>
      </w:r>
      <w:r w:rsidRPr="007D1229">
        <w:rPr>
          <w:lang w:val="fr-FR"/>
        </w:rPr>
        <w:t xml:space="preserve"> dépenses de logement. Le</w:t>
      </w:r>
      <w:r>
        <w:rPr>
          <w:lang w:val="fr-FR"/>
        </w:rPr>
        <w:t xml:space="preserve"> </w:t>
      </w:r>
      <w:r w:rsidRPr="007D1229">
        <w:rPr>
          <w:lang w:val="fr-FR"/>
        </w:rPr>
        <w:t xml:space="preserve">Plan </w:t>
      </w:r>
      <w:r>
        <w:rPr>
          <w:lang w:val="fr-FR"/>
        </w:rPr>
        <w:t>repose sur l’idée</w:t>
      </w:r>
      <w:r w:rsidRPr="007D1229">
        <w:rPr>
          <w:lang w:val="fr-FR"/>
        </w:rPr>
        <w:t xml:space="preserve"> qu</w:t>
      </w:r>
      <w:r>
        <w:rPr>
          <w:lang w:val="fr-FR"/>
        </w:rPr>
        <w:t>’</w:t>
      </w:r>
      <w:r w:rsidRPr="007D1229">
        <w:rPr>
          <w:lang w:val="fr-FR"/>
        </w:rPr>
        <w:t>il faut actualiser les méthodes de calcul du minimum vital et en tenir compte lors de l</w:t>
      </w:r>
      <w:r>
        <w:rPr>
          <w:lang w:val="fr-FR"/>
        </w:rPr>
        <w:t>’</w:t>
      </w:r>
      <w:r w:rsidRPr="007D1229">
        <w:rPr>
          <w:lang w:val="fr-FR"/>
        </w:rPr>
        <w:t xml:space="preserve">établissement annuel du seuil de subsistance. À la fin </w:t>
      </w:r>
      <w:r>
        <w:rPr>
          <w:lang w:val="fr-FR"/>
        </w:rPr>
        <w:t xml:space="preserve">de l’année 2018, sera publiée une </w:t>
      </w:r>
      <w:r w:rsidRPr="007D1229">
        <w:rPr>
          <w:lang w:val="fr-FR"/>
        </w:rPr>
        <w:t xml:space="preserve">analyse du minimum vital, qui </w:t>
      </w:r>
      <w:r>
        <w:rPr>
          <w:lang w:val="fr-FR"/>
        </w:rPr>
        <w:t>aidera</w:t>
      </w:r>
      <w:r w:rsidRPr="007D1229">
        <w:rPr>
          <w:lang w:val="fr-FR"/>
        </w:rPr>
        <w:t xml:space="preserve"> </w:t>
      </w:r>
      <w:r>
        <w:rPr>
          <w:lang w:val="fr-FR"/>
        </w:rPr>
        <w:t>à</w:t>
      </w:r>
      <w:r w:rsidRPr="007D1229">
        <w:rPr>
          <w:lang w:val="fr-FR"/>
        </w:rPr>
        <w:t xml:space="preserve"> calculer le nouveau seuil de subsistance. Une famille monoparentale peut prétendre à une prestation sociale de 15</w:t>
      </w:r>
      <w:r>
        <w:rPr>
          <w:lang w:val="fr-FR"/>
        </w:rPr>
        <w:t> </w:t>
      </w:r>
      <w:r w:rsidRPr="007D1229">
        <w:rPr>
          <w:lang w:val="fr-FR"/>
        </w:rPr>
        <w:t>euros</w:t>
      </w:r>
      <w:r>
        <w:rPr>
          <w:lang w:val="fr-FR"/>
        </w:rPr>
        <w:t>,</w:t>
      </w:r>
      <w:r w:rsidRPr="007D1229">
        <w:rPr>
          <w:lang w:val="fr-FR"/>
        </w:rPr>
        <w:t xml:space="preserve"> en plus de l</w:t>
      </w:r>
      <w:r>
        <w:rPr>
          <w:lang w:val="fr-FR"/>
        </w:rPr>
        <w:t>’</w:t>
      </w:r>
      <w:r w:rsidRPr="007D1229">
        <w:rPr>
          <w:lang w:val="fr-FR"/>
        </w:rPr>
        <w:t>allocation de subsistance.</w:t>
      </w:r>
    </w:p>
    <w:p w:rsidR="00BC6837" w:rsidRPr="007D1229" w:rsidRDefault="00BC6837" w:rsidP="00BC6837">
      <w:pPr>
        <w:pStyle w:val="SingleTxtG"/>
      </w:pPr>
      <w:r w:rsidRPr="007D1229">
        <w:rPr>
          <w:lang w:val="fr-FR"/>
        </w:rPr>
        <w:t>79.</w:t>
      </w:r>
      <w:r w:rsidRPr="007D1229">
        <w:rPr>
          <w:lang w:val="fr-FR"/>
        </w:rPr>
        <w:tab/>
        <w:t>La majorité des bénéficiaires de l</w:t>
      </w:r>
      <w:r>
        <w:rPr>
          <w:lang w:val="fr-FR"/>
        </w:rPr>
        <w:t>’</w:t>
      </w:r>
      <w:r w:rsidRPr="007D1229">
        <w:rPr>
          <w:lang w:val="fr-FR"/>
        </w:rPr>
        <w:t>allocation de subsistance reçoivent également d</w:t>
      </w:r>
      <w:r>
        <w:rPr>
          <w:lang w:val="fr-FR"/>
        </w:rPr>
        <w:t>’</w:t>
      </w:r>
      <w:r w:rsidRPr="007D1229">
        <w:rPr>
          <w:lang w:val="fr-FR"/>
        </w:rPr>
        <w:t xml:space="preserve">autres aides et prestations financées par différents régimes de protection sociale tels que </w:t>
      </w:r>
      <w:r>
        <w:rPr>
          <w:lang w:val="fr-FR"/>
        </w:rPr>
        <w:t>d</w:t>
      </w:r>
      <w:r w:rsidRPr="007D1229">
        <w:rPr>
          <w:lang w:val="fr-FR"/>
        </w:rPr>
        <w:t xml:space="preserve">es allocations et </w:t>
      </w:r>
      <w:r>
        <w:rPr>
          <w:lang w:val="fr-FR"/>
        </w:rPr>
        <w:t>d</w:t>
      </w:r>
      <w:r w:rsidRPr="007D1229">
        <w:rPr>
          <w:lang w:val="fr-FR"/>
        </w:rPr>
        <w:t xml:space="preserve">es indemnités de chômage, </w:t>
      </w:r>
      <w:r>
        <w:rPr>
          <w:lang w:val="fr-FR"/>
        </w:rPr>
        <w:t>d</w:t>
      </w:r>
      <w:r w:rsidRPr="007D1229">
        <w:rPr>
          <w:lang w:val="fr-FR"/>
        </w:rPr>
        <w:t>es pensions d</w:t>
      </w:r>
      <w:r>
        <w:rPr>
          <w:lang w:val="fr-FR"/>
        </w:rPr>
        <w:t>’</w:t>
      </w:r>
      <w:r w:rsidRPr="007D1229">
        <w:rPr>
          <w:lang w:val="fr-FR"/>
        </w:rPr>
        <w:t xml:space="preserve">invalidité ou </w:t>
      </w:r>
      <w:r>
        <w:rPr>
          <w:lang w:val="fr-FR"/>
        </w:rPr>
        <w:t>d</w:t>
      </w:r>
      <w:r w:rsidRPr="007D1229">
        <w:rPr>
          <w:lang w:val="fr-FR"/>
        </w:rPr>
        <w:t>es indemnités pour enfant à charge. C</w:t>
      </w:r>
      <w:r>
        <w:rPr>
          <w:lang w:val="fr-FR"/>
        </w:rPr>
        <w:t>’</w:t>
      </w:r>
      <w:r w:rsidRPr="007D1229">
        <w:rPr>
          <w:lang w:val="fr-FR"/>
        </w:rPr>
        <w:t>est donc cet ensemble de prestations qui a une incidence sur l</w:t>
      </w:r>
      <w:r>
        <w:rPr>
          <w:lang w:val="fr-FR"/>
        </w:rPr>
        <w:t>’</w:t>
      </w:r>
      <w:r w:rsidRPr="007D1229">
        <w:rPr>
          <w:lang w:val="fr-FR"/>
        </w:rPr>
        <w:t>inactivité et le piège de la pauvreté. En plus de l</w:t>
      </w:r>
      <w:r>
        <w:rPr>
          <w:lang w:val="fr-FR"/>
        </w:rPr>
        <w:t>’</w:t>
      </w:r>
      <w:r w:rsidRPr="007D1229">
        <w:rPr>
          <w:lang w:val="fr-FR"/>
        </w:rPr>
        <w:t>État, les collectivités locales</w:t>
      </w:r>
      <w:r>
        <w:rPr>
          <w:lang w:val="fr-FR"/>
        </w:rPr>
        <w:t xml:space="preserve"> </w:t>
      </w:r>
      <w:r w:rsidRPr="007D1229">
        <w:rPr>
          <w:lang w:val="fr-FR"/>
        </w:rPr>
        <w:t xml:space="preserve">fournissent </w:t>
      </w:r>
      <w:r>
        <w:rPr>
          <w:lang w:val="fr-FR"/>
        </w:rPr>
        <w:t>elles aussi</w:t>
      </w:r>
      <w:r w:rsidRPr="007D1229">
        <w:rPr>
          <w:lang w:val="fr-FR"/>
        </w:rPr>
        <w:t xml:space="preserve"> des services sociaux et versent différentes prestations sociales universelles</w:t>
      </w:r>
      <w:r>
        <w:rPr>
          <w:lang w:val="fr-FR"/>
        </w:rPr>
        <w:t>, selon</w:t>
      </w:r>
      <w:r w:rsidRPr="007D1229">
        <w:rPr>
          <w:lang w:val="fr-FR"/>
        </w:rPr>
        <w:t xml:space="preserve"> les besoins de chacun</w:t>
      </w:r>
      <w:r>
        <w:rPr>
          <w:lang w:val="fr-FR"/>
        </w:rPr>
        <w:t>,</w:t>
      </w:r>
      <w:r w:rsidRPr="007D1229">
        <w:rPr>
          <w:lang w:val="fr-FR"/>
        </w:rPr>
        <w:t xml:space="preserve"> aux personnes </w:t>
      </w:r>
      <w:r>
        <w:rPr>
          <w:lang w:val="fr-FR"/>
        </w:rPr>
        <w:t>démunies</w:t>
      </w:r>
      <w:r w:rsidRPr="007D1229">
        <w:rPr>
          <w:lang w:val="fr-FR"/>
        </w:rPr>
        <w:t xml:space="preserve">. </w:t>
      </w:r>
      <w:r>
        <w:rPr>
          <w:lang w:val="fr-FR"/>
        </w:rPr>
        <w:t>Par exemple, e</w:t>
      </w:r>
      <w:r w:rsidRPr="007D1229">
        <w:rPr>
          <w:lang w:val="fr-FR"/>
        </w:rPr>
        <w:t xml:space="preserve">lles </w:t>
      </w:r>
      <w:r>
        <w:rPr>
          <w:lang w:val="fr-FR"/>
        </w:rPr>
        <w:t>prennent en charge</w:t>
      </w:r>
      <w:r w:rsidRPr="007D1229">
        <w:rPr>
          <w:lang w:val="fr-FR"/>
        </w:rPr>
        <w:t xml:space="preserve"> une partie du prix des médicaments ou des dépenses imprévues et proposent une aide alimentaire (en coopération avec des organisations non gouvernementales</w:t>
      </w:r>
      <w:r>
        <w:rPr>
          <w:lang w:val="fr-FR"/>
        </w:rPr>
        <w:t xml:space="preserve"> (ONG)</w:t>
      </w:r>
      <w:r w:rsidRPr="007D1229">
        <w:rPr>
          <w:lang w:val="fr-FR"/>
        </w:rPr>
        <w:t xml:space="preserve"> et le Fonds européen d</w:t>
      </w:r>
      <w:r>
        <w:rPr>
          <w:lang w:val="fr-FR"/>
        </w:rPr>
        <w:t>’</w:t>
      </w:r>
      <w:r w:rsidRPr="007D1229">
        <w:rPr>
          <w:lang w:val="fr-FR"/>
        </w:rPr>
        <w:t>aide aux plus démunis</w:t>
      </w:r>
      <w:r w:rsidR="0075121E">
        <w:rPr>
          <w:lang w:val="fr-FR"/>
        </w:rPr>
        <w:t>).</w:t>
      </w:r>
    </w:p>
    <w:p w:rsidR="00BC6837" w:rsidRPr="007D1229" w:rsidRDefault="00BC6837" w:rsidP="00BC6837">
      <w:pPr>
        <w:pStyle w:val="SingleTxtG"/>
      </w:pPr>
      <w:r w:rsidRPr="007D1229">
        <w:rPr>
          <w:lang w:val="fr-FR"/>
        </w:rPr>
        <w:t>80.</w:t>
      </w:r>
      <w:r w:rsidRPr="007D1229">
        <w:rPr>
          <w:lang w:val="fr-FR"/>
        </w:rPr>
        <w:tab/>
        <w:t xml:space="preserve">Les allocations de subsistance restent une prestation sociale importante </w:t>
      </w:r>
      <w:r>
        <w:rPr>
          <w:lang w:val="fr-FR"/>
        </w:rPr>
        <w:t>pour réduire</w:t>
      </w:r>
      <w:r w:rsidRPr="007D1229">
        <w:rPr>
          <w:lang w:val="fr-FR"/>
        </w:rPr>
        <w:t xml:space="preserve"> la pauvreté mais, dans le même temps, il est essentiel d</w:t>
      </w:r>
      <w:r>
        <w:rPr>
          <w:lang w:val="fr-FR"/>
        </w:rPr>
        <w:t>’</w:t>
      </w:r>
      <w:r w:rsidRPr="007D1229">
        <w:rPr>
          <w:lang w:val="fr-FR"/>
        </w:rPr>
        <w:t>éviter que les bénéficiaires s</w:t>
      </w:r>
      <w:r>
        <w:rPr>
          <w:lang w:val="fr-FR"/>
        </w:rPr>
        <w:t>’</w:t>
      </w:r>
      <w:r w:rsidRPr="007D1229">
        <w:rPr>
          <w:lang w:val="fr-FR"/>
        </w:rPr>
        <w:t>enferment dans la pauvreté, l</w:t>
      </w:r>
      <w:r>
        <w:rPr>
          <w:lang w:val="fr-FR"/>
        </w:rPr>
        <w:t>’</w:t>
      </w:r>
      <w:r w:rsidRPr="007D1229">
        <w:rPr>
          <w:lang w:val="fr-FR"/>
        </w:rPr>
        <w:t>inactivité et de</w:t>
      </w:r>
      <w:r>
        <w:rPr>
          <w:lang w:val="fr-FR"/>
        </w:rPr>
        <w:t>s</w:t>
      </w:r>
      <w:r w:rsidRPr="007D1229">
        <w:rPr>
          <w:lang w:val="fr-FR"/>
        </w:rPr>
        <w:t xml:space="preserve"> revenus faibles. </w:t>
      </w:r>
      <w:r>
        <w:rPr>
          <w:lang w:val="fr-FR"/>
        </w:rPr>
        <w:t>Le système a été modifié pour permettre aux personnes de</w:t>
      </w:r>
      <w:r w:rsidRPr="007D1229">
        <w:rPr>
          <w:lang w:val="fr-FR"/>
        </w:rPr>
        <w:t xml:space="preserve"> participe</w:t>
      </w:r>
      <w:r>
        <w:rPr>
          <w:lang w:val="fr-FR"/>
        </w:rPr>
        <w:t>r</w:t>
      </w:r>
      <w:r w:rsidRPr="007D1229">
        <w:rPr>
          <w:lang w:val="fr-FR"/>
        </w:rPr>
        <w:t xml:space="preserve"> plus activement au marché de l</w:t>
      </w:r>
      <w:r>
        <w:rPr>
          <w:lang w:val="fr-FR"/>
        </w:rPr>
        <w:t>’</w:t>
      </w:r>
      <w:r w:rsidRPr="007D1229">
        <w:rPr>
          <w:lang w:val="fr-FR"/>
        </w:rPr>
        <w:t xml:space="preserve">emploi, </w:t>
      </w:r>
      <w:r>
        <w:rPr>
          <w:lang w:val="fr-FR"/>
        </w:rPr>
        <w:t>faire baisser</w:t>
      </w:r>
      <w:r w:rsidRPr="007D1229">
        <w:rPr>
          <w:lang w:val="fr-FR"/>
        </w:rPr>
        <w:t xml:space="preserve"> le taux de pauvreté absolue et </w:t>
      </w:r>
      <w:r>
        <w:rPr>
          <w:lang w:val="fr-FR"/>
        </w:rPr>
        <w:t>améliorer l’</w:t>
      </w:r>
      <w:r w:rsidRPr="007D1229">
        <w:rPr>
          <w:lang w:val="fr-FR"/>
        </w:rPr>
        <w:t>indépendance économique</w:t>
      </w:r>
      <w:r>
        <w:rPr>
          <w:lang w:val="fr-FR"/>
        </w:rPr>
        <w:t xml:space="preserve"> de la population</w:t>
      </w:r>
      <w:r w:rsidRPr="007D1229">
        <w:rPr>
          <w:lang w:val="fr-FR"/>
        </w:rPr>
        <w:t>.</w:t>
      </w:r>
    </w:p>
    <w:p w:rsidR="00BC6837" w:rsidRPr="007D1229" w:rsidRDefault="00BC6837" w:rsidP="0075121E">
      <w:pPr>
        <w:pStyle w:val="H23G"/>
      </w:pPr>
      <w:r w:rsidRPr="007D1229">
        <w:rPr>
          <w:lang w:val="fr-FR"/>
        </w:rPr>
        <w:tab/>
      </w:r>
      <w:r w:rsidRPr="007D1229">
        <w:rPr>
          <w:lang w:val="fr-FR"/>
        </w:rPr>
        <w:tab/>
        <w:t>Droit à un logement convenable</w:t>
      </w:r>
    </w:p>
    <w:p w:rsidR="00BC6837" w:rsidRPr="007D1229" w:rsidRDefault="00BC6837" w:rsidP="00BC6837">
      <w:pPr>
        <w:pStyle w:val="SingleTxtG"/>
      </w:pPr>
      <w:r w:rsidRPr="007D1229">
        <w:rPr>
          <w:lang w:val="fr-FR"/>
        </w:rPr>
        <w:t>81.</w:t>
      </w:r>
      <w:r w:rsidRPr="007D1229">
        <w:rPr>
          <w:lang w:val="fr-FR"/>
        </w:rPr>
        <w:tab/>
      </w:r>
      <w:r>
        <w:rPr>
          <w:lang w:val="fr-FR"/>
        </w:rPr>
        <w:t>Dans le</w:t>
      </w:r>
      <w:r w:rsidRPr="007D1229">
        <w:rPr>
          <w:lang w:val="fr-FR"/>
        </w:rPr>
        <w:t xml:space="preserve"> secteur du logement</w:t>
      </w:r>
      <w:r>
        <w:rPr>
          <w:lang w:val="fr-FR"/>
        </w:rPr>
        <w:t>, les activités</w:t>
      </w:r>
      <w:r w:rsidRPr="007D1229">
        <w:rPr>
          <w:lang w:val="fr-FR"/>
        </w:rPr>
        <w:t xml:space="preserve"> </w:t>
      </w:r>
      <w:r>
        <w:rPr>
          <w:lang w:val="fr-FR"/>
        </w:rPr>
        <w:t>s’inscrivent dans le cadre du</w:t>
      </w:r>
      <w:r w:rsidRPr="007D1229">
        <w:rPr>
          <w:lang w:val="fr-FR"/>
        </w:rPr>
        <w:t xml:space="preserve"> Plan estonien de développement énergétique 2030. Le Plan estonien de développement de l</w:t>
      </w:r>
      <w:r>
        <w:rPr>
          <w:lang w:val="fr-FR"/>
        </w:rPr>
        <w:t>’</w:t>
      </w:r>
      <w:r w:rsidRPr="007D1229">
        <w:rPr>
          <w:lang w:val="fr-FR"/>
        </w:rPr>
        <w:t>habitat 2008</w:t>
      </w:r>
      <w:r w:rsidR="003A0C65">
        <w:rPr>
          <w:lang w:val="fr-FR"/>
        </w:rPr>
        <w:t>−</w:t>
      </w:r>
      <w:r w:rsidRPr="007D1229">
        <w:rPr>
          <w:lang w:val="fr-FR"/>
        </w:rPr>
        <w:t>2013 visait à améliorer l</w:t>
      </w:r>
      <w:r>
        <w:rPr>
          <w:lang w:val="fr-FR"/>
        </w:rPr>
        <w:t>’</w:t>
      </w:r>
      <w:r w:rsidRPr="007D1229">
        <w:rPr>
          <w:lang w:val="fr-FR"/>
        </w:rPr>
        <w:t xml:space="preserve">accès </w:t>
      </w:r>
      <w:r>
        <w:rPr>
          <w:lang w:val="fr-FR"/>
        </w:rPr>
        <w:t>au</w:t>
      </w:r>
      <w:r w:rsidRPr="007D1229">
        <w:rPr>
          <w:lang w:val="fr-FR"/>
        </w:rPr>
        <w:t xml:space="preserve"> logement</w:t>
      </w:r>
      <w:r>
        <w:rPr>
          <w:lang w:val="fr-FR"/>
        </w:rPr>
        <w:t xml:space="preserve"> sur le long terme</w:t>
      </w:r>
      <w:r w:rsidRPr="007D1229">
        <w:rPr>
          <w:lang w:val="fr-FR"/>
        </w:rPr>
        <w:t xml:space="preserve"> et à un </w:t>
      </w:r>
      <w:r>
        <w:rPr>
          <w:lang w:val="fr-FR"/>
        </w:rPr>
        <w:t>cadre</w:t>
      </w:r>
      <w:r w:rsidRPr="007D1229">
        <w:rPr>
          <w:lang w:val="fr-FR"/>
        </w:rPr>
        <w:t xml:space="preserve"> de vie sûr. </w:t>
      </w:r>
      <w:r>
        <w:rPr>
          <w:lang w:val="fr-FR"/>
        </w:rPr>
        <w:t>Ce plan</w:t>
      </w:r>
      <w:r w:rsidRPr="007D1229">
        <w:rPr>
          <w:lang w:val="fr-FR"/>
        </w:rPr>
        <w:t xml:space="preserve"> avait été </w:t>
      </w:r>
      <w:r>
        <w:rPr>
          <w:lang w:val="fr-FR"/>
        </w:rPr>
        <w:t>lancé</w:t>
      </w:r>
      <w:r w:rsidRPr="007D1229">
        <w:rPr>
          <w:lang w:val="fr-FR"/>
        </w:rPr>
        <w:t xml:space="preserve"> en période de récession et le budget initialement alloué au logement avait été réattribué, raison pour laquelle plusieurs mesures n</w:t>
      </w:r>
      <w:r>
        <w:rPr>
          <w:lang w:val="fr-FR"/>
        </w:rPr>
        <w:t>’</w:t>
      </w:r>
      <w:r w:rsidRPr="007D1229">
        <w:rPr>
          <w:lang w:val="fr-FR"/>
        </w:rPr>
        <w:t xml:space="preserve">avaient pas été mises en œuvre. Par exemple, le nombre </w:t>
      </w:r>
      <w:r>
        <w:rPr>
          <w:lang w:val="fr-FR"/>
        </w:rPr>
        <w:t>de logements municipaux disponibles à la location</w:t>
      </w:r>
      <w:r w:rsidRPr="007D1229">
        <w:rPr>
          <w:lang w:val="fr-FR"/>
        </w:rPr>
        <w:t xml:space="preserve"> n</w:t>
      </w:r>
      <w:r>
        <w:rPr>
          <w:lang w:val="fr-FR"/>
        </w:rPr>
        <w:t>’</w:t>
      </w:r>
      <w:r w:rsidRPr="007D1229">
        <w:rPr>
          <w:lang w:val="fr-FR"/>
        </w:rPr>
        <w:t xml:space="preserve">avait pas augmenté et les travaux pour </w:t>
      </w:r>
      <w:r w:rsidR="0015682F">
        <w:rPr>
          <w:lang w:val="fr-FR"/>
        </w:rPr>
        <w:t xml:space="preserve">en </w:t>
      </w:r>
      <w:r>
        <w:rPr>
          <w:lang w:val="fr-FR"/>
        </w:rPr>
        <w:t>améliorer l’accessibilité</w:t>
      </w:r>
      <w:r w:rsidRPr="007D1229">
        <w:rPr>
          <w:lang w:val="fr-FR"/>
        </w:rPr>
        <w:t xml:space="preserve"> n</w:t>
      </w:r>
      <w:r>
        <w:rPr>
          <w:lang w:val="fr-FR"/>
        </w:rPr>
        <w:t>’</w:t>
      </w:r>
      <w:r w:rsidRPr="007D1229">
        <w:rPr>
          <w:lang w:val="fr-FR"/>
        </w:rPr>
        <w:t>avaient pas été menés à bien. L</w:t>
      </w:r>
      <w:r>
        <w:rPr>
          <w:lang w:val="fr-FR"/>
        </w:rPr>
        <w:t>’</w:t>
      </w:r>
      <w:r w:rsidRPr="007D1229">
        <w:rPr>
          <w:lang w:val="fr-FR"/>
        </w:rPr>
        <w:t xml:space="preserve">objectif principal était de réduire les coûts énergétiques de la livraison de logements et </w:t>
      </w:r>
      <w:r>
        <w:rPr>
          <w:lang w:val="fr-FR"/>
        </w:rPr>
        <w:t>de créer des conditions favorables à</w:t>
      </w:r>
      <w:r w:rsidRPr="007D1229">
        <w:rPr>
          <w:lang w:val="fr-FR"/>
        </w:rPr>
        <w:t xml:space="preserve"> la rénovation d</w:t>
      </w:r>
      <w:r>
        <w:rPr>
          <w:lang w:val="fr-FR"/>
        </w:rPr>
        <w:t xml:space="preserve">es </w:t>
      </w:r>
      <w:r w:rsidRPr="007D1229">
        <w:rPr>
          <w:lang w:val="fr-FR"/>
        </w:rPr>
        <w:t>immeubles d</w:t>
      </w:r>
      <w:r>
        <w:rPr>
          <w:lang w:val="fr-FR"/>
        </w:rPr>
        <w:t>’</w:t>
      </w:r>
      <w:r w:rsidR="003A0C65">
        <w:rPr>
          <w:lang w:val="fr-FR"/>
        </w:rPr>
        <w:t>habitation.</w:t>
      </w:r>
    </w:p>
    <w:p w:rsidR="00BC6837" w:rsidRPr="007D1229" w:rsidRDefault="00BC6837" w:rsidP="00BC6837">
      <w:pPr>
        <w:pStyle w:val="SingleTxtG"/>
      </w:pPr>
      <w:r w:rsidRPr="007D1229">
        <w:rPr>
          <w:lang w:val="fr-FR"/>
        </w:rPr>
        <w:t>82.</w:t>
      </w:r>
      <w:r w:rsidRPr="007D1229">
        <w:rPr>
          <w:lang w:val="fr-FR"/>
        </w:rPr>
        <w:tab/>
        <w:t>Depuis 2017, afin d</w:t>
      </w:r>
      <w:r>
        <w:rPr>
          <w:lang w:val="fr-FR"/>
        </w:rPr>
        <w:t>’</w:t>
      </w:r>
      <w:r w:rsidRPr="007D1229">
        <w:rPr>
          <w:lang w:val="fr-FR"/>
        </w:rPr>
        <w:t xml:space="preserve">accroître le nombre de logements </w:t>
      </w:r>
      <w:r>
        <w:rPr>
          <w:lang w:val="fr-FR"/>
        </w:rPr>
        <w:t>municipaux</w:t>
      </w:r>
      <w:r w:rsidRPr="007D1229">
        <w:rPr>
          <w:lang w:val="fr-FR"/>
        </w:rPr>
        <w:t>, notamment sociaux, l</w:t>
      </w:r>
      <w:r>
        <w:rPr>
          <w:lang w:val="fr-FR"/>
        </w:rPr>
        <w:t>’</w:t>
      </w:r>
      <w:r w:rsidRPr="007D1229">
        <w:rPr>
          <w:lang w:val="fr-FR"/>
        </w:rPr>
        <w:t>État aide les collectivités locales à investir dans le logement et finance la construction de nouveaux immeubles destinés à la location et la rénovation d</w:t>
      </w:r>
      <w:r>
        <w:rPr>
          <w:lang w:val="fr-FR"/>
        </w:rPr>
        <w:t>’</w:t>
      </w:r>
      <w:r w:rsidRPr="007D1229">
        <w:rPr>
          <w:lang w:val="fr-FR"/>
        </w:rPr>
        <w:t>immeubles d</w:t>
      </w:r>
      <w:r>
        <w:rPr>
          <w:lang w:val="fr-FR"/>
        </w:rPr>
        <w:t>’</w:t>
      </w:r>
      <w:r w:rsidRPr="007D1229">
        <w:rPr>
          <w:lang w:val="fr-FR"/>
        </w:rPr>
        <w:t>habitation existants. Cette aide peut représenter jusqu</w:t>
      </w:r>
      <w:r>
        <w:rPr>
          <w:lang w:val="fr-FR"/>
        </w:rPr>
        <w:t>’</w:t>
      </w:r>
      <w:r w:rsidRPr="007D1229">
        <w:rPr>
          <w:lang w:val="fr-FR"/>
        </w:rPr>
        <w:t>à 50</w:t>
      </w:r>
      <w:r w:rsidR="001F17A4">
        <w:rPr>
          <w:lang w:val="fr-FR"/>
        </w:rPr>
        <w:t> </w:t>
      </w:r>
      <w:r w:rsidRPr="007D1229">
        <w:rPr>
          <w:lang w:val="fr-FR"/>
        </w:rPr>
        <w:t>% du montant du projet. L</w:t>
      </w:r>
      <w:r>
        <w:rPr>
          <w:lang w:val="fr-FR"/>
        </w:rPr>
        <w:t>’</w:t>
      </w:r>
      <w:r w:rsidRPr="007D1229">
        <w:rPr>
          <w:lang w:val="fr-FR"/>
        </w:rPr>
        <w:t>État a prévu d</w:t>
      </w:r>
      <w:r>
        <w:rPr>
          <w:lang w:val="fr-FR"/>
        </w:rPr>
        <w:t>’</w:t>
      </w:r>
      <w:r w:rsidR="001F17A4">
        <w:rPr>
          <w:lang w:val="fr-FR"/>
        </w:rPr>
        <w:t>allouer 60 </w:t>
      </w:r>
      <w:r w:rsidRPr="007D1229">
        <w:rPr>
          <w:lang w:val="fr-FR"/>
        </w:rPr>
        <w:t>millions d</w:t>
      </w:r>
      <w:r>
        <w:rPr>
          <w:lang w:val="fr-FR"/>
        </w:rPr>
        <w:t>’</w:t>
      </w:r>
      <w:r w:rsidRPr="007D1229">
        <w:rPr>
          <w:lang w:val="fr-FR"/>
        </w:rPr>
        <w:t>euros à ce dispositif pour la période 2017-2020.</w:t>
      </w:r>
    </w:p>
    <w:p w:rsidR="00BC6837" w:rsidRPr="007D1229" w:rsidRDefault="00BC6837" w:rsidP="00BC6837">
      <w:pPr>
        <w:pStyle w:val="SingleTxtG"/>
      </w:pPr>
      <w:r w:rsidRPr="007D1229">
        <w:rPr>
          <w:lang w:val="fr-FR"/>
        </w:rPr>
        <w:t>83.</w:t>
      </w:r>
      <w:r w:rsidRPr="007D1229">
        <w:rPr>
          <w:lang w:val="fr-FR"/>
        </w:rPr>
        <w:tab/>
        <w:t>Conformément à la loi sur la protection sociale, les administrations locales sont tenues d</w:t>
      </w:r>
      <w:r>
        <w:rPr>
          <w:lang w:val="fr-FR"/>
        </w:rPr>
        <w:t>’</w:t>
      </w:r>
      <w:r w:rsidRPr="007D1229">
        <w:rPr>
          <w:lang w:val="fr-FR"/>
        </w:rPr>
        <w:t>évaluer les besoins d</w:t>
      </w:r>
      <w:r>
        <w:rPr>
          <w:lang w:val="fr-FR"/>
        </w:rPr>
        <w:t>’</w:t>
      </w:r>
      <w:r w:rsidRPr="007D1229">
        <w:rPr>
          <w:lang w:val="fr-FR"/>
        </w:rPr>
        <w:t>assistance d</w:t>
      </w:r>
      <w:r>
        <w:rPr>
          <w:lang w:val="fr-FR"/>
        </w:rPr>
        <w:t>’</w:t>
      </w:r>
      <w:r w:rsidRPr="007D1229">
        <w:rPr>
          <w:lang w:val="fr-FR"/>
        </w:rPr>
        <w:t>une personne dans leur globalité et, le cas échéant, de leur proposer des services sociaux et des aides afin de garantir leur subsistance. Elles ont l</w:t>
      </w:r>
      <w:r>
        <w:rPr>
          <w:lang w:val="fr-FR"/>
        </w:rPr>
        <w:t>’</w:t>
      </w:r>
      <w:r w:rsidRPr="007D1229">
        <w:rPr>
          <w:lang w:val="fr-FR"/>
        </w:rPr>
        <w:t xml:space="preserve">obligation de trouver un logement à </w:t>
      </w:r>
      <w:r>
        <w:rPr>
          <w:lang w:val="fr-FR"/>
        </w:rPr>
        <w:t>quiconque</w:t>
      </w:r>
      <w:r w:rsidRPr="007D1229">
        <w:rPr>
          <w:lang w:val="fr-FR"/>
        </w:rPr>
        <w:t xml:space="preserve"> n</w:t>
      </w:r>
      <w:r>
        <w:rPr>
          <w:lang w:val="fr-FR"/>
        </w:rPr>
        <w:t>’</w:t>
      </w:r>
      <w:r w:rsidRPr="007D1229">
        <w:rPr>
          <w:lang w:val="fr-FR"/>
        </w:rPr>
        <w:t xml:space="preserve">est pas en mesure de se loger en raison de </w:t>
      </w:r>
      <w:r>
        <w:rPr>
          <w:lang w:val="fr-FR"/>
        </w:rPr>
        <w:t>sa situation</w:t>
      </w:r>
      <w:r w:rsidRPr="007D1229">
        <w:rPr>
          <w:lang w:val="fr-FR"/>
        </w:rPr>
        <w:t xml:space="preserve"> socioéconomique. Avec </w:t>
      </w:r>
      <w:r>
        <w:rPr>
          <w:lang w:val="fr-FR"/>
        </w:rPr>
        <w:t>l’</w:t>
      </w:r>
      <w:r w:rsidRPr="007D1229">
        <w:rPr>
          <w:lang w:val="fr-FR"/>
        </w:rPr>
        <w:t>accord</w:t>
      </w:r>
      <w:r>
        <w:rPr>
          <w:lang w:val="fr-FR"/>
        </w:rPr>
        <w:t xml:space="preserve"> de la personne concernée</w:t>
      </w:r>
      <w:r w:rsidRPr="007D1229">
        <w:rPr>
          <w:lang w:val="fr-FR"/>
        </w:rPr>
        <w:t xml:space="preserve">, elles peuvent </w:t>
      </w:r>
      <w:r>
        <w:rPr>
          <w:lang w:val="fr-FR"/>
        </w:rPr>
        <w:t>proposer un placement</w:t>
      </w:r>
      <w:r w:rsidRPr="007D1229">
        <w:rPr>
          <w:lang w:val="fr-FR"/>
        </w:rPr>
        <w:t xml:space="preserve"> en foyer ou en centre d</w:t>
      </w:r>
      <w:r>
        <w:rPr>
          <w:lang w:val="fr-FR"/>
        </w:rPr>
        <w:t>’</w:t>
      </w:r>
      <w:r w:rsidRPr="007D1229">
        <w:rPr>
          <w:lang w:val="fr-FR"/>
        </w:rPr>
        <w:t>accueil dans l</w:t>
      </w:r>
      <w:r>
        <w:rPr>
          <w:lang w:val="fr-FR"/>
        </w:rPr>
        <w:t>’</w:t>
      </w:r>
      <w:r w:rsidRPr="007D1229">
        <w:rPr>
          <w:lang w:val="fr-FR"/>
        </w:rPr>
        <w:t>attente d</w:t>
      </w:r>
      <w:r>
        <w:rPr>
          <w:lang w:val="fr-FR"/>
        </w:rPr>
        <w:t>’</w:t>
      </w:r>
      <w:r w:rsidRPr="007D1229">
        <w:rPr>
          <w:lang w:val="fr-FR"/>
        </w:rPr>
        <w:t xml:space="preserve">une solution de logement plus durable et adaptée. Les foyers </w:t>
      </w:r>
      <w:r>
        <w:rPr>
          <w:lang w:val="fr-FR"/>
        </w:rPr>
        <w:t>sont ouverts aux</w:t>
      </w:r>
      <w:r w:rsidRPr="007D1229">
        <w:rPr>
          <w:lang w:val="fr-FR"/>
        </w:rPr>
        <w:t xml:space="preserve"> adultes dans le besoin qui ne sont pas en mesure de se loger par leurs propres moyens. Ils sont une solution d</w:t>
      </w:r>
      <w:r>
        <w:rPr>
          <w:lang w:val="fr-FR"/>
        </w:rPr>
        <w:t>’</w:t>
      </w:r>
      <w:r w:rsidRPr="007D1229">
        <w:rPr>
          <w:lang w:val="fr-FR"/>
        </w:rPr>
        <w:t>urgence mais aussi à plus long terme. Les centres d</w:t>
      </w:r>
      <w:r>
        <w:rPr>
          <w:lang w:val="fr-FR"/>
        </w:rPr>
        <w:t>’</w:t>
      </w:r>
      <w:r w:rsidRPr="007D1229">
        <w:rPr>
          <w:lang w:val="fr-FR"/>
        </w:rPr>
        <w:t xml:space="preserve">accueil, quant à eux, proposent des logements temporaires, un </w:t>
      </w:r>
      <w:r>
        <w:rPr>
          <w:lang w:val="fr-FR"/>
        </w:rPr>
        <w:t>cadre</w:t>
      </w:r>
      <w:r w:rsidRPr="007D1229">
        <w:rPr>
          <w:lang w:val="fr-FR"/>
        </w:rPr>
        <w:t xml:space="preserve"> sûr et des services d</w:t>
      </w:r>
      <w:r>
        <w:rPr>
          <w:lang w:val="fr-FR"/>
        </w:rPr>
        <w:t>’</w:t>
      </w:r>
      <w:r w:rsidRPr="007D1229">
        <w:rPr>
          <w:lang w:val="fr-FR"/>
        </w:rPr>
        <w:t>aide essentiels (notamment en situation de crise) aux personnes dans le besoin. Ils accueillent principalement des enfants, mais aussi des adultes accompagnants et, dans certains cas, des adultes qui ont besoin de se mettre en sécurité (par exemple des victimes de violence familiale).</w:t>
      </w:r>
    </w:p>
    <w:p w:rsidR="00BC6837" w:rsidRPr="00A058BB" w:rsidRDefault="00BC6837" w:rsidP="00BC6837">
      <w:pPr>
        <w:pStyle w:val="SingleTxtG"/>
        <w:rPr>
          <w:spacing w:val="-1"/>
        </w:rPr>
      </w:pPr>
      <w:r w:rsidRPr="00A058BB">
        <w:rPr>
          <w:spacing w:val="-1"/>
          <w:lang w:val="fr-FR"/>
        </w:rPr>
        <w:lastRenderedPageBreak/>
        <w:t>84.</w:t>
      </w:r>
      <w:r w:rsidRPr="00A058BB">
        <w:rPr>
          <w:spacing w:val="-1"/>
          <w:lang w:val="fr-FR"/>
        </w:rPr>
        <w:tab/>
        <w:t>Toute expulsion se fait selon la procédure prévue par le Code des procédures civiles d’exécution</w:t>
      </w:r>
      <w:r w:rsidRPr="00A058BB">
        <w:rPr>
          <w:rStyle w:val="Appelnotedebasdep"/>
          <w:spacing w:val="-1"/>
        </w:rPr>
        <w:footnoteReference w:id="16"/>
      </w:r>
      <w:r w:rsidRPr="00A058BB">
        <w:rPr>
          <w:spacing w:val="-1"/>
          <w:lang w:val="fr-FR"/>
        </w:rPr>
        <w:t>. Seules les prétentions qui découlent d’un acte exécutoire peuvent donner lieu à une procédure d’exécution. Dans le cadre d’une telle procédure, cet acte exécutoire est soit une décision de justice ayant force exécutoire, soit une déclaration de mise aux enchères forcée, étant entendu que l’acquéreur d’un bien immeuble figure au cadastre en tant que propriétaire dudit bien dès lors qu’il en a la possession. Ainsi, toute expulsion est poursuivie soit dans le cadre d’une procédure d’exécution à l’issue de laquelle l’occupant doit libérer le bien immeuble sans transfert de propriété, soit en vertu d’un acte exécutoire ordonné par la justice après la vente dudit bien par un acte exécutoire distinct. Dans les deux cas, toute expulsion se fait selon l’article</w:t>
      </w:r>
      <w:r w:rsidR="00A058BB">
        <w:rPr>
          <w:spacing w:val="-1"/>
          <w:lang w:val="fr-FR"/>
        </w:rPr>
        <w:t> </w:t>
      </w:r>
      <w:r w:rsidRPr="00A058BB">
        <w:rPr>
          <w:spacing w:val="-1"/>
          <w:lang w:val="fr-FR"/>
        </w:rPr>
        <w:t>180 du Code des procédures civiles d’exécution.</w:t>
      </w:r>
    </w:p>
    <w:p w:rsidR="00BC6837" w:rsidRPr="007D1229" w:rsidRDefault="00BC6837" w:rsidP="00BC6837">
      <w:pPr>
        <w:pStyle w:val="SingleTxtG"/>
      </w:pPr>
      <w:r w:rsidRPr="007D1229">
        <w:rPr>
          <w:lang w:val="fr-FR"/>
        </w:rPr>
        <w:t>85.</w:t>
      </w:r>
      <w:r w:rsidRPr="007D1229">
        <w:rPr>
          <w:lang w:val="fr-FR"/>
        </w:rPr>
        <w:tab/>
        <w:t>S</w:t>
      </w:r>
      <w:r>
        <w:rPr>
          <w:lang w:val="fr-FR"/>
        </w:rPr>
        <w:t>i</w:t>
      </w:r>
      <w:r w:rsidRPr="007D1229">
        <w:rPr>
          <w:lang w:val="fr-FR"/>
        </w:rPr>
        <w:t xml:space="preserve"> </w:t>
      </w:r>
      <w:r>
        <w:rPr>
          <w:lang w:val="fr-FR"/>
        </w:rPr>
        <w:t>l’occupant du</w:t>
      </w:r>
      <w:r w:rsidRPr="007D1229">
        <w:rPr>
          <w:lang w:val="fr-FR"/>
        </w:rPr>
        <w:t xml:space="preserve"> bien immeuble ne peut justifier d</w:t>
      </w:r>
      <w:r>
        <w:rPr>
          <w:lang w:val="fr-FR"/>
        </w:rPr>
        <w:t>’</w:t>
      </w:r>
      <w:r w:rsidRPr="007D1229">
        <w:rPr>
          <w:lang w:val="fr-FR"/>
        </w:rPr>
        <w:t>un titre à l</w:t>
      </w:r>
      <w:r>
        <w:rPr>
          <w:lang w:val="fr-FR"/>
        </w:rPr>
        <w:t>’</w:t>
      </w:r>
      <w:r w:rsidRPr="007D1229">
        <w:rPr>
          <w:lang w:val="fr-FR"/>
        </w:rPr>
        <w:t>origine de l</w:t>
      </w:r>
      <w:r>
        <w:rPr>
          <w:lang w:val="fr-FR"/>
        </w:rPr>
        <w:t>’</w:t>
      </w:r>
      <w:r w:rsidRPr="007D1229">
        <w:rPr>
          <w:lang w:val="fr-FR"/>
        </w:rPr>
        <w:t>occupation, l</w:t>
      </w:r>
      <w:r>
        <w:rPr>
          <w:lang w:val="fr-FR"/>
        </w:rPr>
        <w:t>’</w:t>
      </w:r>
      <w:r w:rsidRPr="007D1229">
        <w:rPr>
          <w:lang w:val="fr-FR"/>
        </w:rPr>
        <w:t>huissier de justice peut lui accorder un délai allant jusqu</w:t>
      </w:r>
      <w:r>
        <w:rPr>
          <w:lang w:val="fr-FR"/>
        </w:rPr>
        <w:t>’</w:t>
      </w:r>
      <w:r w:rsidRPr="007D1229">
        <w:rPr>
          <w:lang w:val="fr-FR"/>
        </w:rPr>
        <w:t>à trois mois, au terme duquel la décision d</w:t>
      </w:r>
      <w:r>
        <w:rPr>
          <w:lang w:val="fr-FR"/>
        </w:rPr>
        <w:t>’</w:t>
      </w:r>
      <w:r w:rsidRPr="007D1229">
        <w:rPr>
          <w:lang w:val="fr-FR"/>
        </w:rPr>
        <w:t>expulsion sera exécutée volontairement. Avant de fixer la date de l</w:t>
      </w:r>
      <w:r>
        <w:rPr>
          <w:lang w:val="fr-FR"/>
        </w:rPr>
        <w:t>’</w:t>
      </w:r>
      <w:r w:rsidRPr="007D1229">
        <w:rPr>
          <w:lang w:val="fr-FR"/>
        </w:rPr>
        <w:t xml:space="preserve">exécution volontaire, il convient, </w:t>
      </w:r>
      <w:r>
        <w:rPr>
          <w:lang w:val="fr-FR"/>
        </w:rPr>
        <w:t>entre autres</w:t>
      </w:r>
      <w:r w:rsidRPr="007D1229">
        <w:rPr>
          <w:lang w:val="fr-FR"/>
        </w:rPr>
        <w:t xml:space="preserve">, de déterminer </w:t>
      </w:r>
      <w:r>
        <w:rPr>
          <w:lang w:val="fr-FR"/>
        </w:rPr>
        <w:t>s’il s’agit du domicile de la personne concernée</w:t>
      </w:r>
      <w:r w:rsidRPr="007D1229">
        <w:rPr>
          <w:lang w:val="fr-FR"/>
        </w:rPr>
        <w:t xml:space="preserve"> et si elle a une autre solution de logement, et de tenir compte de la surface du bien immeuble et même des conditions météorologiques</w:t>
      </w:r>
      <w:r>
        <w:rPr>
          <w:lang w:val="fr-FR"/>
        </w:rPr>
        <w:t xml:space="preserve"> à la date de l’expulsion</w:t>
      </w:r>
      <w:r w:rsidRPr="007D1229">
        <w:rPr>
          <w:lang w:val="fr-FR"/>
        </w:rPr>
        <w:t>. La personne expulsée peut demander la suspension ou le report de la procédure d</w:t>
      </w:r>
      <w:r>
        <w:rPr>
          <w:lang w:val="fr-FR"/>
        </w:rPr>
        <w:t>’</w:t>
      </w:r>
      <w:r w:rsidRPr="007D1229">
        <w:rPr>
          <w:lang w:val="fr-FR"/>
        </w:rPr>
        <w:t xml:space="preserve">exécution si elle estime que celle-ci est injuste. Il </w:t>
      </w:r>
      <w:r>
        <w:rPr>
          <w:lang w:val="fr-FR"/>
        </w:rPr>
        <w:t>importe</w:t>
      </w:r>
      <w:r w:rsidRPr="007D1229">
        <w:rPr>
          <w:lang w:val="fr-FR"/>
        </w:rPr>
        <w:t xml:space="preserve"> de tenir compte de l</w:t>
      </w:r>
      <w:r>
        <w:rPr>
          <w:lang w:val="fr-FR"/>
        </w:rPr>
        <w:t>’</w:t>
      </w:r>
      <w:r w:rsidRPr="007D1229">
        <w:rPr>
          <w:lang w:val="fr-FR"/>
        </w:rPr>
        <w:t>intérêt du demandeur et d</w:t>
      </w:r>
      <w:r>
        <w:rPr>
          <w:lang w:val="fr-FR"/>
        </w:rPr>
        <w:t>’</w:t>
      </w:r>
      <w:r w:rsidRPr="007D1229">
        <w:rPr>
          <w:lang w:val="fr-FR"/>
        </w:rPr>
        <w:t>autres circonstances, notamment la situation familiale et économique de la personne expulsée.</w:t>
      </w:r>
    </w:p>
    <w:p w:rsidR="00BC6837" w:rsidRPr="007D1229" w:rsidRDefault="00BC6837" w:rsidP="00A058BB">
      <w:pPr>
        <w:pStyle w:val="H23G"/>
      </w:pPr>
      <w:r w:rsidRPr="007D1229">
        <w:rPr>
          <w:lang w:val="fr-FR"/>
        </w:rPr>
        <w:tab/>
      </w:r>
      <w:r w:rsidRPr="007D1229">
        <w:rPr>
          <w:lang w:val="fr-FR"/>
        </w:rPr>
        <w:tab/>
      </w:r>
      <w:r>
        <w:rPr>
          <w:lang w:val="fr-FR"/>
        </w:rPr>
        <w:t>Approvisionnement public en eau potable</w:t>
      </w:r>
    </w:p>
    <w:p w:rsidR="00BC6837" w:rsidRPr="007D1229" w:rsidRDefault="00BC6837" w:rsidP="00BC6837">
      <w:pPr>
        <w:pStyle w:val="SingleTxtG"/>
      </w:pPr>
      <w:r w:rsidRPr="007D1229">
        <w:rPr>
          <w:lang w:val="fr-FR"/>
        </w:rPr>
        <w:t>86.</w:t>
      </w:r>
      <w:r w:rsidRPr="007D1229">
        <w:rPr>
          <w:lang w:val="fr-FR"/>
        </w:rPr>
        <w:tab/>
        <w:t>L</w:t>
      </w:r>
      <w:r>
        <w:rPr>
          <w:lang w:val="fr-FR"/>
        </w:rPr>
        <w:t>’</w:t>
      </w:r>
      <w:r w:rsidRPr="007D1229">
        <w:rPr>
          <w:lang w:val="fr-FR"/>
        </w:rPr>
        <w:t xml:space="preserve">Estonie </w:t>
      </w:r>
      <w:r>
        <w:rPr>
          <w:lang w:val="fr-FR"/>
        </w:rPr>
        <w:t>prend</w:t>
      </w:r>
      <w:r w:rsidRPr="007D1229">
        <w:rPr>
          <w:lang w:val="fr-FR"/>
        </w:rPr>
        <w:t xml:space="preserve"> </w:t>
      </w:r>
      <w:r>
        <w:rPr>
          <w:lang w:val="fr-FR"/>
        </w:rPr>
        <w:t>constamment</w:t>
      </w:r>
      <w:r w:rsidRPr="007D1229">
        <w:rPr>
          <w:lang w:val="fr-FR"/>
        </w:rPr>
        <w:t xml:space="preserve"> des mesures </w:t>
      </w:r>
      <w:r>
        <w:rPr>
          <w:lang w:val="fr-FR"/>
        </w:rPr>
        <w:t>pour</w:t>
      </w:r>
      <w:r w:rsidRPr="007D1229">
        <w:rPr>
          <w:lang w:val="fr-FR"/>
        </w:rPr>
        <w:t xml:space="preserve"> garantir une eau potable de qualité à tous ses habitants. Elle </w:t>
      </w:r>
      <w:r>
        <w:rPr>
          <w:lang w:val="fr-FR"/>
        </w:rPr>
        <w:t xml:space="preserve">procède à des investissements grâce aux fonds qu’elle reçoit </w:t>
      </w:r>
      <w:r w:rsidRPr="007D1229">
        <w:rPr>
          <w:lang w:val="fr-FR"/>
        </w:rPr>
        <w:t xml:space="preserve">notamment </w:t>
      </w:r>
      <w:r>
        <w:rPr>
          <w:lang w:val="fr-FR"/>
        </w:rPr>
        <w:t>du</w:t>
      </w:r>
      <w:r w:rsidRPr="007D1229">
        <w:rPr>
          <w:lang w:val="fr-FR"/>
        </w:rPr>
        <w:t xml:space="preserve"> Programme </w:t>
      </w:r>
      <w:r>
        <w:rPr>
          <w:lang w:val="fr-FR"/>
        </w:rPr>
        <w:t xml:space="preserve">national </w:t>
      </w:r>
      <w:r w:rsidRPr="007D1229">
        <w:rPr>
          <w:lang w:val="fr-FR"/>
        </w:rPr>
        <w:t>pour l</w:t>
      </w:r>
      <w:r>
        <w:rPr>
          <w:lang w:val="fr-FR"/>
        </w:rPr>
        <w:t>’</w:t>
      </w:r>
      <w:r w:rsidRPr="007D1229">
        <w:rPr>
          <w:lang w:val="fr-FR"/>
        </w:rPr>
        <w:t>environnement</w:t>
      </w:r>
      <w:r w:rsidRPr="001E2F6E">
        <w:rPr>
          <w:lang w:val="fr-FR"/>
        </w:rPr>
        <w:t xml:space="preserve"> </w:t>
      </w:r>
      <w:r>
        <w:rPr>
          <w:lang w:val="fr-FR"/>
        </w:rPr>
        <w:t>du</w:t>
      </w:r>
      <w:r w:rsidRPr="007D1229">
        <w:rPr>
          <w:lang w:val="fr-FR"/>
        </w:rPr>
        <w:t xml:space="preserve"> Centre d</w:t>
      </w:r>
      <w:r>
        <w:rPr>
          <w:lang w:val="fr-FR"/>
        </w:rPr>
        <w:t>’</w:t>
      </w:r>
      <w:r w:rsidRPr="007D1229">
        <w:rPr>
          <w:lang w:val="fr-FR"/>
        </w:rPr>
        <w:t>investissement pour l</w:t>
      </w:r>
      <w:r>
        <w:rPr>
          <w:lang w:val="fr-FR"/>
        </w:rPr>
        <w:t>’</w:t>
      </w:r>
      <w:r w:rsidRPr="007D1229">
        <w:rPr>
          <w:lang w:val="fr-FR"/>
        </w:rPr>
        <w:t xml:space="preserve">environnement </w:t>
      </w:r>
      <w:r w:rsidRPr="001E2F6E">
        <w:rPr>
          <w:lang w:val="fr-FR"/>
        </w:rPr>
        <w:t>financé par l</w:t>
      </w:r>
      <w:r>
        <w:rPr>
          <w:lang w:val="fr-FR"/>
        </w:rPr>
        <w:t>’</w:t>
      </w:r>
      <w:r w:rsidRPr="001E2F6E">
        <w:rPr>
          <w:lang w:val="fr-FR"/>
        </w:rPr>
        <w:t>État</w:t>
      </w:r>
      <w:r w:rsidRPr="007D1229">
        <w:rPr>
          <w:lang w:val="fr-FR"/>
        </w:rPr>
        <w:t>, de l</w:t>
      </w:r>
      <w:r>
        <w:rPr>
          <w:lang w:val="fr-FR"/>
        </w:rPr>
        <w:t>’</w:t>
      </w:r>
      <w:r w:rsidRPr="007D1229">
        <w:rPr>
          <w:lang w:val="fr-FR"/>
        </w:rPr>
        <w:t xml:space="preserve">Union européenne, ainsi que de communes et </w:t>
      </w:r>
      <w:r>
        <w:rPr>
          <w:lang w:val="fr-FR"/>
        </w:rPr>
        <w:t>des</w:t>
      </w:r>
      <w:r w:rsidRPr="007D1229">
        <w:rPr>
          <w:lang w:val="fr-FR"/>
        </w:rPr>
        <w:t xml:space="preserve"> services </w:t>
      </w:r>
      <w:r>
        <w:rPr>
          <w:lang w:val="fr-FR"/>
        </w:rPr>
        <w:t>de distribution</w:t>
      </w:r>
      <w:r w:rsidRPr="007D1229">
        <w:rPr>
          <w:lang w:val="fr-FR"/>
        </w:rPr>
        <w:t xml:space="preserve"> </w:t>
      </w:r>
      <w:r>
        <w:rPr>
          <w:lang w:val="fr-FR"/>
        </w:rPr>
        <w:t>d’</w:t>
      </w:r>
      <w:r w:rsidRPr="007D1229">
        <w:rPr>
          <w:lang w:val="fr-FR"/>
        </w:rPr>
        <w:t>eau</w:t>
      </w:r>
      <w:r w:rsidR="00A058BB">
        <w:rPr>
          <w:lang w:val="fr-FR"/>
        </w:rPr>
        <w:t>.</w:t>
      </w:r>
    </w:p>
    <w:p w:rsidR="00BC6837" w:rsidRPr="007D1229" w:rsidRDefault="00BC6837" w:rsidP="00BC6837">
      <w:pPr>
        <w:pStyle w:val="SingleTxtG"/>
      </w:pPr>
      <w:r w:rsidRPr="007D1229">
        <w:rPr>
          <w:lang w:val="fr-FR"/>
        </w:rPr>
        <w:t>87.</w:t>
      </w:r>
      <w:r w:rsidRPr="007D1229">
        <w:rPr>
          <w:lang w:val="fr-FR"/>
        </w:rPr>
        <w:tab/>
        <w:t>Afin de garantir la qualité de l</w:t>
      </w:r>
      <w:r>
        <w:rPr>
          <w:lang w:val="fr-FR"/>
        </w:rPr>
        <w:t>’</w:t>
      </w:r>
      <w:r w:rsidRPr="007D1229">
        <w:rPr>
          <w:lang w:val="fr-FR"/>
        </w:rPr>
        <w:t>eau potable, l</w:t>
      </w:r>
      <w:r>
        <w:rPr>
          <w:lang w:val="fr-FR"/>
        </w:rPr>
        <w:t>’</w:t>
      </w:r>
      <w:r w:rsidRPr="007D1229">
        <w:rPr>
          <w:lang w:val="fr-FR"/>
        </w:rPr>
        <w:t>État a construit de nouvelles infrastructures</w:t>
      </w:r>
      <w:r>
        <w:rPr>
          <w:lang w:val="fr-FR"/>
        </w:rPr>
        <w:t>,</w:t>
      </w:r>
      <w:r w:rsidRPr="007D1229">
        <w:rPr>
          <w:lang w:val="fr-FR"/>
        </w:rPr>
        <w:t xml:space="preserve"> agrandi celles déjà en service, bâti des stations </w:t>
      </w:r>
      <w:r>
        <w:rPr>
          <w:lang w:val="fr-FR"/>
        </w:rPr>
        <w:t xml:space="preserve">modernes </w:t>
      </w:r>
      <w:r w:rsidRPr="007D1229">
        <w:rPr>
          <w:lang w:val="fr-FR"/>
        </w:rPr>
        <w:t>de traitement des eaux capables de débarrasser l</w:t>
      </w:r>
      <w:r>
        <w:rPr>
          <w:lang w:val="fr-FR"/>
        </w:rPr>
        <w:t>’</w:t>
      </w:r>
      <w:r w:rsidRPr="007D1229">
        <w:rPr>
          <w:lang w:val="fr-FR"/>
        </w:rPr>
        <w:t xml:space="preserve">eau de toute </w:t>
      </w:r>
      <w:r>
        <w:rPr>
          <w:lang w:val="fr-FR"/>
        </w:rPr>
        <w:t>trace</w:t>
      </w:r>
      <w:r w:rsidRPr="007D1229">
        <w:rPr>
          <w:lang w:val="fr-FR"/>
        </w:rPr>
        <w:t xml:space="preserve"> de fluorure, de fer et de manganèse, et amélioré la qualité organoleptique de l</w:t>
      </w:r>
      <w:r>
        <w:rPr>
          <w:lang w:val="fr-FR"/>
        </w:rPr>
        <w:t>’</w:t>
      </w:r>
      <w:r w:rsidRPr="007D1229">
        <w:rPr>
          <w:lang w:val="fr-FR"/>
        </w:rPr>
        <w:t xml:space="preserve">eau, principalement grâce </w:t>
      </w:r>
      <w:r>
        <w:rPr>
          <w:lang w:val="fr-FR"/>
        </w:rPr>
        <w:t>à des fonds</w:t>
      </w:r>
      <w:r w:rsidRPr="007D1229">
        <w:rPr>
          <w:lang w:val="fr-FR"/>
        </w:rPr>
        <w:t xml:space="preserve"> de l</w:t>
      </w:r>
      <w:r>
        <w:rPr>
          <w:lang w:val="fr-FR"/>
        </w:rPr>
        <w:t>’</w:t>
      </w:r>
      <w:r w:rsidRPr="007D1229">
        <w:rPr>
          <w:lang w:val="fr-FR"/>
        </w:rPr>
        <w:t>Union européenne et du Programme pour l</w:t>
      </w:r>
      <w:r>
        <w:rPr>
          <w:lang w:val="fr-FR"/>
        </w:rPr>
        <w:t>’</w:t>
      </w:r>
      <w:r w:rsidRPr="007D1229">
        <w:rPr>
          <w:lang w:val="fr-FR"/>
        </w:rPr>
        <w:t>environnement. Grâce à l</w:t>
      </w:r>
      <w:r>
        <w:rPr>
          <w:lang w:val="fr-FR"/>
        </w:rPr>
        <w:t>’</w:t>
      </w:r>
      <w:r w:rsidRPr="007D1229">
        <w:rPr>
          <w:lang w:val="fr-FR"/>
        </w:rPr>
        <w:t>installation et la mise en service de systèmes d</w:t>
      </w:r>
      <w:r>
        <w:rPr>
          <w:lang w:val="fr-FR"/>
        </w:rPr>
        <w:t>’</w:t>
      </w:r>
      <w:r w:rsidRPr="007D1229">
        <w:rPr>
          <w:lang w:val="fr-FR"/>
        </w:rPr>
        <w:t xml:space="preserve">osmose inverse, la qualité </w:t>
      </w:r>
      <w:r>
        <w:rPr>
          <w:lang w:val="fr-FR"/>
        </w:rPr>
        <w:t>d</w:t>
      </w:r>
      <w:r w:rsidRPr="007D1229">
        <w:rPr>
          <w:lang w:val="fr-FR"/>
        </w:rPr>
        <w:t xml:space="preserve">es eaux naturelles </w:t>
      </w:r>
      <w:r>
        <w:rPr>
          <w:lang w:val="fr-FR"/>
        </w:rPr>
        <w:t xml:space="preserve">contenant </w:t>
      </w:r>
      <w:r w:rsidRPr="007D1229">
        <w:rPr>
          <w:lang w:val="fr-FR"/>
        </w:rPr>
        <w:t>du fluor</w:t>
      </w:r>
      <w:r>
        <w:rPr>
          <w:lang w:val="fr-FR"/>
        </w:rPr>
        <w:t>ure</w:t>
      </w:r>
      <w:r w:rsidRPr="007D1229">
        <w:rPr>
          <w:lang w:val="fr-FR"/>
        </w:rPr>
        <w:t xml:space="preserve"> et du bore en quantité excessive s</w:t>
      </w:r>
      <w:r>
        <w:rPr>
          <w:lang w:val="fr-FR"/>
        </w:rPr>
        <w:t>’</w:t>
      </w:r>
      <w:r w:rsidRPr="007D1229">
        <w:rPr>
          <w:lang w:val="fr-FR"/>
        </w:rPr>
        <w:t xml:space="preserve">est améliorée. </w:t>
      </w:r>
      <w:r>
        <w:rPr>
          <w:lang w:val="fr-FR"/>
        </w:rPr>
        <w:t>Il incombe à l</w:t>
      </w:r>
      <w:r w:rsidRPr="007D1229">
        <w:rPr>
          <w:lang w:val="fr-FR"/>
        </w:rPr>
        <w:t>a compagnie de distribution d</w:t>
      </w:r>
      <w:r>
        <w:rPr>
          <w:lang w:val="fr-FR"/>
        </w:rPr>
        <w:t>’</w:t>
      </w:r>
      <w:r w:rsidRPr="007D1229">
        <w:rPr>
          <w:lang w:val="fr-FR"/>
        </w:rPr>
        <w:t xml:space="preserve">eau </w:t>
      </w:r>
      <w:r>
        <w:rPr>
          <w:lang w:val="fr-FR"/>
        </w:rPr>
        <w:t>de</w:t>
      </w:r>
      <w:r w:rsidRPr="007D1229">
        <w:rPr>
          <w:lang w:val="fr-FR"/>
        </w:rPr>
        <w:t xml:space="preserve"> s</w:t>
      </w:r>
      <w:r>
        <w:rPr>
          <w:lang w:val="fr-FR"/>
        </w:rPr>
        <w:t>’</w:t>
      </w:r>
      <w:r w:rsidRPr="007D1229">
        <w:rPr>
          <w:lang w:val="fr-FR"/>
        </w:rPr>
        <w:t>assurer de la qualité de l</w:t>
      </w:r>
      <w:r>
        <w:rPr>
          <w:lang w:val="fr-FR"/>
        </w:rPr>
        <w:t>’</w:t>
      </w:r>
      <w:r w:rsidRPr="007D1229">
        <w:rPr>
          <w:lang w:val="fr-FR"/>
        </w:rPr>
        <w:t>eau potable, en coordination avec le Conseil de la santé</w:t>
      </w:r>
      <w:r>
        <w:rPr>
          <w:lang w:val="fr-FR"/>
        </w:rPr>
        <w:t xml:space="preserve"> qui est</w:t>
      </w:r>
      <w:r w:rsidRPr="007D1229">
        <w:rPr>
          <w:lang w:val="fr-FR"/>
        </w:rPr>
        <w:t xml:space="preserve"> chargé d</w:t>
      </w:r>
      <w:r>
        <w:rPr>
          <w:lang w:val="fr-FR"/>
        </w:rPr>
        <w:t>’</w:t>
      </w:r>
      <w:r w:rsidR="00A058BB">
        <w:rPr>
          <w:lang w:val="fr-FR"/>
        </w:rPr>
        <w:t>effectuer des contrôles.</w:t>
      </w:r>
    </w:p>
    <w:p w:rsidR="00BC6837" w:rsidRPr="007D1229" w:rsidRDefault="00BC6837" w:rsidP="00BC6837">
      <w:pPr>
        <w:pStyle w:val="SingleTxtG"/>
      </w:pPr>
      <w:r w:rsidRPr="007D1229">
        <w:rPr>
          <w:lang w:val="fr-FR"/>
        </w:rPr>
        <w:t>88.</w:t>
      </w:r>
      <w:r w:rsidRPr="007D1229">
        <w:rPr>
          <w:lang w:val="fr-FR"/>
        </w:rPr>
        <w:tab/>
        <w:t>En 2016, 88</w:t>
      </w:r>
      <w:r w:rsidR="00A058BB">
        <w:rPr>
          <w:lang w:val="fr-FR"/>
        </w:rPr>
        <w:t> </w:t>
      </w:r>
      <w:r w:rsidRPr="007D1229">
        <w:rPr>
          <w:lang w:val="fr-FR"/>
        </w:rPr>
        <w:t>% à 89</w:t>
      </w:r>
      <w:r w:rsidR="00A058BB">
        <w:rPr>
          <w:lang w:val="fr-FR"/>
        </w:rPr>
        <w:t> </w:t>
      </w:r>
      <w:r w:rsidRPr="007D1229">
        <w:rPr>
          <w:lang w:val="fr-FR"/>
        </w:rPr>
        <w:t xml:space="preserve">% de la population estonienne était raccordée au réseau public </w:t>
      </w:r>
      <w:r>
        <w:rPr>
          <w:lang w:val="fr-FR"/>
        </w:rPr>
        <w:t xml:space="preserve">d’approvisionnement en </w:t>
      </w:r>
      <w:r w:rsidRPr="007D1229">
        <w:rPr>
          <w:lang w:val="fr-FR"/>
        </w:rPr>
        <w:t>eau, qui garantit et contrôle la qualité de l</w:t>
      </w:r>
      <w:r>
        <w:rPr>
          <w:lang w:val="fr-FR"/>
        </w:rPr>
        <w:t>’</w:t>
      </w:r>
      <w:r w:rsidRPr="007D1229">
        <w:rPr>
          <w:lang w:val="fr-FR"/>
        </w:rPr>
        <w:t xml:space="preserve">eau. La même année, </w:t>
      </w:r>
      <w:r>
        <w:rPr>
          <w:lang w:val="fr-FR"/>
        </w:rPr>
        <w:t>l</w:t>
      </w:r>
      <w:r w:rsidRPr="00011BE3">
        <w:rPr>
          <w:lang w:val="fr-FR"/>
        </w:rPr>
        <w:t>e taux de conformité aux exigences en matière de qualité de l</w:t>
      </w:r>
      <w:r>
        <w:rPr>
          <w:lang w:val="fr-FR"/>
        </w:rPr>
        <w:t>’</w:t>
      </w:r>
      <w:r w:rsidRPr="00011BE3">
        <w:rPr>
          <w:lang w:val="fr-FR"/>
        </w:rPr>
        <w:t>eau</w:t>
      </w:r>
      <w:r>
        <w:rPr>
          <w:lang w:val="fr-FR"/>
        </w:rPr>
        <w:t xml:space="preserve"> </w:t>
      </w:r>
      <w:r w:rsidRPr="007D1229">
        <w:rPr>
          <w:lang w:val="fr-FR"/>
        </w:rPr>
        <w:t xml:space="preserve">à </w:t>
      </w:r>
      <w:r>
        <w:rPr>
          <w:lang w:val="fr-FR"/>
        </w:rPr>
        <w:t>dans le</w:t>
      </w:r>
      <w:r w:rsidRPr="007D1229">
        <w:rPr>
          <w:lang w:val="fr-FR"/>
        </w:rPr>
        <w:t xml:space="preserve"> réseau public était </w:t>
      </w:r>
      <w:r>
        <w:rPr>
          <w:lang w:val="fr-FR"/>
        </w:rPr>
        <w:t>de</w:t>
      </w:r>
      <w:r w:rsidRPr="007D1229">
        <w:rPr>
          <w:lang w:val="fr-FR"/>
        </w:rPr>
        <w:t xml:space="preserve"> 98</w:t>
      </w:r>
      <w:r w:rsidR="00A058BB">
        <w:rPr>
          <w:lang w:val="fr-FR"/>
        </w:rPr>
        <w:t> </w:t>
      </w:r>
      <w:r w:rsidRPr="007D1229">
        <w:rPr>
          <w:lang w:val="fr-FR"/>
        </w:rPr>
        <w:t>% et 11</w:t>
      </w:r>
      <w:r w:rsidR="00A058BB">
        <w:rPr>
          <w:lang w:val="fr-FR"/>
        </w:rPr>
        <w:t> </w:t>
      </w:r>
      <w:r w:rsidRPr="007D1229">
        <w:rPr>
          <w:lang w:val="fr-FR"/>
        </w:rPr>
        <w:t xml:space="preserve">% de la population </w:t>
      </w:r>
      <w:r>
        <w:rPr>
          <w:lang w:val="fr-FR"/>
        </w:rPr>
        <w:t xml:space="preserve">s’alimentait en eau grâce à </w:t>
      </w:r>
      <w:r w:rsidRPr="007D1229">
        <w:rPr>
          <w:lang w:val="fr-FR"/>
        </w:rPr>
        <w:t>un puits</w:t>
      </w:r>
      <w:r>
        <w:rPr>
          <w:lang w:val="fr-FR"/>
        </w:rPr>
        <w:t xml:space="preserve"> privé</w:t>
      </w:r>
      <w:r w:rsidRPr="007D1229">
        <w:rPr>
          <w:lang w:val="fr-FR"/>
        </w:rPr>
        <w:t>. La construction et l</w:t>
      </w:r>
      <w:r>
        <w:rPr>
          <w:lang w:val="fr-FR"/>
        </w:rPr>
        <w:t>’</w:t>
      </w:r>
      <w:r w:rsidRPr="007D1229">
        <w:rPr>
          <w:lang w:val="fr-FR"/>
        </w:rPr>
        <w:t>entretien des puits sont régis par des dispositions législatives. Depuis 2007, l</w:t>
      </w:r>
      <w:r>
        <w:rPr>
          <w:lang w:val="fr-FR"/>
        </w:rPr>
        <w:t>’</w:t>
      </w:r>
      <w:r w:rsidR="00A058BB">
        <w:rPr>
          <w:lang w:val="fr-FR"/>
        </w:rPr>
        <w:t>Estonie a consacré plus de 39 </w:t>
      </w:r>
      <w:r w:rsidRPr="007D1229">
        <w:rPr>
          <w:lang w:val="fr-FR"/>
        </w:rPr>
        <w:t>millions d</w:t>
      </w:r>
      <w:r>
        <w:rPr>
          <w:lang w:val="fr-FR"/>
        </w:rPr>
        <w:t>’</w:t>
      </w:r>
      <w:r w:rsidRPr="007D1229">
        <w:rPr>
          <w:lang w:val="fr-FR"/>
        </w:rPr>
        <w:t>euros à la modernisation des réseaux d</w:t>
      </w:r>
      <w:r>
        <w:rPr>
          <w:lang w:val="fr-FR"/>
        </w:rPr>
        <w:t>’</w:t>
      </w:r>
      <w:r w:rsidRPr="007D1229">
        <w:rPr>
          <w:lang w:val="fr-FR"/>
        </w:rPr>
        <w:t>eau et d</w:t>
      </w:r>
      <w:r>
        <w:rPr>
          <w:lang w:val="fr-FR"/>
        </w:rPr>
        <w:t>’</w:t>
      </w:r>
      <w:r w:rsidRPr="007D1229">
        <w:rPr>
          <w:lang w:val="fr-FR"/>
        </w:rPr>
        <w:t>assainissement privés dans les zones rurales. Ces investissements ont permis d</w:t>
      </w:r>
      <w:r>
        <w:rPr>
          <w:lang w:val="fr-FR"/>
        </w:rPr>
        <w:t>’</w:t>
      </w:r>
      <w:r w:rsidRPr="007D1229">
        <w:rPr>
          <w:lang w:val="fr-FR"/>
        </w:rPr>
        <w:t>améliorer la qualité de vie d</w:t>
      </w:r>
      <w:r>
        <w:rPr>
          <w:lang w:val="fr-FR"/>
        </w:rPr>
        <w:t>’</w:t>
      </w:r>
      <w:r w:rsidR="00A058BB">
        <w:rPr>
          <w:lang w:val="fr-FR"/>
        </w:rPr>
        <w:t>environ 20 000 </w:t>
      </w:r>
      <w:r w:rsidRPr="007D1229">
        <w:rPr>
          <w:lang w:val="fr-FR"/>
        </w:rPr>
        <w:t>personnes. Le Ministère de l</w:t>
      </w:r>
      <w:r>
        <w:rPr>
          <w:lang w:val="fr-FR"/>
        </w:rPr>
        <w:t>’</w:t>
      </w:r>
      <w:r w:rsidRPr="007D1229">
        <w:rPr>
          <w:lang w:val="fr-FR"/>
        </w:rPr>
        <w:t xml:space="preserve">environnement a </w:t>
      </w:r>
      <w:r>
        <w:rPr>
          <w:lang w:val="fr-FR"/>
        </w:rPr>
        <w:t>entrepris</w:t>
      </w:r>
      <w:r w:rsidRPr="007D1229">
        <w:rPr>
          <w:lang w:val="fr-FR"/>
        </w:rPr>
        <w:t xml:space="preserve"> d</w:t>
      </w:r>
      <w:r>
        <w:rPr>
          <w:lang w:val="fr-FR"/>
        </w:rPr>
        <w:t>’</w:t>
      </w:r>
      <w:r w:rsidRPr="007D1229">
        <w:rPr>
          <w:lang w:val="fr-FR"/>
        </w:rPr>
        <w:t>évaluer la qualité de l</w:t>
      </w:r>
      <w:r>
        <w:rPr>
          <w:lang w:val="fr-FR"/>
        </w:rPr>
        <w:t>’</w:t>
      </w:r>
      <w:r w:rsidRPr="007D1229">
        <w:rPr>
          <w:lang w:val="fr-FR"/>
        </w:rPr>
        <w:t xml:space="preserve">eau potable tirée des puits et le </w:t>
      </w:r>
      <w:r>
        <w:rPr>
          <w:lang w:val="fr-FR"/>
        </w:rPr>
        <w:t>fonctionnement</w:t>
      </w:r>
      <w:r w:rsidRPr="007D1229">
        <w:rPr>
          <w:lang w:val="fr-FR"/>
        </w:rPr>
        <w:t xml:space="preserve"> de ces systèmes individuels. </w:t>
      </w:r>
      <w:r>
        <w:rPr>
          <w:lang w:val="fr-FR"/>
        </w:rPr>
        <w:t>Ce projet, qui</w:t>
      </w:r>
      <w:r w:rsidRPr="007D1229">
        <w:rPr>
          <w:lang w:val="fr-FR"/>
        </w:rPr>
        <w:t xml:space="preserve"> porte sur l</w:t>
      </w:r>
      <w:r>
        <w:rPr>
          <w:lang w:val="fr-FR"/>
        </w:rPr>
        <w:t>’</w:t>
      </w:r>
      <w:r w:rsidRPr="007D1229">
        <w:rPr>
          <w:lang w:val="fr-FR"/>
        </w:rPr>
        <w:t>ensemble du pays qui compte près</w:t>
      </w:r>
      <w:r w:rsidR="00A058BB">
        <w:rPr>
          <w:lang w:val="fr-FR"/>
        </w:rPr>
        <w:t xml:space="preserve"> de 1 000 </w:t>
      </w:r>
      <w:r>
        <w:rPr>
          <w:lang w:val="fr-FR"/>
        </w:rPr>
        <w:t>puits privés, sera achevé</w:t>
      </w:r>
      <w:r w:rsidRPr="007D1229">
        <w:rPr>
          <w:lang w:val="fr-FR"/>
        </w:rPr>
        <w:t xml:space="preserve"> d</w:t>
      </w:r>
      <w:r>
        <w:rPr>
          <w:lang w:val="fr-FR"/>
        </w:rPr>
        <w:t>’</w:t>
      </w:r>
      <w:r w:rsidRPr="007D1229">
        <w:rPr>
          <w:lang w:val="fr-FR"/>
        </w:rPr>
        <w:t>ici au printemps 2020. Les premiers résultats montrent que de nouveaux investissement</w:t>
      </w:r>
      <w:r>
        <w:rPr>
          <w:lang w:val="fr-FR"/>
        </w:rPr>
        <w:t>s</w:t>
      </w:r>
      <w:r w:rsidRPr="007D1229">
        <w:rPr>
          <w:lang w:val="fr-FR"/>
        </w:rPr>
        <w:t xml:space="preserve"> s</w:t>
      </w:r>
      <w:r>
        <w:rPr>
          <w:lang w:val="fr-FR"/>
        </w:rPr>
        <w:t>’</w:t>
      </w:r>
      <w:r w:rsidR="00A058BB">
        <w:rPr>
          <w:lang w:val="fr-FR"/>
        </w:rPr>
        <w:t>imposent</w:t>
      </w:r>
      <w:r w:rsidR="00336E28">
        <w:rPr>
          <w:lang w:val="fr-FR"/>
        </w:rPr>
        <w:t> </w:t>
      </w:r>
      <w:r w:rsidR="00A058BB">
        <w:rPr>
          <w:lang w:val="fr-FR"/>
        </w:rPr>
        <w:t>: plus de 100 </w:t>
      </w:r>
      <w:r w:rsidRPr="007D1229">
        <w:rPr>
          <w:lang w:val="fr-FR"/>
        </w:rPr>
        <w:t>millions d</w:t>
      </w:r>
      <w:r>
        <w:rPr>
          <w:lang w:val="fr-FR"/>
        </w:rPr>
        <w:t>’</w:t>
      </w:r>
      <w:r w:rsidRPr="007D1229">
        <w:rPr>
          <w:lang w:val="fr-FR"/>
        </w:rPr>
        <w:t xml:space="preserve">euros </w:t>
      </w:r>
      <w:r>
        <w:rPr>
          <w:lang w:val="fr-FR"/>
        </w:rPr>
        <w:t>seront</w:t>
      </w:r>
      <w:r w:rsidRPr="007D1229">
        <w:rPr>
          <w:lang w:val="fr-FR"/>
        </w:rPr>
        <w:t xml:space="preserve"> nécessaires pour améliorer la qualité des systèmes individuels d</w:t>
      </w:r>
      <w:r>
        <w:rPr>
          <w:lang w:val="fr-FR"/>
        </w:rPr>
        <w:t>’</w:t>
      </w:r>
      <w:r w:rsidR="00A058BB">
        <w:rPr>
          <w:lang w:val="fr-FR"/>
        </w:rPr>
        <w:t>approvisionnement en eau.</w:t>
      </w:r>
    </w:p>
    <w:p w:rsidR="00BC6837" w:rsidRPr="007D1229" w:rsidRDefault="00BC6837" w:rsidP="00BC6837">
      <w:pPr>
        <w:pStyle w:val="SingleTxtG"/>
      </w:pPr>
      <w:r w:rsidRPr="007D1229">
        <w:rPr>
          <w:lang w:val="fr-FR"/>
        </w:rPr>
        <w:t>89.</w:t>
      </w:r>
      <w:r w:rsidRPr="007D1229">
        <w:rPr>
          <w:lang w:val="fr-FR"/>
        </w:rPr>
        <w:tab/>
        <w:t>En 2016, l</w:t>
      </w:r>
      <w:r>
        <w:rPr>
          <w:lang w:val="fr-FR"/>
        </w:rPr>
        <w:t>’</w:t>
      </w:r>
      <w:r w:rsidR="006669D8">
        <w:rPr>
          <w:lang w:val="fr-FR"/>
        </w:rPr>
        <w:t>Estonie comptait 1 316 </w:t>
      </w:r>
      <w:r>
        <w:rPr>
          <w:lang w:val="fr-FR"/>
        </w:rPr>
        <w:t>réseaux publics</w:t>
      </w:r>
      <w:r w:rsidRPr="007D1229">
        <w:rPr>
          <w:lang w:val="fr-FR"/>
        </w:rPr>
        <w:t xml:space="preserve"> </w:t>
      </w:r>
      <w:r>
        <w:rPr>
          <w:lang w:val="fr-FR"/>
        </w:rPr>
        <w:t xml:space="preserve">d’approvisionnement en </w:t>
      </w:r>
      <w:r w:rsidRPr="007D1229">
        <w:rPr>
          <w:lang w:val="fr-FR"/>
        </w:rPr>
        <w:t>eau potable.</w:t>
      </w:r>
    </w:p>
    <w:p w:rsidR="00BC6837" w:rsidRPr="007D1229" w:rsidRDefault="00BC6837" w:rsidP="00BC6837">
      <w:pPr>
        <w:pStyle w:val="SingleTxtG"/>
      </w:pPr>
      <w:r w:rsidRPr="007D1229">
        <w:rPr>
          <w:lang w:val="fr-FR"/>
        </w:rPr>
        <w:t>90.</w:t>
      </w:r>
      <w:r w:rsidRPr="007D1229">
        <w:rPr>
          <w:lang w:val="fr-FR"/>
        </w:rPr>
        <w:tab/>
      </w:r>
      <w:r>
        <w:rPr>
          <w:lang w:val="fr-FR"/>
        </w:rPr>
        <w:t>L</w:t>
      </w:r>
      <w:r w:rsidRPr="007D1229">
        <w:rPr>
          <w:lang w:val="fr-FR"/>
        </w:rPr>
        <w:t>e</w:t>
      </w:r>
      <w:r>
        <w:rPr>
          <w:lang w:val="fr-FR"/>
        </w:rPr>
        <w:t>s données récoltées en 2016 ont montré que</w:t>
      </w:r>
      <w:r w:rsidRPr="007D1229">
        <w:rPr>
          <w:lang w:val="fr-FR"/>
        </w:rPr>
        <w:t xml:space="preserve"> la teneur en fluorure et en bore de l</w:t>
      </w:r>
      <w:r>
        <w:rPr>
          <w:lang w:val="fr-FR"/>
        </w:rPr>
        <w:t>’</w:t>
      </w:r>
      <w:r w:rsidRPr="007D1229">
        <w:rPr>
          <w:lang w:val="fr-FR"/>
        </w:rPr>
        <w:t xml:space="preserve">eau potable avait diminué </w:t>
      </w:r>
      <w:r>
        <w:rPr>
          <w:lang w:val="fr-FR"/>
        </w:rPr>
        <w:t>grâce à</w:t>
      </w:r>
      <w:r w:rsidRPr="007D1229">
        <w:rPr>
          <w:lang w:val="fr-FR"/>
        </w:rPr>
        <w:t xml:space="preserve"> l</w:t>
      </w:r>
      <w:r>
        <w:rPr>
          <w:lang w:val="fr-FR"/>
        </w:rPr>
        <w:t>’</w:t>
      </w:r>
      <w:r w:rsidRPr="007D1229">
        <w:rPr>
          <w:lang w:val="fr-FR"/>
        </w:rPr>
        <w:t>installation de plusieurs systèmes d</w:t>
      </w:r>
      <w:r>
        <w:rPr>
          <w:lang w:val="fr-FR"/>
        </w:rPr>
        <w:t>’</w:t>
      </w:r>
      <w:r w:rsidRPr="007D1229">
        <w:rPr>
          <w:lang w:val="fr-FR"/>
        </w:rPr>
        <w:t xml:space="preserve">osmose inverse </w:t>
      </w:r>
      <w:r>
        <w:rPr>
          <w:lang w:val="fr-FR"/>
        </w:rPr>
        <w:t>et</w:t>
      </w:r>
      <w:r w:rsidRPr="007D1229">
        <w:rPr>
          <w:lang w:val="fr-FR"/>
        </w:rPr>
        <w:t xml:space="preserve"> du raccordement de petits </w:t>
      </w:r>
      <w:r>
        <w:rPr>
          <w:lang w:val="fr-FR"/>
        </w:rPr>
        <w:t>réseaux vétustes</w:t>
      </w:r>
      <w:r w:rsidRPr="007D1229">
        <w:rPr>
          <w:lang w:val="fr-FR"/>
        </w:rPr>
        <w:t xml:space="preserve"> à de plus grands qui </w:t>
      </w:r>
      <w:r>
        <w:rPr>
          <w:lang w:val="fr-FR"/>
        </w:rPr>
        <w:t>répondaient aux normes</w:t>
      </w:r>
      <w:r w:rsidR="006669D8">
        <w:rPr>
          <w:lang w:val="fr-FR"/>
        </w:rPr>
        <w:t>.</w:t>
      </w:r>
    </w:p>
    <w:p w:rsidR="00BC6837" w:rsidRPr="007D1229" w:rsidRDefault="00BC6837" w:rsidP="00BC6837">
      <w:pPr>
        <w:pStyle w:val="SingleTxtG"/>
      </w:pPr>
      <w:r w:rsidRPr="006669D8">
        <w:rPr>
          <w:spacing w:val="-1"/>
          <w:lang w:val="fr-FR"/>
        </w:rPr>
        <w:lastRenderedPageBreak/>
        <w:t>91.</w:t>
      </w:r>
      <w:r w:rsidRPr="006669D8">
        <w:rPr>
          <w:spacing w:val="-1"/>
          <w:lang w:val="fr-FR"/>
        </w:rPr>
        <w:tab/>
        <w:t>En 2016, l’eau de tous les réseaux les plus</w:t>
      </w:r>
      <w:r w:rsidR="006669D8" w:rsidRPr="006669D8">
        <w:rPr>
          <w:spacing w:val="-1"/>
          <w:lang w:val="fr-FR"/>
        </w:rPr>
        <w:t xml:space="preserve"> importants (plus de 2 000 </w:t>
      </w:r>
      <w:r w:rsidRPr="006669D8">
        <w:rPr>
          <w:spacing w:val="-1"/>
          <w:lang w:val="fr-FR"/>
        </w:rPr>
        <w:t>consommateurs)</w:t>
      </w:r>
      <w:r w:rsidRPr="007D1229">
        <w:rPr>
          <w:lang w:val="fr-FR"/>
        </w:rPr>
        <w:t xml:space="preserve"> </w:t>
      </w:r>
      <w:r>
        <w:rPr>
          <w:lang w:val="fr-FR"/>
        </w:rPr>
        <w:t>avait une teneur en fluorure conforme à la valeur limite mais</w:t>
      </w:r>
      <w:r w:rsidRPr="007D1229">
        <w:rPr>
          <w:lang w:val="fr-FR"/>
        </w:rPr>
        <w:t xml:space="preserve"> elle était supérieure à celle autorisée dans 11</w:t>
      </w:r>
      <w:r w:rsidR="006669D8">
        <w:rPr>
          <w:lang w:val="fr-FR"/>
        </w:rPr>
        <w:t> </w:t>
      </w:r>
      <w:r>
        <w:rPr>
          <w:lang w:val="fr-FR"/>
        </w:rPr>
        <w:t>réseaux</w:t>
      </w:r>
      <w:r w:rsidRPr="007D1229">
        <w:rPr>
          <w:lang w:val="fr-FR"/>
        </w:rPr>
        <w:t xml:space="preserve"> </w:t>
      </w:r>
      <w:r>
        <w:rPr>
          <w:lang w:val="fr-FR"/>
        </w:rPr>
        <w:t>de taille inférieure</w:t>
      </w:r>
      <w:r w:rsidR="006669D8">
        <w:rPr>
          <w:lang w:val="fr-FR"/>
        </w:rPr>
        <w:t>. En 2016, 927 </w:t>
      </w:r>
      <w:r w:rsidRPr="007D1229">
        <w:rPr>
          <w:lang w:val="fr-FR"/>
        </w:rPr>
        <w:t>consommateurs utilisaient quotidiennement de l</w:t>
      </w:r>
      <w:r>
        <w:rPr>
          <w:lang w:val="fr-FR"/>
        </w:rPr>
        <w:t>’</w:t>
      </w:r>
      <w:r w:rsidRPr="007D1229">
        <w:rPr>
          <w:lang w:val="fr-FR"/>
        </w:rPr>
        <w:t>eau dont la teneur en fluor</w:t>
      </w:r>
      <w:r w:rsidR="006669D8">
        <w:rPr>
          <w:lang w:val="fr-FR"/>
        </w:rPr>
        <w:t>ure dépassait la valeur limite.</w:t>
      </w:r>
    </w:p>
    <w:p w:rsidR="00BC6837" w:rsidRPr="007D1229" w:rsidRDefault="00BC6837" w:rsidP="00BC6837">
      <w:pPr>
        <w:pStyle w:val="SingleTxtG"/>
      </w:pPr>
      <w:r w:rsidRPr="007D1229">
        <w:rPr>
          <w:lang w:val="fr-FR"/>
        </w:rPr>
        <w:t>92.</w:t>
      </w:r>
      <w:r w:rsidRPr="007D1229">
        <w:rPr>
          <w:lang w:val="fr-FR"/>
        </w:rPr>
        <w:tab/>
        <w:t>En 2016, l</w:t>
      </w:r>
      <w:r>
        <w:rPr>
          <w:lang w:val="fr-FR"/>
        </w:rPr>
        <w:t>’</w:t>
      </w:r>
      <w:r w:rsidRPr="007D1229">
        <w:rPr>
          <w:lang w:val="fr-FR"/>
        </w:rPr>
        <w:t>eau de quatre systèmes d</w:t>
      </w:r>
      <w:r>
        <w:rPr>
          <w:lang w:val="fr-FR"/>
        </w:rPr>
        <w:t>’</w:t>
      </w:r>
      <w:r w:rsidRPr="007D1229">
        <w:rPr>
          <w:lang w:val="fr-FR"/>
        </w:rPr>
        <w:t>approvisionnement dépassait la valeur limite de bore autor</w:t>
      </w:r>
      <w:r w:rsidR="00706D06">
        <w:rPr>
          <w:lang w:val="fr-FR"/>
        </w:rPr>
        <w:t>isée et était consommée par 595 personnes.</w:t>
      </w:r>
    </w:p>
    <w:p w:rsidR="00BC6837" w:rsidRPr="007D1229" w:rsidRDefault="00BC6837" w:rsidP="00BC6837">
      <w:pPr>
        <w:pStyle w:val="SingleTxtG"/>
      </w:pPr>
      <w:r>
        <w:rPr>
          <w:lang w:val="fr-FR"/>
        </w:rPr>
        <w:t>93.</w:t>
      </w:r>
      <w:r>
        <w:rPr>
          <w:lang w:val="fr-FR"/>
        </w:rPr>
        <w:tab/>
        <w:t>Le</w:t>
      </w:r>
      <w:r w:rsidRPr="007D1229">
        <w:rPr>
          <w:lang w:val="fr-FR"/>
        </w:rPr>
        <w:t xml:space="preserve"> Conseil de la santé a</w:t>
      </w:r>
      <w:r>
        <w:rPr>
          <w:lang w:val="fr-FR"/>
        </w:rPr>
        <w:t xml:space="preserve"> commencé à</w:t>
      </w:r>
      <w:r w:rsidRPr="007D1229">
        <w:rPr>
          <w:lang w:val="fr-FR"/>
        </w:rPr>
        <w:t xml:space="preserve"> </w:t>
      </w:r>
      <w:r>
        <w:rPr>
          <w:lang w:val="fr-FR"/>
        </w:rPr>
        <w:t>prendre</w:t>
      </w:r>
      <w:r w:rsidRPr="007D1229">
        <w:rPr>
          <w:lang w:val="fr-FR"/>
        </w:rPr>
        <w:t xml:space="preserve"> des mesures concernant tous les systèmes d</w:t>
      </w:r>
      <w:r>
        <w:rPr>
          <w:lang w:val="fr-FR"/>
        </w:rPr>
        <w:t>’</w:t>
      </w:r>
      <w:r w:rsidRPr="007D1229">
        <w:rPr>
          <w:lang w:val="fr-FR"/>
        </w:rPr>
        <w:t xml:space="preserve">approvisionnement en eau potable où la teneur en fluorure et en bore </w:t>
      </w:r>
      <w:r>
        <w:rPr>
          <w:lang w:val="fr-FR"/>
        </w:rPr>
        <w:t>est</w:t>
      </w:r>
      <w:r w:rsidRPr="007D1229">
        <w:rPr>
          <w:lang w:val="fr-FR"/>
        </w:rPr>
        <w:t xml:space="preserve"> supérieure à la valeur limite.</w:t>
      </w:r>
    </w:p>
    <w:p w:rsidR="00BC6837" w:rsidRPr="00EE6518" w:rsidRDefault="00BC6837" w:rsidP="00BC6837">
      <w:pPr>
        <w:pStyle w:val="SingleTxtG"/>
      </w:pPr>
      <w:r w:rsidRPr="007D1229">
        <w:rPr>
          <w:lang w:val="fr-FR"/>
        </w:rPr>
        <w:t>94.</w:t>
      </w:r>
      <w:r w:rsidRPr="007D1229">
        <w:rPr>
          <w:lang w:val="fr-FR"/>
        </w:rPr>
        <w:tab/>
        <w:t>L</w:t>
      </w:r>
      <w:r>
        <w:rPr>
          <w:lang w:val="fr-FR"/>
        </w:rPr>
        <w:t>’</w:t>
      </w:r>
      <w:r w:rsidRPr="007D1229">
        <w:rPr>
          <w:lang w:val="fr-FR"/>
        </w:rPr>
        <w:t>eau du système aquifère datant du Cambrien et du Vendien qui se trouve dans l</w:t>
      </w:r>
      <w:r>
        <w:rPr>
          <w:lang w:val="fr-FR"/>
        </w:rPr>
        <w:t>’</w:t>
      </w:r>
      <w:r w:rsidRPr="007D1229">
        <w:rPr>
          <w:lang w:val="fr-FR"/>
        </w:rPr>
        <w:t>ouest et le nord de l</w:t>
      </w:r>
      <w:r>
        <w:rPr>
          <w:lang w:val="fr-FR"/>
        </w:rPr>
        <w:t>’</w:t>
      </w:r>
      <w:r w:rsidRPr="007D1229">
        <w:rPr>
          <w:lang w:val="fr-FR"/>
        </w:rPr>
        <w:t>Estonie est fortement radioactive du fait de la présence de radionucléides naturels dans certaines nappes phréatiques. Dans l</w:t>
      </w:r>
      <w:r>
        <w:rPr>
          <w:lang w:val="fr-FR"/>
        </w:rPr>
        <w:t>’</w:t>
      </w:r>
      <w:r w:rsidRPr="007D1229">
        <w:rPr>
          <w:lang w:val="fr-FR"/>
        </w:rPr>
        <w:t>appréciation des risques pour la santé et l</w:t>
      </w:r>
      <w:r>
        <w:rPr>
          <w:lang w:val="fr-FR"/>
        </w:rPr>
        <w:t>’</w:t>
      </w:r>
      <w:r w:rsidRPr="007D1229">
        <w:rPr>
          <w:lang w:val="fr-FR"/>
        </w:rPr>
        <w:t>analyse coûts-avantages qu</w:t>
      </w:r>
      <w:r>
        <w:rPr>
          <w:lang w:val="fr-FR"/>
        </w:rPr>
        <w:t>’</w:t>
      </w:r>
      <w:r w:rsidRPr="007D1229">
        <w:rPr>
          <w:lang w:val="fr-FR"/>
        </w:rPr>
        <w:t>ils ont finalisées en 2018, les chercheurs de l</w:t>
      </w:r>
      <w:r>
        <w:rPr>
          <w:lang w:val="fr-FR"/>
        </w:rPr>
        <w:t>’</w:t>
      </w:r>
      <w:r w:rsidRPr="007D1229">
        <w:rPr>
          <w:lang w:val="fr-FR"/>
        </w:rPr>
        <w:t>Université de Tartu ont évalué l</w:t>
      </w:r>
      <w:r>
        <w:rPr>
          <w:lang w:val="fr-FR"/>
        </w:rPr>
        <w:t>’</w:t>
      </w:r>
      <w:r w:rsidRPr="007D1229">
        <w:rPr>
          <w:lang w:val="fr-FR"/>
        </w:rPr>
        <w:t>ampleur du risque que représentent ces substances radioactives présentes dans l</w:t>
      </w:r>
      <w:r>
        <w:rPr>
          <w:lang w:val="fr-FR"/>
        </w:rPr>
        <w:t>’</w:t>
      </w:r>
      <w:r w:rsidRPr="007D1229">
        <w:rPr>
          <w:lang w:val="fr-FR"/>
        </w:rPr>
        <w:t>eau et expliqué à partir de quel seuil il convient de prendre des mesures pour protéger la santé des habitants. Ils ont notamment élaboré une formule afin que les producteurs d</w:t>
      </w:r>
      <w:r>
        <w:rPr>
          <w:lang w:val="fr-FR"/>
        </w:rPr>
        <w:t>’</w:t>
      </w:r>
      <w:r w:rsidRPr="007D1229">
        <w:rPr>
          <w:lang w:val="fr-FR"/>
        </w:rPr>
        <w:t>eau puissent déterminer si des mesures s</w:t>
      </w:r>
      <w:r>
        <w:rPr>
          <w:lang w:val="fr-FR"/>
        </w:rPr>
        <w:t>’</w:t>
      </w:r>
      <w:r w:rsidRPr="007D1229">
        <w:rPr>
          <w:lang w:val="fr-FR"/>
        </w:rPr>
        <w:t>imposent. Chaque producteur qui fournit de l</w:t>
      </w:r>
      <w:r>
        <w:rPr>
          <w:lang w:val="fr-FR"/>
        </w:rPr>
        <w:t>’</w:t>
      </w:r>
      <w:r w:rsidRPr="007D1229">
        <w:rPr>
          <w:lang w:val="fr-FR"/>
        </w:rPr>
        <w:t xml:space="preserve">eau dont la </w:t>
      </w:r>
      <w:r>
        <w:rPr>
          <w:lang w:val="fr-FR"/>
        </w:rPr>
        <w:t>radioactivité</w:t>
      </w:r>
      <w:r w:rsidRPr="007D1229">
        <w:rPr>
          <w:lang w:val="fr-FR"/>
        </w:rPr>
        <w:t xml:space="preserve"> est supérieure au 0,1</w:t>
      </w:r>
      <w:r w:rsidR="00706D06">
        <w:rPr>
          <w:lang w:val="fr-FR"/>
        </w:rPr>
        <w:t> </w:t>
      </w:r>
      <w:r w:rsidRPr="007D1229">
        <w:rPr>
          <w:lang w:val="fr-FR"/>
        </w:rPr>
        <w:t xml:space="preserve">mSv/an recommandé peut </w:t>
      </w:r>
      <w:r>
        <w:rPr>
          <w:lang w:val="fr-FR"/>
        </w:rPr>
        <w:t>estimer ce que cela lui coûterait</w:t>
      </w:r>
      <w:r w:rsidRPr="007D1229">
        <w:rPr>
          <w:lang w:val="fr-FR"/>
        </w:rPr>
        <w:t xml:space="preserve"> de la débarrasser des radionucléides présents</w:t>
      </w:r>
      <w:r w:rsidR="00336E28">
        <w:rPr>
          <w:lang w:val="fr-FR"/>
        </w:rPr>
        <w:t> </w:t>
      </w:r>
      <w:r w:rsidRPr="007D1229">
        <w:rPr>
          <w:lang w:val="fr-FR"/>
        </w:rPr>
        <w:t xml:space="preserve">; si le coût </w:t>
      </w:r>
      <w:r>
        <w:rPr>
          <w:lang w:val="fr-FR"/>
        </w:rPr>
        <w:t>estimé est</w:t>
      </w:r>
      <w:r w:rsidRPr="007D1229">
        <w:rPr>
          <w:lang w:val="fr-FR"/>
        </w:rPr>
        <w:t xml:space="preserve"> supérieur aux </w:t>
      </w:r>
      <w:r>
        <w:rPr>
          <w:lang w:val="fr-FR"/>
        </w:rPr>
        <w:t>conséquences</w:t>
      </w:r>
      <w:r w:rsidRPr="007D1229">
        <w:rPr>
          <w:lang w:val="fr-FR"/>
        </w:rPr>
        <w:t xml:space="preserve"> potentiel</w:t>
      </w:r>
      <w:r>
        <w:rPr>
          <w:lang w:val="fr-FR"/>
        </w:rPr>
        <w:t>le</w:t>
      </w:r>
      <w:r w:rsidRPr="007D1229">
        <w:rPr>
          <w:lang w:val="fr-FR"/>
        </w:rPr>
        <w:t xml:space="preserve">s </w:t>
      </w:r>
      <w:r>
        <w:rPr>
          <w:lang w:val="fr-FR"/>
        </w:rPr>
        <w:t>pour</w:t>
      </w:r>
      <w:r w:rsidRPr="007D1229">
        <w:rPr>
          <w:lang w:val="fr-FR"/>
        </w:rPr>
        <w:t xml:space="preserve"> la santé publi</w:t>
      </w:r>
      <w:r>
        <w:rPr>
          <w:lang w:val="fr-FR"/>
        </w:rPr>
        <w:t>que</w:t>
      </w:r>
      <w:r w:rsidRPr="007D1229">
        <w:rPr>
          <w:lang w:val="fr-FR"/>
        </w:rPr>
        <w:t xml:space="preserve">, </w:t>
      </w:r>
      <w:r>
        <w:rPr>
          <w:lang w:val="fr-FR"/>
        </w:rPr>
        <w:t>il n’est pas tenu de prendre des mesures</w:t>
      </w:r>
      <w:r w:rsidRPr="007D1229">
        <w:rPr>
          <w:lang w:val="fr-FR"/>
        </w:rPr>
        <w:t>.</w:t>
      </w:r>
    </w:p>
    <w:p w:rsidR="00BC6837" w:rsidRPr="007D1229" w:rsidRDefault="00BC6837" w:rsidP="00706D06">
      <w:pPr>
        <w:pStyle w:val="H1G"/>
      </w:pPr>
      <w:r w:rsidRPr="007D1229">
        <w:rPr>
          <w:lang w:val="fr-FR"/>
        </w:rPr>
        <w:tab/>
      </w:r>
      <w:r w:rsidRPr="007D1229">
        <w:rPr>
          <w:lang w:val="fr-FR"/>
        </w:rPr>
        <w:tab/>
        <w:t>Droit à la sa</w:t>
      </w:r>
      <w:r w:rsidR="00706D06">
        <w:rPr>
          <w:lang w:val="fr-FR"/>
        </w:rPr>
        <w:t>nté physique et mentale (art. </w:t>
      </w:r>
      <w:r w:rsidRPr="007D1229">
        <w:rPr>
          <w:lang w:val="fr-FR"/>
        </w:rPr>
        <w:t>12)</w:t>
      </w:r>
    </w:p>
    <w:p w:rsidR="00BC6837" w:rsidRPr="007D1229" w:rsidRDefault="00BC6837" w:rsidP="00706D06">
      <w:pPr>
        <w:pStyle w:val="H23G"/>
      </w:pPr>
      <w:r w:rsidRPr="007D1229">
        <w:rPr>
          <w:lang w:val="fr-FR"/>
        </w:rPr>
        <w:tab/>
      </w:r>
      <w:r w:rsidRPr="007D1229">
        <w:rPr>
          <w:lang w:val="fr-FR"/>
        </w:rPr>
        <w:tab/>
        <w:t xml:space="preserve">Éducation à la santé sexuelle et procréative et services </w:t>
      </w:r>
      <w:r>
        <w:rPr>
          <w:lang w:val="fr-FR"/>
        </w:rPr>
        <w:t>connexes</w:t>
      </w:r>
    </w:p>
    <w:p w:rsidR="00BC6837" w:rsidRPr="007D1229" w:rsidRDefault="00BC6837" w:rsidP="00BC6837">
      <w:pPr>
        <w:pStyle w:val="SingleTxtG"/>
      </w:pPr>
      <w:r w:rsidRPr="007D1229">
        <w:rPr>
          <w:lang w:val="fr-FR"/>
        </w:rPr>
        <w:t>95.</w:t>
      </w:r>
      <w:r w:rsidRPr="007D1229">
        <w:rPr>
          <w:lang w:val="fr-FR"/>
        </w:rPr>
        <w:tab/>
        <w:t>L</w:t>
      </w:r>
      <w:r>
        <w:rPr>
          <w:lang w:val="fr-FR"/>
        </w:rPr>
        <w:t>’</w:t>
      </w:r>
      <w:r w:rsidRPr="007D1229">
        <w:rPr>
          <w:lang w:val="fr-FR"/>
        </w:rPr>
        <w:t xml:space="preserve">éducation à la santé sexuelle et procréative fait partie intégrante des programmes scolaires du </w:t>
      </w:r>
      <w:r>
        <w:rPr>
          <w:lang w:val="fr-FR"/>
        </w:rPr>
        <w:t>primaire et</w:t>
      </w:r>
      <w:r w:rsidRPr="007D1229">
        <w:rPr>
          <w:lang w:val="fr-FR"/>
        </w:rPr>
        <w:t xml:space="preserve"> du secondaire, et est une matière obligatoire. Les centres de conseil pour les jeunes</w:t>
      </w:r>
      <w:r>
        <w:rPr>
          <w:lang w:val="fr-FR"/>
        </w:rPr>
        <w:t xml:space="preserve"> sont</w:t>
      </w:r>
      <w:r w:rsidRPr="007D1229">
        <w:rPr>
          <w:lang w:val="fr-FR"/>
        </w:rPr>
        <w:t xml:space="preserve"> accessible</w:t>
      </w:r>
      <w:r>
        <w:rPr>
          <w:lang w:val="fr-FR"/>
        </w:rPr>
        <w:t>s</w:t>
      </w:r>
      <w:r w:rsidRPr="007D1229">
        <w:rPr>
          <w:lang w:val="fr-FR"/>
        </w:rPr>
        <w:t xml:space="preserve"> à tous gratuitement, indépendamment du sexe de la personne et jusqu</w:t>
      </w:r>
      <w:r>
        <w:rPr>
          <w:lang w:val="fr-FR"/>
        </w:rPr>
        <w:t>’</w:t>
      </w:r>
      <w:r w:rsidRPr="007D1229">
        <w:rPr>
          <w:lang w:val="fr-FR"/>
        </w:rPr>
        <w:t>à l</w:t>
      </w:r>
      <w:r>
        <w:rPr>
          <w:lang w:val="fr-FR"/>
        </w:rPr>
        <w:t>’</w:t>
      </w:r>
      <w:r w:rsidR="00706D06">
        <w:rPr>
          <w:lang w:val="fr-FR"/>
        </w:rPr>
        <w:t>âge de 26 </w:t>
      </w:r>
      <w:r w:rsidRPr="007D1229">
        <w:rPr>
          <w:lang w:val="fr-FR"/>
        </w:rPr>
        <w:t>ans.</w:t>
      </w:r>
    </w:p>
    <w:p w:rsidR="00BC6837" w:rsidRPr="007D1229" w:rsidRDefault="00BC6837" w:rsidP="00BC6837">
      <w:pPr>
        <w:pStyle w:val="SingleTxtG"/>
      </w:pPr>
      <w:r w:rsidRPr="007D1229">
        <w:rPr>
          <w:lang w:val="fr-FR"/>
        </w:rPr>
        <w:t>96.</w:t>
      </w:r>
      <w:r w:rsidRPr="007D1229">
        <w:rPr>
          <w:lang w:val="fr-FR"/>
        </w:rPr>
        <w:tab/>
        <w:t>Le Ministère de l</w:t>
      </w:r>
      <w:r>
        <w:rPr>
          <w:lang w:val="fr-FR"/>
        </w:rPr>
        <w:t>’</w:t>
      </w:r>
      <w:r w:rsidRPr="007D1229">
        <w:rPr>
          <w:lang w:val="fr-FR"/>
        </w:rPr>
        <w:t>éducation et de la recherche ne collecte et ne traite aucune donnée sur les adolescentes enceintes dans le système éducatif. L</w:t>
      </w:r>
      <w:r>
        <w:rPr>
          <w:lang w:val="fr-FR"/>
        </w:rPr>
        <w:t>’</w:t>
      </w:r>
      <w:r w:rsidRPr="007D1229">
        <w:rPr>
          <w:lang w:val="fr-FR"/>
        </w:rPr>
        <w:t>Office estonien de statistique collecte des renseignements sur l</w:t>
      </w:r>
      <w:r>
        <w:rPr>
          <w:lang w:val="fr-FR"/>
        </w:rPr>
        <w:t>’</w:t>
      </w:r>
      <w:r w:rsidRPr="007D1229">
        <w:rPr>
          <w:lang w:val="fr-FR"/>
        </w:rPr>
        <w:t xml:space="preserve">âge de la mère mais </w:t>
      </w:r>
      <w:r>
        <w:rPr>
          <w:lang w:val="fr-FR"/>
        </w:rPr>
        <w:t xml:space="preserve">pas sur </w:t>
      </w:r>
      <w:r w:rsidRPr="007D1229">
        <w:rPr>
          <w:lang w:val="fr-FR"/>
        </w:rPr>
        <w:t xml:space="preserve">son niveau </w:t>
      </w:r>
      <w:r>
        <w:rPr>
          <w:lang w:val="fr-FR"/>
        </w:rPr>
        <w:t>d’instruction</w:t>
      </w:r>
      <w:r w:rsidRPr="007D1229">
        <w:rPr>
          <w:lang w:val="fr-FR"/>
        </w:rPr>
        <w:t>.</w:t>
      </w:r>
    </w:p>
    <w:p w:rsidR="00BC6837" w:rsidRPr="007D1229" w:rsidRDefault="00BC6837" w:rsidP="00BC6837">
      <w:pPr>
        <w:pStyle w:val="SingleTxtG"/>
      </w:pPr>
      <w:r w:rsidRPr="007D1229">
        <w:rPr>
          <w:lang w:val="fr-FR"/>
        </w:rPr>
        <w:t>97.</w:t>
      </w:r>
      <w:r w:rsidRPr="007D1229">
        <w:rPr>
          <w:lang w:val="fr-FR"/>
        </w:rPr>
        <w:tab/>
        <w:t>Toutes les femmes, indépendamment de leur lieu de résidence et d</w:t>
      </w:r>
      <w:r>
        <w:rPr>
          <w:lang w:val="fr-FR"/>
        </w:rPr>
        <w:t>’</w:t>
      </w:r>
      <w:r w:rsidRPr="007D1229">
        <w:rPr>
          <w:lang w:val="fr-FR"/>
        </w:rPr>
        <w:t xml:space="preserve">un handicap éventuel, ont accès à toutes les formes de contraception. Des préservatifs sont vendus dans tous les supermarchés et magasins de proximité. </w:t>
      </w:r>
      <w:r>
        <w:rPr>
          <w:lang w:val="fr-FR"/>
        </w:rPr>
        <w:t>La</w:t>
      </w:r>
      <w:r w:rsidRPr="007D1229">
        <w:rPr>
          <w:lang w:val="fr-FR"/>
        </w:rPr>
        <w:t xml:space="preserve"> contraception réversible de longue durée (stérilet, implant sous-cutané, pilule, entre autres) </w:t>
      </w:r>
      <w:r>
        <w:rPr>
          <w:lang w:val="fr-FR"/>
        </w:rPr>
        <w:t xml:space="preserve">s’obtient sur </w:t>
      </w:r>
      <w:r w:rsidRPr="007D1229">
        <w:rPr>
          <w:lang w:val="fr-FR"/>
        </w:rPr>
        <w:t>ordonnance d</w:t>
      </w:r>
      <w:r>
        <w:rPr>
          <w:lang w:val="fr-FR"/>
        </w:rPr>
        <w:t>’</w:t>
      </w:r>
      <w:r w:rsidRPr="007D1229">
        <w:rPr>
          <w:lang w:val="fr-FR"/>
        </w:rPr>
        <w:t>un médecin ou d</w:t>
      </w:r>
      <w:r>
        <w:rPr>
          <w:lang w:val="fr-FR"/>
        </w:rPr>
        <w:t>’</w:t>
      </w:r>
      <w:r w:rsidRPr="007D1229">
        <w:rPr>
          <w:lang w:val="fr-FR"/>
        </w:rPr>
        <w:t>un gynécologue. Les contraceptifs réversibles de longue durée sont payés pour moitié par l</w:t>
      </w:r>
      <w:r>
        <w:rPr>
          <w:lang w:val="fr-FR"/>
        </w:rPr>
        <w:t>’</w:t>
      </w:r>
      <w:r w:rsidRPr="007D1229">
        <w:rPr>
          <w:lang w:val="fr-FR"/>
        </w:rPr>
        <w:t>utilisatrice et pour moitié par l</w:t>
      </w:r>
      <w:r>
        <w:rPr>
          <w:lang w:val="fr-FR"/>
        </w:rPr>
        <w:t>’</w:t>
      </w:r>
      <w:r w:rsidRPr="007D1229">
        <w:rPr>
          <w:lang w:val="fr-FR"/>
        </w:rPr>
        <w:t>assurance maladie.</w:t>
      </w:r>
    </w:p>
    <w:p w:rsidR="00BC6837" w:rsidRPr="007D1229" w:rsidRDefault="00BC6837" w:rsidP="002E1368">
      <w:pPr>
        <w:pStyle w:val="H23G"/>
      </w:pPr>
      <w:r w:rsidRPr="007D1229">
        <w:rPr>
          <w:lang w:val="fr-FR"/>
        </w:rPr>
        <w:tab/>
      </w:r>
      <w:r w:rsidRPr="007D1229">
        <w:rPr>
          <w:lang w:val="fr-FR"/>
        </w:rPr>
        <w:tab/>
        <w:t>Avortements</w:t>
      </w:r>
      <w:r>
        <w:rPr>
          <w:lang w:val="fr-FR"/>
        </w:rPr>
        <w:t xml:space="preserve"> (en chiffres absolus)</w:t>
      </w:r>
    </w:p>
    <w:tbl>
      <w:tblPr>
        <w:tblW w:w="7370" w:type="dxa"/>
        <w:tblInd w:w="1134" w:type="dxa"/>
        <w:tblLayout w:type="fixed"/>
        <w:tblCellMar>
          <w:left w:w="0" w:type="dxa"/>
          <w:right w:w="0" w:type="dxa"/>
        </w:tblCellMar>
        <w:tblLook w:val="04A0" w:firstRow="1" w:lastRow="0" w:firstColumn="1" w:lastColumn="0" w:noHBand="0" w:noVBand="1"/>
      </w:tblPr>
      <w:tblGrid>
        <w:gridCol w:w="2477"/>
        <w:gridCol w:w="1711"/>
        <w:gridCol w:w="1591"/>
        <w:gridCol w:w="1591"/>
      </w:tblGrid>
      <w:tr w:rsidR="00AB69E0" w:rsidRPr="009C2469" w:rsidTr="00C40506">
        <w:trPr>
          <w:tblHeader/>
        </w:trPr>
        <w:tc>
          <w:tcPr>
            <w:tcW w:w="2477" w:type="dxa"/>
            <w:vMerge w:val="restar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C6837" w:rsidRPr="009C2469" w:rsidRDefault="00BC6837" w:rsidP="009C2469">
            <w:pPr>
              <w:suppressAutoHyphens w:val="0"/>
              <w:spacing w:before="80" w:after="80" w:line="200" w:lineRule="exact"/>
              <w:rPr>
                <w:i/>
                <w:spacing w:val="4"/>
                <w:w w:val="103"/>
                <w:kern w:val="14"/>
                <w:sz w:val="16"/>
              </w:rPr>
            </w:pPr>
            <w:r w:rsidRPr="009C2469">
              <w:rPr>
                <w:i/>
                <w:spacing w:val="4"/>
                <w:w w:val="103"/>
                <w:kern w:val="14"/>
                <w:sz w:val="16"/>
                <w:lang w:val="fr-FR"/>
              </w:rPr>
              <w:t>Année</w:t>
            </w:r>
          </w:p>
        </w:tc>
        <w:tc>
          <w:tcPr>
            <w:tcW w:w="4893" w:type="dxa"/>
            <w:gridSpan w:val="3"/>
            <w:tcBorders>
              <w:top w:val="single" w:sz="4" w:space="0" w:color="auto"/>
              <w:left w:val="nil"/>
              <w:bottom w:val="single" w:sz="4" w:space="0" w:color="auto"/>
            </w:tcBorders>
            <w:shd w:val="clear" w:color="auto" w:fill="auto"/>
            <w:noWrap/>
            <w:tcMar>
              <w:top w:w="0" w:type="dxa"/>
              <w:left w:w="70" w:type="dxa"/>
              <w:bottom w:w="0" w:type="dxa"/>
              <w:right w:w="70" w:type="dxa"/>
            </w:tcMar>
            <w:vAlign w:val="bottom"/>
            <w:hideMark/>
          </w:tcPr>
          <w:p w:rsidR="00BC6837" w:rsidRPr="009C2469" w:rsidRDefault="00BC6837" w:rsidP="009C2469">
            <w:pPr>
              <w:suppressAutoHyphens w:val="0"/>
              <w:spacing w:before="80" w:after="80" w:line="200" w:lineRule="exact"/>
              <w:jc w:val="center"/>
              <w:rPr>
                <w:i/>
                <w:spacing w:val="4"/>
                <w:w w:val="103"/>
                <w:kern w:val="14"/>
                <w:sz w:val="16"/>
              </w:rPr>
            </w:pPr>
            <w:r w:rsidRPr="009C2469">
              <w:rPr>
                <w:i/>
                <w:spacing w:val="4"/>
                <w:w w:val="103"/>
                <w:kern w:val="14"/>
                <w:sz w:val="16"/>
                <w:lang w:val="fr-FR"/>
              </w:rPr>
              <w:t>Groupe d’âge</w:t>
            </w:r>
          </w:p>
        </w:tc>
      </w:tr>
      <w:tr w:rsidR="00AB69E0" w:rsidRPr="00AB69E0" w:rsidTr="00C40506">
        <w:tc>
          <w:tcPr>
            <w:tcW w:w="2477" w:type="dxa"/>
            <w:vMerge/>
            <w:tcBorders>
              <w:bottom w:val="single" w:sz="12" w:space="0" w:color="auto"/>
            </w:tcBorders>
            <w:shd w:val="clear" w:color="auto" w:fill="auto"/>
            <w:noWrap/>
            <w:tcMar>
              <w:top w:w="0" w:type="dxa"/>
              <w:left w:w="70" w:type="dxa"/>
              <w:bottom w:w="0" w:type="dxa"/>
              <w:right w:w="70" w:type="dxa"/>
            </w:tcMar>
            <w:vAlign w:val="bottom"/>
          </w:tcPr>
          <w:p w:rsidR="00BC6837" w:rsidRPr="00AB69E0" w:rsidRDefault="00BC6837" w:rsidP="00AB69E0">
            <w:pPr>
              <w:suppressAutoHyphens w:val="0"/>
              <w:spacing w:before="40" w:after="40" w:line="220" w:lineRule="exact"/>
              <w:rPr>
                <w:sz w:val="18"/>
              </w:rPr>
            </w:pPr>
          </w:p>
        </w:tc>
        <w:tc>
          <w:tcPr>
            <w:tcW w:w="1711" w:type="dxa"/>
            <w:tcBorders>
              <w:top w:val="single" w:sz="4" w:space="0" w:color="auto"/>
              <w:left w:val="nil"/>
              <w:bottom w:val="single" w:sz="12" w:space="0" w:color="auto"/>
            </w:tcBorders>
            <w:shd w:val="clear" w:color="auto" w:fill="auto"/>
            <w:noWrap/>
            <w:tcMar>
              <w:top w:w="0" w:type="dxa"/>
              <w:left w:w="70" w:type="dxa"/>
              <w:bottom w:w="0" w:type="dxa"/>
              <w:right w:w="70" w:type="dxa"/>
            </w:tcMar>
            <w:vAlign w:val="bottom"/>
            <w:hideMark/>
          </w:tcPr>
          <w:p w:rsidR="00BC6837" w:rsidRPr="009C2469" w:rsidRDefault="009C2469" w:rsidP="008F5B72">
            <w:pPr>
              <w:suppressAutoHyphens w:val="0"/>
              <w:spacing w:before="80" w:after="80" w:line="200" w:lineRule="exact"/>
              <w:jc w:val="right"/>
              <w:rPr>
                <w:i/>
                <w:spacing w:val="4"/>
                <w:w w:val="103"/>
                <w:kern w:val="14"/>
                <w:sz w:val="16"/>
              </w:rPr>
            </w:pPr>
            <w:r w:rsidRPr="009C2469">
              <w:rPr>
                <w:i/>
                <w:spacing w:val="4"/>
                <w:w w:val="103"/>
                <w:kern w:val="14"/>
                <w:sz w:val="16"/>
                <w:lang w:val="fr-FR"/>
              </w:rPr>
              <w:t>10-</w:t>
            </w:r>
            <w:r w:rsidRPr="009C2469">
              <w:rPr>
                <w:i/>
                <w:spacing w:val="4"/>
                <w:w w:val="103"/>
                <w:kern w:val="14"/>
                <w:sz w:val="16"/>
              </w:rPr>
              <w:t>14 </w:t>
            </w:r>
            <w:r w:rsidR="00BC6837" w:rsidRPr="009C2469">
              <w:rPr>
                <w:i/>
                <w:spacing w:val="4"/>
                <w:w w:val="103"/>
                <w:kern w:val="14"/>
                <w:sz w:val="16"/>
              </w:rPr>
              <w:t>ans</w:t>
            </w:r>
          </w:p>
        </w:tc>
        <w:tc>
          <w:tcPr>
            <w:tcW w:w="159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C6837" w:rsidRPr="009C2469" w:rsidRDefault="009C2469" w:rsidP="008F5B72">
            <w:pPr>
              <w:suppressAutoHyphens w:val="0"/>
              <w:spacing w:before="80" w:after="80" w:line="200" w:lineRule="exact"/>
              <w:jc w:val="right"/>
              <w:rPr>
                <w:i/>
                <w:spacing w:val="4"/>
                <w:w w:val="103"/>
                <w:kern w:val="14"/>
                <w:sz w:val="16"/>
              </w:rPr>
            </w:pPr>
            <w:r w:rsidRPr="009C2469">
              <w:rPr>
                <w:i/>
                <w:spacing w:val="4"/>
                <w:w w:val="103"/>
                <w:kern w:val="14"/>
                <w:sz w:val="16"/>
                <w:lang w:val="fr-FR"/>
              </w:rPr>
              <w:t>15-</w:t>
            </w:r>
            <w:r w:rsidR="00BC6837" w:rsidRPr="009C2469">
              <w:rPr>
                <w:i/>
                <w:spacing w:val="4"/>
                <w:w w:val="103"/>
                <w:kern w:val="14"/>
                <w:sz w:val="16"/>
                <w:lang w:val="fr-FR"/>
              </w:rPr>
              <w:t>17</w:t>
            </w:r>
            <w:r w:rsidRPr="009C2469">
              <w:rPr>
                <w:i/>
                <w:spacing w:val="4"/>
                <w:w w:val="103"/>
                <w:kern w:val="14"/>
                <w:sz w:val="16"/>
                <w:lang w:val="fr-FR"/>
              </w:rPr>
              <w:t> </w:t>
            </w:r>
            <w:r w:rsidR="00BC6837" w:rsidRPr="009C2469">
              <w:rPr>
                <w:i/>
                <w:spacing w:val="4"/>
                <w:w w:val="103"/>
                <w:kern w:val="14"/>
                <w:sz w:val="16"/>
                <w:lang w:val="fr-FR"/>
              </w:rPr>
              <w:t>ans</w:t>
            </w:r>
          </w:p>
        </w:tc>
        <w:tc>
          <w:tcPr>
            <w:tcW w:w="159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C6837" w:rsidRPr="009C2469" w:rsidRDefault="009C2469" w:rsidP="008F5B72">
            <w:pPr>
              <w:suppressAutoHyphens w:val="0"/>
              <w:spacing w:before="80" w:after="80" w:line="200" w:lineRule="exact"/>
              <w:jc w:val="right"/>
              <w:rPr>
                <w:i/>
                <w:spacing w:val="4"/>
                <w:w w:val="103"/>
                <w:kern w:val="14"/>
                <w:sz w:val="16"/>
              </w:rPr>
            </w:pPr>
            <w:r w:rsidRPr="009C2469">
              <w:rPr>
                <w:i/>
                <w:spacing w:val="4"/>
                <w:w w:val="103"/>
                <w:kern w:val="14"/>
                <w:sz w:val="16"/>
                <w:lang w:val="fr-FR"/>
              </w:rPr>
              <w:t>18-19 </w:t>
            </w:r>
            <w:r w:rsidR="00BC6837" w:rsidRPr="009C2469">
              <w:rPr>
                <w:i/>
                <w:spacing w:val="4"/>
                <w:w w:val="103"/>
                <w:kern w:val="14"/>
                <w:sz w:val="16"/>
                <w:lang w:val="fr-FR"/>
              </w:rPr>
              <w:t>ans</w:t>
            </w:r>
          </w:p>
        </w:tc>
      </w:tr>
      <w:tr w:rsidR="00AB69E0" w:rsidRPr="00AB69E0" w:rsidTr="00C40506">
        <w:tc>
          <w:tcPr>
            <w:tcW w:w="2477" w:type="dxa"/>
            <w:tcBorders>
              <w:top w:val="single" w:sz="12" w:space="0" w:color="auto"/>
            </w:tcBorders>
            <w:shd w:val="clear" w:color="auto" w:fill="auto"/>
            <w:noWrap/>
            <w:tcMar>
              <w:top w:w="0" w:type="dxa"/>
              <w:left w:w="70" w:type="dxa"/>
              <w:bottom w:w="0" w:type="dxa"/>
              <w:right w:w="70" w:type="dxa"/>
            </w:tcMar>
            <w:hideMark/>
          </w:tcPr>
          <w:p w:rsidR="00BC6837" w:rsidRPr="00AB69E0" w:rsidRDefault="00BC6837" w:rsidP="00AB69E0">
            <w:pPr>
              <w:suppressAutoHyphens w:val="0"/>
              <w:spacing w:before="40" w:after="40" w:line="220" w:lineRule="exact"/>
              <w:rPr>
                <w:sz w:val="18"/>
              </w:rPr>
            </w:pPr>
            <w:r w:rsidRPr="00AB69E0">
              <w:rPr>
                <w:sz w:val="18"/>
                <w:lang w:val="fr-FR"/>
              </w:rPr>
              <w:t>2015</w:t>
            </w:r>
          </w:p>
        </w:tc>
        <w:tc>
          <w:tcPr>
            <w:tcW w:w="1711" w:type="dxa"/>
            <w:tcBorders>
              <w:top w:val="single" w:sz="12" w:space="0" w:color="auto"/>
            </w:tcBorders>
            <w:shd w:val="clear" w:color="auto" w:fill="auto"/>
            <w:noWrap/>
            <w:tcMar>
              <w:top w:w="0" w:type="dxa"/>
              <w:left w:w="70" w:type="dxa"/>
              <w:bottom w:w="0" w:type="dxa"/>
              <w:right w:w="70" w:type="dxa"/>
            </w:tcMar>
            <w:vAlign w:val="bottom"/>
            <w:hideMark/>
          </w:tcPr>
          <w:p w:rsidR="00BC6837" w:rsidRPr="00AB69E0" w:rsidRDefault="00BC6837" w:rsidP="00AB69E0">
            <w:pPr>
              <w:suppressAutoHyphens w:val="0"/>
              <w:spacing w:before="40" w:after="40" w:line="220" w:lineRule="exact"/>
              <w:jc w:val="right"/>
              <w:rPr>
                <w:sz w:val="18"/>
              </w:rPr>
            </w:pPr>
            <w:r w:rsidRPr="00AB69E0">
              <w:rPr>
                <w:sz w:val="18"/>
                <w:lang w:val="fr-FR"/>
              </w:rPr>
              <w:t>13</w:t>
            </w:r>
          </w:p>
        </w:tc>
        <w:tc>
          <w:tcPr>
            <w:tcW w:w="1591" w:type="dxa"/>
            <w:tcBorders>
              <w:top w:val="single" w:sz="12" w:space="0" w:color="auto"/>
            </w:tcBorders>
            <w:shd w:val="clear" w:color="auto" w:fill="auto"/>
            <w:noWrap/>
            <w:tcMar>
              <w:top w:w="0" w:type="dxa"/>
              <w:left w:w="70" w:type="dxa"/>
              <w:bottom w:w="0" w:type="dxa"/>
              <w:right w:w="70" w:type="dxa"/>
            </w:tcMar>
            <w:vAlign w:val="bottom"/>
            <w:hideMark/>
          </w:tcPr>
          <w:p w:rsidR="00BC6837" w:rsidRPr="00AB69E0" w:rsidRDefault="00BC6837" w:rsidP="00AB69E0">
            <w:pPr>
              <w:suppressAutoHyphens w:val="0"/>
              <w:spacing w:before="40" w:after="40" w:line="220" w:lineRule="exact"/>
              <w:jc w:val="right"/>
              <w:rPr>
                <w:sz w:val="18"/>
              </w:rPr>
            </w:pPr>
            <w:r w:rsidRPr="00AB69E0">
              <w:rPr>
                <w:sz w:val="18"/>
                <w:lang w:val="fr-FR"/>
              </w:rPr>
              <w:t>165</w:t>
            </w:r>
          </w:p>
        </w:tc>
        <w:tc>
          <w:tcPr>
            <w:tcW w:w="1591" w:type="dxa"/>
            <w:tcBorders>
              <w:top w:val="single" w:sz="12" w:space="0" w:color="auto"/>
            </w:tcBorders>
            <w:shd w:val="clear" w:color="auto" w:fill="auto"/>
            <w:noWrap/>
            <w:tcMar>
              <w:top w:w="0" w:type="dxa"/>
              <w:left w:w="70" w:type="dxa"/>
              <w:bottom w:w="0" w:type="dxa"/>
              <w:right w:w="70" w:type="dxa"/>
            </w:tcMar>
            <w:vAlign w:val="bottom"/>
            <w:hideMark/>
          </w:tcPr>
          <w:p w:rsidR="00BC6837" w:rsidRPr="00AB69E0" w:rsidRDefault="00BC6837" w:rsidP="00AB69E0">
            <w:pPr>
              <w:suppressAutoHyphens w:val="0"/>
              <w:spacing w:before="40" w:after="40" w:line="220" w:lineRule="exact"/>
              <w:jc w:val="right"/>
              <w:rPr>
                <w:sz w:val="18"/>
              </w:rPr>
            </w:pPr>
            <w:r w:rsidRPr="00AB69E0">
              <w:rPr>
                <w:sz w:val="18"/>
                <w:lang w:val="fr-FR"/>
              </w:rPr>
              <w:t>322</w:t>
            </w:r>
          </w:p>
        </w:tc>
      </w:tr>
      <w:tr w:rsidR="00AB69E0" w:rsidRPr="00AB69E0" w:rsidTr="00AB69E0">
        <w:tc>
          <w:tcPr>
            <w:tcW w:w="2477" w:type="dxa"/>
            <w:shd w:val="clear" w:color="auto" w:fill="auto"/>
            <w:noWrap/>
            <w:tcMar>
              <w:top w:w="0" w:type="dxa"/>
              <w:left w:w="70" w:type="dxa"/>
              <w:bottom w:w="0" w:type="dxa"/>
              <w:right w:w="70" w:type="dxa"/>
            </w:tcMar>
            <w:hideMark/>
          </w:tcPr>
          <w:p w:rsidR="00BC6837" w:rsidRPr="00AB69E0" w:rsidRDefault="00BC6837" w:rsidP="00AB69E0">
            <w:pPr>
              <w:suppressAutoHyphens w:val="0"/>
              <w:spacing w:before="40" w:after="40" w:line="220" w:lineRule="exact"/>
              <w:rPr>
                <w:sz w:val="18"/>
              </w:rPr>
            </w:pPr>
            <w:r w:rsidRPr="00AB69E0">
              <w:rPr>
                <w:sz w:val="18"/>
                <w:lang w:val="fr-FR"/>
              </w:rPr>
              <w:t>2016</w:t>
            </w:r>
          </w:p>
        </w:tc>
        <w:tc>
          <w:tcPr>
            <w:tcW w:w="1711" w:type="dxa"/>
            <w:shd w:val="clear" w:color="auto" w:fill="auto"/>
            <w:noWrap/>
            <w:tcMar>
              <w:top w:w="0" w:type="dxa"/>
              <w:left w:w="70" w:type="dxa"/>
              <w:bottom w:w="0" w:type="dxa"/>
              <w:right w:w="70" w:type="dxa"/>
            </w:tcMar>
            <w:vAlign w:val="bottom"/>
            <w:hideMark/>
          </w:tcPr>
          <w:p w:rsidR="00BC6837" w:rsidRPr="00AB69E0" w:rsidRDefault="00BC6837" w:rsidP="00AB69E0">
            <w:pPr>
              <w:suppressAutoHyphens w:val="0"/>
              <w:spacing w:before="40" w:after="40" w:line="220" w:lineRule="exact"/>
              <w:jc w:val="right"/>
              <w:rPr>
                <w:sz w:val="18"/>
              </w:rPr>
            </w:pPr>
            <w:r w:rsidRPr="00AB69E0">
              <w:rPr>
                <w:sz w:val="18"/>
                <w:lang w:val="fr-FR"/>
              </w:rPr>
              <w:t>20</w:t>
            </w:r>
          </w:p>
        </w:tc>
        <w:tc>
          <w:tcPr>
            <w:tcW w:w="1591" w:type="dxa"/>
            <w:shd w:val="clear" w:color="auto" w:fill="auto"/>
            <w:noWrap/>
            <w:tcMar>
              <w:top w:w="0" w:type="dxa"/>
              <w:left w:w="70" w:type="dxa"/>
              <w:bottom w:w="0" w:type="dxa"/>
              <w:right w:w="70" w:type="dxa"/>
            </w:tcMar>
            <w:vAlign w:val="bottom"/>
            <w:hideMark/>
          </w:tcPr>
          <w:p w:rsidR="00BC6837" w:rsidRPr="00AB69E0" w:rsidRDefault="00BC6837" w:rsidP="00AB69E0">
            <w:pPr>
              <w:suppressAutoHyphens w:val="0"/>
              <w:spacing w:before="40" w:after="40" w:line="220" w:lineRule="exact"/>
              <w:jc w:val="right"/>
              <w:rPr>
                <w:sz w:val="18"/>
              </w:rPr>
            </w:pPr>
            <w:r w:rsidRPr="00AB69E0">
              <w:rPr>
                <w:sz w:val="18"/>
                <w:lang w:val="fr-FR"/>
              </w:rPr>
              <w:t>146</w:t>
            </w:r>
          </w:p>
        </w:tc>
        <w:tc>
          <w:tcPr>
            <w:tcW w:w="1591" w:type="dxa"/>
            <w:shd w:val="clear" w:color="auto" w:fill="auto"/>
            <w:noWrap/>
            <w:tcMar>
              <w:top w:w="0" w:type="dxa"/>
              <w:left w:w="70" w:type="dxa"/>
              <w:bottom w:w="0" w:type="dxa"/>
              <w:right w:w="70" w:type="dxa"/>
            </w:tcMar>
            <w:vAlign w:val="bottom"/>
            <w:hideMark/>
          </w:tcPr>
          <w:p w:rsidR="00BC6837" w:rsidRPr="00AB69E0" w:rsidRDefault="00BC6837" w:rsidP="00AB69E0">
            <w:pPr>
              <w:suppressAutoHyphens w:val="0"/>
              <w:spacing w:before="40" w:after="40" w:line="220" w:lineRule="exact"/>
              <w:jc w:val="right"/>
              <w:rPr>
                <w:sz w:val="18"/>
              </w:rPr>
            </w:pPr>
            <w:r w:rsidRPr="00AB69E0">
              <w:rPr>
                <w:sz w:val="18"/>
                <w:lang w:val="fr-FR"/>
              </w:rPr>
              <w:t>287</w:t>
            </w:r>
          </w:p>
        </w:tc>
      </w:tr>
      <w:tr w:rsidR="00AB69E0" w:rsidRPr="00AB69E0" w:rsidTr="00AB69E0">
        <w:tc>
          <w:tcPr>
            <w:tcW w:w="2477" w:type="dxa"/>
            <w:tcBorders>
              <w:bottom w:val="single" w:sz="12" w:space="0" w:color="auto"/>
            </w:tcBorders>
            <w:shd w:val="clear" w:color="auto" w:fill="auto"/>
            <w:noWrap/>
            <w:tcMar>
              <w:top w:w="0" w:type="dxa"/>
              <w:left w:w="70" w:type="dxa"/>
              <w:bottom w:w="0" w:type="dxa"/>
              <w:right w:w="70" w:type="dxa"/>
            </w:tcMar>
            <w:hideMark/>
          </w:tcPr>
          <w:p w:rsidR="00BC6837" w:rsidRPr="00AB69E0" w:rsidRDefault="00BC6837" w:rsidP="00AB69E0">
            <w:pPr>
              <w:suppressAutoHyphens w:val="0"/>
              <w:spacing w:before="40" w:after="40" w:line="220" w:lineRule="exact"/>
              <w:rPr>
                <w:sz w:val="18"/>
              </w:rPr>
            </w:pPr>
            <w:r w:rsidRPr="00AB69E0">
              <w:rPr>
                <w:sz w:val="18"/>
                <w:lang w:val="fr-FR"/>
              </w:rPr>
              <w:t>2017</w:t>
            </w:r>
          </w:p>
        </w:tc>
        <w:tc>
          <w:tcPr>
            <w:tcW w:w="1711" w:type="dxa"/>
            <w:tcBorders>
              <w:bottom w:val="single" w:sz="12" w:space="0" w:color="auto"/>
            </w:tcBorders>
            <w:shd w:val="clear" w:color="auto" w:fill="auto"/>
            <w:noWrap/>
            <w:tcMar>
              <w:top w:w="0" w:type="dxa"/>
              <w:left w:w="70" w:type="dxa"/>
              <w:bottom w:w="0" w:type="dxa"/>
              <w:right w:w="70" w:type="dxa"/>
            </w:tcMar>
            <w:vAlign w:val="bottom"/>
            <w:hideMark/>
          </w:tcPr>
          <w:p w:rsidR="00BC6837" w:rsidRPr="00AB69E0" w:rsidRDefault="00BC6837" w:rsidP="00AB69E0">
            <w:pPr>
              <w:suppressAutoHyphens w:val="0"/>
              <w:spacing w:before="40" w:after="40" w:line="220" w:lineRule="exact"/>
              <w:jc w:val="right"/>
              <w:rPr>
                <w:sz w:val="18"/>
              </w:rPr>
            </w:pPr>
            <w:r w:rsidRPr="00AB69E0">
              <w:rPr>
                <w:sz w:val="18"/>
                <w:lang w:val="fr-FR"/>
              </w:rPr>
              <w:t>8</w:t>
            </w:r>
          </w:p>
        </w:tc>
        <w:tc>
          <w:tcPr>
            <w:tcW w:w="1591" w:type="dxa"/>
            <w:tcBorders>
              <w:bottom w:val="single" w:sz="12" w:space="0" w:color="auto"/>
            </w:tcBorders>
            <w:shd w:val="clear" w:color="auto" w:fill="auto"/>
            <w:noWrap/>
            <w:tcMar>
              <w:top w:w="0" w:type="dxa"/>
              <w:left w:w="70" w:type="dxa"/>
              <w:bottom w:w="0" w:type="dxa"/>
              <w:right w:w="70" w:type="dxa"/>
            </w:tcMar>
            <w:vAlign w:val="bottom"/>
            <w:hideMark/>
          </w:tcPr>
          <w:p w:rsidR="00BC6837" w:rsidRPr="00AB69E0" w:rsidRDefault="00BC6837" w:rsidP="00AB69E0">
            <w:pPr>
              <w:suppressAutoHyphens w:val="0"/>
              <w:spacing w:before="40" w:after="40" w:line="220" w:lineRule="exact"/>
              <w:jc w:val="right"/>
              <w:rPr>
                <w:sz w:val="18"/>
              </w:rPr>
            </w:pPr>
            <w:r w:rsidRPr="00AB69E0">
              <w:rPr>
                <w:sz w:val="18"/>
                <w:lang w:val="fr-FR"/>
              </w:rPr>
              <w:t>120</w:t>
            </w:r>
          </w:p>
        </w:tc>
        <w:tc>
          <w:tcPr>
            <w:tcW w:w="1591" w:type="dxa"/>
            <w:tcBorders>
              <w:bottom w:val="single" w:sz="12" w:space="0" w:color="auto"/>
            </w:tcBorders>
            <w:shd w:val="clear" w:color="auto" w:fill="auto"/>
            <w:noWrap/>
            <w:tcMar>
              <w:top w:w="0" w:type="dxa"/>
              <w:left w:w="70" w:type="dxa"/>
              <w:bottom w:w="0" w:type="dxa"/>
              <w:right w:w="70" w:type="dxa"/>
            </w:tcMar>
            <w:vAlign w:val="bottom"/>
            <w:hideMark/>
          </w:tcPr>
          <w:p w:rsidR="00BC6837" w:rsidRPr="00AB69E0" w:rsidRDefault="00BC6837" w:rsidP="00AB69E0">
            <w:pPr>
              <w:suppressAutoHyphens w:val="0"/>
              <w:spacing w:before="40" w:after="40" w:line="220" w:lineRule="exact"/>
              <w:jc w:val="right"/>
              <w:rPr>
                <w:sz w:val="18"/>
              </w:rPr>
            </w:pPr>
            <w:r w:rsidRPr="00AB69E0">
              <w:rPr>
                <w:sz w:val="18"/>
                <w:lang w:val="fr-FR"/>
              </w:rPr>
              <w:t>226</w:t>
            </w:r>
          </w:p>
        </w:tc>
      </w:tr>
    </w:tbl>
    <w:p w:rsidR="00BC6837" w:rsidRPr="007D1229" w:rsidRDefault="00BC6837" w:rsidP="00FF72CE">
      <w:pPr>
        <w:pStyle w:val="H23G"/>
      </w:pPr>
      <w:r w:rsidRPr="007D1229">
        <w:rPr>
          <w:lang w:val="fr-FR"/>
        </w:rPr>
        <w:lastRenderedPageBreak/>
        <w:tab/>
      </w:r>
      <w:r w:rsidRPr="007D1229">
        <w:rPr>
          <w:lang w:val="fr-FR"/>
        </w:rPr>
        <w:tab/>
        <w:t>Naissances</w:t>
      </w:r>
      <w:r>
        <w:rPr>
          <w:lang w:val="fr-FR"/>
        </w:rPr>
        <w:t xml:space="preserve"> (en chiffres absolus)</w:t>
      </w:r>
    </w:p>
    <w:tbl>
      <w:tblPr>
        <w:tblW w:w="7370" w:type="dxa"/>
        <w:tblInd w:w="1134" w:type="dxa"/>
        <w:tblLayout w:type="fixed"/>
        <w:tblCellMar>
          <w:left w:w="0" w:type="dxa"/>
          <w:right w:w="0" w:type="dxa"/>
        </w:tblCellMar>
        <w:tblLook w:val="04A0" w:firstRow="1" w:lastRow="0" w:firstColumn="1" w:lastColumn="0" w:noHBand="0" w:noVBand="1"/>
      </w:tblPr>
      <w:tblGrid>
        <w:gridCol w:w="2482"/>
        <w:gridCol w:w="1715"/>
        <w:gridCol w:w="1577"/>
        <w:gridCol w:w="1596"/>
      </w:tblGrid>
      <w:tr w:rsidR="00105E96" w:rsidRPr="00105E96" w:rsidTr="000D1E7C">
        <w:trPr>
          <w:tblHeader/>
        </w:trPr>
        <w:tc>
          <w:tcPr>
            <w:tcW w:w="2482" w:type="dxa"/>
            <w:vMerge w:val="restar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C6837" w:rsidRPr="00105E96" w:rsidRDefault="00BC6837" w:rsidP="00FF72CE">
            <w:pPr>
              <w:keepNext/>
              <w:keepLines/>
              <w:suppressAutoHyphens w:val="0"/>
              <w:spacing w:before="80" w:after="80" w:line="200" w:lineRule="exact"/>
              <w:rPr>
                <w:i/>
                <w:sz w:val="16"/>
              </w:rPr>
            </w:pPr>
            <w:r w:rsidRPr="00105E96">
              <w:rPr>
                <w:i/>
                <w:sz w:val="16"/>
                <w:lang w:val="fr-FR"/>
              </w:rPr>
              <w:t>Année</w:t>
            </w:r>
          </w:p>
        </w:tc>
        <w:tc>
          <w:tcPr>
            <w:tcW w:w="4888" w:type="dxa"/>
            <w:gridSpan w:val="3"/>
            <w:tcBorders>
              <w:top w:val="single" w:sz="4" w:space="0" w:color="auto"/>
              <w:bottom w:val="single" w:sz="4" w:space="0" w:color="auto"/>
            </w:tcBorders>
            <w:shd w:val="clear" w:color="auto" w:fill="auto"/>
            <w:noWrap/>
            <w:tcMar>
              <w:top w:w="0" w:type="dxa"/>
              <w:left w:w="70" w:type="dxa"/>
              <w:bottom w:w="0" w:type="dxa"/>
              <w:right w:w="70" w:type="dxa"/>
            </w:tcMar>
            <w:vAlign w:val="bottom"/>
            <w:hideMark/>
          </w:tcPr>
          <w:p w:rsidR="00BC6837" w:rsidRPr="00105E96" w:rsidRDefault="00BC6837" w:rsidP="00FF72CE">
            <w:pPr>
              <w:keepNext/>
              <w:keepLines/>
              <w:suppressAutoHyphens w:val="0"/>
              <w:spacing w:before="80" w:after="80" w:line="200" w:lineRule="exact"/>
              <w:jc w:val="center"/>
              <w:rPr>
                <w:i/>
                <w:sz w:val="16"/>
              </w:rPr>
            </w:pPr>
            <w:r w:rsidRPr="00105E96">
              <w:rPr>
                <w:i/>
                <w:sz w:val="16"/>
                <w:lang w:val="fr-FR"/>
              </w:rPr>
              <w:t>Groupe d’âge</w:t>
            </w:r>
          </w:p>
        </w:tc>
      </w:tr>
      <w:tr w:rsidR="000D1E7C" w:rsidRPr="000D1E7C" w:rsidTr="000D1E7C">
        <w:tc>
          <w:tcPr>
            <w:tcW w:w="2482" w:type="dxa"/>
            <w:vMerge/>
            <w:tcBorders>
              <w:top w:val="single" w:sz="12" w:space="0" w:color="auto"/>
              <w:bottom w:val="single" w:sz="12" w:space="0" w:color="auto"/>
            </w:tcBorders>
            <w:shd w:val="clear" w:color="auto" w:fill="auto"/>
            <w:noWrap/>
            <w:tcMar>
              <w:top w:w="0" w:type="dxa"/>
              <w:left w:w="70" w:type="dxa"/>
              <w:bottom w:w="0" w:type="dxa"/>
              <w:right w:w="70" w:type="dxa"/>
            </w:tcMar>
            <w:vAlign w:val="bottom"/>
          </w:tcPr>
          <w:p w:rsidR="000D1E7C" w:rsidRPr="00105E96" w:rsidRDefault="000D1E7C" w:rsidP="00FF72CE">
            <w:pPr>
              <w:keepNext/>
              <w:keepLines/>
              <w:suppressAutoHyphens w:val="0"/>
              <w:spacing w:before="40" w:after="40" w:line="220" w:lineRule="exact"/>
              <w:rPr>
                <w:sz w:val="18"/>
              </w:rPr>
            </w:pPr>
          </w:p>
        </w:tc>
        <w:tc>
          <w:tcPr>
            <w:tcW w:w="17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0D1E7C" w:rsidRPr="009C2469" w:rsidRDefault="000D1E7C" w:rsidP="00FF72CE">
            <w:pPr>
              <w:keepNext/>
              <w:keepLines/>
              <w:suppressAutoHyphens w:val="0"/>
              <w:spacing w:before="80" w:after="80" w:line="200" w:lineRule="exact"/>
              <w:jc w:val="right"/>
              <w:rPr>
                <w:i/>
                <w:spacing w:val="4"/>
                <w:w w:val="103"/>
                <w:kern w:val="14"/>
                <w:sz w:val="16"/>
              </w:rPr>
            </w:pPr>
            <w:r w:rsidRPr="009C2469">
              <w:rPr>
                <w:i/>
                <w:spacing w:val="4"/>
                <w:w w:val="103"/>
                <w:kern w:val="14"/>
                <w:sz w:val="16"/>
                <w:lang w:val="fr-FR"/>
              </w:rPr>
              <w:t>10-</w:t>
            </w:r>
            <w:r w:rsidRPr="009C2469">
              <w:rPr>
                <w:i/>
                <w:spacing w:val="4"/>
                <w:w w:val="103"/>
                <w:kern w:val="14"/>
                <w:sz w:val="16"/>
              </w:rPr>
              <w:t>14 ans</w:t>
            </w:r>
          </w:p>
        </w:tc>
        <w:tc>
          <w:tcPr>
            <w:tcW w:w="1577"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0D1E7C" w:rsidRPr="009C2469" w:rsidRDefault="000D1E7C" w:rsidP="00FF72CE">
            <w:pPr>
              <w:keepNext/>
              <w:keepLines/>
              <w:suppressAutoHyphens w:val="0"/>
              <w:spacing w:before="80" w:after="80" w:line="200" w:lineRule="exact"/>
              <w:jc w:val="right"/>
              <w:rPr>
                <w:i/>
                <w:spacing w:val="4"/>
                <w:w w:val="103"/>
                <w:kern w:val="14"/>
                <w:sz w:val="16"/>
              </w:rPr>
            </w:pPr>
            <w:r w:rsidRPr="009C2469">
              <w:rPr>
                <w:i/>
                <w:spacing w:val="4"/>
                <w:w w:val="103"/>
                <w:kern w:val="14"/>
                <w:sz w:val="16"/>
                <w:lang w:val="fr-FR"/>
              </w:rPr>
              <w:t>15-17 ans</w:t>
            </w:r>
          </w:p>
        </w:tc>
        <w:tc>
          <w:tcPr>
            <w:tcW w:w="159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0D1E7C" w:rsidRPr="009C2469" w:rsidRDefault="000D1E7C" w:rsidP="00FF72CE">
            <w:pPr>
              <w:keepNext/>
              <w:keepLines/>
              <w:suppressAutoHyphens w:val="0"/>
              <w:spacing w:before="80" w:after="80" w:line="200" w:lineRule="exact"/>
              <w:jc w:val="right"/>
              <w:rPr>
                <w:i/>
                <w:spacing w:val="4"/>
                <w:w w:val="103"/>
                <w:kern w:val="14"/>
                <w:sz w:val="16"/>
              </w:rPr>
            </w:pPr>
            <w:r w:rsidRPr="009C2469">
              <w:rPr>
                <w:i/>
                <w:spacing w:val="4"/>
                <w:w w:val="103"/>
                <w:kern w:val="14"/>
                <w:sz w:val="16"/>
                <w:lang w:val="fr-FR"/>
              </w:rPr>
              <w:t>18-19 ans</w:t>
            </w:r>
          </w:p>
        </w:tc>
      </w:tr>
      <w:tr w:rsidR="00105E96" w:rsidRPr="00105E96" w:rsidTr="000D1E7C">
        <w:tc>
          <w:tcPr>
            <w:tcW w:w="2482" w:type="dxa"/>
            <w:tcBorders>
              <w:top w:val="single" w:sz="12" w:space="0" w:color="auto"/>
            </w:tcBorders>
            <w:shd w:val="clear" w:color="auto" w:fill="auto"/>
            <w:noWrap/>
            <w:tcMar>
              <w:top w:w="0" w:type="dxa"/>
              <w:left w:w="70" w:type="dxa"/>
              <w:bottom w:w="0" w:type="dxa"/>
              <w:right w:w="70" w:type="dxa"/>
            </w:tcMar>
            <w:hideMark/>
          </w:tcPr>
          <w:p w:rsidR="00BC6837" w:rsidRPr="00105E96" w:rsidRDefault="00BC6837" w:rsidP="00FF72CE">
            <w:pPr>
              <w:keepNext/>
              <w:keepLines/>
              <w:suppressAutoHyphens w:val="0"/>
              <w:spacing w:before="40" w:after="40" w:line="220" w:lineRule="exact"/>
              <w:rPr>
                <w:sz w:val="18"/>
              </w:rPr>
            </w:pPr>
            <w:r w:rsidRPr="00105E96">
              <w:rPr>
                <w:sz w:val="18"/>
                <w:lang w:val="fr-FR"/>
              </w:rPr>
              <w:t>2015</w:t>
            </w:r>
          </w:p>
        </w:tc>
        <w:tc>
          <w:tcPr>
            <w:tcW w:w="1715" w:type="dxa"/>
            <w:tcBorders>
              <w:top w:val="single" w:sz="12" w:space="0" w:color="auto"/>
            </w:tcBorders>
            <w:shd w:val="clear" w:color="auto" w:fill="auto"/>
            <w:noWrap/>
            <w:tcMar>
              <w:top w:w="0" w:type="dxa"/>
              <w:left w:w="70" w:type="dxa"/>
              <w:bottom w:w="0" w:type="dxa"/>
              <w:right w:w="70" w:type="dxa"/>
            </w:tcMar>
            <w:vAlign w:val="bottom"/>
            <w:hideMark/>
          </w:tcPr>
          <w:p w:rsidR="00BC6837" w:rsidRPr="00105E96" w:rsidRDefault="00BC6837" w:rsidP="00FF72CE">
            <w:pPr>
              <w:keepNext/>
              <w:keepLines/>
              <w:suppressAutoHyphens w:val="0"/>
              <w:spacing w:before="40" w:after="40" w:line="220" w:lineRule="exact"/>
              <w:jc w:val="right"/>
              <w:rPr>
                <w:sz w:val="18"/>
              </w:rPr>
            </w:pPr>
            <w:r w:rsidRPr="00105E96">
              <w:rPr>
                <w:sz w:val="18"/>
                <w:lang w:val="fr-FR"/>
              </w:rPr>
              <w:t>2</w:t>
            </w:r>
          </w:p>
        </w:tc>
        <w:tc>
          <w:tcPr>
            <w:tcW w:w="1577" w:type="dxa"/>
            <w:tcBorders>
              <w:top w:val="single" w:sz="12" w:space="0" w:color="auto"/>
            </w:tcBorders>
            <w:shd w:val="clear" w:color="auto" w:fill="auto"/>
            <w:noWrap/>
            <w:tcMar>
              <w:top w:w="0" w:type="dxa"/>
              <w:left w:w="70" w:type="dxa"/>
              <w:bottom w:w="0" w:type="dxa"/>
              <w:right w:w="70" w:type="dxa"/>
            </w:tcMar>
            <w:vAlign w:val="bottom"/>
            <w:hideMark/>
          </w:tcPr>
          <w:p w:rsidR="00BC6837" w:rsidRPr="00105E96" w:rsidRDefault="00BC6837" w:rsidP="00FF72CE">
            <w:pPr>
              <w:keepNext/>
              <w:keepLines/>
              <w:suppressAutoHyphens w:val="0"/>
              <w:spacing w:before="40" w:after="40" w:line="220" w:lineRule="exact"/>
              <w:jc w:val="right"/>
              <w:rPr>
                <w:sz w:val="18"/>
              </w:rPr>
            </w:pPr>
            <w:r w:rsidRPr="00105E96">
              <w:rPr>
                <w:sz w:val="18"/>
                <w:lang w:val="fr-FR"/>
              </w:rPr>
              <w:t>96</w:t>
            </w:r>
          </w:p>
        </w:tc>
        <w:tc>
          <w:tcPr>
            <w:tcW w:w="1596" w:type="dxa"/>
            <w:tcBorders>
              <w:top w:val="single" w:sz="12" w:space="0" w:color="auto"/>
            </w:tcBorders>
            <w:shd w:val="clear" w:color="auto" w:fill="auto"/>
            <w:noWrap/>
            <w:tcMar>
              <w:top w:w="0" w:type="dxa"/>
              <w:left w:w="70" w:type="dxa"/>
              <w:bottom w:w="0" w:type="dxa"/>
              <w:right w:w="70" w:type="dxa"/>
            </w:tcMar>
            <w:vAlign w:val="bottom"/>
            <w:hideMark/>
          </w:tcPr>
          <w:p w:rsidR="00BC6837" w:rsidRPr="00105E96" w:rsidRDefault="00BC6837" w:rsidP="00FF72CE">
            <w:pPr>
              <w:keepNext/>
              <w:keepLines/>
              <w:suppressAutoHyphens w:val="0"/>
              <w:spacing w:before="40" w:after="40" w:line="220" w:lineRule="exact"/>
              <w:jc w:val="right"/>
              <w:rPr>
                <w:sz w:val="18"/>
              </w:rPr>
            </w:pPr>
            <w:r w:rsidRPr="00105E96">
              <w:rPr>
                <w:sz w:val="18"/>
                <w:lang w:val="fr-FR"/>
              </w:rPr>
              <w:t>269</w:t>
            </w:r>
          </w:p>
        </w:tc>
      </w:tr>
      <w:tr w:rsidR="00105E96" w:rsidRPr="00105E96" w:rsidTr="00105E96">
        <w:tc>
          <w:tcPr>
            <w:tcW w:w="2482" w:type="dxa"/>
            <w:shd w:val="clear" w:color="auto" w:fill="auto"/>
            <w:noWrap/>
            <w:tcMar>
              <w:top w:w="0" w:type="dxa"/>
              <w:left w:w="70" w:type="dxa"/>
              <w:bottom w:w="0" w:type="dxa"/>
              <w:right w:w="70" w:type="dxa"/>
            </w:tcMar>
            <w:hideMark/>
          </w:tcPr>
          <w:p w:rsidR="00BC6837" w:rsidRPr="00105E96" w:rsidRDefault="00BC6837" w:rsidP="00FF72CE">
            <w:pPr>
              <w:keepNext/>
              <w:keepLines/>
              <w:suppressAutoHyphens w:val="0"/>
              <w:spacing w:before="40" w:after="40" w:line="220" w:lineRule="exact"/>
              <w:rPr>
                <w:sz w:val="18"/>
              </w:rPr>
            </w:pPr>
            <w:r w:rsidRPr="00105E96">
              <w:rPr>
                <w:sz w:val="18"/>
                <w:lang w:val="fr-FR"/>
              </w:rPr>
              <w:t>2016</w:t>
            </w:r>
          </w:p>
        </w:tc>
        <w:tc>
          <w:tcPr>
            <w:tcW w:w="1715" w:type="dxa"/>
            <w:shd w:val="clear" w:color="auto" w:fill="auto"/>
            <w:noWrap/>
            <w:tcMar>
              <w:top w:w="0" w:type="dxa"/>
              <w:left w:w="70" w:type="dxa"/>
              <w:bottom w:w="0" w:type="dxa"/>
              <w:right w:w="70" w:type="dxa"/>
            </w:tcMar>
            <w:vAlign w:val="bottom"/>
            <w:hideMark/>
          </w:tcPr>
          <w:p w:rsidR="00BC6837" w:rsidRPr="00105E96" w:rsidRDefault="00BC6837" w:rsidP="00FF72CE">
            <w:pPr>
              <w:keepNext/>
              <w:keepLines/>
              <w:suppressAutoHyphens w:val="0"/>
              <w:spacing w:before="40" w:after="40" w:line="220" w:lineRule="exact"/>
              <w:jc w:val="right"/>
              <w:rPr>
                <w:sz w:val="18"/>
              </w:rPr>
            </w:pPr>
            <w:r w:rsidRPr="00105E96">
              <w:rPr>
                <w:sz w:val="18"/>
                <w:lang w:val="fr-FR"/>
              </w:rPr>
              <w:t>5</w:t>
            </w:r>
          </w:p>
        </w:tc>
        <w:tc>
          <w:tcPr>
            <w:tcW w:w="1577" w:type="dxa"/>
            <w:shd w:val="clear" w:color="auto" w:fill="auto"/>
            <w:noWrap/>
            <w:tcMar>
              <w:top w:w="0" w:type="dxa"/>
              <w:left w:w="70" w:type="dxa"/>
              <w:bottom w:w="0" w:type="dxa"/>
              <w:right w:w="70" w:type="dxa"/>
            </w:tcMar>
            <w:vAlign w:val="bottom"/>
            <w:hideMark/>
          </w:tcPr>
          <w:p w:rsidR="00BC6837" w:rsidRPr="00105E96" w:rsidRDefault="00BC6837" w:rsidP="00FF72CE">
            <w:pPr>
              <w:keepNext/>
              <w:keepLines/>
              <w:suppressAutoHyphens w:val="0"/>
              <w:spacing w:before="40" w:after="40" w:line="220" w:lineRule="exact"/>
              <w:jc w:val="right"/>
              <w:rPr>
                <w:sz w:val="18"/>
              </w:rPr>
            </w:pPr>
            <w:r w:rsidRPr="00105E96">
              <w:rPr>
                <w:sz w:val="18"/>
                <w:lang w:val="fr-FR"/>
              </w:rPr>
              <w:t>77</w:t>
            </w:r>
          </w:p>
        </w:tc>
        <w:tc>
          <w:tcPr>
            <w:tcW w:w="1596" w:type="dxa"/>
            <w:shd w:val="clear" w:color="auto" w:fill="auto"/>
            <w:noWrap/>
            <w:tcMar>
              <w:top w:w="0" w:type="dxa"/>
              <w:left w:w="70" w:type="dxa"/>
              <w:bottom w:w="0" w:type="dxa"/>
              <w:right w:w="70" w:type="dxa"/>
            </w:tcMar>
            <w:vAlign w:val="bottom"/>
            <w:hideMark/>
          </w:tcPr>
          <w:p w:rsidR="00BC6837" w:rsidRPr="00105E96" w:rsidRDefault="00BC6837" w:rsidP="00FF72CE">
            <w:pPr>
              <w:keepNext/>
              <w:keepLines/>
              <w:suppressAutoHyphens w:val="0"/>
              <w:spacing w:before="40" w:after="40" w:line="220" w:lineRule="exact"/>
              <w:jc w:val="right"/>
              <w:rPr>
                <w:sz w:val="18"/>
              </w:rPr>
            </w:pPr>
            <w:r w:rsidRPr="00105E96">
              <w:rPr>
                <w:sz w:val="18"/>
                <w:lang w:val="fr-FR"/>
              </w:rPr>
              <w:t>228</w:t>
            </w:r>
          </w:p>
        </w:tc>
      </w:tr>
      <w:tr w:rsidR="00105E96" w:rsidRPr="00105E96" w:rsidTr="00105E96">
        <w:tc>
          <w:tcPr>
            <w:tcW w:w="2482" w:type="dxa"/>
            <w:tcBorders>
              <w:bottom w:val="single" w:sz="12" w:space="0" w:color="auto"/>
            </w:tcBorders>
            <w:shd w:val="clear" w:color="auto" w:fill="auto"/>
            <w:noWrap/>
            <w:tcMar>
              <w:top w:w="0" w:type="dxa"/>
              <w:left w:w="70" w:type="dxa"/>
              <w:bottom w:w="0" w:type="dxa"/>
              <w:right w:w="70" w:type="dxa"/>
            </w:tcMar>
            <w:hideMark/>
          </w:tcPr>
          <w:p w:rsidR="00BC6837" w:rsidRPr="00105E96" w:rsidRDefault="00BC6837" w:rsidP="00105E96">
            <w:pPr>
              <w:suppressAutoHyphens w:val="0"/>
              <w:spacing w:before="40" w:after="40" w:line="220" w:lineRule="exact"/>
              <w:rPr>
                <w:sz w:val="18"/>
              </w:rPr>
            </w:pPr>
            <w:r w:rsidRPr="00105E96">
              <w:rPr>
                <w:sz w:val="18"/>
                <w:lang w:val="fr-FR"/>
              </w:rPr>
              <w:t>2017</w:t>
            </w:r>
          </w:p>
        </w:tc>
        <w:tc>
          <w:tcPr>
            <w:tcW w:w="1715" w:type="dxa"/>
            <w:tcBorders>
              <w:bottom w:val="single" w:sz="12" w:space="0" w:color="auto"/>
            </w:tcBorders>
            <w:shd w:val="clear" w:color="auto" w:fill="auto"/>
            <w:noWrap/>
            <w:tcMar>
              <w:top w:w="0" w:type="dxa"/>
              <w:left w:w="70" w:type="dxa"/>
              <w:bottom w:w="0" w:type="dxa"/>
              <w:right w:w="70" w:type="dxa"/>
            </w:tcMar>
            <w:vAlign w:val="bottom"/>
            <w:hideMark/>
          </w:tcPr>
          <w:p w:rsidR="00BC6837" w:rsidRPr="00105E96" w:rsidRDefault="00BC6837" w:rsidP="00105E96">
            <w:pPr>
              <w:suppressAutoHyphens w:val="0"/>
              <w:spacing w:before="40" w:after="40" w:line="220" w:lineRule="exact"/>
              <w:jc w:val="right"/>
              <w:rPr>
                <w:sz w:val="18"/>
              </w:rPr>
            </w:pPr>
            <w:r w:rsidRPr="00105E96">
              <w:rPr>
                <w:sz w:val="18"/>
                <w:lang w:val="fr-FR"/>
              </w:rPr>
              <w:t>1</w:t>
            </w:r>
          </w:p>
        </w:tc>
        <w:tc>
          <w:tcPr>
            <w:tcW w:w="1577" w:type="dxa"/>
            <w:tcBorders>
              <w:bottom w:val="single" w:sz="12" w:space="0" w:color="auto"/>
            </w:tcBorders>
            <w:shd w:val="clear" w:color="auto" w:fill="auto"/>
            <w:noWrap/>
            <w:tcMar>
              <w:top w:w="0" w:type="dxa"/>
              <w:left w:w="70" w:type="dxa"/>
              <w:bottom w:w="0" w:type="dxa"/>
              <w:right w:w="70" w:type="dxa"/>
            </w:tcMar>
            <w:vAlign w:val="bottom"/>
            <w:hideMark/>
          </w:tcPr>
          <w:p w:rsidR="00BC6837" w:rsidRPr="00105E96" w:rsidRDefault="00BC6837" w:rsidP="00105E96">
            <w:pPr>
              <w:suppressAutoHyphens w:val="0"/>
              <w:spacing w:before="40" w:after="40" w:line="220" w:lineRule="exact"/>
              <w:jc w:val="right"/>
              <w:rPr>
                <w:sz w:val="18"/>
              </w:rPr>
            </w:pPr>
            <w:r w:rsidRPr="00105E96">
              <w:rPr>
                <w:sz w:val="18"/>
                <w:lang w:val="fr-FR"/>
              </w:rPr>
              <w:t>74</w:t>
            </w:r>
          </w:p>
        </w:tc>
        <w:tc>
          <w:tcPr>
            <w:tcW w:w="1596" w:type="dxa"/>
            <w:tcBorders>
              <w:bottom w:val="single" w:sz="12" w:space="0" w:color="auto"/>
            </w:tcBorders>
            <w:shd w:val="clear" w:color="auto" w:fill="auto"/>
            <w:noWrap/>
            <w:tcMar>
              <w:top w:w="0" w:type="dxa"/>
              <w:left w:w="70" w:type="dxa"/>
              <w:bottom w:w="0" w:type="dxa"/>
              <w:right w:w="70" w:type="dxa"/>
            </w:tcMar>
            <w:vAlign w:val="bottom"/>
            <w:hideMark/>
          </w:tcPr>
          <w:p w:rsidR="00BC6837" w:rsidRPr="00105E96" w:rsidRDefault="00BC6837" w:rsidP="00105E96">
            <w:pPr>
              <w:suppressAutoHyphens w:val="0"/>
              <w:spacing w:before="40" w:after="40" w:line="220" w:lineRule="exact"/>
              <w:jc w:val="right"/>
              <w:rPr>
                <w:sz w:val="18"/>
              </w:rPr>
            </w:pPr>
            <w:r w:rsidRPr="00105E96">
              <w:rPr>
                <w:sz w:val="18"/>
                <w:lang w:val="fr-FR"/>
              </w:rPr>
              <w:t>220</w:t>
            </w:r>
          </w:p>
        </w:tc>
      </w:tr>
    </w:tbl>
    <w:p w:rsidR="00BC6837" w:rsidRPr="007D1229" w:rsidRDefault="00BC6837" w:rsidP="00105E96">
      <w:pPr>
        <w:pStyle w:val="SingleTxtG"/>
        <w:spacing w:before="120"/>
      </w:pPr>
      <w:r w:rsidRPr="007D1229">
        <w:rPr>
          <w:lang w:val="fr-FR"/>
        </w:rPr>
        <w:t>98.</w:t>
      </w:r>
      <w:r w:rsidRPr="007D1229">
        <w:rPr>
          <w:lang w:val="fr-FR"/>
        </w:rPr>
        <w:tab/>
        <w:t>L</w:t>
      </w:r>
      <w:r>
        <w:rPr>
          <w:lang w:val="fr-FR"/>
        </w:rPr>
        <w:t>’</w:t>
      </w:r>
      <w:r w:rsidRPr="007D1229">
        <w:rPr>
          <w:lang w:val="fr-FR"/>
        </w:rPr>
        <w:t>école est obligatoire jusqu</w:t>
      </w:r>
      <w:r>
        <w:rPr>
          <w:lang w:val="fr-FR"/>
        </w:rPr>
        <w:t>’</w:t>
      </w:r>
      <w:r w:rsidRPr="007D1229">
        <w:rPr>
          <w:lang w:val="fr-FR"/>
        </w:rPr>
        <w:t>à l</w:t>
      </w:r>
      <w:r>
        <w:rPr>
          <w:lang w:val="fr-FR"/>
        </w:rPr>
        <w:t>’</w:t>
      </w:r>
      <w:r w:rsidRPr="007D1229">
        <w:rPr>
          <w:lang w:val="fr-FR"/>
        </w:rPr>
        <w:t>âge de 17</w:t>
      </w:r>
      <w:r w:rsidR="00105E96">
        <w:rPr>
          <w:lang w:val="fr-FR"/>
        </w:rPr>
        <w:t> </w:t>
      </w:r>
      <w:r w:rsidRPr="007D1229">
        <w:rPr>
          <w:lang w:val="fr-FR"/>
        </w:rPr>
        <w:t xml:space="preserve">ans. Si un élève ne peut </w:t>
      </w:r>
      <w:r>
        <w:rPr>
          <w:lang w:val="fr-FR"/>
        </w:rPr>
        <w:t>aller</w:t>
      </w:r>
      <w:r w:rsidRPr="007D1229">
        <w:rPr>
          <w:lang w:val="fr-FR"/>
        </w:rPr>
        <w:t xml:space="preserve"> à l</w:t>
      </w:r>
      <w:r>
        <w:rPr>
          <w:lang w:val="fr-FR"/>
        </w:rPr>
        <w:t>’</w:t>
      </w:r>
      <w:r w:rsidRPr="007D1229">
        <w:rPr>
          <w:lang w:val="fr-FR"/>
        </w:rPr>
        <w:t>école, d</w:t>
      </w:r>
      <w:r>
        <w:rPr>
          <w:lang w:val="fr-FR"/>
        </w:rPr>
        <w:t>’</w:t>
      </w:r>
      <w:r w:rsidRPr="007D1229">
        <w:rPr>
          <w:lang w:val="fr-FR"/>
        </w:rPr>
        <w:t>autres solutions existent, comme des programmes scolaires individualisés, la scolarisation à domicile et la scolarisation en journée dans un établissement d</w:t>
      </w:r>
      <w:r w:rsidR="00105E96">
        <w:rPr>
          <w:lang w:val="fr-FR"/>
        </w:rPr>
        <w:t>u secondaire pour adultes.</w:t>
      </w:r>
    </w:p>
    <w:p w:rsidR="00BC6837" w:rsidRPr="007D1229" w:rsidRDefault="00BC6837" w:rsidP="00105E96">
      <w:pPr>
        <w:pStyle w:val="H23G"/>
      </w:pPr>
      <w:r w:rsidRPr="007D1229">
        <w:rPr>
          <w:lang w:val="fr-FR"/>
        </w:rPr>
        <w:tab/>
      </w:r>
      <w:r w:rsidRPr="007D1229">
        <w:rPr>
          <w:lang w:val="fr-FR"/>
        </w:rPr>
        <w:tab/>
        <w:t>Santé mentale</w:t>
      </w:r>
    </w:p>
    <w:p w:rsidR="00BC6837" w:rsidRPr="007D1229" w:rsidRDefault="00BC6837" w:rsidP="00BC6837">
      <w:pPr>
        <w:pStyle w:val="SingleTxtG"/>
      </w:pPr>
      <w:r w:rsidRPr="007D1229">
        <w:rPr>
          <w:lang w:val="fr-FR"/>
        </w:rPr>
        <w:t>99.</w:t>
      </w:r>
      <w:r w:rsidRPr="007D1229">
        <w:rPr>
          <w:lang w:val="fr-FR"/>
        </w:rPr>
        <w:tab/>
        <w:t>Le système d</w:t>
      </w:r>
      <w:r>
        <w:rPr>
          <w:lang w:val="fr-FR"/>
        </w:rPr>
        <w:t>’</w:t>
      </w:r>
      <w:r w:rsidRPr="007D1229">
        <w:rPr>
          <w:lang w:val="fr-FR"/>
        </w:rPr>
        <w:t>assurance maladie prend en charge l</w:t>
      </w:r>
      <w:r>
        <w:rPr>
          <w:lang w:val="fr-FR"/>
        </w:rPr>
        <w:t>’</w:t>
      </w:r>
      <w:r w:rsidRPr="007D1229">
        <w:rPr>
          <w:lang w:val="fr-FR"/>
        </w:rPr>
        <w:t>assistance psychiatrique pour toute personne couverte par l</w:t>
      </w:r>
      <w:r>
        <w:rPr>
          <w:lang w:val="fr-FR"/>
        </w:rPr>
        <w:t>’</w:t>
      </w:r>
      <w:r w:rsidRPr="007D1229">
        <w:rPr>
          <w:lang w:val="fr-FR"/>
        </w:rPr>
        <w:t>assurance. Cette aide, comme toute autre forme d</w:t>
      </w:r>
      <w:r>
        <w:rPr>
          <w:lang w:val="fr-FR"/>
        </w:rPr>
        <w:t>’</w:t>
      </w:r>
      <w:r w:rsidRPr="007D1229">
        <w:rPr>
          <w:lang w:val="fr-FR"/>
        </w:rPr>
        <w:t>assistance médicale, est un droit pour tous</w:t>
      </w:r>
      <w:r>
        <w:rPr>
          <w:lang w:val="fr-FR"/>
        </w:rPr>
        <w:t>,</w:t>
      </w:r>
      <w:r w:rsidRPr="007D1229">
        <w:rPr>
          <w:lang w:val="fr-FR"/>
        </w:rPr>
        <w:t xml:space="preserve"> qui doit faire l</w:t>
      </w:r>
      <w:r>
        <w:rPr>
          <w:lang w:val="fr-FR"/>
        </w:rPr>
        <w:t>’</w:t>
      </w:r>
      <w:r w:rsidRPr="007D1229">
        <w:rPr>
          <w:lang w:val="fr-FR"/>
        </w:rPr>
        <w:t>objet d</w:t>
      </w:r>
      <w:r>
        <w:rPr>
          <w:lang w:val="fr-FR"/>
        </w:rPr>
        <w:t>’</w:t>
      </w:r>
      <w:r w:rsidRPr="007D1229">
        <w:rPr>
          <w:lang w:val="fr-FR"/>
        </w:rPr>
        <w:t xml:space="preserve">un consentement de la part de la personne concernée, sauf pour les cas prévus par la loi et </w:t>
      </w:r>
      <w:r>
        <w:rPr>
          <w:lang w:val="fr-FR"/>
        </w:rPr>
        <w:t xml:space="preserve">sur </w:t>
      </w:r>
      <w:r w:rsidRPr="007D1229">
        <w:rPr>
          <w:lang w:val="fr-FR"/>
        </w:rPr>
        <w:t>autorisation de la justice. L</w:t>
      </w:r>
      <w:r>
        <w:rPr>
          <w:lang w:val="fr-FR"/>
        </w:rPr>
        <w:t>’</w:t>
      </w:r>
      <w:r w:rsidRPr="007D1229">
        <w:rPr>
          <w:lang w:val="fr-FR"/>
        </w:rPr>
        <w:t>aide psychiatrique d</w:t>
      </w:r>
      <w:r>
        <w:rPr>
          <w:lang w:val="fr-FR"/>
        </w:rPr>
        <w:t>’</w:t>
      </w:r>
      <w:r w:rsidRPr="007D1229">
        <w:rPr>
          <w:lang w:val="fr-FR"/>
        </w:rPr>
        <w:t>urgence est garantie pour tous.</w:t>
      </w:r>
    </w:p>
    <w:p w:rsidR="00BC6837" w:rsidRPr="007D1229" w:rsidRDefault="00BC6837" w:rsidP="00BC6837">
      <w:pPr>
        <w:pStyle w:val="SingleTxtG"/>
      </w:pPr>
      <w:r w:rsidRPr="007D1229">
        <w:rPr>
          <w:lang w:val="fr-FR"/>
        </w:rPr>
        <w:t>100.</w:t>
      </w:r>
      <w:r w:rsidRPr="007D1229">
        <w:rPr>
          <w:lang w:val="fr-FR"/>
        </w:rPr>
        <w:tab/>
        <w:t>L</w:t>
      </w:r>
      <w:r>
        <w:rPr>
          <w:lang w:val="fr-FR"/>
        </w:rPr>
        <w:t>’</w:t>
      </w:r>
      <w:r w:rsidRPr="007D1229">
        <w:rPr>
          <w:lang w:val="fr-FR"/>
        </w:rPr>
        <w:t xml:space="preserve">État </w:t>
      </w:r>
      <w:r>
        <w:rPr>
          <w:lang w:val="fr-FR"/>
        </w:rPr>
        <w:t>met en œuvre</w:t>
      </w:r>
      <w:r w:rsidRPr="007D1229">
        <w:rPr>
          <w:lang w:val="fr-FR"/>
        </w:rPr>
        <w:t xml:space="preserve"> les engagements volontaires pris dans la Stratégie pour la santé mentale 2016-2025 et finance les activités de la Coalition pour la santé mentale, qui s</w:t>
      </w:r>
      <w:r>
        <w:rPr>
          <w:lang w:val="fr-FR"/>
        </w:rPr>
        <w:t>’</w:t>
      </w:r>
      <w:r w:rsidRPr="007D1229">
        <w:rPr>
          <w:lang w:val="fr-FR"/>
        </w:rPr>
        <w:t>emploie à concrétiser les objectifs fixés dans ce document. Cette stratégie n</w:t>
      </w:r>
      <w:r>
        <w:rPr>
          <w:lang w:val="fr-FR"/>
        </w:rPr>
        <w:t>’</w:t>
      </w:r>
      <w:r w:rsidRPr="007D1229">
        <w:rPr>
          <w:lang w:val="fr-FR"/>
        </w:rPr>
        <w:t>est pas un document pour le développement approuvé au niveau de l</w:t>
      </w:r>
      <w:r>
        <w:rPr>
          <w:lang w:val="fr-FR"/>
        </w:rPr>
        <w:t>’</w:t>
      </w:r>
      <w:r w:rsidRPr="007D1229">
        <w:rPr>
          <w:lang w:val="fr-FR"/>
        </w:rPr>
        <w:t xml:space="preserve">État et </w:t>
      </w:r>
      <w:r>
        <w:rPr>
          <w:lang w:val="fr-FR"/>
        </w:rPr>
        <w:t>n’entraîne</w:t>
      </w:r>
      <w:r w:rsidRPr="007D1229">
        <w:rPr>
          <w:lang w:val="fr-FR"/>
        </w:rPr>
        <w:t xml:space="preserve"> aucune obligation. </w:t>
      </w:r>
      <w:r>
        <w:rPr>
          <w:lang w:val="fr-FR"/>
        </w:rPr>
        <w:t>É</w:t>
      </w:r>
      <w:r w:rsidRPr="007D1229">
        <w:rPr>
          <w:lang w:val="fr-FR"/>
        </w:rPr>
        <w:t>laboré</w:t>
      </w:r>
      <w:r>
        <w:rPr>
          <w:lang w:val="fr-FR"/>
        </w:rPr>
        <w:t>e</w:t>
      </w:r>
      <w:r w:rsidRPr="007D1229">
        <w:rPr>
          <w:lang w:val="fr-FR"/>
        </w:rPr>
        <w:t xml:space="preserve"> par des experts estoniens de la santé mentale</w:t>
      </w:r>
      <w:r>
        <w:rPr>
          <w:lang w:val="fr-FR"/>
        </w:rPr>
        <w:t>, elle</w:t>
      </w:r>
      <w:r w:rsidRPr="007D1229">
        <w:rPr>
          <w:lang w:val="fr-FR"/>
        </w:rPr>
        <w:t xml:space="preserve"> sert à orienter les activités de planification dans ce domaine.</w:t>
      </w:r>
    </w:p>
    <w:p w:rsidR="00BC6837" w:rsidRPr="00EE6518" w:rsidRDefault="00BC6837" w:rsidP="00BC6837">
      <w:pPr>
        <w:pStyle w:val="SingleTxtG"/>
      </w:pPr>
      <w:r w:rsidRPr="007D1229">
        <w:rPr>
          <w:lang w:val="fr-FR"/>
        </w:rPr>
        <w:t>101.</w:t>
      </w:r>
      <w:r w:rsidRPr="007D1229">
        <w:rPr>
          <w:lang w:val="fr-FR"/>
        </w:rPr>
        <w:tab/>
        <w:t>Les médias jouent un rôle important puisqu</w:t>
      </w:r>
      <w:r>
        <w:rPr>
          <w:lang w:val="fr-FR"/>
        </w:rPr>
        <w:t>’</w:t>
      </w:r>
      <w:r w:rsidRPr="007D1229">
        <w:rPr>
          <w:lang w:val="fr-FR"/>
        </w:rPr>
        <w:t xml:space="preserve">ils </w:t>
      </w:r>
      <w:r>
        <w:rPr>
          <w:lang w:val="fr-FR"/>
        </w:rPr>
        <w:t>sensibilisent l’opinion</w:t>
      </w:r>
      <w:r w:rsidRPr="007D1229">
        <w:rPr>
          <w:lang w:val="fr-FR"/>
        </w:rPr>
        <w:t xml:space="preserve"> publi</w:t>
      </w:r>
      <w:r>
        <w:rPr>
          <w:lang w:val="fr-FR"/>
        </w:rPr>
        <w:t>que au problème du</w:t>
      </w:r>
      <w:r w:rsidRPr="007D1229">
        <w:rPr>
          <w:lang w:val="fr-FR"/>
        </w:rPr>
        <w:t xml:space="preserve"> suicide</w:t>
      </w:r>
      <w:r>
        <w:rPr>
          <w:lang w:val="fr-FR"/>
        </w:rPr>
        <w:t>. D</w:t>
      </w:r>
      <w:r w:rsidRPr="007D1229">
        <w:rPr>
          <w:lang w:val="fr-FR"/>
        </w:rPr>
        <w:t xml:space="preserve">ifférents ateliers et séminaires ont </w:t>
      </w:r>
      <w:r>
        <w:rPr>
          <w:lang w:val="fr-FR"/>
        </w:rPr>
        <w:t xml:space="preserve">donc </w:t>
      </w:r>
      <w:r w:rsidRPr="007D1229">
        <w:rPr>
          <w:lang w:val="fr-FR"/>
        </w:rPr>
        <w:t>été organisés à l</w:t>
      </w:r>
      <w:r>
        <w:rPr>
          <w:lang w:val="fr-FR"/>
        </w:rPr>
        <w:t>’</w:t>
      </w:r>
      <w:r w:rsidRPr="007D1229">
        <w:rPr>
          <w:lang w:val="fr-FR"/>
        </w:rPr>
        <w:t>intention des journalistes sur la manière d</w:t>
      </w:r>
      <w:r>
        <w:rPr>
          <w:lang w:val="fr-FR"/>
        </w:rPr>
        <w:t>’</w:t>
      </w:r>
      <w:r w:rsidRPr="007D1229">
        <w:rPr>
          <w:lang w:val="fr-FR"/>
        </w:rPr>
        <w:t>aborder ce sujet dans les médias. L</w:t>
      </w:r>
      <w:r>
        <w:rPr>
          <w:lang w:val="fr-FR"/>
        </w:rPr>
        <w:t>’</w:t>
      </w:r>
      <w:r w:rsidRPr="007D1229">
        <w:rPr>
          <w:lang w:val="fr-FR"/>
        </w:rPr>
        <w:t>État finance également un service d</w:t>
      </w:r>
      <w:r>
        <w:rPr>
          <w:lang w:val="fr-FR"/>
        </w:rPr>
        <w:t>’</w:t>
      </w:r>
      <w:r w:rsidRPr="007D1229">
        <w:rPr>
          <w:lang w:val="fr-FR"/>
        </w:rPr>
        <w:t xml:space="preserve">aide en ligne car </w:t>
      </w:r>
      <w:r>
        <w:rPr>
          <w:lang w:val="fr-FR"/>
        </w:rPr>
        <w:t>il s’agit d’un moyen facile de surmonter les obstacles qui empêchent les personnes de demander une aide thérapeutique</w:t>
      </w:r>
      <w:r w:rsidRPr="007D1229">
        <w:rPr>
          <w:lang w:val="fr-FR"/>
        </w:rPr>
        <w:t>.</w:t>
      </w:r>
    </w:p>
    <w:p w:rsidR="00BC6837" w:rsidRPr="007D1229" w:rsidRDefault="00BC6837" w:rsidP="00DC4AB5">
      <w:pPr>
        <w:pStyle w:val="H23G"/>
      </w:pPr>
      <w:r w:rsidRPr="007D1229">
        <w:rPr>
          <w:lang w:val="fr-FR"/>
        </w:rPr>
        <w:tab/>
      </w:r>
      <w:r w:rsidRPr="007D1229">
        <w:rPr>
          <w:lang w:val="fr-FR"/>
        </w:rPr>
        <w:tab/>
        <w:t>Livre blanc sur la prévention de la toxicomanie</w:t>
      </w:r>
    </w:p>
    <w:p w:rsidR="00BC6837" w:rsidRPr="007D1229" w:rsidRDefault="00BC6837" w:rsidP="00BC6837">
      <w:pPr>
        <w:pStyle w:val="SingleTxtG"/>
      </w:pPr>
      <w:r w:rsidRPr="007D1229">
        <w:rPr>
          <w:lang w:val="fr-FR"/>
        </w:rPr>
        <w:t>102.</w:t>
      </w:r>
      <w:r w:rsidRPr="007D1229">
        <w:rPr>
          <w:lang w:val="fr-FR"/>
        </w:rPr>
        <w:tab/>
        <w:t>Indicateur 1</w:t>
      </w:r>
      <w:r w:rsidR="00DC4AB5">
        <w:rPr>
          <w:lang w:val="fr-FR"/>
        </w:rPr>
        <w:t> </w:t>
      </w:r>
      <w:r w:rsidRPr="007D1229">
        <w:rPr>
          <w:lang w:val="fr-FR"/>
        </w:rPr>
        <w:t>: réduction des décès par overdose. L</w:t>
      </w:r>
      <w:r>
        <w:rPr>
          <w:lang w:val="fr-FR"/>
        </w:rPr>
        <w:t>’</w:t>
      </w:r>
      <w:r w:rsidRPr="007D1229">
        <w:rPr>
          <w:lang w:val="fr-FR"/>
        </w:rPr>
        <w:t>objectif de passer en dessous de la barre des 80</w:t>
      </w:r>
      <w:r w:rsidR="00DC4AB5">
        <w:rPr>
          <w:lang w:val="fr-FR"/>
        </w:rPr>
        <w:t> </w:t>
      </w:r>
      <w:r w:rsidRPr="007D1229">
        <w:rPr>
          <w:lang w:val="fr-FR"/>
        </w:rPr>
        <w:t>décès par overdose par an n</w:t>
      </w:r>
      <w:r>
        <w:rPr>
          <w:lang w:val="fr-FR"/>
        </w:rPr>
        <w:t>’</w:t>
      </w:r>
      <w:r w:rsidRPr="007D1229">
        <w:rPr>
          <w:lang w:val="fr-FR"/>
        </w:rPr>
        <w:t xml:space="preserve">a pas été atteint. </w:t>
      </w:r>
      <w:r>
        <w:rPr>
          <w:lang w:val="fr-FR"/>
        </w:rPr>
        <w:t>On en a recensé</w:t>
      </w:r>
      <w:r w:rsidRPr="007D1229">
        <w:rPr>
          <w:lang w:val="fr-FR"/>
        </w:rPr>
        <w:t xml:space="preserve"> 110 </w:t>
      </w:r>
      <w:r>
        <w:rPr>
          <w:lang w:val="fr-FR"/>
        </w:rPr>
        <w:t xml:space="preserve">en 2017, nombre qui </w:t>
      </w:r>
      <w:r w:rsidRPr="007D1229">
        <w:rPr>
          <w:lang w:val="fr-FR"/>
        </w:rPr>
        <w:t xml:space="preserve">est resté stable au cours des dernières années, principalement en raison de la consommation de fentanyl et de produits similaires. Malgré le programme de distribution de naloxone à prendre à domicile, il est difficile de lutter contre un marché de la drogue en constante évolution qui propose </w:t>
      </w:r>
      <w:r>
        <w:rPr>
          <w:lang w:val="fr-FR"/>
        </w:rPr>
        <w:t xml:space="preserve">illégalement </w:t>
      </w:r>
      <w:r w:rsidRPr="007D1229">
        <w:rPr>
          <w:lang w:val="fr-FR"/>
        </w:rPr>
        <w:t>des opioïdes de synthèse très puissants</w:t>
      </w:r>
      <w:r w:rsidR="00DC4AB5">
        <w:rPr>
          <w:lang w:val="fr-FR"/>
        </w:rPr>
        <w:t>.</w:t>
      </w:r>
    </w:p>
    <w:p w:rsidR="00BC6837" w:rsidRPr="007D1229" w:rsidRDefault="00BC6837" w:rsidP="00BC6837">
      <w:pPr>
        <w:pStyle w:val="SingleTxtG"/>
      </w:pPr>
      <w:r w:rsidRPr="007D1229">
        <w:rPr>
          <w:lang w:val="fr-FR"/>
        </w:rPr>
        <w:t>103.</w:t>
      </w:r>
      <w:r w:rsidRPr="007D1229">
        <w:rPr>
          <w:lang w:val="fr-FR"/>
        </w:rPr>
        <w:tab/>
        <w:t>Indicateur 2</w:t>
      </w:r>
      <w:r w:rsidR="00DC4AB5">
        <w:rPr>
          <w:lang w:val="fr-FR"/>
        </w:rPr>
        <w:t> </w:t>
      </w:r>
      <w:r w:rsidRPr="007D1229">
        <w:rPr>
          <w:lang w:val="fr-FR"/>
        </w:rPr>
        <w:t>: réduction, d</w:t>
      </w:r>
      <w:r>
        <w:rPr>
          <w:lang w:val="fr-FR"/>
        </w:rPr>
        <w:t>’</w:t>
      </w:r>
      <w:r w:rsidRPr="007D1229">
        <w:rPr>
          <w:lang w:val="fr-FR"/>
        </w:rPr>
        <w:t>ici à 20</w:t>
      </w:r>
      <w:r w:rsidR="00790CFD">
        <w:rPr>
          <w:lang w:val="fr-FR"/>
        </w:rPr>
        <w:t>1</w:t>
      </w:r>
      <w:r w:rsidRPr="007D1229">
        <w:rPr>
          <w:lang w:val="fr-FR"/>
        </w:rPr>
        <w:t>5, du pourcentage d</w:t>
      </w:r>
      <w:r>
        <w:rPr>
          <w:lang w:val="fr-FR"/>
        </w:rPr>
        <w:t>’</w:t>
      </w:r>
      <w:r w:rsidRPr="007D1229">
        <w:rPr>
          <w:lang w:val="fr-FR"/>
        </w:rPr>
        <w:t>adolescents entre 15 et 16</w:t>
      </w:r>
      <w:r w:rsidR="00DC4AB5">
        <w:rPr>
          <w:lang w:val="fr-FR"/>
        </w:rPr>
        <w:t> </w:t>
      </w:r>
      <w:r w:rsidRPr="007D1229">
        <w:rPr>
          <w:lang w:val="fr-FR"/>
        </w:rPr>
        <w:t>ans qui ont déjà consommé de la drogue. L</w:t>
      </w:r>
      <w:r>
        <w:rPr>
          <w:lang w:val="fr-FR"/>
        </w:rPr>
        <w:t>’</w:t>
      </w:r>
      <w:r w:rsidRPr="007D1229">
        <w:rPr>
          <w:lang w:val="fr-FR"/>
        </w:rPr>
        <w:t>objectif de ramener le pourcentage d</w:t>
      </w:r>
      <w:r>
        <w:rPr>
          <w:lang w:val="fr-FR"/>
        </w:rPr>
        <w:t>’</w:t>
      </w:r>
      <w:r w:rsidR="00DC4AB5">
        <w:rPr>
          <w:lang w:val="fr-FR"/>
        </w:rPr>
        <w:t>adolescents entre 15 et 16 </w:t>
      </w:r>
      <w:r w:rsidRPr="007D1229">
        <w:rPr>
          <w:lang w:val="fr-FR"/>
        </w:rPr>
        <w:t>ans qui ont déjà consommé de la drogue à 24</w:t>
      </w:r>
      <w:r w:rsidR="00DC4AB5">
        <w:rPr>
          <w:lang w:val="fr-FR"/>
        </w:rPr>
        <w:t> </w:t>
      </w:r>
      <w:r w:rsidRPr="007D1229">
        <w:rPr>
          <w:lang w:val="fr-FR"/>
        </w:rPr>
        <w:t>% (et à 10</w:t>
      </w:r>
      <w:r w:rsidR="00DC4AB5">
        <w:rPr>
          <w:lang w:val="fr-FR"/>
        </w:rPr>
        <w:t> </w:t>
      </w:r>
      <w:r w:rsidRPr="007D1229">
        <w:rPr>
          <w:lang w:val="fr-FR"/>
        </w:rPr>
        <w:t>% pour le cannabis) n</w:t>
      </w:r>
      <w:r>
        <w:rPr>
          <w:lang w:val="fr-FR"/>
        </w:rPr>
        <w:t>’</w:t>
      </w:r>
      <w:r w:rsidRPr="007D1229">
        <w:rPr>
          <w:lang w:val="fr-FR"/>
        </w:rPr>
        <w:t>a pas été atteint. Chez les élèves de cette tranche d</w:t>
      </w:r>
      <w:r>
        <w:rPr>
          <w:lang w:val="fr-FR"/>
        </w:rPr>
        <w:t>’</w:t>
      </w:r>
      <w:r w:rsidRPr="007D1229">
        <w:rPr>
          <w:lang w:val="fr-FR"/>
        </w:rPr>
        <w:t xml:space="preserve">âge, les drogues les plus </w:t>
      </w:r>
      <w:r>
        <w:rPr>
          <w:lang w:val="fr-FR"/>
        </w:rPr>
        <w:t>populaires</w:t>
      </w:r>
      <w:r w:rsidRPr="007D1229">
        <w:rPr>
          <w:lang w:val="fr-FR"/>
        </w:rPr>
        <w:t xml:space="preserve"> sont le cannabis (18,9</w:t>
      </w:r>
      <w:r w:rsidR="00DC4AB5">
        <w:rPr>
          <w:lang w:val="fr-FR"/>
        </w:rPr>
        <w:t> </w:t>
      </w:r>
      <w:r w:rsidRPr="007D1229">
        <w:rPr>
          <w:lang w:val="fr-FR"/>
        </w:rPr>
        <w:t xml:space="preserve">%), les substances volatiles et les sédatifs (obtenus sans </w:t>
      </w:r>
      <w:r>
        <w:rPr>
          <w:lang w:val="fr-FR"/>
        </w:rPr>
        <w:t>ordonnance</w:t>
      </w:r>
      <w:r w:rsidRPr="007D1229">
        <w:rPr>
          <w:lang w:val="fr-FR"/>
        </w:rPr>
        <w:t xml:space="preserve"> médicale). En 2015, 3</w:t>
      </w:r>
      <w:r w:rsidR="00DC4AB5">
        <w:rPr>
          <w:lang w:val="fr-FR"/>
        </w:rPr>
        <w:t> </w:t>
      </w:r>
      <w:r w:rsidRPr="007D1229">
        <w:rPr>
          <w:lang w:val="fr-FR"/>
        </w:rPr>
        <w:t>% d</w:t>
      </w:r>
      <w:r>
        <w:rPr>
          <w:lang w:val="fr-FR"/>
        </w:rPr>
        <w:t>’</w:t>
      </w:r>
      <w:r w:rsidRPr="007D1229">
        <w:rPr>
          <w:lang w:val="fr-FR"/>
        </w:rPr>
        <w:t>entre eux consommaient de l</w:t>
      </w:r>
      <w:r>
        <w:rPr>
          <w:lang w:val="fr-FR"/>
        </w:rPr>
        <w:t>’</w:t>
      </w:r>
      <w:r w:rsidRPr="007D1229">
        <w:rPr>
          <w:lang w:val="fr-FR"/>
        </w:rPr>
        <w:t>ecstasy et 2</w:t>
      </w:r>
      <w:r w:rsidR="00DC4AB5">
        <w:rPr>
          <w:lang w:val="fr-FR"/>
        </w:rPr>
        <w:t> </w:t>
      </w:r>
      <w:r w:rsidR="00EB543B">
        <w:rPr>
          <w:lang w:val="fr-FR"/>
        </w:rPr>
        <w:t>% des amphétamines (</w:t>
      </w:r>
      <w:r w:rsidRPr="007D1229">
        <w:rPr>
          <w:lang w:val="fr-FR"/>
        </w:rPr>
        <w:t>Projet européen d</w:t>
      </w:r>
      <w:r>
        <w:rPr>
          <w:lang w:val="fr-FR"/>
        </w:rPr>
        <w:t>’</w:t>
      </w:r>
      <w:r w:rsidRPr="007D1229">
        <w:rPr>
          <w:lang w:val="fr-FR"/>
        </w:rPr>
        <w:t>enquête en milieu scolaire sur l</w:t>
      </w:r>
      <w:r>
        <w:rPr>
          <w:lang w:val="fr-FR"/>
        </w:rPr>
        <w:t>’</w:t>
      </w:r>
      <w:r w:rsidRPr="007D1229">
        <w:rPr>
          <w:lang w:val="fr-FR"/>
        </w:rPr>
        <w:t>alcool et les autres drogues (enquête ESPAD</w:t>
      </w:r>
      <w:r w:rsidR="00801314">
        <w:rPr>
          <w:lang w:val="fr-FR"/>
        </w:rPr>
        <w:t>)</w:t>
      </w:r>
      <w:r w:rsidRPr="007D1229">
        <w:rPr>
          <w:lang w:val="fr-FR"/>
        </w:rPr>
        <w:t>)</w:t>
      </w:r>
      <w:r w:rsidRPr="00A63F24">
        <w:rPr>
          <w:rStyle w:val="Appelnotedebasdep"/>
        </w:rPr>
        <w:footnoteReference w:id="17"/>
      </w:r>
      <w:r w:rsidR="00EB543B">
        <w:rPr>
          <w:lang w:val="fr-FR"/>
        </w:rPr>
        <w:t>.</w:t>
      </w:r>
    </w:p>
    <w:p w:rsidR="00BC6837" w:rsidRPr="007D1229" w:rsidRDefault="003333C6" w:rsidP="003333C6">
      <w:pPr>
        <w:pStyle w:val="H23G"/>
      </w:pPr>
      <w:r w:rsidRPr="00A6023E">
        <w:rPr>
          <w:b w:val="0"/>
          <w:lang w:val="fr-FR"/>
        </w:rPr>
        <w:lastRenderedPageBreak/>
        <w:tab/>
      </w:r>
      <w:r w:rsidRPr="00A6023E">
        <w:rPr>
          <w:b w:val="0"/>
          <w:lang w:val="fr-FR"/>
        </w:rPr>
        <w:tab/>
      </w:r>
      <w:r w:rsidR="00BC6837" w:rsidRPr="00A6023E">
        <w:rPr>
          <w:b w:val="0"/>
          <w:lang w:val="fr-FR"/>
        </w:rPr>
        <w:t>Figure 1</w:t>
      </w:r>
      <w:r w:rsidR="00BC6837" w:rsidRPr="007D1229">
        <w:rPr>
          <w:lang w:val="fr-FR"/>
        </w:rPr>
        <w:t xml:space="preserve"> </w:t>
      </w:r>
      <w:r>
        <w:rPr>
          <w:lang w:val="fr-FR"/>
        </w:rPr>
        <w:br/>
      </w:r>
      <w:r w:rsidR="00BC6837" w:rsidRPr="007D1229">
        <w:rPr>
          <w:lang w:val="fr-FR"/>
        </w:rPr>
        <w:t>Pourcentage d</w:t>
      </w:r>
      <w:r w:rsidR="00BC6837">
        <w:rPr>
          <w:lang w:val="fr-FR"/>
        </w:rPr>
        <w:t>’</w:t>
      </w:r>
      <w:r w:rsidR="00BC6837" w:rsidRPr="007D1229">
        <w:rPr>
          <w:lang w:val="fr-FR"/>
        </w:rPr>
        <w:t>adolescents entre 15</w:t>
      </w:r>
      <w:r w:rsidR="00A6023E">
        <w:rPr>
          <w:lang w:val="fr-FR"/>
        </w:rPr>
        <w:t xml:space="preserve"> et 16 </w:t>
      </w:r>
      <w:r w:rsidR="00BC6837" w:rsidRPr="007D1229">
        <w:rPr>
          <w:lang w:val="fr-FR"/>
        </w:rPr>
        <w:t xml:space="preserve">ans ayant déjà consommé des drogues illicites, de 1995 à 2015 (enquête ESPAD </w:t>
      </w:r>
      <w:r w:rsidR="00A6023E">
        <w:rPr>
          <w:lang w:val="fr-FR"/>
        </w:rPr>
        <w:t>n</w:t>
      </w:r>
      <w:r w:rsidR="00A6023E" w:rsidRPr="00A6023E">
        <w:rPr>
          <w:vertAlign w:val="superscript"/>
          <w:lang w:val="fr-FR"/>
        </w:rPr>
        <w:t>o</w:t>
      </w:r>
      <w:r w:rsidR="00A6023E">
        <w:rPr>
          <w:lang w:val="fr-FR"/>
        </w:rPr>
        <w:t> 2</w:t>
      </w:r>
      <w:r w:rsidR="00BC6837" w:rsidRPr="007D1229">
        <w:rPr>
          <w:lang w:val="fr-FR"/>
        </w:rPr>
        <w:t>015)</w:t>
      </w:r>
    </w:p>
    <w:p w:rsidR="00BC6837" w:rsidRPr="007D1229" w:rsidRDefault="00BC6837" w:rsidP="00BC6837">
      <w:pPr>
        <w:pStyle w:val="SingleTxtG"/>
      </w:pPr>
      <w:r w:rsidRPr="007D1229">
        <w:rPr>
          <w:noProof/>
          <w:lang w:eastAsia="fr-CH"/>
        </w:rPr>
        <w:drawing>
          <wp:inline distT="0" distB="0" distL="0" distR="0" wp14:anchorId="2413EE7A" wp14:editId="2BB092EA">
            <wp:extent cx="4649190" cy="2345055"/>
            <wp:effectExtent l="0" t="0" r="18415" b="17145"/>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6837" w:rsidRPr="007D1229" w:rsidRDefault="00BC6837" w:rsidP="00BC6837">
      <w:pPr>
        <w:pStyle w:val="SingleTxtG"/>
      </w:pPr>
      <w:r>
        <w:rPr>
          <w:lang w:val="fr-FR"/>
        </w:rPr>
        <w:t>104.</w:t>
      </w:r>
      <w:r>
        <w:rPr>
          <w:lang w:val="fr-FR"/>
        </w:rPr>
        <w:tab/>
        <w:t>Indicateur</w:t>
      </w:r>
      <w:r w:rsidRPr="007D1229">
        <w:rPr>
          <w:lang w:val="fr-FR"/>
        </w:rPr>
        <w:t xml:space="preserve"> 3</w:t>
      </w:r>
      <w:r w:rsidR="00B53495">
        <w:rPr>
          <w:lang w:val="fr-FR"/>
        </w:rPr>
        <w:t> </w:t>
      </w:r>
      <w:r w:rsidRPr="007D1229">
        <w:rPr>
          <w:lang w:val="fr-FR"/>
        </w:rPr>
        <w:t>: diminution de 2</w:t>
      </w:r>
      <w:r w:rsidR="00612030">
        <w:rPr>
          <w:lang w:val="fr-FR"/>
        </w:rPr>
        <w:t> </w:t>
      </w:r>
      <w:r w:rsidRPr="007D1229">
        <w:rPr>
          <w:lang w:val="fr-FR"/>
        </w:rPr>
        <w:t>% par an du nombre d</w:t>
      </w:r>
      <w:r>
        <w:rPr>
          <w:lang w:val="fr-FR"/>
        </w:rPr>
        <w:t>’</w:t>
      </w:r>
      <w:r w:rsidR="00612030">
        <w:rPr>
          <w:lang w:val="fr-FR"/>
        </w:rPr>
        <w:t>adultes (de 18 à 74 </w:t>
      </w:r>
      <w:r w:rsidRPr="007D1229">
        <w:rPr>
          <w:lang w:val="fr-FR"/>
        </w:rPr>
        <w:t>ans) ayant consommé de la drogue</w:t>
      </w:r>
      <w:r w:rsidR="00612030">
        <w:rPr>
          <w:lang w:val="fr-FR"/>
        </w:rPr>
        <w:t xml:space="preserve"> au cours des douze derniers mois.</w:t>
      </w:r>
    </w:p>
    <w:p w:rsidR="00BC6837" w:rsidRPr="007D1229" w:rsidRDefault="00BC6837" w:rsidP="00BC6837">
      <w:pPr>
        <w:pStyle w:val="SingleTxtG"/>
      </w:pPr>
      <w:r w:rsidRPr="007D1229">
        <w:rPr>
          <w:lang w:val="fr-FR"/>
        </w:rPr>
        <w:t>105.</w:t>
      </w:r>
      <w:r w:rsidRPr="007D1229">
        <w:rPr>
          <w:lang w:val="fr-FR"/>
        </w:rPr>
        <w:tab/>
        <w:t>Indicateur 4</w:t>
      </w:r>
      <w:r w:rsidR="00612030">
        <w:rPr>
          <w:lang w:val="fr-FR"/>
        </w:rPr>
        <w:t> </w:t>
      </w:r>
      <w:r w:rsidRPr="007D1229">
        <w:rPr>
          <w:lang w:val="fr-FR"/>
        </w:rPr>
        <w:t>: diminution de 2</w:t>
      </w:r>
      <w:r w:rsidR="00612030">
        <w:rPr>
          <w:lang w:val="fr-FR"/>
        </w:rPr>
        <w:t> </w:t>
      </w:r>
      <w:r w:rsidRPr="007D1229">
        <w:rPr>
          <w:lang w:val="fr-FR"/>
        </w:rPr>
        <w:t xml:space="preserve">% par an </w:t>
      </w:r>
      <w:r w:rsidR="00612030">
        <w:rPr>
          <w:lang w:val="fr-FR"/>
        </w:rPr>
        <w:t>du nombre de mineurs (de 7 à 17 </w:t>
      </w:r>
      <w:r w:rsidRPr="007D1229">
        <w:rPr>
          <w:lang w:val="fr-FR"/>
        </w:rPr>
        <w:t>ans) ayant déjà consommé de la drogue.</w:t>
      </w:r>
    </w:p>
    <w:p w:rsidR="00BC6837" w:rsidRPr="007D1229" w:rsidRDefault="00BC6837" w:rsidP="00BC6837">
      <w:pPr>
        <w:pStyle w:val="SingleTxtG"/>
      </w:pPr>
      <w:r w:rsidRPr="007D1229">
        <w:rPr>
          <w:lang w:val="fr-FR"/>
        </w:rPr>
        <w:t>106.</w:t>
      </w:r>
      <w:r w:rsidRPr="007D1229">
        <w:rPr>
          <w:lang w:val="fr-FR"/>
        </w:rPr>
        <w:tab/>
        <w:t>Ces indicateurs n</w:t>
      </w:r>
      <w:r>
        <w:rPr>
          <w:lang w:val="fr-FR"/>
        </w:rPr>
        <w:t>’</w:t>
      </w:r>
      <w:r w:rsidRPr="007D1229">
        <w:rPr>
          <w:lang w:val="fr-FR"/>
        </w:rPr>
        <w:t>ont pas été mesurés au cours de la période 2012-2018 en raison du nombre insuffisant d</w:t>
      </w:r>
      <w:r>
        <w:rPr>
          <w:lang w:val="fr-FR"/>
        </w:rPr>
        <w:t>’</w:t>
      </w:r>
      <w:r w:rsidRPr="007D1229">
        <w:rPr>
          <w:lang w:val="fr-FR"/>
        </w:rPr>
        <w:t>enquêtes démographiques.</w:t>
      </w:r>
    </w:p>
    <w:p w:rsidR="00BC6837" w:rsidRPr="007D1229" w:rsidRDefault="00BC6837" w:rsidP="00BC6837">
      <w:pPr>
        <w:pStyle w:val="SingleTxtG"/>
      </w:pPr>
      <w:r w:rsidRPr="007D1229">
        <w:rPr>
          <w:lang w:val="fr-FR"/>
        </w:rPr>
        <w:t>107.</w:t>
      </w:r>
      <w:r w:rsidRPr="007D1229">
        <w:rPr>
          <w:lang w:val="fr-FR"/>
        </w:rPr>
        <w:tab/>
        <w:t>La plupart des services de traitement de la toxicomanie sont accessibles aux hommes et aux femmes (à l</w:t>
      </w:r>
      <w:r>
        <w:rPr>
          <w:lang w:val="fr-FR"/>
        </w:rPr>
        <w:t>’</w:t>
      </w:r>
      <w:r w:rsidRPr="007D1229">
        <w:rPr>
          <w:lang w:val="fr-FR"/>
        </w:rPr>
        <w:t>exception d</w:t>
      </w:r>
      <w:r>
        <w:rPr>
          <w:lang w:val="fr-FR"/>
        </w:rPr>
        <w:t>’</w:t>
      </w:r>
      <w:r w:rsidRPr="007D1229">
        <w:rPr>
          <w:lang w:val="fr-FR"/>
        </w:rPr>
        <w:t xml:space="preserve">un centre de réadaptation de longue durée qui se trouve à Sillamäe). Ils sont gratuits pour </w:t>
      </w:r>
      <w:r>
        <w:rPr>
          <w:lang w:val="fr-FR"/>
        </w:rPr>
        <w:t>quiconque</w:t>
      </w:r>
      <w:r w:rsidRPr="007D1229">
        <w:rPr>
          <w:lang w:val="fr-FR"/>
        </w:rPr>
        <w:t xml:space="preserve"> en a besoin, indépendamment de sa couverture médicale.</w:t>
      </w:r>
    </w:p>
    <w:p w:rsidR="00BC6837" w:rsidRPr="007D1229" w:rsidRDefault="00BC6837" w:rsidP="00BC6837">
      <w:pPr>
        <w:pStyle w:val="SingleTxtG"/>
      </w:pPr>
      <w:r w:rsidRPr="007D1229">
        <w:rPr>
          <w:lang w:val="fr-FR"/>
        </w:rPr>
        <w:t>108.</w:t>
      </w:r>
      <w:r w:rsidRPr="007D1229">
        <w:rPr>
          <w:lang w:val="fr-FR"/>
        </w:rPr>
        <w:tab/>
        <w:t>L</w:t>
      </w:r>
      <w:r>
        <w:rPr>
          <w:lang w:val="fr-FR"/>
        </w:rPr>
        <w:t>’</w:t>
      </w:r>
      <w:r w:rsidRPr="007D1229">
        <w:rPr>
          <w:lang w:val="fr-FR"/>
        </w:rPr>
        <w:t xml:space="preserve">Estonie </w:t>
      </w:r>
      <w:r>
        <w:rPr>
          <w:lang w:val="fr-FR"/>
        </w:rPr>
        <w:t>dispose d’</w:t>
      </w:r>
      <w:r w:rsidRPr="007D1229">
        <w:rPr>
          <w:lang w:val="fr-FR"/>
        </w:rPr>
        <w:t>un centre d</w:t>
      </w:r>
      <w:r>
        <w:rPr>
          <w:lang w:val="fr-FR"/>
        </w:rPr>
        <w:t>’</w:t>
      </w:r>
      <w:r w:rsidRPr="007D1229">
        <w:rPr>
          <w:lang w:val="fr-FR"/>
        </w:rPr>
        <w:t xml:space="preserve">accueil pour les </w:t>
      </w:r>
      <w:r>
        <w:rPr>
          <w:lang w:val="fr-FR"/>
        </w:rPr>
        <w:t>travailleurs du sexe</w:t>
      </w:r>
      <w:r w:rsidRPr="007D1229">
        <w:rPr>
          <w:lang w:val="fr-FR"/>
        </w:rPr>
        <w:t xml:space="preserve">, </w:t>
      </w:r>
      <w:r>
        <w:rPr>
          <w:lang w:val="fr-FR"/>
        </w:rPr>
        <w:t>parmi lesquels beaucoup</w:t>
      </w:r>
      <w:r w:rsidRPr="007D1229">
        <w:rPr>
          <w:lang w:val="fr-FR"/>
        </w:rPr>
        <w:t xml:space="preserve"> consomment des drogues illicites. Ce centre </w:t>
      </w:r>
      <w:r>
        <w:rPr>
          <w:lang w:val="fr-FR"/>
        </w:rPr>
        <w:t>met à disposition</w:t>
      </w:r>
      <w:r w:rsidRPr="007D1229">
        <w:rPr>
          <w:lang w:val="fr-FR"/>
        </w:rPr>
        <w:t xml:space="preserve"> des services d</w:t>
      </w:r>
      <w:r>
        <w:rPr>
          <w:lang w:val="fr-FR"/>
        </w:rPr>
        <w:t>’</w:t>
      </w:r>
      <w:r w:rsidRPr="007D1229">
        <w:rPr>
          <w:lang w:val="fr-FR"/>
        </w:rPr>
        <w:t>appui sociopsychologique, des dépistages rapides du VIH, des préservatifs, des tests de grossesse et des seringues si nécessaire.</w:t>
      </w:r>
    </w:p>
    <w:p w:rsidR="00BC6837" w:rsidRPr="007D1229" w:rsidRDefault="00BC6837" w:rsidP="00BC6837">
      <w:pPr>
        <w:pStyle w:val="SingleTxtG"/>
      </w:pPr>
      <w:r w:rsidRPr="007D1229">
        <w:rPr>
          <w:lang w:val="fr-FR"/>
        </w:rPr>
        <w:t>109.</w:t>
      </w:r>
      <w:r w:rsidRPr="007D1229">
        <w:rPr>
          <w:lang w:val="fr-FR"/>
        </w:rPr>
        <w:tab/>
        <w:t>À la fin de l</w:t>
      </w:r>
      <w:r>
        <w:rPr>
          <w:lang w:val="fr-FR"/>
        </w:rPr>
        <w:t>’</w:t>
      </w:r>
      <w:r w:rsidRPr="007D1229">
        <w:rPr>
          <w:lang w:val="fr-FR"/>
        </w:rPr>
        <w:t xml:space="preserve">année 2017, neuf organisations estoniennes </w:t>
      </w:r>
      <w:r>
        <w:rPr>
          <w:lang w:val="fr-FR"/>
        </w:rPr>
        <w:t>proposaient</w:t>
      </w:r>
      <w:r w:rsidRPr="007D1229">
        <w:rPr>
          <w:lang w:val="fr-FR"/>
        </w:rPr>
        <w:t xml:space="preserve"> des services de réduction des risques. Au total, on comptait 34</w:t>
      </w:r>
      <w:r w:rsidR="00612030">
        <w:rPr>
          <w:lang w:val="fr-FR"/>
        </w:rPr>
        <w:t> </w:t>
      </w:r>
      <w:r w:rsidRPr="007D1229">
        <w:rPr>
          <w:lang w:val="fr-FR"/>
        </w:rPr>
        <w:t xml:space="preserve">centres de services dans différentes régions du pays, dont 14 </w:t>
      </w:r>
      <w:r>
        <w:rPr>
          <w:lang w:val="fr-FR"/>
        </w:rPr>
        <w:t>tenaient</w:t>
      </w:r>
      <w:r w:rsidRPr="007D1229">
        <w:rPr>
          <w:lang w:val="fr-FR"/>
        </w:rPr>
        <w:t xml:space="preserve"> des permanences et 20 travaill</w:t>
      </w:r>
      <w:r>
        <w:rPr>
          <w:lang w:val="fr-FR"/>
        </w:rPr>
        <w:t>ai</w:t>
      </w:r>
      <w:r w:rsidRPr="007D1229">
        <w:rPr>
          <w:lang w:val="fr-FR"/>
        </w:rPr>
        <w:t xml:space="preserve">ent sur le terrain. Depuis novembre 2018, deux </w:t>
      </w:r>
      <w:r>
        <w:rPr>
          <w:lang w:val="fr-FR"/>
        </w:rPr>
        <w:t>bus mobiles</w:t>
      </w:r>
      <w:r w:rsidRPr="007D1229">
        <w:rPr>
          <w:lang w:val="fr-FR"/>
        </w:rPr>
        <w:t xml:space="preserve"> de réduction des risques </w:t>
      </w:r>
      <w:r>
        <w:rPr>
          <w:lang w:val="fr-FR"/>
        </w:rPr>
        <w:t>supplémentaires ont été mis</w:t>
      </w:r>
      <w:r w:rsidRPr="007D1229">
        <w:rPr>
          <w:lang w:val="fr-FR"/>
        </w:rPr>
        <w:t xml:space="preserve"> en </w:t>
      </w:r>
      <w:r>
        <w:rPr>
          <w:lang w:val="fr-FR"/>
        </w:rPr>
        <w:t>service</w:t>
      </w:r>
      <w:r w:rsidRPr="007D1229">
        <w:rPr>
          <w:lang w:val="fr-FR"/>
        </w:rPr>
        <w:t>. La plupart de ces services se trouvent dans les comtés de Harju et d</w:t>
      </w:r>
      <w:r>
        <w:rPr>
          <w:lang w:val="fr-FR"/>
        </w:rPr>
        <w:t>’</w:t>
      </w:r>
      <w:r w:rsidRPr="007D1229">
        <w:rPr>
          <w:lang w:val="fr-FR"/>
        </w:rPr>
        <w:t>Ida-Viru, mais sont également disponibles à Tapa, Pärnu et Paide</w:t>
      </w:r>
      <w:r w:rsidR="00612030">
        <w:rPr>
          <w:lang w:val="fr-FR"/>
        </w:rPr>
        <w:t xml:space="preserve"> (fig. </w:t>
      </w:r>
      <w:r w:rsidRPr="007D1229">
        <w:rPr>
          <w:lang w:val="fr-FR"/>
        </w:rPr>
        <w:t>2).</w:t>
      </w:r>
    </w:p>
    <w:p w:rsidR="00BC6837" w:rsidRPr="007D1229" w:rsidRDefault="009028CB" w:rsidP="00FA648F">
      <w:pPr>
        <w:pStyle w:val="H23G"/>
      </w:pPr>
      <w:r w:rsidRPr="009028CB">
        <w:rPr>
          <w:b w:val="0"/>
          <w:lang w:val="fr-FR"/>
        </w:rPr>
        <w:lastRenderedPageBreak/>
        <w:tab/>
      </w:r>
      <w:r w:rsidRPr="009028CB">
        <w:rPr>
          <w:b w:val="0"/>
          <w:lang w:val="fr-FR"/>
        </w:rPr>
        <w:tab/>
      </w:r>
      <w:r w:rsidR="00BC6837" w:rsidRPr="009028CB">
        <w:rPr>
          <w:b w:val="0"/>
          <w:lang w:val="fr-FR"/>
        </w:rPr>
        <w:t>Figure 2</w:t>
      </w:r>
      <w:r w:rsidR="00BC6837" w:rsidRPr="007D1229">
        <w:rPr>
          <w:lang w:val="fr-FR"/>
        </w:rPr>
        <w:t xml:space="preserve"> </w:t>
      </w:r>
      <w:r>
        <w:rPr>
          <w:lang w:val="fr-FR"/>
        </w:rPr>
        <w:br/>
      </w:r>
      <w:r w:rsidR="00BC6837" w:rsidRPr="007D1229">
        <w:rPr>
          <w:lang w:val="fr-FR"/>
        </w:rPr>
        <w:t>Emplacement des services de réduction des risques en Estonie, 2017</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BC6837" w:rsidRPr="007D1229" w:rsidTr="00F114D0">
        <w:trPr>
          <w:tblHeader/>
        </w:trPr>
        <w:tc>
          <w:tcPr>
            <w:tcW w:w="3685" w:type="dxa"/>
            <w:shd w:val="clear" w:color="auto" w:fill="auto"/>
            <w:vAlign w:val="bottom"/>
          </w:tcPr>
          <w:p w:rsidR="00BC6837" w:rsidRPr="007D1229" w:rsidRDefault="00BC6837" w:rsidP="0084343E">
            <w:pPr>
              <w:pStyle w:val="SingleTxtG"/>
              <w:keepNext/>
              <w:keepLines/>
              <w:spacing w:before="60" w:after="60"/>
              <w:ind w:left="51"/>
              <w:jc w:val="left"/>
              <w:rPr>
                <w:i/>
              </w:rPr>
            </w:pPr>
            <w:r w:rsidRPr="007D1229">
              <w:rPr>
                <w:i/>
                <w:iCs/>
                <w:lang w:val="fr-FR"/>
              </w:rPr>
              <w:t>Permanences</w:t>
            </w:r>
          </w:p>
        </w:tc>
        <w:tc>
          <w:tcPr>
            <w:tcW w:w="3685" w:type="dxa"/>
            <w:shd w:val="clear" w:color="auto" w:fill="auto"/>
            <w:vAlign w:val="bottom"/>
          </w:tcPr>
          <w:p w:rsidR="00BC6837" w:rsidRPr="007D1229" w:rsidRDefault="00BC6837" w:rsidP="0084343E">
            <w:pPr>
              <w:pStyle w:val="SingleTxtG"/>
              <w:keepNext/>
              <w:keepLines/>
              <w:spacing w:before="60" w:after="60"/>
              <w:ind w:right="119"/>
              <w:jc w:val="right"/>
              <w:rPr>
                <w:i/>
              </w:rPr>
            </w:pPr>
            <w:r w:rsidRPr="007D1229">
              <w:rPr>
                <w:i/>
                <w:iCs/>
                <w:lang w:val="fr-FR"/>
              </w:rPr>
              <w:t xml:space="preserve">Services </w:t>
            </w:r>
            <w:bookmarkStart w:id="1" w:name="_GoBack"/>
            <w:bookmarkEnd w:id="1"/>
            <w:r w:rsidRPr="007D1229">
              <w:rPr>
                <w:i/>
                <w:iCs/>
                <w:lang w:val="fr-FR"/>
              </w:rPr>
              <w:t>mobiles</w:t>
            </w:r>
          </w:p>
        </w:tc>
      </w:tr>
    </w:tbl>
    <w:p w:rsidR="00BC6837" w:rsidRPr="007D1229" w:rsidRDefault="00BC6837" w:rsidP="00BC6837">
      <w:pPr>
        <w:pStyle w:val="SingleTxtG"/>
      </w:pPr>
      <w:r w:rsidRPr="007D1229">
        <w:rPr>
          <w:noProof/>
          <w:lang w:eastAsia="fr-CH"/>
        </w:rPr>
        <w:drawing>
          <wp:inline distT="0" distB="0" distL="0" distR="0" wp14:anchorId="3000F79F" wp14:editId="302855B8">
            <wp:extent cx="4678878" cy="2675854"/>
            <wp:effectExtent l="19050" t="19050" r="26670" b="10795"/>
            <wp:docPr id="11" name="Picture 11" descr="Narko201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ko2017_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00881" cy="2688438"/>
                    </a:xfrm>
                    <a:prstGeom prst="rect">
                      <a:avLst/>
                    </a:prstGeom>
                    <a:noFill/>
                    <a:ln w="127">
                      <a:solidFill>
                        <a:schemeClr val="tx1"/>
                      </a:solidFill>
                    </a:ln>
                  </pic:spPr>
                </pic:pic>
              </a:graphicData>
            </a:graphic>
          </wp:inline>
        </w:drawing>
      </w:r>
    </w:p>
    <w:p w:rsidR="00BC6837" w:rsidRPr="007D1229" w:rsidRDefault="00D6365E" w:rsidP="00D6365E">
      <w:pPr>
        <w:pStyle w:val="H23G"/>
      </w:pPr>
      <w:r w:rsidRPr="00D6365E">
        <w:rPr>
          <w:b w:val="0"/>
          <w:lang w:val="fr-FR"/>
        </w:rPr>
        <w:tab/>
      </w:r>
      <w:r w:rsidRPr="00D6365E">
        <w:rPr>
          <w:b w:val="0"/>
          <w:lang w:val="fr-FR"/>
        </w:rPr>
        <w:tab/>
      </w:r>
      <w:r w:rsidR="00BC6837" w:rsidRPr="00D6365E">
        <w:rPr>
          <w:b w:val="0"/>
          <w:lang w:val="fr-FR"/>
        </w:rPr>
        <w:t>Tableau 1</w:t>
      </w:r>
      <w:r w:rsidR="00BC6837" w:rsidRPr="007D1229">
        <w:rPr>
          <w:lang w:val="fr-FR"/>
        </w:rPr>
        <w:t xml:space="preserve"> </w:t>
      </w:r>
      <w:r>
        <w:rPr>
          <w:lang w:val="fr-FR"/>
        </w:rPr>
        <w:br/>
      </w:r>
      <w:r w:rsidR="00BC6837" w:rsidRPr="007D1229">
        <w:rPr>
          <w:lang w:val="fr-FR"/>
        </w:rPr>
        <w:t>Nombre de bénéficiaires des services de réduction des risques entre 2015 et 2017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3"/>
        <w:gridCol w:w="1289"/>
        <w:gridCol w:w="1289"/>
        <w:gridCol w:w="1289"/>
      </w:tblGrid>
      <w:tr w:rsidR="00063F35" w:rsidRPr="00063F35" w:rsidTr="00E52A51">
        <w:trPr>
          <w:tblHeader/>
        </w:trPr>
        <w:tc>
          <w:tcPr>
            <w:tcW w:w="3503" w:type="dxa"/>
            <w:tcBorders>
              <w:top w:val="single" w:sz="4" w:space="0" w:color="auto"/>
              <w:bottom w:val="single" w:sz="12" w:space="0" w:color="auto"/>
            </w:tcBorders>
            <w:shd w:val="clear" w:color="auto" w:fill="auto"/>
            <w:vAlign w:val="bottom"/>
          </w:tcPr>
          <w:p w:rsidR="00BC6837" w:rsidRPr="00063F35" w:rsidRDefault="00BC6837" w:rsidP="00063F35">
            <w:pPr>
              <w:suppressAutoHyphens w:val="0"/>
              <w:spacing w:before="80" w:after="80" w:line="200" w:lineRule="exact"/>
              <w:rPr>
                <w:i/>
                <w:sz w:val="16"/>
              </w:rPr>
            </w:pPr>
          </w:p>
        </w:tc>
        <w:tc>
          <w:tcPr>
            <w:tcW w:w="1289" w:type="dxa"/>
            <w:tcBorders>
              <w:top w:val="single" w:sz="4" w:space="0" w:color="auto"/>
              <w:bottom w:val="single" w:sz="12" w:space="0" w:color="auto"/>
            </w:tcBorders>
            <w:shd w:val="clear" w:color="auto" w:fill="auto"/>
            <w:vAlign w:val="bottom"/>
            <w:hideMark/>
          </w:tcPr>
          <w:p w:rsidR="00BC6837" w:rsidRPr="00063F35" w:rsidRDefault="00BC6837" w:rsidP="00063F35">
            <w:pPr>
              <w:suppressAutoHyphens w:val="0"/>
              <w:spacing w:before="80" w:after="80" w:line="200" w:lineRule="exact"/>
              <w:jc w:val="right"/>
              <w:rPr>
                <w:i/>
                <w:sz w:val="16"/>
              </w:rPr>
            </w:pPr>
            <w:r w:rsidRPr="00063F35">
              <w:rPr>
                <w:i/>
                <w:iCs/>
                <w:sz w:val="16"/>
                <w:lang w:val="fr-FR"/>
              </w:rPr>
              <w:t>2015</w:t>
            </w:r>
          </w:p>
        </w:tc>
        <w:tc>
          <w:tcPr>
            <w:tcW w:w="1289" w:type="dxa"/>
            <w:tcBorders>
              <w:top w:val="single" w:sz="4" w:space="0" w:color="auto"/>
              <w:bottom w:val="single" w:sz="12" w:space="0" w:color="auto"/>
            </w:tcBorders>
            <w:shd w:val="clear" w:color="auto" w:fill="auto"/>
            <w:vAlign w:val="bottom"/>
            <w:hideMark/>
          </w:tcPr>
          <w:p w:rsidR="00BC6837" w:rsidRPr="00063F35" w:rsidRDefault="00BC6837" w:rsidP="00063F35">
            <w:pPr>
              <w:suppressAutoHyphens w:val="0"/>
              <w:spacing w:before="80" w:after="80" w:line="200" w:lineRule="exact"/>
              <w:jc w:val="right"/>
              <w:rPr>
                <w:i/>
                <w:sz w:val="16"/>
              </w:rPr>
            </w:pPr>
            <w:r w:rsidRPr="00063F35">
              <w:rPr>
                <w:i/>
                <w:iCs/>
                <w:sz w:val="16"/>
                <w:lang w:val="fr-FR"/>
              </w:rPr>
              <w:t>2016</w:t>
            </w:r>
          </w:p>
        </w:tc>
        <w:tc>
          <w:tcPr>
            <w:tcW w:w="1289" w:type="dxa"/>
            <w:tcBorders>
              <w:top w:val="single" w:sz="4" w:space="0" w:color="auto"/>
              <w:bottom w:val="single" w:sz="12" w:space="0" w:color="auto"/>
            </w:tcBorders>
            <w:shd w:val="clear" w:color="auto" w:fill="auto"/>
            <w:vAlign w:val="bottom"/>
            <w:hideMark/>
          </w:tcPr>
          <w:p w:rsidR="00BC6837" w:rsidRPr="00063F35" w:rsidRDefault="00BC6837" w:rsidP="00063F35">
            <w:pPr>
              <w:suppressAutoHyphens w:val="0"/>
              <w:spacing w:before="80" w:after="80" w:line="200" w:lineRule="exact"/>
              <w:jc w:val="right"/>
              <w:rPr>
                <w:i/>
                <w:sz w:val="16"/>
              </w:rPr>
            </w:pPr>
            <w:r w:rsidRPr="00063F35">
              <w:rPr>
                <w:i/>
                <w:iCs/>
                <w:sz w:val="16"/>
                <w:lang w:val="fr-FR"/>
              </w:rPr>
              <w:t>2017</w:t>
            </w:r>
          </w:p>
        </w:tc>
      </w:tr>
      <w:tr w:rsidR="00063F35" w:rsidRPr="00063F35" w:rsidTr="00E52A51">
        <w:tc>
          <w:tcPr>
            <w:tcW w:w="3503" w:type="dxa"/>
            <w:tcBorders>
              <w:top w:val="single" w:sz="12" w:space="0" w:color="auto"/>
            </w:tcBorders>
            <w:shd w:val="clear" w:color="auto" w:fill="auto"/>
            <w:hideMark/>
          </w:tcPr>
          <w:p w:rsidR="00BC6837" w:rsidRPr="00063F35" w:rsidRDefault="00BC6837" w:rsidP="00063F35">
            <w:pPr>
              <w:suppressAutoHyphens w:val="0"/>
              <w:spacing w:before="40" w:after="40" w:line="220" w:lineRule="exact"/>
              <w:rPr>
                <w:sz w:val="18"/>
              </w:rPr>
            </w:pPr>
            <w:r w:rsidRPr="00063F35">
              <w:rPr>
                <w:sz w:val="18"/>
                <w:lang w:val="fr-FR"/>
              </w:rPr>
              <w:t>Nombre total de bénéficiaires (avec un numéro de dossier)</w:t>
            </w:r>
          </w:p>
        </w:tc>
        <w:tc>
          <w:tcPr>
            <w:tcW w:w="1289" w:type="dxa"/>
            <w:tcBorders>
              <w:top w:val="single" w:sz="12" w:space="0" w:color="auto"/>
            </w:tcBorders>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5 </w:t>
            </w:r>
            <w:r w:rsidR="00BC6837" w:rsidRPr="00063F35">
              <w:rPr>
                <w:sz w:val="18"/>
                <w:lang w:val="fr-FR"/>
              </w:rPr>
              <w:t>810</w:t>
            </w:r>
          </w:p>
        </w:tc>
        <w:tc>
          <w:tcPr>
            <w:tcW w:w="1289" w:type="dxa"/>
            <w:tcBorders>
              <w:top w:val="single" w:sz="12" w:space="0" w:color="auto"/>
            </w:tcBorders>
            <w:shd w:val="clear" w:color="auto" w:fill="auto"/>
            <w:vAlign w:val="bottom"/>
            <w:hideMark/>
          </w:tcPr>
          <w:p w:rsidR="00BC6837" w:rsidRPr="00063F35" w:rsidRDefault="00BC6837" w:rsidP="005635F2">
            <w:pPr>
              <w:suppressAutoHyphens w:val="0"/>
              <w:spacing w:before="40" w:after="40" w:line="220" w:lineRule="exact"/>
              <w:jc w:val="right"/>
              <w:rPr>
                <w:sz w:val="18"/>
              </w:rPr>
            </w:pPr>
            <w:r w:rsidRPr="00063F35">
              <w:rPr>
                <w:sz w:val="18"/>
                <w:lang w:val="fr-FR"/>
              </w:rPr>
              <w:t>5</w:t>
            </w:r>
            <w:r w:rsidR="005635F2">
              <w:rPr>
                <w:sz w:val="18"/>
                <w:lang w:val="fr-FR"/>
              </w:rPr>
              <w:t> </w:t>
            </w:r>
            <w:r w:rsidRPr="00063F35">
              <w:rPr>
                <w:sz w:val="18"/>
                <w:lang w:val="fr-FR"/>
              </w:rPr>
              <w:t>608</w:t>
            </w:r>
          </w:p>
        </w:tc>
        <w:tc>
          <w:tcPr>
            <w:tcW w:w="1289" w:type="dxa"/>
            <w:tcBorders>
              <w:top w:val="single" w:sz="12" w:space="0" w:color="auto"/>
            </w:tcBorders>
            <w:shd w:val="clear" w:color="auto" w:fill="auto"/>
            <w:vAlign w:val="bottom"/>
            <w:hideMark/>
          </w:tcPr>
          <w:p w:rsidR="00BC6837" w:rsidRPr="00063F35" w:rsidRDefault="00BC6837" w:rsidP="005635F2">
            <w:pPr>
              <w:suppressAutoHyphens w:val="0"/>
              <w:spacing w:before="40" w:after="40" w:line="220" w:lineRule="exact"/>
              <w:jc w:val="right"/>
              <w:rPr>
                <w:sz w:val="18"/>
              </w:rPr>
            </w:pPr>
            <w:r w:rsidRPr="00063F35">
              <w:rPr>
                <w:sz w:val="18"/>
                <w:lang w:val="fr-FR"/>
              </w:rPr>
              <w:t>5</w:t>
            </w:r>
            <w:r w:rsidR="005635F2">
              <w:rPr>
                <w:sz w:val="18"/>
                <w:lang w:val="fr-FR"/>
              </w:rPr>
              <w:t> </w:t>
            </w:r>
            <w:r w:rsidRPr="00063F35">
              <w:rPr>
                <w:sz w:val="18"/>
                <w:lang w:val="fr-FR"/>
              </w:rPr>
              <w:t>465</w:t>
            </w:r>
          </w:p>
        </w:tc>
      </w:tr>
      <w:tr w:rsidR="00063F35" w:rsidRPr="00063F35" w:rsidTr="00E52A51">
        <w:tc>
          <w:tcPr>
            <w:tcW w:w="3503" w:type="dxa"/>
            <w:shd w:val="clear" w:color="auto" w:fill="auto"/>
            <w:hideMark/>
          </w:tcPr>
          <w:p w:rsidR="00BC6837" w:rsidRPr="00063F35" w:rsidRDefault="00BC6837" w:rsidP="00063F35">
            <w:pPr>
              <w:suppressAutoHyphens w:val="0"/>
              <w:spacing w:before="40" w:after="40" w:line="220" w:lineRule="exact"/>
              <w:rPr>
                <w:sz w:val="18"/>
              </w:rPr>
            </w:pPr>
            <w:r w:rsidRPr="00063F35">
              <w:rPr>
                <w:sz w:val="18"/>
                <w:lang w:val="fr-FR"/>
              </w:rPr>
              <w:t xml:space="preserve">Nombre de fois où les services ont été sollicités </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138 </w:t>
            </w:r>
            <w:r w:rsidR="00BC6837" w:rsidRPr="00063F35">
              <w:rPr>
                <w:sz w:val="18"/>
                <w:lang w:val="fr-FR"/>
              </w:rPr>
              <w:t>325</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132 </w:t>
            </w:r>
            <w:r w:rsidR="00BC6837" w:rsidRPr="00063F35">
              <w:rPr>
                <w:sz w:val="18"/>
                <w:lang w:val="fr-FR"/>
              </w:rPr>
              <w:t>325</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110 </w:t>
            </w:r>
            <w:r w:rsidR="00BC6837" w:rsidRPr="00063F35">
              <w:rPr>
                <w:sz w:val="18"/>
                <w:lang w:val="fr-FR"/>
              </w:rPr>
              <w:t>636</w:t>
            </w:r>
          </w:p>
        </w:tc>
      </w:tr>
      <w:tr w:rsidR="00063F35" w:rsidRPr="00063F35" w:rsidTr="00E52A51">
        <w:tc>
          <w:tcPr>
            <w:tcW w:w="3503" w:type="dxa"/>
            <w:shd w:val="clear" w:color="auto" w:fill="auto"/>
            <w:hideMark/>
          </w:tcPr>
          <w:p w:rsidR="00BC6837" w:rsidRPr="00063F35" w:rsidRDefault="00BC6837" w:rsidP="00063F35">
            <w:pPr>
              <w:suppressAutoHyphens w:val="0"/>
              <w:spacing w:before="40" w:after="40" w:line="220" w:lineRule="exact"/>
              <w:rPr>
                <w:sz w:val="18"/>
              </w:rPr>
            </w:pPr>
            <w:r w:rsidRPr="00063F35">
              <w:rPr>
                <w:sz w:val="18"/>
                <w:lang w:val="fr-FR"/>
              </w:rPr>
              <w:t>Nombre de consultations avec des spécialistes de la réduction des risques</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50 </w:t>
            </w:r>
            <w:r w:rsidR="00BC6837" w:rsidRPr="00063F35">
              <w:rPr>
                <w:sz w:val="18"/>
                <w:lang w:val="fr-FR"/>
              </w:rPr>
              <w:t>822</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47 </w:t>
            </w:r>
            <w:r w:rsidR="00BC6837" w:rsidRPr="00063F35">
              <w:rPr>
                <w:sz w:val="18"/>
                <w:lang w:val="fr-FR"/>
              </w:rPr>
              <w:t>417</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43 </w:t>
            </w:r>
            <w:r w:rsidR="00BC6837" w:rsidRPr="00063F35">
              <w:rPr>
                <w:sz w:val="18"/>
                <w:lang w:val="fr-FR"/>
              </w:rPr>
              <w:t>896</w:t>
            </w:r>
          </w:p>
        </w:tc>
      </w:tr>
      <w:tr w:rsidR="00063F35" w:rsidRPr="00063F35" w:rsidTr="00E52A51">
        <w:tc>
          <w:tcPr>
            <w:tcW w:w="3503" w:type="dxa"/>
            <w:shd w:val="clear" w:color="auto" w:fill="auto"/>
            <w:hideMark/>
          </w:tcPr>
          <w:p w:rsidR="00BC6837" w:rsidRPr="00063F35" w:rsidRDefault="00BC6837" w:rsidP="00063F35">
            <w:pPr>
              <w:suppressAutoHyphens w:val="0"/>
              <w:spacing w:before="40" w:after="40" w:line="220" w:lineRule="exact"/>
              <w:rPr>
                <w:sz w:val="18"/>
              </w:rPr>
            </w:pPr>
            <w:r w:rsidRPr="00063F35">
              <w:rPr>
                <w:sz w:val="18"/>
                <w:lang w:val="fr-FR"/>
              </w:rPr>
              <w:t>Nombre de consultations avec des travailleurs sociaux</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6 </w:t>
            </w:r>
            <w:r w:rsidR="00BC6837" w:rsidRPr="00063F35">
              <w:rPr>
                <w:sz w:val="18"/>
                <w:lang w:val="fr-FR"/>
              </w:rPr>
              <w:t>868</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7 </w:t>
            </w:r>
            <w:r w:rsidR="00BC6837" w:rsidRPr="00063F35">
              <w:rPr>
                <w:sz w:val="18"/>
                <w:lang w:val="fr-FR"/>
              </w:rPr>
              <w:t>734</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7 </w:t>
            </w:r>
            <w:r w:rsidR="00BC6837" w:rsidRPr="00063F35">
              <w:rPr>
                <w:sz w:val="18"/>
                <w:lang w:val="fr-FR"/>
              </w:rPr>
              <w:t>794</w:t>
            </w:r>
          </w:p>
        </w:tc>
      </w:tr>
      <w:tr w:rsidR="00063F35" w:rsidRPr="00063F35" w:rsidTr="00E52A51">
        <w:tc>
          <w:tcPr>
            <w:tcW w:w="3503" w:type="dxa"/>
            <w:shd w:val="clear" w:color="auto" w:fill="auto"/>
            <w:hideMark/>
          </w:tcPr>
          <w:p w:rsidR="00BC6837" w:rsidRPr="00063F35" w:rsidRDefault="00BC6837" w:rsidP="00063F35">
            <w:pPr>
              <w:suppressAutoHyphens w:val="0"/>
              <w:spacing w:before="40" w:after="40" w:line="220" w:lineRule="exact"/>
              <w:rPr>
                <w:sz w:val="18"/>
              </w:rPr>
            </w:pPr>
            <w:r w:rsidRPr="00063F35">
              <w:rPr>
                <w:sz w:val="18"/>
                <w:lang w:val="fr-FR"/>
              </w:rPr>
              <w:t>Nombre de consultations avec des psychologues</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1 </w:t>
            </w:r>
            <w:r w:rsidR="00BC6837" w:rsidRPr="00063F35">
              <w:rPr>
                <w:sz w:val="18"/>
                <w:lang w:val="fr-FR"/>
              </w:rPr>
              <w:t>047</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1 </w:t>
            </w:r>
            <w:r w:rsidR="00BC6837" w:rsidRPr="00063F35">
              <w:rPr>
                <w:sz w:val="18"/>
                <w:lang w:val="fr-FR"/>
              </w:rPr>
              <w:t>494</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1 </w:t>
            </w:r>
            <w:r w:rsidR="00BC6837" w:rsidRPr="00063F35">
              <w:rPr>
                <w:sz w:val="18"/>
                <w:lang w:val="fr-FR"/>
              </w:rPr>
              <w:t>210</w:t>
            </w:r>
          </w:p>
        </w:tc>
      </w:tr>
      <w:tr w:rsidR="00063F35" w:rsidRPr="00063F35" w:rsidTr="00E52A51">
        <w:tc>
          <w:tcPr>
            <w:tcW w:w="3503" w:type="dxa"/>
            <w:shd w:val="clear" w:color="auto" w:fill="auto"/>
          </w:tcPr>
          <w:p w:rsidR="00BC6837" w:rsidRPr="00063F35" w:rsidRDefault="00BC6837" w:rsidP="00F74613">
            <w:pPr>
              <w:suppressAutoHyphens w:val="0"/>
              <w:spacing w:before="40" w:after="40" w:line="220" w:lineRule="exact"/>
              <w:rPr>
                <w:sz w:val="18"/>
              </w:rPr>
            </w:pPr>
            <w:r w:rsidRPr="00063F35">
              <w:rPr>
                <w:sz w:val="18"/>
                <w:lang w:val="fr-FR"/>
              </w:rPr>
              <w:t>Nombre de consultations pour des questions de</w:t>
            </w:r>
            <w:r w:rsidR="00F74613">
              <w:rPr>
                <w:sz w:val="18"/>
                <w:lang w:val="fr-FR"/>
              </w:rPr>
              <w:t> </w:t>
            </w:r>
            <w:r w:rsidRPr="00063F35">
              <w:rPr>
                <w:sz w:val="18"/>
                <w:lang w:val="fr-FR"/>
              </w:rPr>
              <w:t>santé</w:t>
            </w:r>
          </w:p>
        </w:tc>
        <w:tc>
          <w:tcPr>
            <w:tcW w:w="1289" w:type="dxa"/>
            <w:shd w:val="clear" w:color="auto" w:fill="auto"/>
            <w:vAlign w:val="bottom"/>
          </w:tcPr>
          <w:p w:rsidR="00BC6837" w:rsidRPr="00063F35" w:rsidRDefault="005635F2" w:rsidP="00063F35">
            <w:pPr>
              <w:suppressAutoHyphens w:val="0"/>
              <w:spacing w:before="40" w:after="40" w:line="220" w:lineRule="exact"/>
              <w:jc w:val="right"/>
              <w:rPr>
                <w:sz w:val="18"/>
              </w:rPr>
            </w:pPr>
            <w:r>
              <w:rPr>
                <w:sz w:val="18"/>
                <w:lang w:val="fr-FR"/>
              </w:rPr>
              <w:t>5 </w:t>
            </w:r>
            <w:r w:rsidR="00BC6837" w:rsidRPr="00063F35">
              <w:rPr>
                <w:sz w:val="18"/>
                <w:lang w:val="fr-FR"/>
              </w:rPr>
              <w:t>558</w:t>
            </w:r>
          </w:p>
        </w:tc>
        <w:tc>
          <w:tcPr>
            <w:tcW w:w="1289" w:type="dxa"/>
            <w:shd w:val="clear" w:color="auto" w:fill="auto"/>
            <w:vAlign w:val="bottom"/>
          </w:tcPr>
          <w:p w:rsidR="00BC6837" w:rsidRPr="00063F35" w:rsidRDefault="005635F2" w:rsidP="00063F35">
            <w:pPr>
              <w:suppressAutoHyphens w:val="0"/>
              <w:spacing w:before="40" w:after="40" w:line="220" w:lineRule="exact"/>
              <w:jc w:val="right"/>
              <w:rPr>
                <w:sz w:val="18"/>
              </w:rPr>
            </w:pPr>
            <w:r>
              <w:rPr>
                <w:sz w:val="18"/>
                <w:lang w:val="fr-FR"/>
              </w:rPr>
              <w:t>6 </w:t>
            </w:r>
            <w:r w:rsidR="00BC6837" w:rsidRPr="00063F35">
              <w:rPr>
                <w:sz w:val="18"/>
                <w:lang w:val="fr-FR"/>
              </w:rPr>
              <w:t>199</w:t>
            </w:r>
          </w:p>
        </w:tc>
        <w:tc>
          <w:tcPr>
            <w:tcW w:w="1289" w:type="dxa"/>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5 </w:t>
            </w:r>
            <w:r w:rsidR="00BC6837" w:rsidRPr="00063F35">
              <w:rPr>
                <w:sz w:val="18"/>
                <w:lang w:val="fr-FR"/>
              </w:rPr>
              <w:t>837</w:t>
            </w:r>
          </w:p>
        </w:tc>
      </w:tr>
      <w:tr w:rsidR="00063F35" w:rsidRPr="00063F35" w:rsidTr="00E52A51">
        <w:tc>
          <w:tcPr>
            <w:tcW w:w="3503" w:type="dxa"/>
            <w:tcBorders>
              <w:bottom w:val="single" w:sz="12" w:space="0" w:color="auto"/>
            </w:tcBorders>
            <w:shd w:val="clear" w:color="auto" w:fill="auto"/>
            <w:hideMark/>
          </w:tcPr>
          <w:p w:rsidR="00BC6837" w:rsidRPr="00063F35" w:rsidRDefault="00BC6837" w:rsidP="00063F35">
            <w:pPr>
              <w:suppressAutoHyphens w:val="0"/>
              <w:spacing w:before="40" w:after="40" w:line="220" w:lineRule="exact"/>
              <w:rPr>
                <w:sz w:val="18"/>
              </w:rPr>
            </w:pPr>
            <w:r w:rsidRPr="00063F35">
              <w:rPr>
                <w:sz w:val="18"/>
                <w:lang w:val="fr-FR"/>
              </w:rPr>
              <w:t>Nombre de seringues distribuées</w:t>
            </w:r>
          </w:p>
        </w:tc>
        <w:tc>
          <w:tcPr>
            <w:tcW w:w="1289" w:type="dxa"/>
            <w:tcBorders>
              <w:bottom w:val="single" w:sz="12" w:space="0" w:color="auto"/>
            </w:tcBorders>
            <w:shd w:val="clear" w:color="auto" w:fill="auto"/>
            <w:vAlign w:val="bottom"/>
            <w:hideMark/>
          </w:tcPr>
          <w:p w:rsidR="00BC6837" w:rsidRPr="00063F35" w:rsidRDefault="00BC6837" w:rsidP="00063F35">
            <w:pPr>
              <w:suppressAutoHyphens w:val="0"/>
              <w:spacing w:before="40" w:after="40" w:line="220" w:lineRule="exact"/>
              <w:jc w:val="right"/>
              <w:rPr>
                <w:sz w:val="18"/>
              </w:rPr>
            </w:pPr>
            <w:r w:rsidRPr="00063F35">
              <w:rPr>
                <w:sz w:val="18"/>
                <w:lang w:val="fr-FR"/>
              </w:rPr>
              <w:t>2</w:t>
            </w:r>
            <w:r w:rsidR="005635F2">
              <w:rPr>
                <w:sz w:val="18"/>
                <w:lang w:val="fr-FR"/>
              </w:rPr>
              <w:t> 136 </w:t>
            </w:r>
            <w:r w:rsidRPr="00063F35">
              <w:rPr>
                <w:sz w:val="18"/>
                <w:lang w:val="fr-FR"/>
              </w:rPr>
              <w:t>691</w:t>
            </w:r>
          </w:p>
        </w:tc>
        <w:tc>
          <w:tcPr>
            <w:tcW w:w="1289" w:type="dxa"/>
            <w:tcBorders>
              <w:bottom w:val="single" w:sz="12" w:space="0" w:color="auto"/>
            </w:tcBorders>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2 070 </w:t>
            </w:r>
            <w:r w:rsidR="00BC6837" w:rsidRPr="00063F35">
              <w:rPr>
                <w:sz w:val="18"/>
                <w:lang w:val="fr-FR"/>
              </w:rPr>
              <w:t>169</w:t>
            </w:r>
          </w:p>
        </w:tc>
        <w:tc>
          <w:tcPr>
            <w:tcW w:w="1289" w:type="dxa"/>
            <w:tcBorders>
              <w:bottom w:val="single" w:sz="12" w:space="0" w:color="auto"/>
            </w:tcBorders>
            <w:shd w:val="clear" w:color="auto" w:fill="auto"/>
            <w:vAlign w:val="bottom"/>
            <w:hideMark/>
          </w:tcPr>
          <w:p w:rsidR="00BC6837" w:rsidRPr="00063F35" w:rsidRDefault="005635F2" w:rsidP="00063F35">
            <w:pPr>
              <w:suppressAutoHyphens w:val="0"/>
              <w:spacing w:before="40" w:after="40" w:line="220" w:lineRule="exact"/>
              <w:jc w:val="right"/>
              <w:rPr>
                <w:sz w:val="18"/>
              </w:rPr>
            </w:pPr>
            <w:r>
              <w:rPr>
                <w:sz w:val="18"/>
                <w:lang w:val="fr-FR"/>
              </w:rPr>
              <w:t>1 997 </w:t>
            </w:r>
            <w:r w:rsidR="00BC6837" w:rsidRPr="00063F35">
              <w:rPr>
                <w:sz w:val="18"/>
                <w:lang w:val="fr-FR"/>
              </w:rPr>
              <w:t>158</w:t>
            </w:r>
          </w:p>
        </w:tc>
      </w:tr>
    </w:tbl>
    <w:p w:rsidR="00BC6837" w:rsidRPr="007D1229" w:rsidRDefault="00BC6837" w:rsidP="00063F35">
      <w:pPr>
        <w:pStyle w:val="SingleTxtG"/>
        <w:spacing w:before="120"/>
      </w:pPr>
      <w:r w:rsidRPr="007D1229">
        <w:rPr>
          <w:lang w:val="fr-FR"/>
        </w:rPr>
        <w:t>110.</w:t>
      </w:r>
      <w:r w:rsidRPr="007D1229">
        <w:rPr>
          <w:lang w:val="fr-FR"/>
        </w:rPr>
        <w:tab/>
        <w:t xml:space="preserve">Chaque année, les services de réduction des risques distribuent environ </w:t>
      </w:r>
      <w:r w:rsidR="00FA648F">
        <w:rPr>
          <w:lang w:val="fr-FR"/>
        </w:rPr>
        <w:t>2 </w:t>
      </w:r>
      <w:r w:rsidRPr="007D1229">
        <w:rPr>
          <w:lang w:val="fr-FR"/>
        </w:rPr>
        <w:t>millions de seringues aux consommateurs de drogues injectables</w:t>
      </w:r>
      <w:r w:rsidR="00063F35">
        <w:rPr>
          <w:lang w:val="fr-FR"/>
        </w:rPr>
        <w:t>.</w:t>
      </w:r>
    </w:p>
    <w:p w:rsidR="00BC6837" w:rsidRPr="007D1229" w:rsidRDefault="00BC6837" w:rsidP="00BC6837">
      <w:pPr>
        <w:pStyle w:val="SingleTxtG"/>
      </w:pPr>
      <w:r w:rsidRPr="007D1229">
        <w:rPr>
          <w:lang w:val="fr-FR"/>
        </w:rPr>
        <w:t>111.</w:t>
      </w:r>
      <w:r w:rsidRPr="007D1229">
        <w:rPr>
          <w:lang w:val="fr-FR"/>
        </w:rPr>
        <w:tab/>
        <w:t>Pour endiguer la propagation du VIH, une autre mesure directe a été mise en place</w:t>
      </w:r>
      <w:r w:rsidR="003E4927">
        <w:rPr>
          <w:lang w:val="fr-FR"/>
        </w:rPr>
        <w:t> </w:t>
      </w:r>
      <w:r w:rsidRPr="007D1229">
        <w:rPr>
          <w:lang w:val="fr-FR"/>
        </w:rPr>
        <w:t>: toutes les personnes, même celles qui n</w:t>
      </w:r>
      <w:r>
        <w:rPr>
          <w:lang w:val="fr-FR"/>
        </w:rPr>
        <w:t>’</w:t>
      </w:r>
      <w:r w:rsidRPr="007D1229">
        <w:rPr>
          <w:lang w:val="fr-FR"/>
        </w:rPr>
        <w:t>ont pas d</w:t>
      </w:r>
      <w:r>
        <w:rPr>
          <w:lang w:val="fr-FR"/>
        </w:rPr>
        <w:t>’</w:t>
      </w:r>
      <w:r w:rsidRPr="007D1229">
        <w:rPr>
          <w:lang w:val="fr-FR"/>
        </w:rPr>
        <w:t>assurance maladie, recevront au plus vite et gratuitement un traitement antirétroviral</w:t>
      </w:r>
      <w:r>
        <w:rPr>
          <w:lang w:val="fr-FR"/>
        </w:rPr>
        <w:t>, après confirmation du diagnostic</w:t>
      </w:r>
      <w:r w:rsidRPr="007D1229">
        <w:rPr>
          <w:lang w:val="fr-FR"/>
        </w:rPr>
        <w:t xml:space="preserve">. Tous les hôpitaux et cliniques qui offrent un traitement antirétroviral proposent également des services individualisés (travailleurs sociaux et psychologues notamment, et, </w:t>
      </w:r>
      <w:r>
        <w:rPr>
          <w:lang w:val="fr-FR"/>
        </w:rPr>
        <w:t>selon</w:t>
      </w:r>
      <w:r w:rsidRPr="007D1229">
        <w:rPr>
          <w:lang w:val="fr-FR"/>
        </w:rPr>
        <w:t xml:space="preserve"> </w:t>
      </w:r>
      <w:r>
        <w:rPr>
          <w:lang w:val="fr-FR"/>
        </w:rPr>
        <w:t>l’</w:t>
      </w:r>
      <w:r w:rsidRPr="007D1229">
        <w:rPr>
          <w:lang w:val="fr-FR"/>
        </w:rPr>
        <w:t>établissement, conseils par les pairs).</w:t>
      </w:r>
    </w:p>
    <w:p w:rsidR="00BC6837" w:rsidRPr="007D1229" w:rsidRDefault="00BC6837" w:rsidP="00BC6837">
      <w:pPr>
        <w:pStyle w:val="SingleTxtG"/>
      </w:pPr>
      <w:r w:rsidRPr="007D1229">
        <w:rPr>
          <w:lang w:val="fr-FR"/>
        </w:rPr>
        <w:t>112.</w:t>
      </w:r>
      <w:r w:rsidRPr="007D1229">
        <w:rPr>
          <w:lang w:val="fr-FR"/>
        </w:rPr>
        <w:tab/>
        <w:t>En 2017, 4</w:t>
      </w:r>
      <w:r w:rsidR="00063F35">
        <w:rPr>
          <w:lang w:val="fr-FR"/>
        </w:rPr>
        <w:t> 109 </w:t>
      </w:r>
      <w:r w:rsidRPr="007D1229">
        <w:rPr>
          <w:lang w:val="fr-FR"/>
        </w:rPr>
        <w:t>patients ont reçu un traitement antirétroviral contre 3</w:t>
      </w:r>
      <w:r w:rsidR="00063F35">
        <w:rPr>
          <w:lang w:val="fr-FR"/>
        </w:rPr>
        <w:t> </w:t>
      </w:r>
      <w:r w:rsidRPr="007D1229">
        <w:rPr>
          <w:lang w:val="fr-FR"/>
        </w:rPr>
        <w:t>941 en 2016, 3</w:t>
      </w:r>
      <w:r w:rsidR="00063F35">
        <w:rPr>
          <w:lang w:val="fr-FR"/>
        </w:rPr>
        <w:t> </w:t>
      </w:r>
      <w:r w:rsidRPr="007D1229">
        <w:rPr>
          <w:lang w:val="fr-FR"/>
        </w:rPr>
        <w:t>494 en 2015, 2</w:t>
      </w:r>
      <w:r w:rsidR="00063F35">
        <w:rPr>
          <w:lang w:val="fr-FR"/>
        </w:rPr>
        <w:t> </w:t>
      </w:r>
      <w:r w:rsidRPr="007D1229">
        <w:rPr>
          <w:lang w:val="fr-FR"/>
        </w:rPr>
        <w:t>998 en 2014 et 2</w:t>
      </w:r>
      <w:r w:rsidR="00063F35">
        <w:rPr>
          <w:lang w:val="fr-FR"/>
        </w:rPr>
        <w:t> </w:t>
      </w:r>
      <w:r w:rsidRPr="007D1229">
        <w:rPr>
          <w:lang w:val="fr-FR"/>
        </w:rPr>
        <w:t>691 en 2013.</w:t>
      </w:r>
    </w:p>
    <w:p w:rsidR="00BC6837" w:rsidRPr="007D1229" w:rsidRDefault="00BC6837" w:rsidP="00BC6837">
      <w:pPr>
        <w:pStyle w:val="SingleTxtG"/>
      </w:pPr>
      <w:r w:rsidRPr="007D1229">
        <w:rPr>
          <w:lang w:val="fr-FR"/>
        </w:rPr>
        <w:t>113.</w:t>
      </w:r>
      <w:r w:rsidRPr="007D1229">
        <w:rPr>
          <w:lang w:val="fr-FR"/>
        </w:rPr>
        <w:tab/>
        <w:t>Le nombre de nouveaux cas de VIH dus à la consommation de drogues injectables est en baisse constante. En 2015, 20,4</w:t>
      </w:r>
      <w:r w:rsidR="00063F35">
        <w:rPr>
          <w:lang w:val="fr-FR"/>
        </w:rPr>
        <w:t> </w:t>
      </w:r>
      <w:r w:rsidRPr="007D1229">
        <w:rPr>
          <w:lang w:val="fr-FR"/>
        </w:rPr>
        <w:t>% des nouveaux cas étaient liés à l</w:t>
      </w:r>
      <w:r>
        <w:rPr>
          <w:lang w:val="fr-FR"/>
        </w:rPr>
        <w:t>’</w:t>
      </w:r>
      <w:r w:rsidRPr="007D1229">
        <w:rPr>
          <w:lang w:val="fr-FR"/>
        </w:rPr>
        <w:t>utilisation commune de seringues. En 2016, ce chiffre est tombé à 13,5</w:t>
      </w:r>
      <w:r w:rsidR="00063F35">
        <w:rPr>
          <w:lang w:val="fr-FR"/>
        </w:rPr>
        <w:t> </w:t>
      </w:r>
      <w:r w:rsidRPr="007D1229">
        <w:rPr>
          <w:lang w:val="fr-FR"/>
        </w:rPr>
        <w:t>% et en 2017, à 6,4</w:t>
      </w:r>
      <w:r w:rsidR="00063F35">
        <w:rPr>
          <w:lang w:val="fr-FR"/>
        </w:rPr>
        <w:t> </w:t>
      </w:r>
      <w:r w:rsidRPr="007D1229">
        <w:rPr>
          <w:lang w:val="fr-FR"/>
        </w:rPr>
        <w:t>%.</w:t>
      </w:r>
    </w:p>
    <w:p w:rsidR="00BC6837" w:rsidRPr="007D1229" w:rsidRDefault="00BC6837" w:rsidP="00063F35">
      <w:pPr>
        <w:pStyle w:val="H1G"/>
      </w:pPr>
      <w:r w:rsidRPr="007D1229">
        <w:rPr>
          <w:lang w:val="fr-FR"/>
        </w:rPr>
        <w:lastRenderedPageBreak/>
        <w:tab/>
      </w:r>
      <w:r w:rsidRPr="007D1229">
        <w:rPr>
          <w:lang w:val="fr-FR"/>
        </w:rPr>
        <w:tab/>
        <w:t>Droit à l</w:t>
      </w:r>
      <w:r>
        <w:rPr>
          <w:lang w:val="fr-FR"/>
        </w:rPr>
        <w:t>’</w:t>
      </w:r>
      <w:r w:rsidRPr="007D1229">
        <w:rPr>
          <w:lang w:val="fr-FR"/>
        </w:rPr>
        <w:t xml:space="preserve">éducation </w:t>
      </w:r>
      <w:r w:rsidR="00063F35">
        <w:rPr>
          <w:lang w:val="fr-FR"/>
        </w:rPr>
        <w:t>(art. </w:t>
      </w:r>
      <w:r w:rsidRPr="007D1229">
        <w:rPr>
          <w:lang w:val="fr-FR"/>
        </w:rPr>
        <w:t xml:space="preserve">13 et 14) </w:t>
      </w:r>
    </w:p>
    <w:p w:rsidR="00BC6837" w:rsidRPr="007D1229" w:rsidRDefault="00BC6837" w:rsidP="00063F35">
      <w:pPr>
        <w:pStyle w:val="H23G"/>
      </w:pPr>
      <w:r w:rsidRPr="007D1229">
        <w:rPr>
          <w:lang w:val="fr-FR"/>
        </w:rPr>
        <w:tab/>
      </w:r>
      <w:r w:rsidRPr="007D1229">
        <w:rPr>
          <w:lang w:val="fr-FR"/>
        </w:rPr>
        <w:tab/>
        <w:t>Taux de scolarisation</w:t>
      </w:r>
    </w:p>
    <w:p w:rsidR="00BC6837" w:rsidRPr="007D1229" w:rsidRDefault="00BC6837" w:rsidP="00BC6837">
      <w:pPr>
        <w:pStyle w:val="SingleTxtG"/>
      </w:pPr>
      <w:r w:rsidRPr="007D1229">
        <w:rPr>
          <w:lang w:val="fr-FR"/>
        </w:rPr>
        <w:t>114.</w:t>
      </w:r>
      <w:r w:rsidRPr="007D1229">
        <w:rPr>
          <w:lang w:val="fr-FR"/>
        </w:rPr>
        <w:tab/>
        <w:t>Le taux de scolarisation dans l</w:t>
      </w:r>
      <w:r>
        <w:rPr>
          <w:lang w:val="fr-FR"/>
        </w:rPr>
        <w:t>’</w:t>
      </w:r>
      <w:r w:rsidRPr="007D1229">
        <w:rPr>
          <w:lang w:val="fr-FR"/>
        </w:rPr>
        <w:t>enseignement primaire est resté élevé au cours des dix dernières années. Il n</w:t>
      </w:r>
      <w:r>
        <w:rPr>
          <w:lang w:val="fr-FR"/>
        </w:rPr>
        <w:t>’</w:t>
      </w:r>
      <w:r w:rsidRPr="007D1229">
        <w:rPr>
          <w:lang w:val="fr-FR"/>
        </w:rPr>
        <w:t>atteint cependant pas 100</w:t>
      </w:r>
      <w:r w:rsidR="003E4F1B">
        <w:rPr>
          <w:lang w:val="fr-FR"/>
        </w:rPr>
        <w:t> </w:t>
      </w:r>
      <w:r w:rsidRPr="007D1229">
        <w:rPr>
          <w:lang w:val="fr-FR"/>
        </w:rPr>
        <w:t xml:space="preserve">% car les données utilisées tiennent compte des enfants qui sont autorisés à </w:t>
      </w:r>
      <w:r>
        <w:rPr>
          <w:lang w:val="fr-FR"/>
        </w:rPr>
        <w:t>reporter d’un an leur entrée</w:t>
      </w:r>
      <w:r w:rsidRPr="007D1229">
        <w:rPr>
          <w:lang w:val="fr-FR"/>
        </w:rPr>
        <w:t xml:space="preserve"> </w:t>
      </w:r>
      <w:r>
        <w:rPr>
          <w:lang w:val="fr-FR"/>
        </w:rPr>
        <w:t>dans le</w:t>
      </w:r>
      <w:r w:rsidRPr="007D1229">
        <w:rPr>
          <w:lang w:val="fr-FR"/>
        </w:rPr>
        <w:t xml:space="preserve"> primaire et </w:t>
      </w:r>
      <w:r>
        <w:rPr>
          <w:lang w:val="fr-FR"/>
        </w:rPr>
        <w:t xml:space="preserve">de </w:t>
      </w:r>
      <w:r w:rsidRPr="007D1229">
        <w:rPr>
          <w:lang w:val="fr-FR"/>
        </w:rPr>
        <w:t>ceux qui sont scolarisés à l</w:t>
      </w:r>
      <w:r>
        <w:rPr>
          <w:lang w:val="fr-FR"/>
        </w:rPr>
        <w:t>’</w:t>
      </w:r>
      <w:r w:rsidRPr="007D1229">
        <w:rPr>
          <w:lang w:val="fr-FR"/>
        </w:rPr>
        <w:t>étranger.</w:t>
      </w:r>
    </w:p>
    <w:p w:rsidR="00BC6837" w:rsidRPr="007D1229" w:rsidRDefault="00BC6837" w:rsidP="00BC6837">
      <w:pPr>
        <w:pStyle w:val="SingleTxtG"/>
      </w:pPr>
      <w:r>
        <w:rPr>
          <w:lang w:val="fr-FR"/>
        </w:rPr>
        <w:t>115.</w:t>
      </w:r>
      <w:r>
        <w:rPr>
          <w:lang w:val="fr-FR"/>
        </w:rPr>
        <w:tab/>
        <w:t>Le</w:t>
      </w:r>
      <w:r w:rsidRPr="007D1229">
        <w:rPr>
          <w:lang w:val="fr-FR"/>
        </w:rPr>
        <w:t xml:space="preserve"> taux </w:t>
      </w:r>
      <w:r>
        <w:rPr>
          <w:lang w:val="fr-FR"/>
        </w:rPr>
        <w:t>d’inscription</w:t>
      </w:r>
      <w:r w:rsidRPr="007D1229">
        <w:rPr>
          <w:lang w:val="fr-FR"/>
        </w:rPr>
        <w:t xml:space="preserve"> dans les établissements du postsecondaire et </w:t>
      </w:r>
      <w:r>
        <w:rPr>
          <w:lang w:val="fr-FR"/>
        </w:rPr>
        <w:t xml:space="preserve">celui </w:t>
      </w:r>
      <w:r w:rsidRPr="007D1229">
        <w:rPr>
          <w:lang w:val="fr-FR"/>
        </w:rPr>
        <w:t>d</w:t>
      </w:r>
      <w:r>
        <w:rPr>
          <w:lang w:val="fr-FR"/>
        </w:rPr>
        <w:t>’</w:t>
      </w:r>
      <w:r w:rsidRPr="007D1229">
        <w:rPr>
          <w:lang w:val="fr-FR"/>
        </w:rPr>
        <w:t xml:space="preserve">obtention de diplôme dans </w:t>
      </w:r>
      <w:r>
        <w:rPr>
          <w:lang w:val="fr-FR"/>
        </w:rPr>
        <w:t>le</w:t>
      </w:r>
      <w:r w:rsidRPr="007D1229">
        <w:rPr>
          <w:lang w:val="fr-FR"/>
        </w:rPr>
        <w:t xml:space="preserve"> secondaire sont similaires</w:t>
      </w:r>
      <w:r w:rsidR="003E4F1B">
        <w:rPr>
          <w:lang w:val="fr-FR"/>
        </w:rPr>
        <w:t> </w:t>
      </w:r>
      <w:r w:rsidRPr="007D1229">
        <w:rPr>
          <w:lang w:val="fr-FR"/>
        </w:rPr>
        <w:t>: environ 60</w:t>
      </w:r>
      <w:r w:rsidR="003E4F1B">
        <w:rPr>
          <w:lang w:val="fr-FR"/>
        </w:rPr>
        <w:t> </w:t>
      </w:r>
      <w:r w:rsidRPr="007D1229">
        <w:rPr>
          <w:lang w:val="fr-FR"/>
        </w:rPr>
        <w:t xml:space="preserve">% </w:t>
      </w:r>
      <w:r>
        <w:rPr>
          <w:lang w:val="fr-FR"/>
        </w:rPr>
        <w:t>pour les</w:t>
      </w:r>
      <w:r w:rsidRPr="007D1229">
        <w:rPr>
          <w:lang w:val="fr-FR"/>
        </w:rPr>
        <w:t xml:space="preserve"> filles et 40</w:t>
      </w:r>
      <w:r w:rsidR="003E4F1B">
        <w:rPr>
          <w:lang w:val="fr-FR"/>
        </w:rPr>
        <w:t> </w:t>
      </w:r>
      <w:r w:rsidRPr="007D1229">
        <w:rPr>
          <w:lang w:val="fr-FR"/>
        </w:rPr>
        <w:t xml:space="preserve">% </w:t>
      </w:r>
      <w:r>
        <w:rPr>
          <w:lang w:val="fr-FR"/>
        </w:rPr>
        <w:t>pour les</w:t>
      </w:r>
      <w:r w:rsidRPr="007D1229">
        <w:rPr>
          <w:lang w:val="fr-FR"/>
        </w:rPr>
        <w:t xml:space="preserve"> garçons. Derrière cette différence </w:t>
      </w:r>
      <w:r>
        <w:rPr>
          <w:lang w:val="fr-FR"/>
        </w:rPr>
        <w:t>entre le nombre de filles et de</w:t>
      </w:r>
      <w:r w:rsidRPr="007D1229">
        <w:rPr>
          <w:lang w:val="fr-FR"/>
        </w:rPr>
        <w:t xml:space="preserve"> garçons dans l</w:t>
      </w:r>
      <w:r>
        <w:rPr>
          <w:lang w:val="fr-FR"/>
        </w:rPr>
        <w:t>’</w:t>
      </w:r>
      <w:r w:rsidRPr="007D1229">
        <w:rPr>
          <w:lang w:val="fr-FR"/>
        </w:rPr>
        <w:t>enseignement supérieur se cachent les choix faits plus tôt dans la scolarité</w:t>
      </w:r>
      <w:r w:rsidR="003E4927">
        <w:rPr>
          <w:lang w:val="fr-FR"/>
        </w:rPr>
        <w:t> </w:t>
      </w:r>
      <w:r w:rsidRPr="007D1229">
        <w:rPr>
          <w:lang w:val="fr-FR"/>
        </w:rPr>
        <w:t xml:space="preserve">: davantage de garçons choisissent de suivre un enseignement professionnel après </w:t>
      </w:r>
      <w:r>
        <w:rPr>
          <w:lang w:val="fr-FR"/>
        </w:rPr>
        <w:t>le premier cycle du secondaire</w:t>
      </w:r>
      <w:r w:rsidRPr="007D1229">
        <w:rPr>
          <w:lang w:val="fr-FR"/>
        </w:rPr>
        <w:t>. Environ deux tiers des élèves qui obtiennent un diplôme de l</w:t>
      </w:r>
      <w:r>
        <w:rPr>
          <w:lang w:val="fr-FR"/>
        </w:rPr>
        <w:t>’</w:t>
      </w:r>
      <w:r w:rsidRPr="007D1229">
        <w:rPr>
          <w:lang w:val="fr-FR"/>
        </w:rPr>
        <w:t>enseignement professionnel sont des garçons</w:t>
      </w:r>
      <w:r w:rsidR="00866553">
        <w:rPr>
          <w:lang w:val="fr-FR"/>
        </w:rPr>
        <w:t> </w:t>
      </w:r>
      <w:r w:rsidRPr="007D1229">
        <w:rPr>
          <w:lang w:val="fr-FR"/>
        </w:rPr>
        <w:t xml:space="preserve">: ils constituent la majorité des élèves </w:t>
      </w:r>
      <w:r>
        <w:rPr>
          <w:lang w:val="fr-FR"/>
        </w:rPr>
        <w:t>qui ont des difficultés</w:t>
      </w:r>
      <w:r w:rsidRPr="007D1229">
        <w:rPr>
          <w:lang w:val="fr-FR"/>
        </w:rPr>
        <w:t xml:space="preserve"> scolaires et ont moins de chances de terminer le secondaire, voie traditionnelle vers l</w:t>
      </w:r>
      <w:r>
        <w:rPr>
          <w:lang w:val="fr-FR"/>
        </w:rPr>
        <w:t>’</w:t>
      </w:r>
      <w:r w:rsidRPr="007D1229">
        <w:rPr>
          <w:lang w:val="fr-FR"/>
        </w:rPr>
        <w:t>enseignement postsecondaire.</w:t>
      </w:r>
    </w:p>
    <w:p w:rsidR="00BC6837" w:rsidRPr="007D1229" w:rsidRDefault="00BC6837" w:rsidP="00BC6837">
      <w:pPr>
        <w:pStyle w:val="SingleTxtG"/>
      </w:pPr>
      <w:r w:rsidRPr="007D1229">
        <w:rPr>
          <w:lang w:val="fr-FR"/>
        </w:rPr>
        <w:t>116.</w:t>
      </w:r>
      <w:r w:rsidRPr="007D1229">
        <w:rPr>
          <w:lang w:val="fr-FR"/>
        </w:rPr>
        <w:tab/>
        <w:t>Depuis l</w:t>
      </w:r>
      <w:r>
        <w:rPr>
          <w:lang w:val="fr-FR"/>
        </w:rPr>
        <w:t>’</w:t>
      </w:r>
      <w:r w:rsidRPr="007D1229">
        <w:rPr>
          <w:lang w:val="fr-FR"/>
        </w:rPr>
        <w:t>année scolaire 2012</w:t>
      </w:r>
      <w:r w:rsidR="00FA648F">
        <w:rPr>
          <w:lang w:val="fr-FR"/>
        </w:rPr>
        <w:t>/</w:t>
      </w:r>
      <w:r w:rsidRPr="007D1229">
        <w:rPr>
          <w:lang w:val="fr-FR"/>
        </w:rPr>
        <w:t>13, l</w:t>
      </w:r>
      <w:r>
        <w:rPr>
          <w:lang w:val="fr-FR"/>
        </w:rPr>
        <w:t>’</w:t>
      </w:r>
      <w:r w:rsidRPr="007D1229">
        <w:rPr>
          <w:lang w:val="fr-FR"/>
        </w:rPr>
        <w:t>enseignement supérieur</w:t>
      </w:r>
      <w:r>
        <w:rPr>
          <w:lang w:val="fr-FR"/>
        </w:rPr>
        <w:t xml:space="preserve"> est gratuit</w:t>
      </w:r>
      <w:r w:rsidRPr="007D1229">
        <w:rPr>
          <w:lang w:val="fr-FR"/>
        </w:rPr>
        <w:t xml:space="preserve"> pour ceux qui étudient à temps plein et en estonien. Il est difficile d</w:t>
      </w:r>
      <w:r>
        <w:rPr>
          <w:lang w:val="fr-FR"/>
        </w:rPr>
        <w:t>’</w:t>
      </w:r>
      <w:r w:rsidRPr="007D1229">
        <w:rPr>
          <w:lang w:val="fr-FR"/>
        </w:rPr>
        <w:t>en expliquer la cause directe mais le nombre d</w:t>
      </w:r>
      <w:r>
        <w:rPr>
          <w:lang w:val="fr-FR"/>
        </w:rPr>
        <w:t>’</w:t>
      </w:r>
      <w:r w:rsidRPr="007D1229">
        <w:rPr>
          <w:lang w:val="fr-FR"/>
        </w:rPr>
        <w:t xml:space="preserve">étudiants de sexe masculin inscrits dans </w:t>
      </w:r>
      <w:r>
        <w:rPr>
          <w:lang w:val="fr-FR"/>
        </w:rPr>
        <w:t>d</w:t>
      </w:r>
      <w:r w:rsidRPr="007D1229">
        <w:rPr>
          <w:lang w:val="fr-FR"/>
        </w:rPr>
        <w:t>es établissements postsecondaires a augmenté.</w:t>
      </w:r>
    </w:p>
    <w:p w:rsidR="00BC6837" w:rsidRPr="007D1229" w:rsidRDefault="00BC6837" w:rsidP="00BC6837">
      <w:pPr>
        <w:pStyle w:val="SingleTxtG"/>
      </w:pPr>
      <w:r w:rsidRPr="007D1229">
        <w:rPr>
          <w:lang w:val="fr-FR"/>
        </w:rPr>
        <w:t>117.</w:t>
      </w:r>
      <w:r w:rsidRPr="007D1229">
        <w:rPr>
          <w:lang w:val="fr-FR"/>
        </w:rPr>
        <w:tab/>
        <w:t>Le taux d</w:t>
      </w:r>
      <w:r>
        <w:rPr>
          <w:lang w:val="fr-FR"/>
        </w:rPr>
        <w:t>’</w:t>
      </w:r>
      <w:r w:rsidRPr="007D1229">
        <w:rPr>
          <w:lang w:val="fr-FR"/>
        </w:rPr>
        <w:t>abandon scolaire dans le deuxième cycle de l</w:t>
      </w:r>
      <w:r>
        <w:rPr>
          <w:lang w:val="fr-FR"/>
        </w:rPr>
        <w:t>’</w:t>
      </w:r>
      <w:r w:rsidRPr="007D1229">
        <w:rPr>
          <w:lang w:val="fr-FR"/>
        </w:rPr>
        <w:t>enseignement professionnel secondaire a diminué au cours des trois dernières années grâce aux activités de plus en plus ciblées pr</w:t>
      </w:r>
      <w:r w:rsidR="003E4F1B">
        <w:rPr>
          <w:lang w:val="fr-FR"/>
        </w:rPr>
        <w:t>oposées par les établissements.</w:t>
      </w:r>
    </w:p>
    <w:p w:rsidR="00BC6837" w:rsidRPr="007D1229" w:rsidRDefault="00BC6837" w:rsidP="00BC6837">
      <w:pPr>
        <w:pStyle w:val="SingleTxtG"/>
      </w:pPr>
      <w:r w:rsidRPr="007D1229">
        <w:rPr>
          <w:lang w:val="fr-FR"/>
        </w:rPr>
        <w:t>118.</w:t>
      </w:r>
      <w:r w:rsidRPr="007D1229">
        <w:rPr>
          <w:lang w:val="fr-FR"/>
        </w:rPr>
        <w:tab/>
        <w:t>C</w:t>
      </w:r>
      <w:r>
        <w:rPr>
          <w:lang w:val="fr-FR"/>
        </w:rPr>
        <w:t>’</w:t>
      </w:r>
      <w:r w:rsidRPr="007D1229">
        <w:rPr>
          <w:lang w:val="fr-FR"/>
        </w:rPr>
        <w:t>est au cours de la première année que le risque d</w:t>
      </w:r>
      <w:r>
        <w:rPr>
          <w:lang w:val="fr-FR"/>
        </w:rPr>
        <w:t>’</w:t>
      </w:r>
      <w:r w:rsidRPr="007D1229">
        <w:rPr>
          <w:lang w:val="fr-FR"/>
        </w:rPr>
        <w:t xml:space="preserve">abandon scolaire est le plus élevé et </w:t>
      </w:r>
      <w:r>
        <w:rPr>
          <w:lang w:val="fr-FR"/>
        </w:rPr>
        <w:t>l’enjeu</w:t>
      </w:r>
      <w:r w:rsidRPr="007D1229">
        <w:rPr>
          <w:lang w:val="fr-FR"/>
        </w:rPr>
        <w:t>, pour les établi</w:t>
      </w:r>
      <w:r>
        <w:rPr>
          <w:lang w:val="fr-FR"/>
        </w:rPr>
        <w:t xml:space="preserve">ssements professionnels, est d’éviter le décrochage des </w:t>
      </w:r>
      <w:r w:rsidRPr="007D1229">
        <w:rPr>
          <w:lang w:val="fr-FR"/>
        </w:rPr>
        <w:t xml:space="preserve">élèves les plus vulnérables (à savoir ceux qui ont obtenu des </w:t>
      </w:r>
      <w:r>
        <w:rPr>
          <w:lang w:val="fr-FR"/>
        </w:rPr>
        <w:t>résultats</w:t>
      </w:r>
      <w:r w:rsidRPr="007D1229">
        <w:rPr>
          <w:lang w:val="fr-FR"/>
        </w:rPr>
        <w:t xml:space="preserve"> </w:t>
      </w:r>
      <w:r>
        <w:rPr>
          <w:lang w:val="fr-FR"/>
        </w:rPr>
        <w:t>médiocres</w:t>
      </w:r>
      <w:r w:rsidRPr="007D1229">
        <w:rPr>
          <w:lang w:val="fr-FR"/>
        </w:rPr>
        <w:t xml:space="preserve"> </w:t>
      </w:r>
      <w:r>
        <w:rPr>
          <w:lang w:val="fr-FR"/>
        </w:rPr>
        <w:t>durant le premier cycle et ne se sont pas épanouis à l’école</w:t>
      </w:r>
      <w:r w:rsidRPr="007D1229">
        <w:rPr>
          <w:lang w:val="fr-FR"/>
        </w:rPr>
        <w:t xml:space="preserve"> ou n</w:t>
      </w:r>
      <w:r>
        <w:rPr>
          <w:lang w:val="fr-FR"/>
        </w:rPr>
        <w:t>’</w:t>
      </w:r>
      <w:r w:rsidRPr="007D1229">
        <w:rPr>
          <w:lang w:val="fr-FR"/>
        </w:rPr>
        <w:t>ont pas acquis l</w:t>
      </w:r>
      <w:r w:rsidR="003E4F1B">
        <w:rPr>
          <w:lang w:val="fr-FR"/>
        </w:rPr>
        <w:t>es bonnes méthodes de travail).</w:t>
      </w:r>
    </w:p>
    <w:p w:rsidR="00BC6837" w:rsidRPr="007D1229" w:rsidRDefault="00BC6837" w:rsidP="00BC6837">
      <w:pPr>
        <w:pStyle w:val="SingleTxtG"/>
      </w:pPr>
      <w:r w:rsidRPr="007D1229">
        <w:rPr>
          <w:lang w:val="fr-FR"/>
        </w:rPr>
        <w:t>119.</w:t>
      </w:r>
      <w:r w:rsidRPr="007D1229">
        <w:rPr>
          <w:lang w:val="fr-FR"/>
        </w:rPr>
        <w:tab/>
        <w:t>Pour lutter contre l</w:t>
      </w:r>
      <w:r>
        <w:rPr>
          <w:lang w:val="fr-FR"/>
        </w:rPr>
        <w:t>’</w:t>
      </w:r>
      <w:r w:rsidRPr="007D1229">
        <w:rPr>
          <w:lang w:val="fr-FR"/>
        </w:rPr>
        <w:t>abandon scolaire, il est essentiel de mettre en place des services d</w:t>
      </w:r>
      <w:r>
        <w:rPr>
          <w:lang w:val="fr-FR"/>
        </w:rPr>
        <w:t>’</w:t>
      </w:r>
      <w:r w:rsidRPr="007D1229">
        <w:rPr>
          <w:lang w:val="fr-FR"/>
        </w:rPr>
        <w:t>appui de qualité. En 2018, le budget alloué aux établissements professionnels a augmenté de 3,25</w:t>
      </w:r>
      <w:r w:rsidR="003E4F1B">
        <w:rPr>
          <w:lang w:val="fr-FR"/>
        </w:rPr>
        <w:t> </w:t>
      </w:r>
      <w:r w:rsidRPr="007D1229">
        <w:rPr>
          <w:lang w:val="fr-FR"/>
        </w:rPr>
        <w:t>millions d</w:t>
      </w:r>
      <w:r>
        <w:rPr>
          <w:lang w:val="fr-FR"/>
        </w:rPr>
        <w:t>’</w:t>
      </w:r>
      <w:r w:rsidRPr="007D1229">
        <w:rPr>
          <w:lang w:val="fr-FR"/>
        </w:rPr>
        <w:t xml:space="preserve">euros, </w:t>
      </w:r>
      <w:r>
        <w:rPr>
          <w:lang w:val="fr-FR"/>
        </w:rPr>
        <w:t>somme essentiellement destinée</w:t>
      </w:r>
      <w:r w:rsidRPr="007D1229">
        <w:rPr>
          <w:lang w:val="fr-FR"/>
        </w:rPr>
        <w:t xml:space="preserve"> </w:t>
      </w:r>
      <w:r>
        <w:rPr>
          <w:lang w:val="fr-FR"/>
        </w:rPr>
        <w:t>aux</w:t>
      </w:r>
      <w:r w:rsidRPr="007D1229">
        <w:rPr>
          <w:lang w:val="fr-FR"/>
        </w:rPr>
        <w:t xml:space="preserve"> services d</w:t>
      </w:r>
      <w:r>
        <w:rPr>
          <w:lang w:val="fr-FR"/>
        </w:rPr>
        <w:t>’</w:t>
      </w:r>
      <w:r w:rsidRPr="007D1229">
        <w:rPr>
          <w:lang w:val="fr-FR"/>
        </w:rPr>
        <w:t>appui afin que les écoles puissent mieux aider les élèves, notamment ceux qui ont des besoins spéciaux.</w:t>
      </w:r>
    </w:p>
    <w:p w:rsidR="00BC6837" w:rsidRPr="007D1229" w:rsidRDefault="00BC6837" w:rsidP="00BC6837">
      <w:pPr>
        <w:pStyle w:val="SingleTxtG"/>
      </w:pPr>
      <w:r w:rsidRPr="007D1229">
        <w:rPr>
          <w:lang w:val="fr-FR"/>
        </w:rPr>
        <w:t>120.</w:t>
      </w:r>
      <w:r w:rsidRPr="007D1229">
        <w:rPr>
          <w:lang w:val="fr-FR"/>
        </w:rPr>
        <w:tab/>
        <w:t>Un programme pilote d</w:t>
      </w:r>
      <w:r>
        <w:rPr>
          <w:lang w:val="fr-FR"/>
        </w:rPr>
        <w:t>’</w:t>
      </w:r>
      <w:r w:rsidRPr="007D1229">
        <w:rPr>
          <w:lang w:val="fr-FR"/>
        </w:rPr>
        <w:t>orientation professionnelle a été testé en 2017 et 2018 dans trois établissements professionnels. Une loi sera adoptée en 2019 afin de l</w:t>
      </w:r>
      <w:r>
        <w:rPr>
          <w:lang w:val="fr-FR"/>
        </w:rPr>
        <w:t>’</w:t>
      </w:r>
      <w:r w:rsidRPr="007D1229">
        <w:rPr>
          <w:lang w:val="fr-FR"/>
        </w:rPr>
        <w:t>étendre à d</w:t>
      </w:r>
      <w:r>
        <w:rPr>
          <w:lang w:val="fr-FR"/>
        </w:rPr>
        <w:t>’</w:t>
      </w:r>
      <w:r w:rsidRPr="007D1229">
        <w:rPr>
          <w:lang w:val="fr-FR"/>
        </w:rPr>
        <w:t>autres écoles.</w:t>
      </w:r>
    </w:p>
    <w:p w:rsidR="00BC6837" w:rsidRPr="007D1229" w:rsidRDefault="00BC6837" w:rsidP="003E4F1B">
      <w:pPr>
        <w:pStyle w:val="H23G"/>
      </w:pPr>
      <w:r w:rsidRPr="007D1229">
        <w:rPr>
          <w:lang w:val="fr-FR"/>
        </w:rPr>
        <w:tab/>
      </w:r>
      <w:r w:rsidRPr="007D1229">
        <w:rPr>
          <w:lang w:val="fr-FR"/>
        </w:rPr>
        <w:tab/>
        <w:t>Enseignement bilingue et multiculturel</w:t>
      </w:r>
    </w:p>
    <w:p w:rsidR="00BC6837" w:rsidRPr="007D1229" w:rsidRDefault="00BC6837" w:rsidP="00BC6837">
      <w:pPr>
        <w:pStyle w:val="SingleTxtG"/>
      </w:pPr>
      <w:r w:rsidRPr="007D1229">
        <w:rPr>
          <w:lang w:val="fr-FR"/>
        </w:rPr>
        <w:t>121.</w:t>
      </w:r>
      <w:r w:rsidRPr="007D1229">
        <w:rPr>
          <w:lang w:val="fr-FR"/>
        </w:rPr>
        <w:tab/>
        <w:t>Conformément à la loi sur l</w:t>
      </w:r>
      <w:r>
        <w:rPr>
          <w:lang w:val="fr-FR"/>
        </w:rPr>
        <w:t>’</w:t>
      </w:r>
      <w:r w:rsidRPr="007D1229">
        <w:rPr>
          <w:lang w:val="fr-FR"/>
        </w:rPr>
        <w:t xml:space="preserve">enseignement </w:t>
      </w:r>
      <w:r>
        <w:rPr>
          <w:lang w:val="fr-FR"/>
        </w:rPr>
        <w:t>primaire</w:t>
      </w:r>
      <w:r w:rsidRPr="007D1229">
        <w:rPr>
          <w:lang w:val="fr-FR"/>
        </w:rPr>
        <w:t xml:space="preserve"> et secondaire, et selon le programme scolaire national, la diversité et la tolérance culturelles, l</w:t>
      </w:r>
      <w:r>
        <w:rPr>
          <w:lang w:val="fr-FR"/>
        </w:rPr>
        <w:t>’</w:t>
      </w:r>
      <w:r w:rsidR="003E4F1B">
        <w:rPr>
          <w:lang w:val="fr-FR"/>
        </w:rPr>
        <w:t>égalité et la non−</w:t>
      </w:r>
      <w:r w:rsidRPr="007D1229">
        <w:rPr>
          <w:lang w:val="fr-FR"/>
        </w:rPr>
        <w:t>discrimination, entre autres, sont considérées comme des valeurs et des thèmes essentiels de l</w:t>
      </w:r>
      <w:r>
        <w:rPr>
          <w:lang w:val="fr-FR"/>
        </w:rPr>
        <w:t>’</w:t>
      </w:r>
      <w:r w:rsidRPr="007D1229">
        <w:rPr>
          <w:lang w:val="fr-FR"/>
        </w:rPr>
        <w:t>enseignement en Estonie. Les principes fondamentaux de l</w:t>
      </w:r>
      <w:r>
        <w:rPr>
          <w:lang w:val="fr-FR"/>
        </w:rPr>
        <w:t>’</w:t>
      </w:r>
      <w:r w:rsidRPr="007D1229">
        <w:rPr>
          <w:lang w:val="fr-FR"/>
        </w:rPr>
        <w:t>éducation reposent sur le respect des valeurs universelles et nationales, de la liberté de chacun, de la liberté de religion et de la liberté de conscience.</w:t>
      </w:r>
    </w:p>
    <w:p w:rsidR="00BC6837" w:rsidRPr="007D1229" w:rsidRDefault="00BC6837" w:rsidP="00BC6837">
      <w:pPr>
        <w:pStyle w:val="SingleTxtG"/>
      </w:pPr>
      <w:r w:rsidRPr="007D1229">
        <w:rPr>
          <w:lang w:val="fr-FR"/>
        </w:rPr>
        <w:t>122.</w:t>
      </w:r>
      <w:r w:rsidRPr="007D1229">
        <w:rPr>
          <w:lang w:val="fr-FR"/>
        </w:rPr>
        <w:tab/>
        <w:t>L</w:t>
      </w:r>
      <w:r>
        <w:rPr>
          <w:lang w:val="fr-FR"/>
        </w:rPr>
        <w:t>’</w:t>
      </w:r>
      <w:r w:rsidRPr="007D1229">
        <w:rPr>
          <w:lang w:val="fr-FR"/>
        </w:rPr>
        <w:t>Estonie est l</w:t>
      </w:r>
      <w:r>
        <w:rPr>
          <w:lang w:val="fr-FR"/>
        </w:rPr>
        <w:t>’</w:t>
      </w:r>
      <w:r w:rsidRPr="007D1229">
        <w:rPr>
          <w:lang w:val="fr-FR"/>
        </w:rPr>
        <w:t>un des rares membres de l</w:t>
      </w:r>
      <w:r>
        <w:rPr>
          <w:lang w:val="fr-FR"/>
        </w:rPr>
        <w:t>’</w:t>
      </w:r>
      <w:r w:rsidRPr="007D1229">
        <w:rPr>
          <w:lang w:val="fr-FR"/>
        </w:rPr>
        <w:t xml:space="preserve">Union européenne dont le système scolaire permet aux élèves </w:t>
      </w:r>
      <w:r>
        <w:rPr>
          <w:lang w:val="fr-FR"/>
        </w:rPr>
        <w:t xml:space="preserve">du public </w:t>
      </w:r>
      <w:r w:rsidRPr="007D1229">
        <w:rPr>
          <w:lang w:val="fr-FR"/>
        </w:rPr>
        <w:t xml:space="preserve">de </w:t>
      </w:r>
      <w:r>
        <w:rPr>
          <w:lang w:val="fr-FR"/>
        </w:rPr>
        <w:t>suivre</w:t>
      </w:r>
      <w:r w:rsidRPr="007D1229">
        <w:rPr>
          <w:lang w:val="fr-FR"/>
        </w:rPr>
        <w:t xml:space="preserve"> un enseignement dans une langue autre que la langue officielle. Il est possible de suivre un enseignement en russe dans des écoles maternelles, </w:t>
      </w:r>
      <w:r>
        <w:rPr>
          <w:lang w:val="fr-FR"/>
        </w:rPr>
        <w:t>primaires</w:t>
      </w:r>
      <w:r w:rsidRPr="007D1229">
        <w:rPr>
          <w:lang w:val="fr-FR"/>
        </w:rPr>
        <w:t xml:space="preserve"> et secondaires, ainsi que dans des écoles professionnelles et certains établissements d</w:t>
      </w:r>
      <w:r>
        <w:rPr>
          <w:lang w:val="fr-FR"/>
        </w:rPr>
        <w:t>’</w:t>
      </w:r>
      <w:r w:rsidR="003E4F1B">
        <w:rPr>
          <w:lang w:val="fr-FR"/>
        </w:rPr>
        <w:t>enseignement supérieur.</w:t>
      </w:r>
    </w:p>
    <w:p w:rsidR="00BC6837" w:rsidRPr="007D1229" w:rsidRDefault="00BC6837" w:rsidP="00BC6837">
      <w:pPr>
        <w:pStyle w:val="SingleTxtG"/>
      </w:pPr>
      <w:r w:rsidRPr="007D1229">
        <w:rPr>
          <w:lang w:val="fr-FR"/>
        </w:rPr>
        <w:t>123.</w:t>
      </w:r>
      <w:r w:rsidRPr="007D1229">
        <w:rPr>
          <w:lang w:val="fr-FR"/>
        </w:rPr>
        <w:tab/>
      </w:r>
      <w:r>
        <w:rPr>
          <w:lang w:val="fr-FR"/>
        </w:rPr>
        <w:t>Dans l’enseignement de base, l</w:t>
      </w:r>
      <w:r w:rsidRPr="007D1229">
        <w:rPr>
          <w:lang w:val="fr-FR"/>
        </w:rPr>
        <w:t>es écoles organisent des cours de langue et de culture pour les élèves dont la langue maternelle n</w:t>
      </w:r>
      <w:r>
        <w:rPr>
          <w:lang w:val="fr-FR"/>
        </w:rPr>
        <w:t>’</w:t>
      </w:r>
      <w:r w:rsidRPr="007D1229">
        <w:rPr>
          <w:lang w:val="fr-FR"/>
        </w:rPr>
        <w:t>est pas l</w:t>
      </w:r>
      <w:r>
        <w:rPr>
          <w:lang w:val="fr-FR"/>
        </w:rPr>
        <w:t>’</w:t>
      </w:r>
      <w:r w:rsidRPr="007D1229">
        <w:rPr>
          <w:lang w:val="fr-FR"/>
        </w:rPr>
        <w:t>estonien à la condition qu</w:t>
      </w:r>
      <w:r>
        <w:rPr>
          <w:lang w:val="fr-FR"/>
        </w:rPr>
        <w:t>’</w:t>
      </w:r>
      <w:r w:rsidR="003E4F1B">
        <w:rPr>
          <w:lang w:val="fr-FR"/>
        </w:rPr>
        <w:t>au moins 10 </w:t>
      </w:r>
      <w:r w:rsidRPr="007D1229">
        <w:rPr>
          <w:lang w:val="fr-FR"/>
        </w:rPr>
        <w:t>élèves qui parlent la même langue maternelle ou la même langue de communication chez eux (</w:t>
      </w:r>
      <w:r w:rsidR="003E4F1B">
        <w:rPr>
          <w:lang w:val="fr-FR"/>
        </w:rPr>
        <w:t>par. </w:t>
      </w:r>
      <w:r w:rsidRPr="007D1229">
        <w:rPr>
          <w:lang w:val="fr-FR"/>
        </w:rPr>
        <w:t>5</w:t>
      </w:r>
      <w:r>
        <w:rPr>
          <w:lang w:val="fr-FR"/>
        </w:rPr>
        <w:t xml:space="preserve"> de l’article</w:t>
      </w:r>
      <w:r w:rsidR="003E4F1B">
        <w:rPr>
          <w:lang w:val="fr-FR"/>
        </w:rPr>
        <w:t> </w:t>
      </w:r>
      <w:r w:rsidRPr="007D1229">
        <w:rPr>
          <w:lang w:val="fr-FR"/>
        </w:rPr>
        <w:t>21 de la loi sur l</w:t>
      </w:r>
      <w:r>
        <w:rPr>
          <w:lang w:val="fr-FR"/>
        </w:rPr>
        <w:t>’</w:t>
      </w:r>
      <w:r w:rsidRPr="007D1229">
        <w:rPr>
          <w:lang w:val="fr-FR"/>
        </w:rPr>
        <w:t xml:space="preserve">enseignement </w:t>
      </w:r>
      <w:r>
        <w:rPr>
          <w:lang w:val="fr-FR"/>
        </w:rPr>
        <w:t>primaire</w:t>
      </w:r>
      <w:r w:rsidR="00FA648F">
        <w:rPr>
          <w:lang w:val="fr-FR"/>
        </w:rPr>
        <w:t xml:space="preserve"> et secondaire)</w:t>
      </w:r>
      <w:r w:rsidRPr="007D1229">
        <w:rPr>
          <w:lang w:val="fr-FR"/>
        </w:rPr>
        <w:t xml:space="preserve"> en fassent la demande.</w:t>
      </w:r>
    </w:p>
    <w:p w:rsidR="00BC6837" w:rsidRPr="007D1229" w:rsidRDefault="003E4F1B" w:rsidP="003E4F1B">
      <w:pPr>
        <w:pStyle w:val="H23G"/>
      </w:pPr>
      <w:r w:rsidRPr="00BE28BE">
        <w:rPr>
          <w:b w:val="0"/>
          <w:lang w:val="fr-FR"/>
        </w:rPr>
        <w:lastRenderedPageBreak/>
        <w:tab/>
      </w:r>
      <w:r w:rsidRPr="00BE28BE">
        <w:rPr>
          <w:b w:val="0"/>
          <w:lang w:val="fr-FR"/>
        </w:rPr>
        <w:tab/>
      </w:r>
      <w:r w:rsidR="00BC6837" w:rsidRPr="00BE28BE">
        <w:rPr>
          <w:b w:val="0"/>
          <w:lang w:val="fr-FR"/>
        </w:rPr>
        <w:t>Tableau 1</w:t>
      </w:r>
      <w:r w:rsidR="00BC6837" w:rsidRPr="007D1229">
        <w:rPr>
          <w:lang w:val="fr-FR"/>
        </w:rPr>
        <w:t xml:space="preserve"> </w:t>
      </w:r>
      <w:r>
        <w:rPr>
          <w:lang w:val="fr-FR"/>
        </w:rPr>
        <w:br/>
      </w:r>
      <w:r w:rsidR="00BC6837" w:rsidRPr="007D1229">
        <w:rPr>
          <w:lang w:val="fr-FR"/>
        </w:rPr>
        <w:t>Enseignement de base, année scolaire 2017-2018 (données</w:t>
      </w:r>
      <w:r w:rsidR="00BE28BE">
        <w:rPr>
          <w:lang w:val="fr-FR"/>
        </w:rPr>
        <w:t> </w:t>
      </w:r>
      <w:r w:rsidR="00BC6837" w:rsidRPr="007D1229">
        <w:rPr>
          <w:lang w:val="fr-FR"/>
        </w:rPr>
        <w:t>: Haridussilm)</w:t>
      </w:r>
    </w:p>
    <w:tbl>
      <w:tblPr>
        <w:tblW w:w="7370" w:type="dxa"/>
        <w:tblInd w:w="1134" w:type="dxa"/>
        <w:tblLayout w:type="fixed"/>
        <w:tblCellMar>
          <w:left w:w="0" w:type="dxa"/>
          <w:right w:w="0" w:type="dxa"/>
        </w:tblCellMar>
        <w:tblLook w:val="04A0" w:firstRow="1" w:lastRow="0" w:firstColumn="1" w:lastColumn="0" w:noHBand="0" w:noVBand="1"/>
      </w:tblPr>
      <w:tblGrid>
        <w:gridCol w:w="3472"/>
        <w:gridCol w:w="1949"/>
        <w:gridCol w:w="1949"/>
      </w:tblGrid>
      <w:tr w:rsidR="00581060" w:rsidRPr="00581060" w:rsidTr="00581060">
        <w:trPr>
          <w:tblHeader/>
        </w:trPr>
        <w:tc>
          <w:tcPr>
            <w:tcW w:w="3472"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C6837" w:rsidRPr="00581060" w:rsidRDefault="00BC6837" w:rsidP="00581060">
            <w:pPr>
              <w:suppressAutoHyphens w:val="0"/>
              <w:spacing w:before="80" w:after="80" w:line="200" w:lineRule="exact"/>
              <w:rPr>
                <w:i/>
                <w:sz w:val="16"/>
              </w:rPr>
            </w:pPr>
            <w:r w:rsidRPr="00581060">
              <w:rPr>
                <w:i/>
                <w:sz w:val="16"/>
                <w:lang w:val="fr-FR"/>
              </w:rPr>
              <w:t>Langue d’enseignement</w:t>
            </w:r>
            <w:r w:rsidRPr="00C32947">
              <w:rPr>
                <w:rStyle w:val="Appelnotedebasdep"/>
                <w:sz w:val="16"/>
              </w:rPr>
              <w:footnoteReference w:id="18"/>
            </w:r>
          </w:p>
        </w:tc>
        <w:tc>
          <w:tcPr>
            <w:tcW w:w="1949" w:type="dxa"/>
            <w:tcBorders>
              <w:top w:val="single" w:sz="4" w:space="0" w:color="auto"/>
              <w:bottom w:val="single" w:sz="12" w:space="0" w:color="auto"/>
            </w:tcBorders>
            <w:shd w:val="clear" w:color="auto" w:fill="auto"/>
            <w:vAlign w:val="bottom"/>
            <w:hideMark/>
          </w:tcPr>
          <w:p w:rsidR="00BC6837" w:rsidRPr="00581060" w:rsidRDefault="00BC6837" w:rsidP="00581060">
            <w:pPr>
              <w:suppressAutoHyphens w:val="0"/>
              <w:spacing w:before="80" w:after="80" w:line="200" w:lineRule="exact"/>
              <w:jc w:val="right"/>
              <w:rPr>
                <w:i/>
                <w:sz w:val="16"/>
              </w:rPr>
            </w:pPr>
            <w:r w:rsidRPr="00581060">
              <w:rPr>
                <w:i/>
                <w:sz w:val="16"/>
                <w:lang w:val="fr-FR"/>
              </w:rPr>
              <w:t>Nombre d’écoles</w:t>
            </w:r>
          </w:p>
        </w:tc>
        <w:tc>
          <w:tcPr>
            <w:tcW w:w="1949"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C6837" w:rsidRPr="00581060" w:rsidRDefault="00BC6837" w:rsidP="00581060">
            <w:pPr>
              <w:suppressAutoHyphens w:val="0"/>
              <w:spacing w:before="80" w:after="80" w:line="200" w:lineRule="exact"/>
              <w:jc w:val="right"/>
              <w:rPr>
                <w:i/>
                <w:sz w:val="16"/>
              </w:rPr>
            </w:pPr>
            <w:r w:rsidRPr="00581060">
              <w:rPr>
                <w:i/>
                <w:sz w:val="16"/>
                <w:lang w:val="fr-FR"/>
              </w:rPr>
              <w:t>Nombre d’élèves</w:t>
            </w:r>
          </w:p>
        </w:tc>
      </w:tr>
      <w:tr w:rsidR="00581060" w:rsidRPr="00581060" w:rsidTr="00581060">
        <w:tc>
          <w:tcPr>
            <w:tcW w:w="3472" w:type="dxa"/>
            <w:tcBorders>
              <w:top w:val="single" w:sz="12" w:space="0" w:color="auto"/>
            </w:tcBorders>
            <w:shd w:val="clear" w:color="auto" w:fill="auto"/>
            <w:noWrap/>
            <w:tcMar>
              <w:top w:w="0" w:type="dxa"/>
              <w:left w:w="70" w:type="dxa"/>
              <w:bottom w:w="0" w:type="dxa"/>
              <w:right w:w="70" w:type="dxa"/>
            </w:tcMar>
            <w:hideMark/>
          </w:tcPr>
          <w:p w:rsidR="00BC6837" w:rsidRPr="00581060" w:rsidRDefault="00BC6837" w:rsidP="00581060">
            <w:pPr>
              <w:suppressAutoHyphens w:val="0"/>
              <w:spacing w:before="40" w:after="40" w:line="220" w:lineRule="exact"/>
              <w:rPr>
                <w:sz w:val="18"/>
              </w:rPr>
            </w:pPr>
            <w:r w:rsidRPr="00581060">
              <w:rPr>
                <w:sz w:val="18"/>
                <w:lang w:val="fr-FR"/>
              </w:rPr>
              <w:t xml:space="preserve">Estonien </w:t>
            </w:r>
          </w:p>
        </w:tc>
        <w:tc>
          <w:tcPr>
            <w:tcW w:w="1949" w:type="dxa"/>
            <w:tcBorders>
              <w:top w:val="single" w:sz="12" w:space="0" w:color="auto"/>
            </w:tcBorders>
            <w:shd w:val="clear" w:color="auto" w:fill="auto"/>
            <w:vAlign w:val="bottom"/>
            <w:hideMark/>
          </w:tcPr>
          <w:p w:rsidR="00BC6837" w:rsidRPr="00581060" w:rsidRDefault="00BC6837" w:rsidP="00581060">
            <w:pPr>
              <w:suppressAutoHyphens w:val="0"/>
              <w:spacing w:before="40" w:after="40" w:line="220" w:lineRule="exact"/>
              <w:jc w:val="right"/>
              <w:rPr>
                <w:sz w:val="18"/>
              </w:rPr>
            </w:pPr>
            <w:r w:rsidRPr="00581060">
              <w:rPr>
                <w:sz w:val="18"/>
                <w:lang w:val="fr-FR"/>
              </w:rPr>
              <w:t>436</w:t>
            </w:r>
          </w:p>
        </w:tc>
        <w:tc>
          <w:tcPr>
            <w:tcW w:w="1949" w:type="dxa"/>
            <w:tcBorders>
              <w:top w:val="single" w:sz="12" w:space="0" w:color="auto"/>
            </w:tcBorders>
            <w:shd w:val="clear" w:color="auto" w:fill="auto"/>
            <w:noWrap/>
            <w:tcMar>
              <w:top w:w="0" w:type="dxa"/>
              <w:left w:w="70" w:type="dxa"/>
              <w:bottom w:w="0" w:type="dxa"/>
              <w:right w:w="70" w:type="dxa"/>
            </w:tcMar>
            <w:vAlign w:val="bottom"/>
            <w:hideMark/>
          </w:tcPr>
          <w:p w:rsidR="00BC6837" w:rsidRPr="00581060" w:rsidRDefault="009E0FBF" w:rsidP="00581060">
            <w:pPr>
              <w:suppressAutoHyphens w:val="0"/>
              <w:spacing w:before="40" w:after="40" w:line="220" w:lineRule="exact"/>
              <w:jc w:val="right"/>
              <w:rPr>
                <w:sz w:val="18"/>
              </w:rPr>
            </w:pPr>
            <w:r>
              <w:rPr>
                <w:sz w:val="18"/>
                <w:lang w:val="fr-FR"/>
              </w:rPr>
              <w:t>95 </w:t>
            </w:r>
            <w:r w:rsidR="00BC6837" w:rsidRPr="00581060">
              <w:rPr>
                <w:sz w:val="18"/>
                <w:lang w:val="fr-FR"/>
              </w:rPr>
              <w:t>876</w:t>
            </w:r>
          </w:p>
        </w:tc>
      </w:tr>
      <w:tr w:rsidR="00581060" w:rsidRPr="00581060" w:rsidTr="00581060">
        <w:tc>
          <w:tcPr>
            <w:tcW w:w="3472" w:type="dxa"/>
            <w:shd w:val="clear" w:color="auto" w:fill="auto"/>
            <w:noWrap/>
            <w:tcMar>
              <w:top w:w="0" w:type="dxa"/>
              <w:left w:w="70" w:type="dxa"/>
              <w:bottom w:w="0" w:type="dxa"/>
              <w:right w:w="70" w:type="dxa"/>
            </w:tcMar>
            <w:hideMark/>
          </w:tcPr>
          <w:p w:rsidR="00BC6837" w:rsidRPr="00581060" w:rsidRDefault="00BC6837" w:rsidP="00581060">
            <w:pPr>
              <w:suppressAutoHyphens w:val="0"/>
              <w:spacing w:before="40" w:after="40" w:line="220" w:lineRule="exact"/>
              <w:rPr>
                <w:sz w:val="18"/>
              </w:rPr>
            </w:pPr>
            <w:r w:rsidRPr="00581060">
              <w:rPr>
                <w:sz w:val="18"/>
                <w:lang w:val="fr-FR"/>
              </w:rPr>
              <w:t>Estonien (programme d’immersion linguistique)</w:t>
            </w:r>
          </w:p>
        </w:tc>
        <w:tc>
          <w:tcPr>
            <w:tcW w:w="1949" w:type="dxa"/>
            <w:shd w:val="clear" w:color="auto" w:fill="auto"/>
            <w:vAlign w:val="bottom"/>
            <w:hideMark/>
          </w:tcPr>
          <w:p w:rsidR="00BC6837" w:rsidRPr="00581060" w:rsidRDefault="00BC6837" w:rsidP="00581060">
            <w:pPr>
              <w:suppressAutoHyphens w:val="0"/>
              <w:spacing w:before="40" w:after="40" w:line="220" w:lineRule="exact"/>
              <w:jc w:val="right"/>
              <w:rPr>
                <w:sz w:val="18"/>
              </w:rPr>
            </w:pPr>
            <w:r w:rsidRPr="00581060">
              <w:rPr>
                <w:sz w:val="18"/>
                <w:lang w:val="fr-FR"/>
              </w:rPr>
              <w:t>36</w:t>
            </w:r>
          </w:p>
        </w:tc>
        <w:tc>
          <w:tcPr>
            <w:tcW w:w="1949" w:type="dxa"/>
            <w:shd w:val="clear" w:color="auto" w:fill="auto"/>
            <w:noWrap/>
            <w:tcMar>
              <w:top w:w="0" w:type="dxa"/>
              <w:left w:w="70" w:type="dxa"/>
              <w:bottom w:w="0" w:type="dxa"/>
              <w:right w:w="70" w:type="dxa"/>
            </w:tcMar>
            <w:vAlign w:val="bottom"/>
            <w:hideMark/>
          </w:tcPr>
          <w:p w:rsidR="00BC6837" w:rsidRPr="00581060" w:rsidRDefault="00DF376E" w:rsidP="00581060">
            <w:pPr>
              <w:suppressAutoHyphens w:val="0"/>
              <w:spacing w:before="40" w:after="40" w:line="220" w:lineRule="exact"/>
              <w:jc w:val="right"/>
              <w:rPr>
                <w:sz w:val="18"/>
              </w:rPr>
            </w:pPr>
            <w:r>
              <w:rPr>
                <w:sz w:val="18"/>
                <w:lang w:val="fr-FR"/>
              </w:rPr>
              <w:t>7 </w:t>
            </w:r>
            <w:r w:rsidR="00BC6837" w:rsidRPr="00581060">
              <w:rPr>
                <w:sz w:val="18"/>
                <w:lang w:val="fr-FR"/>
              </w:rPr>
              <w:t>099</w:t>
            </w:r>
          </w:p>
        </w:tc>
      </w:tr>
      <w:tr w:rsidR="00581060" w:rsidRPr="00581060" w:rsidTr="00581060">
        <w:tc>
          <w:tcPr>
            <w:tcW w:w="3472" w:type="dxa"/>
            <w:shd w:val="clear" w:color="auto" w:fill="auto"/>
            <w:noWrap/>
            <w:tcMar>
              <w:top w:w="0" w:type="dxa"/>
              <w:left w:w="70" w:type="dxa"/>
              <w:bottom w:w="0" w:type="dxa"/>
              <w:right w:w="70" w:type="dxa"/>
            </w:tcMar>
            <w:hideMark/>
          </w:tcPr>
          <w:p w:rsidR="00BC6837" w:rsidRPr="00581060" w:rsidRDefault="00BC6837" w:rsidP="00581060">
            <w:pPr>
              <w:suppressAutoHyphens w:val="0"/>
              <w:spacing w:before="40" w:after="40" w:line="220" w:lineRule="exact"/>
              <w:rPr>
                <w:sz w:val="18"/>
              </w:rPr>
            </w:pPr>
            <w:r w:rsidRPr="00581060">
              <w:rPr>
                <w:sz w:val="18"/>
                <w:lang w:val="fr-FR"/>
              </w:rPr>
              <w:t>Anglais</w:t>
            </w:r>
          </w:p>
        </w:tc>
        <w:tc>
          <w:tcPr>
            <w:tcW w:w="1949" w:type="dxa"/>
            <w:shd w:val="clear" w:color="auto" w:fill="auto"/>
            <w:vAlign w:val="bottom"/>
            <w:hideMark/>
          </w:tcPr>
          <w:p w:rsidR="00BC6837" w:rsidRPr="00581060" w:rsidRDefault="00BC6837" w:rsidP="00581060">
            <w:pPr>
              <w:suppressAutoHyphens w:val="0"/>
              <w:spacing w:before="40" w:after="40" w:line="220" w:lineRule="exact"/>
              <w:jc w:val="right"/>
              <w:rPr>
                <w:sz w:val="18"/>
              </w:rPr>
            </w:pPr>
            <w:r w:rsidRPr="00581060">
              <w:rPr>
                <w:sz w:val="18"/>
                <w:lang w:val="fr-FR"/>
              </w:rPr>
              <w:t>6</w:t>
            </w:r>
          </w:p>
        </w:tc>
        <w:tc>
          <w:tcPr>
            <w:tcW w:w="1949" w:type="dxa"/>
            <w:shd w:val="clear" w:color="auto" w:fill="auto"/>
            <w:noWrap/>
            <w:tcMar>
              <w:top w:w="0" w:type="dxa"/>
              <w:left w:w="70" w:type="dxa"/>
              <w:bottom w:w="0" w:type="dxa"/>
              <w:right w:w="70" w:type="dxa"/>
            </w:tcMar>
            <w:vAlign w:val="bottom"/>
            <w:hideMark/>
          </w:tcPr>
          <w:p w:rsidR="00BC6837" w:rsidRPr="00581060" w:rsidRDefault="00BC6837" w:rsidP="00581060">
            <w:pPr>
              <w:suppressAutoHyphens w:val="0"/>
              <w:spacing w:before="40" w:after="40" w:line="220" w:lineRule="exact"/>
              <w:jc w:val="right"/>
              <w:rPr>
                <w:sz w:val="18"/>
              </w:rPr>
            </w:pPr>
            <w:r w:rsidRPr="00581060">
              <w:rPr>
                <w:sz w:val="18"/>
                <w:lang w:val="fr-FR"/>
              </w:rPr>
              <w:t>520</w:t>
            </w:r>
          </w:p>
        </w:tc>
      </w:tr>
      <w:tr w:rsidR="00581060" w:rsidRPr="00581060" w:rsidTr="00581060">
        <w:tc>
          <w:tcPr>
            <w:tcW w:w="3472" w:type="dxa"/>
            <w:shd w:val="clear" w:color="auto" w:fill="auto"/>
            <w:noWrap/>
            <w:tcMar>
              <w:top w:w="0" w:type="dxa"/>
              <w:left w:w="70" w:type="dxa"/>
              <w:bottom w:w="0" w:type="dxa"/>
              <w:right w:w="70" w:type="dxa"/>
            </w:tcMar>
            <w:hideMark/>
          </w:tcPr>
          <w:p w:rsidR="00BC6837" w:rsidRPr="00581060" w:rsidRDefault="00BC6837" w:rsidP="00581060">
            <w:pPr>
              <w:suppressAutoHyphens w:val="0"/>
              <w:spacing w:before="40" w:after="40" w:line="220" w:lineRule="exact"/>
              <w:rPr>
                <w:sz w:val="18"/>
              </w:rPr>
            </w:pPr>
            <w:r w:rsidRPr="00581060">
              <w:rPr>
                <w:sz w:val="18"/>
                <w:lang w:val="fr-FR"/>
              </w:rPr>
              <w:t>Finnois</w:t>
            </w:r>
          </w:p>
        </w:tc>
        <w:tc>
          <w:tcPr>
            <w:tcW w:w="1949" w:type="dxa"/>
            <w:shd w:val="clear" w:color="auto" w:fill="auto"/>
            <w:vAlign w:val="bottom"/>
            <w:hideMark/>
          </w:tcPr>
          <w:p w:rsidR="00BC6837" w:rsidRPr="00581060" w:rsidRDefault="00BC6837" w:rsidP="00581060">
            <w:pPr>
              <w:suppressAutoHyphens w:val="0"/>
              <w:spacing w:before="40" w:after="40" w:line="220" w:lineRule="exact"/>
              <w:jc w:val="right"/>
              <w:rPr>
                <w:sz w:val="18"/>
              </w:rPr>
            </w:pPr>
            <w:r w:rsidRPr="00581060">
              <w:rPr>
                <w:sz w:val="18"/>
                <w:lang w:val="fr-FR"/>
              </w:rPr>
              <w:t>1</w:t>
            </w:r>
          </w:p>
        </w:tc>
        <w:tc>
          <w:tcPr>
            <w:tcW w:w="1949" w:type="dxa"/>
            <w:shd w:val="clear" w:color="auto" w:fill="auto"/>
            <w:noWrap/>
            <w:tcMar>
              <w:top w:w="0" w:type="dxa"/>
              <w:left w:w="70" w:type="dxa"/>
              <w:bottom w:w="0" w:type="dxa"/>
              <w:right w:w="70" w:type="dxa"/>
            </w:tcMar>
            <w:vAlign w:val="bottom"/>
            <w:hideMark/>
          </w:tcPr>
          <w:p w:rsidR="00BC6837" w:rsidRPr="00581060" w:rsidRDefault="00BC6837" w:rsidP="00581060">
            <w:pPr>
              <w:suppressAutoHyphens w:val="0"/>
              <w:spacing w:before="40" w:after="40" w:line="220" w:lineRule="exact"/>
              <w:jc w:val="right"/>
              <w:rPr>
                <w:sz w:val="18"/>
              </w:rPr>
            </w:pPr>
            <w:r w:rsidRPr="00581060">
              <w:rPr>
                <w:sz w:val="18"/>
                <w:lang w:val="fr-FR"/>
              </w:rPr>
              <w:t>66</w:t>
            </w:r>
          </w:p>
        </w:tc>
      </w:tr>
      <w:tr w:rsidR="00581060" w:rsidRPr="00581060" w:rsidTr="009E0FBF">
        <w:tc>
          <w:tcPr>
            <w:tcW w:w="3472" w:type="dxa"/>
            <w:tcBorders>
              <w:bottom w:val="single" w:sz="4" w:space="0" w:color="auto"/>
            </w:tcBorders>
            <w:shd w:val="clear" w:color="auto" w:fill="auto"/>
            <w:noWrap/>
            <w:tcMar>
              <w:top w:w="0" w:type="dxa"/>
              <w:left w:w="70" w:type="dxa"/>
              <w:bottom w:w="0" w:type="dxa"/>
              <w:right w:w="70" w:type="dxa"/>
            </w:tcMar>
            <w:hideMark/>
          </w:tcPr>
          <w:p w:rsidR="00BC6837" w:rsidRPr="00581060" w:rsidRDefault="00BC6837" w:rsidP="00581060">
            <w:pPr>
              <w:suppressAutoHyphens w:val="0"/>
              <w:spacing w:before="40" w:after="40" w:line="220" w:lineRule="exact"/>
              <w:rPr>
                <w:sz w:val="18"/>
              </w:rPr>
            </w:pPr>
            <w:r w:rsidRPr="00581060">
              <w:rPr>
                <w:sz w:val="18"/>
                <w:lang w:val="fr-FR"/>
              </w:rPr>
              <w:t>Russe</w:t>
            </w:r>
          </w:p>
        </w:tc>
        <w:tc>
          <w:tcPr>
            <w:tcW w:w="1949" w:type="dxa"/>
            <w:tcBorders>
              <w:bottom w:val="single" w:sz="4" w:space="0" w:color="auto"/>
            </w:tcBorders>
            <w:shd w:val="clear" w:color="auto" w:fill="auto"/>
            <w:vAlign w:val="bottom"/>
            <w:hideMark/>
          </w:tcPr>
          <w:p w:rsidR="00BC6837" w:rsidRPr="00581060" w:rsidRDefault="00BC6837" w:rsidP="00581060">
            <w:pPr>
              <w:suppressAutoHyphens w:val="0"/>
              <w:spacing w:before="40" w:after="40" w:line="220" w:lineRule="exact"/>
              <w:jc w:val="right"/>
              <w:rPr>
                <w:sz w:val="18"/>
              </w:rPr>
            </w:pPr>
            <w:r w:rsidRPr="00581060">
              <w:rPr>
                <w:sz w:val="18"/>
                <w:lang w:val="fr-FR"/>
              </w:rPr>
              <w:t>70</w:t>
            </w:r>
          </w:p>
        </w:tc>
        <w:tc>
          <w:tcPr>
            <w:tcW w:w="1949" w:type="dxa"/>
            <w:tcBorders>
              <w:bottom w:val="single" w:sz="4" w:space="0" w:color="auto"/>
            </w:tcBorders>
            <w:shd w:val="clear" w:color="auto" w:fill="auto"/>
            <w:noWrap/>
            <w:tcMar>
              <w:top w:w="0" w:type="dxa"/>
              <w:left w:w="70" w:type="dxa"/>
              <w:bottom w:w="0" w:type="dxa"/>
              <w:right w:w="70" w:type="dxa"/>
            </w:tcMar>
            <w:vAlign w:val="bottom"/>
            <w:hideMark/>
          </w:tcPr>
          <w:p w:rsidR="00BC6837" w:rsidRPr="00581060" w:rsidRDefault="00DF376E" w:rsidP="00581060">
            <w:pPr>
              <w:suppressAutoHyphens w:val="0"/>
              <w:spacing w:before="40" w:after="40" w:line="220" w:lineRule="exact"/>
              <w:jc w:val="right"/>
              <w:rPr>
                <w:sz w:val="18"/>
              </w:rPr>
            </w:pPr>
            <w:r>
              <w:rPr>
                <w:sz w:val="18"/>
                <w:lang w:val="fr-FR"/>
              </w:rPr>
              <w:t>22 </w:t>
            </w:r>
            <w:r w:rsidR="00BC6837" w:rsidRPr="00581060">
              <w:rPr>
                <w:sz w:val="18"/>
                <w:lang w:val="fr-FR"/>
              </w:rPr>
              <w:t>188</w:t>
            </w:r>
          </w:p>
        </w:tc>
      </w:tr>
      <w:tr w:rsidR="00581060" w:rsidRPr="009E0FBF" w:rsidTr="009E0FBF">
        <w:tc>
          <w:tcPr>
            <w:tcW w:w="3472" w:type="dxa"/>
            <w:tcBorders>
              <w:top w:val="single" w:sz="4" w:space="0" w:color="auto"/>
              <w:bottom w:val="single" w:sz="12" w:space="0" w:color="auto"/>
            </w:tcBorders>
            <w:shd w:val="clear" w:color="auto" w:fill="auto"/>
            <w:noWrap/>
            <w:tcMar>
              <w:top w:w="0" w:type="dxa"/>
              <w:left w:w="70" w:type="dxa"/>
              <w:bottom w:w="0" w:type="dxa"/>
              <w:right w:w="70" w:type="dxa"/>
            </w:tcMar>
            <w:hideMark/>
          </w:tcPr>
          <w:p w:rsidR="00BC6837" w:rsidRPr="009E0FBF" w:rsidRDefault="00BC6837" w:rsidP="009E0FBF">
            <w:pPr>
              <w:suppressAutoHyphens w:val="0"/>
              <w:spacing w:before="80" w:after="80" w:line="220" w:lineRule="exact"/>
              <w:ind w:left="283"/>
              <w:rPr>
                <w:b/>
                <w:sz w:val="18"/>
              </w:rPr>
            </w:pPr>
            <w:r w:rsidRPr="009E0FBF">
              <w:rPr>
                <w:b/>
                <w:sz w:val="18"/>
                <w:lang w:val="fr-FR"/>
              </w:rPr>
              <w:t>Total</w:t>
            </w:r>
          </w:p>
        </w:tc>
        <w:tc>
          <w:tcPr>
            <w:tcW w:w="1949" w:type="dxa"/>
            <w:tcBorders>
              <w:top w:val="single" w:sz="4" w:space="0" w:color="auto"/>
              <w:bottom w:val="single" w:sz="12" w:space="0" w:color="auto"/>
            </w:tcBorders>
            <w:shd w:val="clear" w:color="auto" w:fill="auto"/>
            <w:vAlign w:val="bottom"/>
            <w:hideMark/>
          </w:tcPr>
          <w:p w:rsidR="00BC6837" w:rsidRPr="009E0FBF" w:rsidRDefault="00BC6837" w:rsidP="009E0FBF">
            <w:pPr>
              <w:suppressAutoHyphens w:val="0"/>
              <w:spacing w:before="80" w:after="80" w:line="220" w:lineRule="exact"/>
              <w:jc w:val="right"/>
              <w:rPr>
                <w:b/>
                <w:sz w:val="18"/>
              </w:rPr>
            </w:pPr>
            <w:r w:rsidRPr="009E0FBF">
              <w:rPr>
                <w:b/>
                <w:sz w:val="18"/>
                <w:lang w:val="fr-FR"/>
              </w:rPr>
              <w:t>549</w:t>
            </w:r>
          </w:p>
        </w:tc>
        <w:tc>
          <w:tcPr>
            <w:tcW w:w="1949"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C6837" w:rsidRPr="009E0FBF" w:rsidRDefault="00DF376E" w:rsidP="009E0FBF">
            <w:pPr>
              <w:suppressAutoHyphens w:val="0"/>
              <w:spacing w:before="80" w:after="80" w:line="220" w:lineRule="exact"/>
              <w:jc w:val="right"/>
              <w:rPr>
                <w:b/>
                <w:sz w:val="18"/>
              </w:rPr>
            </w:pPr>
            <w:r w:rsidRPr="009E0FBF">
              <w:rPr>
                <w:b/>
                <w:sz w:val="18"/>
                <w:lang w:val="fr-FR"/>
              </w:rPr>
              <w:t>125 </w:t>
            </w:r>
            <w:r w:rsidR="00BC6837" w:rsidRPr="009E0FBF">
              <w:rPr>
                <w:b/>
                <w:sz w:val="18"/>
                <w:lang w:val="fr-FR"/>
              </w:rPr>
              <w:t>749</w:t>
            </w:r>
          </w:p>
        </w:tc>
      </w:tr>
    </w:tbl>
    <w:p w:rsidR="00BC6837" w:rsidRPr="007D1229" w:rsidRDefault="003A447C" w:rsidP="003A447C">
      <w:pPr>
        <w:pStyle w:val="H23G"/>
      </w:pPr>
      <w:r w:rsidRPr="003A447C">
        <w:rPr>
          <w:b w:val="0"/>
          <w:lang w:val="fr-FR"/>
        </w:rPr>
        <w:tab/>
      </w:r>
      <w:r w:rsidRPr="003A447C">
        <w:rPr>
          <w:b w:val="0"/>
          <w:lang w:val="fr-FR"/>
        </w:rPr>
        <w:tab/>
      </w:r>
      <w:r w:rsidR="00BC6837" w:rsidRPr="003A447C">
        <w:rPr>
          <w:b w:val="0"/>
          <w:lang w:val="fr-FR"/>
        </w:rPr>
        <w:t xml:space="preserve">Tableau 2 </w:t>
      </w:r>
      <w:r w:rsidRPr="003A447C">
        <w:rPr>
          <w:b w:val="0"/>
          <w:lang w:val="fr-FR"/>
        </w:rPr>
        <w:br/>
      </w:r>
      <w:r w:rsidR="00BC6837" w:rsidRPr="007D1229">
        <w:rPr>
          <w:lang w:val="fr-FR"/>
        </w:rPr>
        <w:t>Enseignement professionnel, année scolaire 2017-2018 (données</w:t>
      </w:r>
      <w:r>
        <w:rPr>
          <w:lang w:val="fr-FR"/>
        </w:rPr>
        <w:t> </w:t>
      </w:r>
      <w:r w:rsidR="00BC6837" w:rsidRPr="007D1229">
        <w:rPr>
          <w:lang w:val="fr-FR"/>
        </w:rPr>
        <w:t>: Haridussilm)</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2692"/>
        <w:gridCol w:w="2693"/>
      </w:tblGrid>
      <w:tr w:rsidR="003A447C" w:rsidRPr="003A447C" w:rsidTr="003A447C">
        <w:trPr>
          <w:tblHeader/>
        </w:trPr>
        <w:tc>
          <w:tcPr>
            <w:tcW w:w="1985" w:type="dxa"/>
            <w:tcBorders>
              <w:top w:val="single" w:sz="4" w:space="0" w:color="auto"/>
              <w:bottom w:val="single" w:sz="12" w:space="0" w:color="auto"/>
            </w:tcBorders>
            <w:shd w:val="clear" w:color="auto" w:fill="auto"/>
            <w:noWrap/>
            <w:vAlign w:val="bottom"/>
            <w:hideMark/>
          </w:tcPr>
          <w:p w:rsidR="00BC6837" w:rsidRPr="003A447C" w:rsidRDefault="00BC6837" w:rsidP="003A447C">
            <w:pPr>
              <w:suppressAutoHyphens w:val="0"/>
              <w:spacing w:before="80" w:after="80" w:line="200" w:lineRule="exact"/>
              <w:rPr>
                <w:i/>
                <w:sz w:val="16"/>
              </w:rPr>
            </w:pPr>
            <w:r w:rsidRPr="003A447C">
              <w:rPr>
                <w:i/>
                <w:sz w:val="16"/>
                <w:lang w:val="fr-FR"/>
              </w:rPr>
              <w:t>Langue d’enseignement</w:t>
            </w:r>
          </w:p>
        </w:tc>
        <w:tc>
          <w:tcPr>
            <w:tcW w:w="2692" w:type="dxa"/>
            <w:tcBorders>
              <w:top w:val="single" w:sz="4" w:space="0" w:color="auto"/>
              <w:bottom w:val="single" w:sz="12" w:space="0" w:color="auto"/>
            </w:tcBorders>
            <w:shd w:val="clear" w:color="auto" w:fill="auto"/>
            <w:vAlign w:val="bottom"/>
            <w:hideMark/>
          </w:tcPr>
          <w:p w:rsidR="00BC6837" w:rsidRPr="003A447C" w:rsidRDefault="00BC6837" w:rsidP="003A447C">
            <w:pPr>
              <w:suppressAutoHyphens w:val="0"/>
              <w:spacing w:before="80" w:after="80" w:line="200" w:lineRule="exact"/>
              <w:jc w:val="right"/>
              <w:rPr>
                <w:i/>
                <w:sz w:val="16"/>
              </w:rPr>
            </w:pPr>
            <w:r w:rsidRPr="003A447C">
              <w:rPr>
                <w:i/>
                <w:sz w:val="16"/>
                <w:lang w:val="fr-FR"/>
              </w:rPr>
              <w:t xml:space="preserve">Nombre d’écoles </w:t>
            </w:r>
          </w:p>
        </w:tc>
        <w:tc>
          <w:tcPr>
            <w:tcW w:w="2693" w:type="dxa"/>
            <w:tcBorders>
              <w:top w:val="single" w:sz="4" w:space="0" w:color="auto"/>
              <w:bottom w:val="single" w:sz="12" w:space="0" w:color="auto"/>
            </w:tcBorders>
            <w:shd w:val="clear" w:color="auto" w:fill="auto"/>
            <w:noWrap/>
            <w:vAlign w:val="bottom"/>
            <w:hideMark/>
          </w:tcPr>
          <w:p w:rsidR="00BC6837" w:rsidRPr="003A447C" w:rsidRDefault="00BC6837" w:rsidP="003A447C">
            <w:pPr>
              <w:suppressAutoHyphens w:val="0"/>
              <w:spacing w:before="80" w:after="80" w:line="200" w:lineRule="exact"/>
              <w:jc w:val="right"/>
              <w:rPr>
                <w:i/>
                <w:sz w:val="16"/>
              </w:rPr>
            </w:pPr>
            <w:r w:rsidRPr="003A447C">
              <w:rPr>
                <w:i/>
                <w:sz w:val="16"/>
                <w:lang w:val="fr-FR"/>
              </w:rPr>
              <w:t>Nombre d’élèves</w:t>
            </w:r>
          </w:p>
        </w:tc>
      </w:tr>
      <w:tr w:rsidR="003A447C" w:rsidRPr="003A447C" w:rsidTr="003A447C">
        <w:tc>
          <w:tcPr>
            <w:tcW w:w="1985" w:type="dxa"/>
            <w:tcBorders>
              <w:top w:val="single" w:sz="12" w:space="0" w:color="auto"/>
            </w:tcBorders>
            <w:shd w:val="clear" w:color="auto" w:fill="auto"/>
            <w:noWrap/>
            <w:hideMark/>
          </w:tcPr>
          <w:p w:rsidR="00BC6837" w:rsidRPr="003A447C" w:rsidRDefault="00BC6837" w:rsidP="003A447C">
            <w:pPr>
              <w:suppressAutoHyphens w:val="0"/>
              <w:spacing w:before="40" w:after="40" w:line="220" w:lineRule="exact"/>
              <w:rPr>
                <w:sz w:val="18"/>
              </w:rPr>
            </w:pPr>
            <w:r w:rsidRPr="003A447C">
              <w:rPr>
                <w:sz w:val="18"/>
                <w:lang w:val="fr-FR"/>
              </w:rPr>
              <w:t>Estonien</w:t>
            </w:r>
          </w:p>
        </w:tc>
        <w:tc>
          <w:tcPr>
            <w:tcW w:w="2692" w:type="dxa"/>
            <w:tcBorders>
              <w:top w:val="single" w:sz="12" w:space="0" w:color="auto"/>
            </w:tcBorders>
            <w:shd w:val="clear" w:color="auto" w:fill="auto"/>
            <w:vAlign w:val="bottom"/>
            <w:hideMark/>
          </w:tcPr>
          <w:p w:rsidR="00BC6837" w:rsidRPr="003A447C" w:rsidRDefault="00BC6837" w:rsidP="003A447C">
            <w:pPr>
              <w:suppressAutoHyphens w:val="0"/>
              <w:spacing w:before="40" w:after="40" w:line="220" w:lineRule="exact"/>
              <w:jc w:val="right"/>
              <w:rPr>
                <w:sz w:val="18"/>
              </w:rPr>
            </w:pPr>
            <w:r w:rsidRPr="003A447C">
              <w:rPr>
                <w:sz w:val="18"/>
                <w:lang w:val="fr-FR"/>
              </w:rPr>
              <w:t>37</w:t>
            </w:r>
          </w:p>
        </w:tc>
        <w:tc>
          <w:tcPr>
            <w:tcW w:w="2693" w:type="dxa"/>
            <w:tcBorders>
              <w:top w:val="single" w:sz="12" w:space="0" w:color="auto"/>
            </w:tcBorders>
            <w:shd w:val="clear" w:color="auto" w:fill="auto"/>
            <w:noWrap/>
            <w:vAlign w:val="bottom"/>
            <w:hideMark/>
          </w:tcPr>
          <w:p w:rsidR="00BC6837" w:rsidRPr="003A447C" w:rsidRDefault="00DF376E" w:rsidP="003A447C">
            <w:pPr>
              <w:suppressAutoHyphens w:val="0"/>
              <w:spacing w:before="40" w:after="40" w:line="220" w:lineRule="exact"/>
              <w:jc w:val="right"/>
              <w:rPr>
                <w:sz w:val="18"/>
              </w:rPr>
            </w:pPr>
            <w:r>
              <w:rPr>
                <w:sz w:val="18"/>
                <w:lang w:val="fr-FR"/>
              </w:rPr>
              <w:t>19 </w:t>
            </w:r>
            <w:r w:rsidR="00BC6837" w:rsidRPr="003A447C">
              <w:rPr>
                <w:sz w:val="18"/>
                <w:lang w:val="fr-FR"/>
              </w:rPr>
              <w:t>102</w:t>
            </w:r>
          </w:p>
        </w:tc>
      </w:tr>
      <w:tr w:rsidR="003A447C" w:rsidRPr="003A447C" w:rsidTr="003A447C">
        <w:tc>
          <w:tcPr>
            <w:tcW w:w="1985" w:type="dxa"/>
            <w:shd w:val="clear" w:color="auto" w:fill="auto"/>
            <w:noWrap/>
            <w:hideMark/>
          </w:tcPr>
          <w:p w:rsidR="00BC6837" w:rsidRPr="003A447C" w:rsidRDefault="00BC6837" w:rsidP="003A447C">
            <w:pPr>
              <w:suppressAutoHyphens w:val="0"/>
              <w:spacing w:before="40" w:after="40" w:line="220" w:lineRule="exact"/>
              <w:rPr>
                <w:sz w:val="18"/>
              </w:rPr>
            </w:pPr>
            <w:r w:rsidRPr="003A447C">
              <w:rPr>
                <w:sz w:val="18"/>
                <w:lang w:val="fr-FR"/>
              </w:rPr>
              <w:t>Anglais</w:t>
            </w:r>
          </w:p>
        </w:tc>
        <w:tc>
          <w:tcPr>
            <w:tcW w:w="2692" w:type="dxa"/>
            <w:shd w:val="clear" w:color="auto" w:fill="auto"/>
            <w:vAlign w:val="bottom"/>
            <w:hideMark/>
          </w:tcPr>
          <w:p w:rsidR="00BC6837" w:rsidRPr="003A447C" w:rsidRDefault="00BC6837" w:rsidP="003A447C">
            <w:pPr>
              <w:suppressAutoHyphens w:val="0"/>
              <w:spacing w:before="40" w:after="40" w:line="220" w:lineRule="exact"/>
              <w:jc w:val="right"/>
              <w:rPr>
                <w:sz w:val="18"/>
              </w:rPr>
            </w:pPr>
            <w:r w:rsidRPr="003A447C">
              <w:rPr>
                <w:sz w:val="18"/>
                <w:lang w:val="fr-FR"/>
              </w:rPr>
              <w:t>1</w:t>
            </w:r>
          </w:p>
        </w:tc>
        <w:tc>
          <w:tcPr>
            <w:tcW w:w="2693" w:type="dxa"/>
            <w:shd w:val="clear" w:color="auto" w:fill="auto"/>
            <w:noWrap/>
            <w:vAlign w:val="bottom"/>
            <w:hideMark/>
          </w:tcPr>
          <w:p w:rsidR="00BC6837" w:rsidRPr="003A447C" w:rsidRDefault="00BC6837" w:rsidP="003A447C">
            <w:pPr>
              <w:suppressAutoHyphens w:val="0"/>
              <w:spacing w:before="40" w:after="40" w:line="220" w:lineRule="exact"/>
              <w:jc w:val="right"/>
              <w:rPr>
                <w:sz w:val="18"/>
              </w:rPr>
            </w:pPr>
            <w:r w:rsidRPr="003A447C">
              <w:rPr>
                <w:sz w:val="18"/>
                <w:lang w:val="fr-FR"/>
              </w:rPr>
              <w:t>6</w:t>
            </w:r>
          </w:p>
        </w:tc>
      </w:tr>
      <w:tr w:rsidR="003A447C" w:rsidRPr="003A447C" w:rsidTr="003A447C">
        <w:tc>
          <w:tcPr>
            <w:tcW w:w="1985" w:type="dxa"/>
            <w:shd w:val="clear" w:color="auto" w:fill="auto"/>
            <w:noWrap/>
            <w:hideMark/>
          </w:tcPr>
          <w:p w:rsidR="00BC6837" w:rsidRPr="003A447C" w:rsidRDefault="00BC6837" w:rsidP="003A447C">
            <w:pPr>
              <w:suppressAutoHyphens w:val="0"/>
              <w:spacing w:before="40" w:after="40" w:line="220" w:lineRule="exact"/>
              <w:rPr>
                <w:sz w:val="18"/>
              </w:rPr>
            </w:pPr>
            <w:r w:rsidRPr="003A447C">
              <w:rPr>
                <w:sz w:val="18"/>
                <w:lang w:val="fr-FR"/>
              </w:rPr>
              <w:t>Letton</w:t>
            </w:r>
          </w:p>
        </w:tc>
        <w:tc>
          <w:tcPr>
            <w:tcW w:w="2692" w:type="dxa"/>
            <w:shd w:val="clear" w:color="auto" w:fill="auto"/>
            <w:vAlign w:val="bottom"/>
            <w:hideMark/>
          </w:tcPr>
          <w:p w:rsidR="00BC6837" w:rsidRPr="003A447C" w:rsidRDefault="00BC6837" w:rsidP="003A447C">
            <w:pPr>
              <w:suppressAutoHyphens w:val="0"/>
              <w:spacing w:before="40" w:after="40" w:line="220" w:lineRule="exact"/>
              <w:jc w:val="right"/>
              <w:rPr>
                <w:sz w:val="18"/>
              </w:rPr>
            </w:pPr>
            <w:r w:rsidRPr="003A447C">
              <w:rPr>
                <w:sz w:val="18"/>
                <w:lang w:val="fr-FR"/>
              </w:rPr>
              <w:t>1</w:t>
            </w:r>
          </w:p>
        </w:tc>
        <w:tc>
          <w:tcPr>
            <w:tcW w:w="2693" w:type="dxa"/>
            <w:shd w:val="clear" w:color="auto" w:fill="auto"/>
            <w:noWrap/>
            <w:vAlign w:val="bottom"/>
            <w:hideMark/>
          </w:tcPr>
          <w:p w:rsidR="00BC6837" w:rsidRPr="003A447C" w:rsidRDefault="00BC6837" w:rsidP="003A447C">
            <w:pPr>
              <w:suppressAutoHyphens w:val="0"/>
              <w:spacing w:before="40" w:after="40" w:line="220" w:lineRule="exact"/>
              <w:jc w:val="right"/>
              <w:rPr>
                <w:sz w:val="18"/>
              </w:rPr>
            </w:pPr>
            <w:r w:rsidRPr="003A447C">
              <w:rPr>
                <w:sz w:val="18"/>
                <w:lang w:val="fr-FR"/>
              </w:rPr>
              <w:t>Aucune donnée</w:t>
            </w:r>
          </w:p>
        </w:tc>
      </w:tr>
      <w:tr w:rsidR="003A447C" w:rsidRPr="003A447C" w:rsidTr="009E0FBF">
        <w:tc>
          <w:tcPr>
            <w:tcW w:w="1985" w:type="dxa"/>
            <w:tcBorders>
              <w:bottom w:val="single" w:sz="4" w:space="0" w:color="auto"/>
            </w:tcBorders>
            <w:shd w:val="clear" w:color="auto" w:fill="auto"/>
            <w:noWrap/>
            <w:hideMark/>
          </w:tcPr>
          <w:p w:rsidR="00BC6837" w:rsidRPr="003A447C" w:rsidRDefault="00BC6837" w:rsidP="003A447C">
            <w:pPr>
              <w:suppressAutoHyphens w:val="0"/>
              <w:spacing w:before="40" w:after="40" w:line="220" w:lineRule="exact"/>
              <w:rPr>
                <w:sz w:val="18"/>
              </w:rPr>
            </w:pPr>
            <w:r w:rsidRPr="003A447C">
              <w:rPr>
                <w:sz w:val="18"/>
                <w:lang w:val="fr-FR"/>
              </w:rPr>
              <w:t>Russe</w:t>
            </w:r>
          </w:p>
        </w:tc>
        <w:tc>
          <w:tcPr>
            <w:tcW w:w="2692" w:type="dxa"/>
            <w:tcBorders>
              <w:bottom w:val="single" w:sz="4" w:space="0" w:color="auto"/>
            </w:tcBorders>
            <w:shd w:val="clear" w:color="auto" w:fill="auto"/>
            <w:vAlign w:val="bottom"/>
            <w:hideMark/>
          </w:tcPr>
          <w:p w:rsidR="00BC6837" w:rsidRPr="003A447C" w:rsidRDefault="00BC6837" w:rsidP="003A447C">
            <w:pPr>
              <w:suppressAutoHyphens w:val="0"/>
              <w:spacing w:before="40" w:after="40" w:line="220" w:lineRule="exact"/>
              <w:jc w:val="right"/>
              <w:rPr>
                <w:sz w:val="18"/>
              </w:rPr>
            </w:pPr>
            <w:r w:rsidRPr="003A447C">
              <w:rPr>
                <w:sz w:val="18"/>
                <w:lang w:val="fr-FR"/>
              </w:rPr>
              <w:t>11</w:t>
            </w:r>
          </w:p>
        </w:tc>
        <w:tc>
          <w:tcPr>
            <w:tcW w:w="2693" w:type="dxa"/>
            <w:tcBorders>
              <w:bottom w:val="single" w:sz="4" w:space="0" w:color="auto"/>
            </w:tcBorders>
            <w:shd w:val="clear" w:color="auto" w:fill="auto"/>
            <w:noWrap/>
            <w:vAlign w:val="bottom"/>
            <w:hideMark/>
          </w:tcPr>
          <w:p w:rsidR="00BC6837" w:rsidRPr="003A447C" w:rsidRDefault="00DF376E" w:rsidP="003A447C">
            <w:pPr>
              <w:suppressAutoHyphens w:val="0"/>
              <w:spacing w:before="40" w:after="40" w:line="220" w:lineRule="exact"/>
              <w:jc w:val="right"/>
              <w:rPr>
                <w:sz w:val="18"/>
              </w:rPr>
            </w:pPr>
            <w:r>
              <w:rPr>
                <w:sz w:val="18"/>
                <w:lang w:val="fr-FR"/>
              </w:rPr>
              <w:t>5 </w:t>
            </w:r>
            <w:r w:rsidR="00BC6837" w:rsidRPr="003A447C">
              <w:rPr>
                <w:sz w:val="18"/>
                <w:lang w:val="fr-FR"/>
              </w:rPr>
              <w:t>035</w:t>
            </w:r>
          </w:p>
        </w:tc>
      </w:tr>
      <w:tr w:rsidR="003A447C" w:rsidRPr="009E0FBF" w:rsidTr="009E0FBF">
        <w:tc>
          <w:tcPr>
            <w:tcW w:w="1985" w:type="dxa"/>
            <w:tcBorders>
              <w:top w:val="single" w:sz="4" w:space="0" w:color="auto"/>
              <w:bottom w:val="single" w:sz="12" w:space="0" w:color="auto"/>
            </w:tcBorders>
            <w:shd w:val="clear" w:color="auto" w:fill="auto"/>
            <w:noWrap/>
            <w:hideMark/>
          </w:tcPr>
          <w:p w:rsidR="00BC6837" w:rsidRPr="009E0FBF" w:rsidRDefault="00BC6837" w:rsidP="009E0FBF">
            <w:pPr>
              <w:suppressAutoHyphens w:val="0"/>
              <w:spacing w:before="80" w:after="80" w:line="220" w:lineRule="exact"/>
              <w:ind w:left="283"/>
              <w:rPr>
                <w:b/>
                <w:sz w:val="18"/>
              </w:rPr>
            </w:pPr>
            <w:r w:rsidRPr="009E0FBF">
              <w:rPr>
                <w:b/>
                <w:sz w:val="18"/>
                <w:lang w:val="fr-FR"/>
              </w:rPr>
              <w:t>Total</w:t>
            </w:r>
          </w:p>
        </w:tc>
        <w:tc>
          <w:tcPr>
            <w:tcW w:w="2692" w:type="dxa"/>
            <w:tcBorders>
              <w:top w:val="single" w:sz="4" w:space="0" w:color="auto"/>
              <w:bottom w:val="single" w:sz="12" w:space="0" w:color="auto"/>
            </w:tcBorders>
            <w:shd w:val="clear" w:color="auto" w:fill="auto"/>
            <w:vAlign w:val="bottom"/>
            <w:hideMark/>
          </w:tcPr>
          <w:p w:rsidR="00BC6837" w:rsidRPr="009E0FBF" w:rsidRDefault="00BC6837" w:rsidP="009E0FBF">
            <w:pPr>
              <w:suppressAutoHyphens w:val="0"/>
              <w:spacing w:before="80" w:after="80" w:line="220" w:lineRule="exact"/>
              <w:jc w:val="right"/>
              <w:rPr>
                <w:b/>
                <w:sz w:val="18"/>
              </w:rPr>
            </w:pPr>
            <w:r w:rsidRPr="009E0FBF">
              <w:rPr>
                <w:b/>
                <w:sz w:val="18"/>
                <w:lang w:val="fr-FR"/>
              </w:rPr>
              <w:t>38</w:t>
            </w:r>
          </w:p>
        </w:tc>
        <w:tc>
          <w:tcPr>
            <w:tcW w:w="2693" w:type="dxa"/>
            <w:tcBorders>
              <w:top w:val="single" w:sz="4" w:space="0" w:color="auto"/>
              <w:bottom w:val="single" w:sz="12" w:space="0" w:color="auto"/>
            </w:tcBorders>
            <w:shd w:val="clear" w:color="auto" w:fill="auto"/>
            <w:noWrap/>
            <w:vAlign w:val="bottom"/>
            <w:hideMark/>
          </w:tcPr>
          <w:p w:rsidR="00BC6837" w:rsidRPr="009E0FBF" w:rsidRDefault="00DF376E" w:rsidP="009E0FBF">
            <w:pPr>
              <w:suppressAutoHyphens w:val="0"/>
              <w:spacing w:before="80" w:after="80" w:line="220" w:lineRule="exact"/>
              <w:jc w:val="right"/>
              <w:rPr>
                <w:b/>
                <w:sz w:val="18"/>
              </w:rPr>
            </w:pPr>
            <w:r w:rsidRPr="009E0FBF">
              <w:rPr>
                <w:b/>
                <w:sz w:val="18"/>
                <w:lang w:val="fr-FR"/>
              </w:rPr>
              <w:t>24 </w:t>
            </w:r>
            <w:r w:rsidR="00BC6837" w:rsidRPr="009E0FBF">
              <w:rPr>
                <w:b/>
                <w:sz w:val="18"/>
                <w:lang w:val="fr-FR"/>
              </w:rPr>
              <w:t>143</w:t>
            </w:r>
          </w:p>
        </w:tc>
      </w:tr>
    </w:tbl>
    <w:p w:rsidR="00BC6837" w:rsidRPr="007D1229" w:rsidRDefault="00BC6837" w:rsidP="003A447C">
      <w:pPr>
        <w:pStyle w:val="H1G"/>
      </w:pPr>
      <w:r w:rsidRPr="007D1229">
        <w:rPr>
          <w:lang w:val="fr-FR"/>
        </w:rPr>
        <w:tab/>
      </w:r>
      <w:r w:rsidRPr="007D1229">
        <w:rPr>
          <w:lang w:val="fr-FR"/>
        </w:rPr>
        <w:tab/>
        <w:t>Droits culturels (art</w:t>
      </w:r>
      <w:r w:rsidR="003A447C">
        <w:rPr>
          <w:lang w:val="fr-FR"/>
        </w:rPr>
        <w:t>. </w:t>
      </w:r>
      <w:r w:rsidRPr="007D1229">
        <w:rPr>
          <w:lang w:val="fr-FR"/>
        </w:rPr>
        <w:t>15)</w:t>
      </w:r>
    </w:p>
    <w:p w:rsidR="00BC6837" w:rsidRPr="007D1229" w:rsidRDefault="00BC6837" w:rsidP="003A447C">
      <w:pPr>
        <w:pStyle w:val="H23G"/>
      </w:pPr>
      <w:r w:rsidRPr="007D1229">
        <w:rPr>
          <w:lang w:val="fr-FR"/>
        </w:rPr>
        <w:tab/>
      </w:r>
      <w:r w:rsidRPr="007D1229">
        <w:rPr>
          <w:lang w:val="fr-FR"/>
        </w:rPr>
        <w:tab/>
        <w:t>Droits des minorités nationales</w:t>
      </w:r>
    </w:p>
    <w:p w:rsidR="00BC6837" w:rsidRPr="007D1229" w:rsidRDefault="00BC6837" w:rsidP="00BC6837">
      <w:pPr>
        <w:pStyle w:val="SingleTxtG"/>
      </w:pPr>
      <w:r w:rsidRPr="007D1229">
        <w:rPr>
          <w:lang w:val="fr-FR"/>
        </w:rPr>
        <w:t>124.</w:t>
      </w:r>
      <w:r w:rsidRPr="007D1229">
        <w:rPr>
          <w:lang w:val="fr-FR"/>
        </w:rPr>
        <w:tab/>
        <w:t>En 2017, l</w:t>
      </w:r>
      <w:r>
        <w:rPr>
          <w:lang w:val="fr-FR"/>
        </w:rPr>
        <w:t>’</w:t>
      </w:r>
      <w:r w:rsidRPr="007D1229">
        <w:rPr>
          <w:lang w:val="fr-FR"/>
        </w:rPr>
        <w:t>Estonie comptait 300</w:t>
      </w:r>
      <w:r w:rsidR="003A447C">
        <w:rPr>
          <w:lang w:val="fr-FR"/>
        </w:rPr>
        <w:t> associations et 21 </w:t>
      </w:r>
      <w:r w:rsidRPr="007D1229">
        <w:rPr>
          <w:lang w:val="fr-FR"/>
        </w:rPr>
        <w:t>regroupements d</w:t>
      </w:r>
      <w:r>
        <w:rPr>
          <w:lang w:val="fr-FR"/>
        </w:rPr>
        <w:t>’</w:t>
      </w:r>
      <w:r w:rsidRPr="007D1229">
        <w:rPr>
          <w:lang w:val="fr-FR"/>
        </w:rPr>
        <w:t>associations culturelles de minorités nationales, dont deux (les Suédois et les Finlandais) jouissent d</w:t>
      </w:r>
      <w:r>
        <w:rPr>
          <w:lang w:val="fr-FR"/>
        </w:rPr>
        <w:t>’</w:t>
      </w:r>
      <w:r w:rsidRPr="007D1229">
        <w:rPr>
          <w:lang w:val="fr-FR"/>
        </w:rPr>
        <w:t>une autonomie culturelle. Ces associations peuvent faire la demande d</w:t>
      </w:r>
      <w:r>
        <w:rPr>
          <w:lang w:val="fr-FR"/>
        </w:rPr>
        <w:t>’</w:t>
      </w:r>
      <w:r w:rsidRPr="007D1229">
        <w:rPr>
          <w:lang w:val="fr-FR"/>
        </w:rPr>
        <w:t>un financement de base auprès de la Fondation pour l</w:t>
      </w:r>
      <w:r>
        <w:rPr>
          <w:lang w:val="fr-FR"/>
        </w:rPr>
        <w:t>’</w:t>
      </w:r>
      <w:r w:rsidRPr="007D1229">
        <w:rPr>
          <w:lang w:val="fr-FR"/>
        </w:rPr>
        <w:t>intégration par l</w:t>
      </w:r>
      <w:r>
        <w:rPr>
          <w:lang w:val="fr-FR"/>
        </w:rPr>
        <w:t>’</w:t>
      </w:r>
      <w:r w:rsidRPr="007D1229">
        <w:rPr>
          <w:lang w:val="fr-FR"/>
        </w:rPr>
        <w:t>intermédiaire des regroupements. Le</w:t>
      </w:r>
      <w:r w:rsidR="003A447C">
        <w:rPr>
          <w:lang w:val="fr-FR"/>
        </w:rPr>
        <w:t> </w:t>
      </w:r>
      <w:r w:rsidRPr="007D1229">
        <w:rPr>
          <w:lang w:val="fr-FR"/>
        </w:rPr>
        <w:t>Ministère de la culture, en plus des regroupements d</w:t>
      </w:r>
      <w:r>
        <w:rPr>
          <w:lang w:val="fr-FR"/>
        </w:rPr>
        <w:t>’</w:t>
      </w:r>
      <w:r w:rsidRPr="007D1229">
        <w:rPr>
          <w:lang w:val="fr-FR"/>
        </w:rPr>
        <w:t>associations, finance un programme d</w:t>
      </w:r>
      <w:r>
        <w:rPr>
          <w:lang w:val="fr-FR"/>
        </w:rPr>
        <w:t>’</w:t>
      </w:r>
      <w:r w:rsidRPr="007D1229">
        <w:rPr>
          <w:lang w:val="fr-FR"/>
        </w:rPr>
        <w:t>appui aux associations culturelles de minorités nationales, qui vise à préserver et à faire vivre la culture et la langue de ces minorités tout en favorisant leur intégration, et fournit chaque année un appui opérationnel aux organes chargés de garantir l</w:t>
      </w:r>
      <w:r>
        <w:rPr>
          <w:lang w:val="fr-FR"/>
        </w:rPr>
        <w:t>’</w:t>
      </w:r>
      <w:r w:rsidRPr="007D1229">
        <w:rPr>
          <w:lang w:val="fr-FR"/>
        </w:rPr>
        <w:t>autonomie culturelle.</w:t>
      </w:r>
    </w:p>
    <w:p w:rsidR="00BC6837" w:rsidRPr="007D1229" w:rsidRDefault="00BC6837" w:rsidP="00BC6837">
      <w:pPr>
        <w:pStyle w:val="SingleTxtG"/>
      </w:pPr>
      <w:r w:rsidRPr="007D1229">
        <w:rPr>
          <w:lang w:val="fr-FR"/>
        </w:rPr>
        <w:t>125.</w:t>
      </w:r>
      <w:r w:rsidRPr="007D1229">
        <w:rPr>
          <w:lang w:val="fr-FR"/>
        </w:rPr>
        <w:tab/>
        <w:t>Sous réserve de l</w:t>
      </w:r>
      <w:r>
        <w:rPr>
          <w:lang w:val="fr-FR"/>
        </w:rPr>
        <w:t>’</w:t>
      </w:r>
      <w:r w:rsidRPr="007D1229">
        <w:rPr>
          <w:lang w:val="fr-FR"/>
        </w:rPr>
        <w:t>accord de toutes les parties, les minorités nationales ont la possibilité de parler leur langue maternelle dans le cadre de communications orales avec des agents de l</w:t>
      </w:r>
      <w:r>
        <w:rPr>
          <w:lang w:val="fr-FR"/>
        </w:rPr>
        <w:t>’</w:t>
      </w:r>
      <w:r w:rsidRPr="007D1229">
        <w:rPr>
          <w:lang w:val="fr-FR"/>
        </w:rPr>
        <w:t>État et des employés des administrations locales, des notaires, des huissiers et des traducteurs assermentés, ainsi qu</w:t>
      </w:r>
      <w:r>
        <w:rPr>
          <w:lang w:val="fr-FR"/>
        </w:rPr>
        <w:t>’</w:t>
      </w:r>
      <w:r w:rsidRPr="007D1229">
        <w:rPr>
          <w:lang w:val="fr-FR"/>
        </w:rPr>
        <w:t>au sein des missions étrangères de l</w:t>
      </w:r>
      <w:r>
        <w:rPr>
          <w:lang w:val="fr-FR"/>
        </w:rPr>
        <w:t>’</w:t>
      </w:r>
      <w:r w:rsidRPr="007D1229">
        <w:rPr>
          <w:lang w:val="fr-FR"/>
        </w:rPr>
        <w:t>Estonie</w:t>
      </w:r>
      <w:r>
        <w:rPr>
          <w:lang w:val="fr-FR"/>
        </w:rPr>
        <w:t>.</w:t>
      </w:r>
      <w:r w:rsidRPr="007D1229">
        <w:rPr>
          <w:lang w:val="fr-FR"/>
        </w:rPr>
        <w:t xml:space="preserve"> Tous les sites Web des ministères et des organes de l</w:t>
      </w:r>
      <w:r>
        <w:rPr>
          <w:lang w:val="fr-FR"/>
        </w:rPr>
        <w:t>’</w:t>
      </w:r>
      <w:r w:rsidRPr="007D1229">
        <w:rPr>
          <w:lang w:val="fr-FR"/>
        </w:rPr>
        <w:t>État sont consultables en russe et en anglais. Les administrations locales tiennent compte des besoins linguistiques des personnes issues de minorités nationales. Les journaux des administrations locales de Tallin, du comté de Harju et de celui d</w:t>
      </w:r>
      <w:r>
        <w:rPr>
          <w:lang w:val="fr-FR"/>
        </w:rPr>
        <w:t>’</w:t>
      </w:r>
      <w:r w:rsidRPr="007D1229">
        <w:rPr>
          <w:lang w:val="fr-FR"/>
        </w:rPr>
        <w:t>Ida-Viru sont publiés en estonien et en russe. Dans les régions où le nombre de russophones est important, l</w:t>
      </w:r>
      <w:r>
        <w:rPr>
          <w:lang w:val="fr-FR"/>
        </w:rPr>
        <w:t>’</w:t>
      </w:r>
      <w:r w:rsidRPr="007D1229">
        <w:rPr>
          <w:lang w:val="fr-FR"/>
        </w:rPr>
        <w:t>Agence pour l</w:t>
      </w:r>
      <w:r>
        <w:rPr>
          <w:lang w:val="fr-FR"/>
        </w:rPr>
        <w:t>’</w:t>
      </w:r>
      <w:r w:rsidRPr="007D1229">
        <w:rPr>
          <w:lang w:val="fr-FR"/>
        </w:rPr>
        <w:t>emploi, mais aussi les banques, les entreprises, les médecins et les administrations locales et municipales proposent leurs services en russe.</w:t>
      </w:r>
    </w:p>
    <w:p w:rsidR="00BC6837" w:rsidRPr="007D1229" w:rsidRDefault="00BC6837" w:rsidP="00BC6837">
      <w:pPr>
        <w:pStyle w:val="SingleTxtG"/>
      </w:pPr>
      <w:r w:rsidRPr="007D1229">
        <w:rPr>
          <w:lang w:val="fr-FR"/>
        </w:rPr>
        <w:t>126.</w:t>
      </w:r>
      <w:r w:rsidRPr="007D1229">
        <w:rPr>
          <w:lang w:val="fr-FR"/>
        </w:rPr>
        <w:tab/>
        <w:t xml:space="preserve">Des cours de langue sont dispensés dans </w:t>
      </w:r>
      <w:r>
        <w:rPr>
          <w:lang w:val="fr-FR"/>
        </w:rPr>
        <w:t>l</w:t>
      </w:r>
      <w:r w:rsidRPr="007D1229">
        <w:rPr>
          <w:lang w:val="fr-FR"/>
        </w:rPr>
        <w:t xml:space="preserve">es écoles du dimanche des associations culturelles des minorités ethniques, dont la mission est de préserver et de </w:t>
      </w:r>
      <w:r>
        <w:rPr>
          <w:lang w:val="fr-FR"/>
        </w:rPr>
        <w:t>transmettre</w:t>
      </w:r>
      <w:r w:rsidRPr="007D1229">
        <w:rPr>
          <w:lang w:val="fr-FR"/>
        </w:rPr>
        <w:t xml:space="preserve"> leur langue et leur culture. Le Ministère de l</w:t>
      </w:r>
      <w:r>
        <w:rPr>
          <w:lang w:val="fr-FR"/>
        </w:rPr>
        <w:t>’</w:t>
      </w:r>
      <w:r w:rsidRPr="007D1229">
        <w:rPr>
          <w:lang w:val="fr-FR"/>
        </w:rPr>
        <w:t>éducation et de la recherche finance ces cours grâce au budget de l</w:t>
      </w:r>
      <w:r>
        <w:rPr>
          <w:lang w:val="fr-FR"/>
        </w:rPr>
        <w:t>’</w:t>
      </w:r>
      <w:r w:rsidR="003A447C">
        <w:rPr>
          <w:lang w:val="fr-FR"/>
        </w:rPr>
        <w:t>État. Plus de 30 </w:t>
      </w:r>
      <w:r w:rsidRPr="007D1229">
        <w:rPr>
          <w:lang w:val="fr-FR"/>
        </w:rPr>
        <w:t>écoles de ce type étaient enregistrées auprès du système estonien d</w:t>
      </w:r>
      <w:r>
        <w:rPr>
          <w:lang w:val="fr-FR"/>
        </w:rPr>
        <w:t>’</w:t>
      </w:r>
      <w:r w:rsidRPr="007D1229">
        <w:rPr>
          <w:lang w:val="fr-FR"/>
        </w:rPr>
        <w:t>information sur l</w:t>
      </w:r>
      <w:r>
        <w:rPr>
          <w:lang w:val="fr-FR"/>
        </w:rPr>
        <w:t>’</w:t>
      </w:r>
      <w:r w:rsidRPr="007D1229">
        <w:rPr>
          <w:lang w:val="fr-FR"/>
        </w:rPr>
        <w:t>éducation pour l</w:t>
      </w:r>
      <w:r>
        <w:rPr>
          <w:lang w:val="fr-FR"/>
        </w:rPr>
        <w:t>’</w:t>
      </w:r>
      <w:r w:rsidR="003A447C">
        <w:rPr>
          <w:lang w:val="fr-FR"/>
        </w:rPr>
        <w:t>année scolaire 2017</w:t>
      </w:r>
      <w:r w:rsidR="00FA648F">
        <w:rPr>
          <w:lang w:val="fr-FR"/>
        </w:rPr>
        <w:t>/1</w:t>
      </w:r>
      <w:r w:rsidR="003A447C">
        <w:rPr>
          <w:lang w:val="fr-FR"/>
        </w:rPr>
        <w:t>8.</w:t>
      </w:r>
    </w:p>
    <w:p w:rsidR="00BC6837" w:rsidRPr="007D1229" w:rsidRDefault="00BC6837" w:rsidP="00BC6837">
      <w:pPr>
        <w:pStyle w:val="SingleTxtG"/>
      </w:pPr>
      <w:r w:rsidRPr="007D1229">
        <w:rPr>
          <w:lang w:val="fr-FR"/>
        </w:rPr>
        <w:lastRenderedPageBreak/>
        <w:t>127.</w:t>
      </w:r>
      <w:r w:rsidRPr="007D1229">
        <w:rPr>
          <w:lang w:val="fr-FR"/>
        </w:rPr>
        <w:tab/>
        <w:t>L</w:t>
      </w:r>
      <w:r>
        <w:rPr>
          <w:lang w:val="fr-FR"/>
        </w:rPr>
        <w:t>’</w:t>
      </w:r>
      <w:r w:rsidRPr="007D1229">
        <w:rPr>
          <w:lang w:val="fr-FR"/>
        </w:rPr>
        <w:t>objectif de l</w:t>
      </w:r>
      <w:r>
        <w:rPr>
          <w:lang w:val="fr-FR"/>
        </w:rPr>
        <w:t>’</w:t>
      </w:r>
      <w:r w:rsidR="00FA648F">
        <w:rPr>
          <w:lang w:val="fr-FR"/>
        </w:rPr>
        <w:t>A</w:t>
      </w:r>
      <w:r w:rsidRPr="007D1229">
        <w:rPr>
          <w:lang w:val="fr-FR"/>
        </w:rPr>
        <w:t xml:space="preserve">ssociation estonienne des </w:t>
      </w:r>
      <w:r>
        <w:rPr>
          <w:lang w:val="fr-FR"/>
        </w:rPr>
        <w:t>professeurs</w:t>
      </w:r>
      <w:r w:rsidRPr="007D1229">
        <w:rPr>
          <w:lang w:val="fr-FR"/>
        </w:rPr>
        <w:t xml:space="preserve"> des écoles du dimanche est de créer davantage d</w:t>
      </w:r>
      <w:r>
        <w:rPr>
          <w:lang w:val="fr-FR"/>
        </w:rPr>
        <w:t>’</w:t>
      </w:r>
      <w:r w:rsidRPr="007D1229">
        <w:rPr>
          <w:lang w:val="fr-FR"/>
        </w:rPr>
        <w:t>écoles de ce type et d</w:t>
      </w:r>
      <w:r>
        <w:rPr>
          <w:lang w:val="fr-FR"/>
        </w:rPr>
        <w:t>’</w:t>
      </w:r>
      <w:r w:rsidRPr="007D1229">
        <w:rPr>
          <w:lang w:val="fr-FR"/>
        </w:rPr>
        <w:t>organiser des formations à l</w:t>
      </w:r>
      <w:r>
        <w:rPr>
          <w:lang w:val="fr-FR"/>
        </w:rPr>
        <w:t>’</w:t>
      </w:r>
      <w:r w:rsidRPr="007D1229">
        <w:rPr>
          <w:lang w:val="fr-FR"/>
        </w:rPr>
        <w:t>intention des enseignants.</w:t>
      </w:r>
    </w:p>
    <w:p w:rsidR="00BC6837" w:rsidRPr="007D1229" w:rsidRDefault="00BC6837" w:rsidP="00BC6837">
      <w:pPr>
        <w:pStyle w:val="SingleTxtG"/>
      </w:pPr>
      <w:r w:rsidRPr="007D1229">
        <w:rPr>
          <w:lang w:val="fr-FR"/>
        </w:rPr>
        <w:t>128.</w:t>
      </w:r>
      <w:r w:rsidRPr="007D1229">
        <w:rPr>
          <w:lang w:val="fr-FR"/>
        </w:rPr>
        <w:tab/>
        <w:t>En 2015, l</w:t>
      </w:r>
      <w:r>
        <w:rPr>
          <w:lang w:val="fr-FR"/>
        </w:rPr>
        <w:t>’</w:t>
      </w:r>
      <w:r w:rsidRPr="007D1229">
        <w:rPr>
          <w:lang w:val="fr-FR"/>
        </w:rPr>
        <w:t xml:space="preserve">organisme </w:t>
      </w:r>
      <w:r>
        <w:rPr>
          <w:lang w:val="fr-FR"/>
        </w:rPr>
        <w:t>public</w:t>
      </w:r>
      <w:r w:rsidRPr="007D1229">
        <w:rPr>
          <w:lang w:val="fr-FR"/>
        </w:rPr>
        <w:t xml:space="preserve"> de radiodiffusion a lancé la chaîne russophone ETV+ et il existe également des</w:t>
      </w:r>
      <w:r>
        <w:rPr>
          <w:lang w:val="fr-FR"/>
        </w:rPr>
        <w:t xml:space="preserve"> chaînes russophones</w:t>
      </w:r>
      <w:r w:rsidRPr="007D1229">
        <w:rPr>
          <w:lang w:val="fr-FR"/>
        </w:rPr>
        <w:t xml:space="preserve"> privées. Les stations</w:t>
      </w:r>
      <w:r>
        <w:rPr>
          <w:lang w:val="fr-FR"/>
        </w:rPr>
        <w:t xml:space="preserve"> de</w:t>
      </w:r>
      <w:r w:rsidRPr="007D1229">
        <w:rPr>
          <w:lang w:val="fr-FR"/>
        </w:rPr>
        <w:t xml:space="preserve"> radio russophones les plus populai</w:t>
      </w:r>
      <w:r w:rsidR="008F6F2F">
        <w:rPr>
          <w:lang w:val="fr-FR"/>
        </w:rPr>
        <w:t>res sont Russian Radio et Radio </w:t>
      </w:r>
      <w:r w:rsidRPr="007D1229">
        <w:rPr>
          <w:lang w:val="fr-FR"/>
        </w:rPr>
        <w:t>4 (station publique).</w:t>
      </w:r>
    </w:p>
    <w:p w:rsidR="00BC6837" w:rsidRPr="007D1229" w:rsidRDefault="00BC6837" w:rsidP="00BC6837">
      <w:pPr>
        <w:pStyle w:val="SingleTxtG"/>
      </w:pPr>
      <w:r w:rsidRPr="007D1229">
        <w:rPr>
          <w:lang w:val="fr-FR"/>
        </w:rPr>
        <w:t>129.</w:t>
      </w:r>
      <w:r w:rsidRPr="007D1229">
        <w:rPr>
          <w:lang w:val="fr-FR"/>
        </w:rPr>
        <w:tab/>
        <w:t xml:space="preserve">La presse régionale russophone est présente dans toutes les régions où vivent des </w:t>
      </w:r>
      <w:r>
        <w:rPr>
          <w:lang w:val="fr-FR"/>
        </w:rPr>
        <w:t>locuteurs</w:t>
      </w:r>
      <w:r w:rsidRPr="007D1229">
        <w:rPr>
          <w:lang w:val="fr-FR"/>
        </w:rPr>
        <w:t>. On estime que 17</w:t>
      </w:r>
      <w:r w:rsidR="001F2B0C">
        <w:rPr>
          <w:lang w:val="fr-FR"/>
        </w:rPr>
        <w:t> % des livres, 157 revues, 42 magazines, 36 </w:t>
      </w:r>
      <w:r w:rsidRPr="007D1229">
        <w:rPr>
          <w:lang w:val="fr-FR"/>
        </w:rPr>
        <w:t>journaux (notamme</w:t>
      </w:r>
      <w:r w:rsidR="001F2B0C">
        <w:rPr>
          <w:lang w:val="fr-FR"/>
        </w:rPr>
        <w:t>nt un quotidien national) et 20 </w:t>
      </w:r>
      <w:r w:rsidRPr="007D1229">
        <w:rPr>
          <w:lang w:val="fr-FR"/>
        </w:rPr>
        <w:t xml:space="preserve">magazines sont publiés en russe. Il </w:t>
      </w:r>
      <w:r>
        <w:rPr>
          <w:lang w:val="fr-FR"/>
        </w:rPr>
        <w:t>existe aussi des</w:t>
      </w:r>
      <w:r w:rsidRPr="007D1229">
        <w:rPr>
          <w:lang w:val="fr-FR"/>
        </w:rPr>
        <w:t xml:space="preserve"> sites </w:t>
      </w:r>
      <w:r>
        <w:rPr>
          <w:lang w:val="fr-FR"/>
        </w:rPr>
        <w:t>d’information</w:t>
      </w:r>
      <w:r w:rsidRPr="007D1229">
        <w:rPr>
          <w:lang w:val="fr-FR"/>
        </w:rPr>
        <w:t xml:space="preserve"> nationaux russophones </w:t>
      </w:r>
      <w:r>
        <w:rPr>
          <w:lang w:val="fr-FR"/>
        </w:rPr>
        <w:t>comme</w:t>
      </w:r>
      <w:r w:rsidRPr="007D1229">
        <w:rPr>
          <w:lang w:val="fr-FR"/>
        </w:rPr>
        <w:t xml:space="preserve"> rus.err.ee, delfi.ru, dv.ee, veneportaal.ee, rus.postimees.ee, mke.ee et vecherka.ee.</w:t>
      </w:r>
    </w:p>
    <w:p w:rsidR="00BC6837" w:rsidRPr="007D1229" w:rsidRDefault="00BC6837" w:rsidP="00BC6837">
      <w:pPr>
        <w:pStyle w:val="SingleTxtG"/>
      </w:pPr>
      <w:r w:rsidRPr="007D1229">
        <w:rPr>
          <w:lang w:val="fr-FR"/>
        </w:rPr>
        <w:t>130.</w:t>
      </w:r>
      <w:r w:rsidRPr="007D1229">
        <w:rPr>
          <w:lang w:val="fr-FR"/>
        </w:rPr>
        <w:tab/>
        <w:t>L</w:t>
      </w:r>
      <w:r>
        <w:rPr>
          <w:lang w:val="fr-FR"/>
        </w:rPr>
        <w:t>’</w:t>
      </w:r>
      <w:r w:rsidRPr="007D1229">
        <w:rPr>
          <w:lang w:val="fr-FR"/>
        </w:rPr>
        <w:t xml:space="preserve">Estonie encourage la préservation des traditions culturelles des minorités nationales dans </w:t>
      </w:r>
      <w:r>
        <w:rPr>
          <w:lang w:val="fr-FR"/>
        </w:rPr>
        <w:t>toute leur authenticité au moyen</w:t>
      </w:r>
      <w:r w:rsidRPr="007D1229">
        <w:rPr>
          <w:lang w:val="fr-FR"/>
        </w:rPr>
        <w:t xml:space="preserve"> de différents programmes culturels régionaux. Celui de Peipsiveere a pour but de préserver l</w:t>
      </w:r>
      <w:r>
        <w:rPr>
          <w:lang w:val="fr-FR"/>
        </w:rPr>
        <w:t>’</w:t>
      </w:r>
      <w:r w:rsidRPr="007D1229">
        <w:rPr>
          <w:lang w:val="fr-FR"/>
        </w:rPr>
        <w:t xml:space="preserve">héritage culturel des vieux-croyants russes et </w:t>
      </w:r>
      <w:r>
        <w:rPr>
          <w:lang w:val="fr-FR"/>
        </w:rPr>
        <w:t>de soutenir</w:t>
      </w:r>
      <w:r w:rsidRPr="007D1229">
        <w:rPr>
          <w:lang w:val="fr-FR"/>
        </w:rPr>
        <w:t xml:space="preserve"> l</w:t>
      </w:r>
      <w:r>
        <w:rPr>
          <w:lang w:val="fr-FR"/>
        </w:rPr>
        <w:t>’</w:t>
      </w:r>
      <w:r w:rsidRPr="007D1229">
        <w:rPr>
          <w:lang w:val="fr-FR"/>
        </w:rPr>
        <w:t>organisation de festivals, d</w:t>
      </w:r>
      <w:r>
        <w:rPr>
          <w:lang w:val="fr-FR"/>
        </w:rPr>
        <w:t>’</w:t>
      </w:r>
      <w:r w:rsidRPr="007D1229">
        <w:rPr>
          <w:lang w:val="fr-FR"/>
        </w:rPr>
        <w:t>ateliers de découverte de la culture traditionnelle et de camps de vacances culturels pour les enfants, ainsi que la mise en œuvre d</w:t>
      </w:r>
      <w:r>
        <w:rPr>
          <w:lang w:val="fr-FR"/>
        </w:rPr>
        <w:t>’</w:t>
      </w:r>
      <w:r w:rsidRPr="007D1229">
        <w:rPr>
          <w:lang w:val="fr-FR"/>
        </w:rPr>
        <w:t>un programme spécial visant à intégrer l</w:t>
      </w:r>
      <w:r>
        <w:rPr>
          <w:lang w:val="fr-FR"/>
        </w:rPr>
        <w:t>’</w:t>
      </w:r>
      <w:r w:rsidRPr="007D1229">
        <w:rPr>
          <w:lang w:val="fr-FR"/>
        </w:rPr>
        <w:t xml:space="preserve">enseignement </w:t>
      </w:r>
      <w:r>
        <w:rPr>
          <w:lang w:val="fr-FR"/>
        </w:rPr>
        <w:t>du patrimoine</w:t>
      </w:r>
      <w:r w:rsidRPr="007D1229">
        <w:rPr>
          <w:lang w:val="fr-FR"/>
        </w:rPr>
        <w:t xml:space="preserve"> culturel local</w:t>
      </w:r>
      <w:r w:rsidR="001F2B0C">
        <w:rPr>
          <w:lang w:val="fr-FR"/>
        </w:rPr>
        <w:t xml:space="preserve"> dans les programmes scolaires.</w:t>
      </w:r>
    </w:p>
    <w:p w:rsidR="00BC6837" w:rsidRPr="007D1229" w:rsidRDefault="00BC6837" w:rsidP="00BC6837">
      <w:pPr>
        <w:pStyle w:val="SingleTxtG"/>
      </w:pPr>
      <w:r w:rsidRPr="007D1229">
        <w:rPr>
          <w:lang w:val="fr-FR"/>
        </w:rPr>
        <w:t>131.</w:t>
      </w:r>
      <w:r w:rsidRPr="007D1229">
        <w:rPr>
          <w:lang w:val="fr-FR"/>
        </w:rPr>
        <w:tab/>
        <w:t>Plusieurs minorités et groupes nationaux ont créé des musées, comme le Musée russe qui a des antennes à Tallinn et à Kohtla-Järve, et les musées suédo-estonien, tchouvache et juif à Tallinn. Il existe également des centres culturels russes et ukrainiens.</w:t>
      </w:r>
    </w:p>
    <w:p w:rsidR="00BC6837" w:rsidRPr="007D1229" w:rsidRDefault="00BC6837" w:rsidP="004609E6">
      <w:pPr>
        <w:pStyle w:val="H23G"/>
      </w:pPr>
      <w:r w:rsidRPr="007D1229">
        <w:rPr>
          <w:lang w:val="fr-FR"/>
        </w:rPr>
        <w:tab/>
      </w:r>
      <w:r w:rsidRPr="007D1229">
        <w:rPr>
          <w:lang w:val="fr-FR"/>
        </w:rPr>
        <w:tab/>
        <w:t>Recherche scientifique</w:t>
      </w:r>
    </w:p>
    <w:p w:rsidR="008B1065" w:rsidRDefault="00BC6837" w:rsidP="00BC6837">
      <w:pPr>
        <w:pStyle w:val="SingleTxtG"/>
        <w:rPr>
          <w:lang w:val="fr-FR"/>
        </w:rPr>
      </w:pPr>
      <w:r w:rsidRPr="007D1229">
        <w:rPr>
          <w:lang w:val="fr-FR"/>
        </w:rPr>
        <w:t>132.</w:t>
      </w:r>
      <w:r w:rsidRPr="007D1229">
        <w:rPr>
          <w:lang w:val="fr-FR"/>
        </w:rPr>
        <w:tab/>
        <w:t>Les activités de recherche-développement sont régies par la loi sur l</w:t>
      </w:r>
      <w:r>
        <w:rPr>
          <w:lang w:val="fr-FR"/>
        </w:rPr>
        <w:t>’</w:t>
      </w:r>
      <w:r w:rsidRPr="007D1229">
        <w:rPr>
          <w:lang w:val="fr-FR"/>
        </w:rPr>
        <w:t>organisation de la recherche-développement</w:t>
      </w:r>
      <w:r w:rsidRPr="00A63F24">
        <w:rPr>
          <w:rStyle w:val="Appelnotedebasdep"/>
        </w:rPr>
        <w:footnoteReference w:id="19"/>
      </w:r>
      <w:r w:rsidRPr="007D1229">
        <w:rPr>
          <w:lang w:val="fr-FR"/>
        </w:rPr>
        <w:t>.</w:t>
      </w:r>
    </w:p>
    <w:p w:rsidR="001F2B0C" w:rsidRPr="00B53A95" w:rsidRDefault="00B53A95" w:rsidP="00B53A9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F2B0C" w:rsidRPr="00B53A95" w:rsidSect="00BC109D">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FF" w:rsidRDefault="00B127FF" w:rsidP="00F95C08">
      <w:pPr>
        <w:spacing w:line="240" w:lineRule="auto"/>
      </w:pPr>
    </w:p>
  </w:endnote>
  <w:endnote w:type="continuationSeparator" w:id="0">
    <w:p w:rsidR="00B127FF" w:rsidRPr="00AC3823" w:rsidRDefault="00B127FF" w:rsidP="00AC3823">
      <w:pPr>
        <w:pStyle w:val="Pieddepage"/>
      </w:pPr>
    </w:p>
  </w:endnote>
  <w:endnote w:type="continuationNotice" w:id="1">
    <w:p w:rsidR="00B127FF" w:rsidRDefault="00B127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FF" w:rsidRPr="00BC109D" w:rsidRDefault="00B127FF" w:rsidP="00BC109D">
    <w:pPr>
      <w:pStyle w:val="Pieddepage"/>
      <w:tabs>
        <w:tab w:val="right" w:pos="9638"/>
      </w:tabs>
    </w:pPr>
    <w:r w:rsidRPr="00BC109D">
      <w:rPr>
        <w:b/>
        <w:sz w:val="18"/>
      </w:rPr>
      <w:fldChar w:fldCharType="begin"/>
    </w:r>
    <w:r w:rsidRPr="00BC109D">
      <w:rPr>
        <w:b/>
        <w:sz w:val="18"/>
      </w:rPr>
      <w:instrText xml:space="preserve"> PAGE  \* MERGEFORMAT </w:instrText>
    </w:r>
    <w:r w:rsidRPr="00BC109D">
      <w:rPr>
        <w:b/>
        <w:sz w:val="18"/>
      </w:rPr>
      <w:fldChar w:fldCharType="separate"/>
    </w:r>
    <w:r w:rsidR="0084343E">
      <w:rPr>
        <w:b/>
        <w:noProof/>
        <w:sz w:val="18"/>
      </w:rPr>
      <w:t>26</w:t>
    </w:r>
    <w:r w:rsidRPr="00BC109D">
      <w:rPr>
        <w:b/>
        <w:sz w:val="18"/>
      </w:rPr>
      <w:fldChar w:fldCharType="end"/>
    </w:r>
    <w:r>
      <w:rPr>
        <w:b/>
        <w:sz w:val="18"/>
      </w:rPr>
      <w:tab/>
    </w:r>
    <w:r>
      <w:t>GE.18-22144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FF" w:rsidRPr="00BC109D" w:rsidRDefault="00B127FF" w:rsidP="00BC109D">
    <w:pPr>
      <w:pStyle w:val="Pieddepage"/>
      <w:tabs>
        <w:tab w:val="right" w:pos="9638"/>
      </w:tabs>
      <w:rPr>
        <w:b/>
        <w:sz w:val="18"/>
      </w:rPr>
    </w:pPr>
    <w:r>
      <w:t>GE.18-22144</w:t>
    </w:r>
    <w:r>
      <w:tab/>
    </w:r>
    <w:r w:rsidRPr="00BC109D">
      <w:rPr>
        <w:b/>
        <w:sz w:val="18"/>
      </w:rPr>
      <w:fldChar w:fldCharType="begin"/>
    </w:r>
    <w:r w:rsidRPr="00BC109D">
      <w:rPr>
        <w:b/>
        <w:sz w:val="18"/>
      </w:rPr>
      <w:instrText xml:space="preserve"> PAGE  \* MERGEFORMAT </w:instrText>
    </w:r>
    <w:r w:rsidRPr="00BC109D">
      <w:rPr>
        <w:b/>
        <w:sz w:val="18"/>
      </w:rPr>
      <w:fldChar w:fldCharType="separate"/>
    </w:r>
    <w:r w:rsidR="0084343E">
      <w:rPr>
        <w:b/>
        <w:noProof/>
        <w:sz w:val="18"/>
      </w:rPr>
      <w:t>25</w:t>
    </w:r>
    <w:r w:rsidRPr="00BC10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FF" w:rsidRPr="00BC109D" w:rsidRDefault="00B127FF" w:rsidP="00BC109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65C">
      <w:rPr>
        <w:sz w:val="20"/>
      </w:rPr>
      <w:t>18-22144  (F)    160119    18</w:t>
    </w:r>
    <w:r>
      <w:rPr>
        <w:sz w:val="20"/>
      </w:rPr>
      <w:t>0119</w:t>
    </w:r>
    <w:r>
      <w:rPr>
        <w:sz w:val="20"/>
      </w:rPr>
      <w:br/>
    </w:r>
    <w:r w:rsidRPr="00BC109D">
      <w:rPr>
        <w:rFonts w:ascii="C39T30Lfz" w:hAnsi="C39T30Lfz"/>
        <w:sz w:val="56"/>
      </w:rPr>
      <w:t></w:t>
    </w:r>
    <w:r w:rsidRPr="00BC109D">
      <w:rPr>
        <w:rFonts w:ascii="C39T30Lfz" w:hAnsi="C39T30Lfz"/>
        <w:sz w:val="56"/>
      </w:rPr>
      <w:t></w:t>
    </w:r>
    <w:r w:rsidRPr="00BC109D">
      <w:rPr>
        <w:rFonts w:ascii="C39T30Lfz" w:hAnsi="C39T30Lfz"/>
        <w:sz w:val="56"/>
      </w:rPr>
      <w:t></w:t>
    </w:r>
    <w:r w:rsidRPr="00BC109D">
      <w:rPr>
        <w:rFonts w:ascii="C39T30Lfz" w:hAnsi="C39T30Lfz"/>
        <w:sz w:val="56"/>
      </w:rPr>
      <w:t></w:t>
    </w:r>
    <w:r w:rsidRPr="00BC109D">
      <w:rPr>
        <w:rFonts w:ascii="C39T30Lfz" w:hAnsi="C39T30Lfz"/>
        <w:sz w:val="56"/>
      </w:rPr>
      <w:t></w:t>
    </w:r>
    <w:r w:rsidRPr="00BC109D">
      <w:rPr>
        <w:rFonts w:ascii="C39T30Lfz" w:hAnsi="C39T30Lfz"/>
        <w:sz w:val="56"/>
      </w:rPr>
      <w:t></w:t>
    </w:r>
    <w:r w:rsidRPr="00BC109D">
      <w:rPr>
        <w:rFonts w:ascii="C39T30Lfz" w:hAnsi="C39T30Lfz"/>
        <w:sz w:val="56"/>
      </w:rPr>
      <w:t></w:t>
    </w:r>
    <w:r w:rsidRPr="00BC109D">
      <w:rPr>
        <w:rFonts w:ascii="C39T30Lfz" w:hAnsi="C39T30Lfz"/>
        <w:sz w:val="56"/>
      </w:rPr>
      <w:t></w:t>
    </w:r>
    <w:r w:rsidRPr="00BC109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EST/Q/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T/Q/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FF" w:rsidRPr="00AC3823" w:rsidRDefault="00B127FF" w:rsidP="00AC3823">
      <w:pPr>
        <w:pStyle w:val="Pieddepage"/>
        <w:tabs>
          <w:tab w:val="right" w:pos="2155"/>
        </w:tabs>
        <w:spacing w:after="80" w:line="240" w:lineRule="atLeast"/>
        <w:ind w:left="680"/>
        <w:rPr>
          <w:u w:val="single"/>
        </w:rPr>
      </w:pPr>
      <w:r>
        <w:rPr>
          <w:u w:val="single"/>
        </w:rPr>
        <w:tab/>
      </w:r>
    </w:p>
  </w:footnote>
  <w:footnote w:type="continuationSeparator" w:id="0">
    <w:p w:rsidR="00B127FF" w:rsidRPr="00AC3823" w:rsidRDefault="00B127FF" w:rsidP="00AC3823">
      <w:pPr>
        <w:pStyle w:val="Pieddepage"/>
        <w:tabs>
          <w:tab w:val="right" w:pos="2155"/>
        </w:tabs>
        <w:spacing w:after="80" w:line="240" w:lineRule="atLeast"/>
        <w:ind w:left="680"/>
        <w:rPr>
          <w:u w:val="single"/>
        </w:rPr>
      </w:pPr>
      <w:r>
        <w:rPr>
          <w:u w:val="single"/>
        </w:rPr>
        <w:tab/>
      </w:r>
    </w:p>
  </w:footnote>
  <w:footnote w:type="continuationNotice" w:id="1">
    <w:p w:rsidR="00B127FF" w:rsidRPr="00AC3823" w:rsidRDefault="00B127FF">
      <w:pPr>
        <w:spacing w:line="240" w:lineRule="auto"/>
        <w:rPr>
          <w:sz w:val="2"/>
          <w:szCs w:val="2"/>
        </w:rPr>
      </w:pPr>
    </w:p>
  </w:footnote>
  <w:footnote w:id="2">
    <w:p w:rsidR="00B127FF" w:rsidRPr="00970CB8" w:rsidRDefault="00B127FF">
      <w:pPr>
        <w:pStyle w:val="Notedebasdepage"/>
      </w:pPr>
      <w:r>
        <w:rPr>
          <w:rStyle w:val="Appelnotedebasdep"/>
        </w:rPr>
        <w:tab/>
      </w:r>
      <w:r w:rsidRPr="00970CB8">
        <w:rPr>
          <w:rStyle w:val="Appelnotedebasdep"/>
          <w:sz w:val="20"/>
          <w:vertAlign w:val="baseline"/>
        </w:rPr>
        <w:t>*</w:t>
      </w:r>
      <w:r>
        <w:rPr>
          <w:rStyle w:val="Appelnotedebasdep"/>
          <w:sz w:val="20"/>
          <w:vertAlign w:val="baseline"/>
        </w:rPr>
        <w:tab/>
      </w:r>
      <w:r>
        <w:rPr>
          <w:lang w:val="fr-FR"/>
        </w:rPr>
        <w:t>Le présent document n’a pas été revu par les services d’édition.</w:t>
      </w:r>
    </w:p>
  </w:footnote>
  <w:footnote w:id="3">
    <w:p w:rsidR="00B127FF" w:rsidRPr="00B74A88" w:rsidRDefault="00B127FF" w:rsidP="00B74A88">
      <w:pPr>
        <w:pStyle w:val="Notedebasdepage"/>
        <w:rPr>
          <w:spacing w:val="-1"/>
          <w:lang w:val="fr-FR"/>
        </w:rPr>
      </w:pPr>
      <w:r w:rsidRPr="00B74A88">
        <w:rPr>
          <w:spacing w:val="-1"/>
          <w:lang w:val="fr-FR"/>
        </w:rPr>
        <w:tab/>
      </w:r>
      <w:r w:rsidRPr="00B74A88">
        <w:rPr>
          <w:rStyle w:val="Appelnotedebasdep"/>
          <w:spacing w:val="-1"/>
        </w:rPr>
        <w:footnoteRef/>
      </w:r>
      <w:r w:rsidRPr="00B74A88">
        <w:rPr>
          <w:spacing w:val="-1"/>
          <w:lang w:val="fr-FR"/>
        </w:rPr>
        <w:tab/>
        <w:t>Disponible en ligne à l’adresse : https://www.riigiteataja.ee/en/eli/ee/509012018008/consolide/current.</w:t>
      </w:r>
    </w:p>
  </w:footnote>
  <w:footnote w:id="4">
    <w:p w:rsidR="00B127FF" w:rsidRPr="00692634" w:rsidRDefault="00B127FF" w:rsidP="00713439">
      <w:pPr>
        <w:pStyle w:val="Notedebasdepage"/>
        <w:rPr>
          <w:lang w:val="fr-FR"/>
        </w:rPr>
      </w:pPr>
      <w:r w:rsidRPr="00EB5094">
        <w:rPr>
          <w:lang w:val="fr-FR"/>
        </w:rPr>
        <w:tab/>
      </w:r>
      <w:r w:rsidRPr="000C524A">
        <w:rPr>
          <w:rStyle w:val="Appelnotedebasdep"/>
        </w:rPr>
        <w:footnoteRef/>
      </w:r>
      <w:r>
        <w:rPr>
          <w:lang w:val="fr-FR"/>
        </w:rPr>
        <w:tab/>
        <w:t>Disponible en ligne à l’adresse : https://www.korruptsioon.ee/sites/www.korruptsioon.ee/files/</w:t>
      </w:r>
      <w:r>
        <w:rPr>
          <w:lang w:val="fr-FR"/>
        </w:rPr>
        <w:br/>
        <w:t>elfinder/dokumendid/estonian_anti-corruption_strategy_2013-2020.pdf.</w:t>
      </w:r>
    </w:p>
  </w:footnote>
  <w:footnote w:id="5">
    <w:p w:rsidR="00B127FF" w:rsidRDefault="00B127FF" w:rsidP="001F0BC2">
      <w:pPr>
        <w:pStyle w:val="Notedebasdepage"/>
      </w:pPr>
      <w:r>
        <w:tab/>
      </w:r>
      <w:r>
        <w:rPr>
          <w:rStyle w:val="Appelnotedebasdep"/>
        </w:rPr>
        <w:footnoteRef/>
      </w:r>
      <w:r>
        <w:tab/>
      </w:r>
      <w:r w:rsidR="001F0BC2">
        <w:t>Depuis 2014, la discrimination fondée sur l’appartenance ethnique comprend également la discrimination fondée sur la couleur de la peau.</w:t>
      </w:r>
    </w:p>
  </w:footnote>
  <w:footnote w:id="6">
    <w:p w:rsidR="00812789" w:rsidRDefault="00812789" w:rsidP="00812789">
      <w:pPr>
        <w:pStyle w:val="Notedebasdepage"/>
      </w:pPr>
      <w:r>
        <w:tab/>
      </w:r>
      <w:r>
        <w:rPr>
          <w:rStyle w:val="Appelnotedebasdep"/>
        </w:rPr>
        <w:footnoteRef/>
      </w:r>
      <w:r>
        <w:tab/>
      </w:r>
      <w:r w:rsidR="001F0BC2">
        <w:t>Comprend à la fois l’orientation sexuelle et l’identité de genre.</w:t>
      </w:r>
    </w:p>
  </w:footnote>
  <w:footnote w:id="7">
    <w:p w:rsidR="00B127FF" w:rsidRPr="00692634" w:rsidRDefault="00B127FF" w:rsidP="00F35215">
      <w:pPr>
        <w:pStyle w:val="Notedebasdepage"/>
        <w:rPr>
          <w:lang w:val="fr-FR"/>
        </w:rPr>
      </w:pPr>
      <w:r w:rsidRPr="00EB5094">
        <w:rPr>
          <w:lang w:val="fr-FR"/>
        </w:rPr>
        <w:tab/>
      </w:r>
      <w:r w:rsidRPr="000C524A">
        <w:rPr>
          <w:rStyle w:val="Appelnotedebasdep"/>
        </w:rPr>
        <w:footnoteRef/>
      </w:r>
      <w:r>
        <w:rPr>
          <w:lang w:val="de-DE"/>
        </w:rPr>
        <w:tab/>
        <w:t>Turk, Pirjo ; Anniste, Kristi ; Masso, Märt </w:t>
      </w:r>
      <w:r w:rsidRPr="00692634">
        <w:rPr>
          <w:lang w:val="de-DE"/>
        </w:rPr>
        <w:t xml:space="preserve">; Karu, Marre et Kriger, Tatjana. 2015. </w:t>
      </w:r>
      <w:r w:rsidRPr="00903181">
        <w:rPr>
          <w:i/>
          <w:lang w:val="de-DE"/>
        </w:rPr>
        <w:t>Uuring soolise võrdõiguslikkuse seaduse rakendamisest tööandjate seas ja indikaatorite väljatöötamine seaduse mõjude hindamiseks</w:t>
      </w:r>
      <w:r w:rsidRPr="00692634">
        <w:rPr>
          <w:lang w:val="de-DE"/>
        </w:rPr>
        <w:t xml:space="preserve">. </w:t>
      </w:r>
      <w:r>
        <w:rPr>
          <w:lang w:val="fr-FR"/>
        </w:rPr>
        <w:t>Tallinn, Praxis Center for Policy Studies. Disponible en ligne à l’adresse suivante (résumé analytique, p. 47</w:t>
      </w:r>
      <w:r w:rsidR="00903181">
        <w:rPr>
          <w:lang w:val="fr-FR"/>
        </w:rPr>
        <w:t xml:space="preserve"> à </w:t>
      </w:r>
      <w:r>
        <w:rPr>
          <w:lang w:val="fr-FR"/>
        </w:rPr>
        <w:t>49) : http://www.sm.ee/sites/default/files/content-editors/</w:t>
      </w:r>
      <w:r>
        <w:rPr>
          <w:lang w:val="fr-FR"/>
        </w:rPr>
        <w:br/>
        <w:t>Ministeerium_kontaktid/Uuringu_ja_analuusid/Sotsiaalvaldkond/uuringuaruanne.pdf.</w:t>
      </w:r>
    </w:p>
  </w:footnote>
  <w:footnote w:id="8">
    <w:p w:rsidR="00B127FF" w:rsidRPr="00692634" w:rsidRDefault="00B127FF" w:rsidP="00B50040">
      <w:pPr>
        <w:pStyle w:val="Notedebasdepage"/>
        <w:rPr>
          <w:lang w:val="fr-FR"/>
        </w:rPr>
      </w:pPr>
      <w:r w:rsidRPr="00EB5094">
        <w:rPr>
          <w:lang w:val="fr-FR"/>
        </w:rPr>
        <w:tab/>
      </w:r>
      <w:r w:rsidRPr="000C524A">
        <w:rPr>
          <w:rStyle w:val="Appelnotedebasdep"/>
        </w:rPr>
        <w:footnoteRef/>
      </w:r>
      <w:r>
        <w:rPr>
          <w:lang w:val="fr-FR"/>
        </w:rPr>
        <w:tab/>
        <w:t>Disponible (en anglais) à l’adresse suivante : https://www.sm.ee/sites/default/files/content-editors/eesmargid_ja_tegevused/welfare_development_plan_2016-2023.pdf.</w:t>
      </w:r>
    </w:p>
  </w:footnote>
  <w:footnote w:id="9">
    <w:p w:rsidR="00B127FF" w:rsidRPr="008958D5" w:rsidRDefault="00B127FF" w:rsidP="00B2449E">
      <w:pPr>
        <w:pStyle w:val="Notedebasdepage"/>
        <w:rPr>
          <w:lang w:val="en-US"/>
        </w:rPr>
      </w:pPr>
      <w:r w:rsidRPr="00EB5094">
        <w:rPr>
          <w:lang w:val="fr-FR"/>
        </w:rPr>
        <w:tab/>
      </w:r>
      <w:r w:rsidRPr="000C524A">
        <w:rPr>
          <w:rStyle w:val="Appelnotedebasdep"/>
        </w:rPr>
        <w:footnoteRef/>
      </w:r>
      <w:r w:rsidRPr="008958D5">
        <w:rPr>
          <w:lang w:val="en-US"/>
        </w:rPr>
        <w:tab/>
        <w:t>Statistics Estonia.</w:t>
      </w:r>
    </w:p>
  </w:footnote>
  <w:footnote w:id="10">
    <w:p w:rsidR="00B127FF" w:rsidRPr="008958D5" w:rsidRDefault="00B127FF" w:rsidP="00B96338">
      <w:pPr>
        <w:pStyle w:val="Notedebasdepage"/>
        <w:rPr>
          <w:lang w:val="en-US"/>
        </w:rPr>
      </w:pPr>
      <w:r w:rsidRPr="008958D5">
        <w:rPr>
          <w:lang w:val="en-US"/>
        </w:rPr>
        <w:tab/>
      </w:r>
      <w:r w:rsidRPr="00645B63">
        <w:rPr>
          <w:rStyle w:val="Appelnotedebasdep"/>
        </w:rPr>
        <w:footnoteRef/>
      </w:r>
      <w:r w:rsidRPr="008958D5">
        <w:rPr>
          <w:lang w:val="en-US"/>
        </w:rPr>
        <w:tab/>
        <w:t>http://kompetentsikeskus.volinik.ee/wp-content/uploads/2018/02/infoleht_Lapsevanematele_LTT.pdf.</w:t>
      </w:r>
    </w:p>
  </w:footnote>
  <w:footnote w:id="11">
    <w:p w:rsidR="00B127FF" w:rsidRPr="008958D5" w:rsidRDefault="00B127FF" w:rsidP="00B96338">
      <w:pPr>
        <w:pStyle w:val="Notedebasdepage"/>
        <w:rPr>
          <w:lang w:val="en-US"/>
        </w:rPr>
      </w:pPr>
      <w:r w:rsidRPr="008958D5">
        <w:rPr>
          <w:lang w:val="en-US"/>
        </w:rPr>
        <w:tab/>
      </w:r>
      <w:r w:rsidRPr="00645B63">
        <w:rPr>
          <w:rStyle w:val="Appelnotedebasdep"/>
        </w:rPr>
        <w:footnoteRef/>
      </w:r>
      <w:r w:rsidRPr="008958D5">
        <w:rPr>
          <w:lang w:val="en-US"/>
        </w:rPr>
        <w:tab/>
        <w:t>http://kompetentsikeskus.volinik.ee/wp-content/uploads/2018/02/Uuringu-aruanne_LTT-huviharidus-sooline-aspekt.pdf.</w:t>
      </w:r>
    </w:p>
  </w:footnote>
  <w:footnote w:id="12">
    <w:p w:rsidR="00401999" w:rsidRPr="002160E4" w:rsidRDefault="00401999" w:rsidP="00401999">
      <w:pPr>
        <w:pStyle w:val="Notedebasdepage"/>
        <w:rPr>
          <w:lang w:val="fr-FR"/>
        </w:rPr>
      </w:pPr>
      <w:r w:rsidRPr="008958D5">
        <w:rPr>
          <w:lang w:val="en-US"/>
        </w:rPr>
        <w:tab/>
      </w:r>
      <w:r w:rsidRPr="00645B63">
        <w:rPr>
          <w:rStyle w:val="Appelnotedebasdep"/>
        </w:rPr>
        <w:footnoteRef/>
      </w:r>
      <w:r>
        <w:rPr>
          <w:lang w:val="fr-FR"/>
        </w:rPr>
        <w:tab/>
      </w:r>
      <w:r w:rsidR="00AB4243">
        <w:rPr>
          <w:lang w:val="fr-FR"/>
        </w:rPr>
        <w:t>Le nombre de bénéficiaires de l’</w:t>
      </w:r>
      <w:r>
        <w:rPr>
          <w:lang w:val="fr-FR"/>
        </w:rPr>
        <w:t>allocation de capacité de travail est celui des personnes ayant reçu une allocation de capacité de travail au cours du mois visé.</w:t>
      </w:r>
    </w:p>
  </w:footnote>
  <w:footnote w:id="13">
    <w:p w:rsidR="00B127FF" w:rsidRPr="002160E4" w:rsidRDefault="00B127FF" w:rsidP="00C762D3">
      <w:pPr>
        <w:pStyle w:val="Notedebasdepage"/>
        <w:rPr>
          <w:lang w:val="fr-FR"/>
        </w:rPr>
      </w:pPr>
      <w:r w:rsidRPr="00EB5094">
        <w:rPr>
          <w:lang w:val="fr-FR"/>
        </w:rPr>
        <w:tab/>
      </w:r>
      <w:r w:rsidRPr="00645B63">
        <w:rPr>
          <w:rStyle w:val="Appelnotedebasdep"/>
        </w:rPr>
        <w:footnoteRef/>
      </w:r>
      <w:r>
        <w:rPr>
          <w:lang w:val="fr-FR"/>
        </w:rPr>
        <w:tab/>
        <w:t>Consultable à l’adresse suivante</w:t>
      </w:r>
      <w:r w:rsidR="00C46468">
        <w:rPr>
          <w:lang w:val="fr-FR"/>
        </w:rPr>
        <w:t> </w:t>
      </w:r>
      <w:r>
        <w:rPr>
          <w:lang w:val="fr-FR"/>
        </w:rPr>
        <w:t>: https://www.riigiteataja.ee/en/eli/ 509072018004/consolide/current.</w:t>
      </w:r>
    </w:p>
  </w:footnote>
  <w:footnote w:id="14">
    <w:p w:rsidR="00B127FF" w:rsidRPr="002160E4" w:rsidRDefault="00B127FF" w:rsidP="00C762D3">
      <w:pPr>
        <w:pStyle w:val="Notedebasdepage"/>
        <w:rPr>
          <w:rFonts w:cs="Arial"/>
          <w:iCs/>
          <w:lang w:val="fr-FR"/>
        </w:rPr>
      </w:pPr>
      <w:r w:rsidRPr="00EB5094">
        <w:rPr>
          <w:rFonts w:cs="Arial"/>
          <w:lang w:val="fr-FR"/>
        </w:rPr>
        <w:tab/>
      </w:r>
      <w:r w:rsidRPr="00645B63">
        <w:rPr>
          <w:rStyle w:val="Appelnotedebasdep"/>
        </w:rPr>
        <w:footnoteRef/>
      </w:r>
      <w:r>
        <w:rPr>
          <w:lang w:val="fr-FR"/>
        </w:rPr>
        <w:tab/>
      </w:r>
      <w:r w:rsidRPr="00C762D3">
        <w:rPr>
          <w:i/>
          <w:lang w:val="fr-FR"/>
        </w:rPr>
        <w:t>Source</w:t>
      </w:r>
      <w:r w:rsidR="00C762D3">
        <w:rPr>
          <w:rStyle w:val="NotedebasdepageCar"/>
        </w:rPr>
        <w:t> </w:t>
      </w:r>
      <w:r>
        <w:rPr>
          <w:lang w:val="fr-FR"/>
        </w:rPr>
        <w:t>: Kuritegevus Eestis 2017.</w:t>
      </w:r>
    </w:p>
  </w:footnote>
  <w:footnote w:id="15">
    <w:p w:rsidR="00B127FF" w:rsidRPr="002160E4" w:rsidRDefault="00B127FF" w:rsidP="00C762D3">
      <w:pPr>
        <w:pStyle w:val="Notedebasdepage"/>
        <w:rPr>
          <w:lang w:val="fr-FR"/>
        </w:rPr>
      </w:pPr>
      <w:r w:rsidRPr="00EB5094">
        <w:rPr>
          <w:lang w:val="fr-FR"/>
        </w:rPr>
        <w:tab/>
      </w:r>
      <w:r w:rsidRPr="00645B63">
        <w:rPr>
          <w:rStyle w:val="Appelnotedebasdep"/>
        </w:rPr>
        <w:footnoteRef/>
      </w:r>
      <w:r w:rsidR="00C762D3">
        <w:rPr>
          <w:lang w:val="fr-FR"/>
        </w:rPr>
        <w:tab/>
        <w:t>Accessible en ligne à l’</w:t>
      </w:r>
      <w:r>
        <w:rPr>
          <w:lang w:val="fr-FR"/>
        </w:rPr>
        <w:t>adresse</w:t>
      </w:r>
      <w:r w:rsidR="00C762D3">
        <w:rPr>
          <w:lang w:val="fr-FR"/>
        </w:rPr>
        <w:t> </w:t>
      </w:r>
      <w:r>
        <w:rPr>
          <w:lang w:val="fr-FR"/>
        </w:rPr>
        <w:t>: http://www.kriminaalpoliitika.ee/sites/krimipoliitika/files/elfinder/</w:t>
      </w:r>
      <w:r w:rsidR="0038241F">
        <w:rPr>
          <w:lang w:val="fr-FR"/>
        </w:rPr>
        <w:br/>
      </w:r>
      <w:r w:rsidR="006B28FF">
        <w:rPr>
          <w:lang w:val="fr-FR"/>
        </w:rPr>
        <w:t>dokumendid/strategy_for_</w:t>
      </w:r>
      <w:r>
        <w:rPr>
          <w:lang w:val="fr-FR"/>
        </w:rPr>
        <w:t>prevent</w:t>
      </w:r>
      <w:r w:rsidR="00C762D3">
        <w:rPr>
          <w:lang w:val="fr-FR"/>
        </w:rPr>
        <w:t>ing_violence_for_2015-2020.pdf.</w:t>
      </w:r>
    </w:p>
  </w:footnote>
  <w:footnote w:id="16">
    <w:p w:rsidR="00BC6837" w:rsidRPr="001F17A4" w:rsidRDefault="00BC6837" w:rsidP="001F17A4">
      <w:pPr>
        <w:pStyle w:val="Notedebasdepage"/>
        <w:rPr>
          <w:spacing w:val="-2"/>
        </w:rPr>
      </w:pPr>
      <w:r w:rsidRPr="001F17A4">
        <w:rPr>
          <w:spacing w:val="-2"/>
          <w:lang w:val="fr-FR"/>
        </w:rPr>
        <w:tab/>
      </w:r>
      <w:r w:rsidRPr="001F17A4">
        <w:rPr>
          <w:rStyle w:val="Appelnotedebasdep"/>
          <w:spacing w:val="-2"/>
        </w:rPr>
        <w:footnoteRef/>
      </w:r>
      <w:r w:rsidRPr="001F17A4">
        <w:rPr>
          <w:spacing w:val="-2"/>
          <w:lang w:val="fr-FR"/>
        </w:rPr>
        <w:tab/>
        <w:t>C</w:t>
      </w:r>
      <w:r w:rsidR="001F17A4" w:rsidRPr="001F17A4">
        <w:rPr>
          <w:spacing w:val="-2"/>
          <w:lang w:val="fr-FR"/>
        </w:rPr>
        <w:t>onsultable à l’adresse suivante </w:t>
      </w:r>
      <w:r w:rsidRPr="001F17A4">
        <w:rPr>
          <w:spacing w:val="-2"/>
          <w:lang w:val="fr-FR"/>
        </w:rPr>
        <w:t>: https://www.riigiteataja.ee/en/eli/ee/</w:t>
      </w:r>
      <w:r w:rsidR="001F17A4" w:rsidRPr="001F17A4">
        <w:rPr>
          <w:spacing w:val="-2"/>
          <w:lang w:val="fr-FR"/>
        </w:rPr>
        <w:t>509072018006/consolide/current.</w:t>
      </w:r>
    </w:p>
  </w:footnote>
  <w:footnote w:id="17">
    <w:p w:rsidR="00BC6837" w:rsidRPr="00740F43" w:rsidRDefault="00BC6837" w:rsidP="003333C6">
      <w:pPr>
        <w:pStyle w:val="Notedebasdepage"/>
        <w:rPr>
          <w:lang w:val="en-US"/>
        </w:rPr>
      </w:pPr>
      <w:r w:rsidRPr="00EB5094">
        <w:rPr>
          <w:lang w:val="fr-FR"/>
        </w:rPr>
        <w:tab/>
      </w:r>
      <w:r w:rsidRPr="00A63F24">
        <w:rPr>
          <w:rStyle w:val="Appelnotedebasdep"/>
        </w:rPr>
        <w:footnoteRef/>
      </w:r>
      <w:r w:rsidRPr="00C62ACE">
        <w:rPr>
          <w:lang w:val="en-US"/>
        </w:rPr>
        <w:tab/>
      </w:r>
      <w:r w:rsidRPr="003333C6">
        <w:rPr>
          <w:i/>
          <w:lang w:val="en-US"/>
        </w:rPr>
        <w:t>The use of drugs among students: The use of illegal drugs by 15- to 16-year-olds in Estonia, 2015</w:t>
      </w:r>
      <w:r w:rsidRPr="00C62ACE">
        <w:rPr>
          <w:lang w:val="en-US"/>
        </w:rPr>
        <w:t>, Insti</w:t>
      </w:r>
      <w:r>
        <w:rPr>
          <w:lang w:val="en-US"/>
        </w:rPr>
        <w:t xml:space="preserve">tut national de la santé, 2016 </w:t>
      </w:r>
      <w:r w:rsidRPr="00740F43">
        <w:rPr>
          <w:lang w:val="en-US"/>
        </w:rPr>
        <w:t>(enquête ESPAD, 2015).</w:t>
      </w:r>
    </w:p>
  </w:footnote>
  <w:footnote w:id="18">
    <w:p w:rsidR="00BC6837" w:rsidRPr="00C62ACE" w:rsidRDefault="00BC6837" w:rsidP="003A447C">
      <w:pPr>
        <w:pStyle w:val="Notedebasdepage"/>
      </w:pPr>
      <w:r w:rsidRPr="00740F43">
        <w:rPr>
          <w:lang w:val="en-US"/>
        </w:rPr>
        <w:tab/>
      </w:r>
      <w:r w:rsidRPr="00A63F24">
        <w:rPr>
          <w:rStyle w:val="Appelnotedebasdep"/>
        </w:rPr>
        <w:footnoteRef/>
      </w:r>
      <w:r>
        <w:rPr>
          <w:lang w:val="fr-FR"/>
        </w:rPr>
        <w:tab/>
        <w:t>Une même école peut dispenser un enseignement dans plusieurs langues.</w:t>
      </w:r>
    </w:p>
  </w:footnote>
  <w:footnote w:id="19">
    <w:p w:rsidR="00BC6837" w:rsidRPr="00C62ACE" w:rsidRDefault="00BC6837" w:rsidP="00A52AC7">
      <w:pPr>
        <w:pStyle w:val="Notedebasdepage"/>
        <w:rPr>
          <w:lang w:val="fr-FR"/>
        </w:rPr>
      </w:pPr>
      <w:r w:rsidRPr="00EB5094">
        <w:rPr>
          <w:lang w:val="fr-FR"/>
        </w:rPr>
        <w:tab/>
      </w:r>
      <w:r w:rsidRPr="00A63F24">
        <w:rPr>
          <w:rStyle w:val="Appelnotedebasdep"/>
        </w:rPr>
        <w:footnoteRef/>
      </w:r>
      <w:r>
        <w:rPr>
          <w:lang w:val="fr-FR"/>
        </w:rPr>
        <w:tab/>
        <w:t>https://www.riigiteataja.ee</w:t>
      </w:r>
      <w:r w:rsidR="00A52AC7">
        <w:rPr>
          <w:lang w:val="fr-FR"/>
        </w:rPr>
        <w:t>/en/eli/513042015012/consolide.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FF" w:rsidRPr="00BC109D" w:rsidRDefault="0084343E">
    <w:pPr>
      <w:pStyle w:val="En-tte"/>
    </w:pPr>
    <w:r>
      <w:fldChar w:fldCharType="begin"/>
    </w:r>
    <w:r>
      <w:instrText xml:space="preserve"> TITLE  \* MERGEFORMAT </w:instrText>
    </w:r>
    <w:r>
      <w:fldChar w:fldCharType="separate"/>
    </w:r>
    <w:r>
      <w:t>E/C.12/EST/Q/3/Add.1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FF" w:rsidRPr="00BC109D" w:rsidRDefault="0084343E" w:rsidP="00BC109D">
    <w:pPr>
      <w:pStyle w:val="En-tte"/>
      <w:jc w:val="right"/>
    </w:pPr>
    <w:r>
      <w:fldChar w:fldCharType="begin"/>
    </w:r>
    <w:r>
      <w:instrText xml:space="preserve"> TITLE  \* MERGEFORMAT </w:instrText>
    </w:r>
    <w:r>
      <w:fldChar w:fldCharType="separate"/>
    </w:r>
    <w:r>
      <w:t>E/C.12/EST/Q/3/Add.1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4738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FE615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2"/>
  </w:num>
  <w:num w:numId="17">
    <w:abstractNumId w:val="15"/>
  </w:num>
  <w:num w:numId="18">
    <w:abstractNumId w:val="14"/>
  </w:num>
  <w:num w:numId="19">
    <w:abstractNumId w:val="10"/>
  </w:num>
  <w:num w:numId="20">
    <w:abstractNumId w:val="18"/>
  </w:num>
  <w:num w:numId="21">
    <w:abstractNumId w:val="19"/>
  </w:num>
  <w:num w:numId="22">
    <w:abstractNumId w:val="17"/>
  </w:num>
  <w:num w:numId="23">
    <w:abstractNumId w:val="13"/>
  </w:num>
  <w:num w:numId="24">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5">
    <w:abstractNumId w:val="14"/>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D6"/>
    <w:rsid w:val="00017F94"/>
    <w:rsid w:val="00023842"/>
    <w:rsid w:val="0002432E"/>
    <w:rsid w:val="00027E5C"/>
    <w:rsid w:val="000334F9"/>
    <w:rsid w:val="0003677A"/>
    <w:rsid w:val="0004670D"/>
    <w:rsid w:val="0004780E"/>
    <w:rsid w:val="00063F35"/>
    <w:rsid w:val="00072F29"/>
    <w:rsid w:val="0007796D"/>
    <w:rsid w:val="000A35C9"/>
    <w:rsid w:val="000A73E3"/>
    <w:rsid w:val="000B460D"/>
    <w:rsid w:val="000B7790"/>
    <w:rsid w:val="000D1E7C"/>
    <w:rsid w:val="000D498E"/>
    <w:rsid w:val="000D55AF"/>
    <w:rsid w:val="000F2774"/>
    <w:rsid w:val="00105E96"/>
    <w:rsid w:val="00111F2F"/>
    <w:rsid w:val="0014365E"/>
    <w:rsid w:val="00151CCD"/>
    <w:rsid w:val="0015682F"/>
    <w:rsid w:val="0017158B"/>
    <w:rsid w:val="00176178"/>
    <w:rsid w:val="00177601"/>
    <w:rsid w:val="00182428"/>
    <w:rsid w:val="001B5DFB"/>
    <w:rsid w:val="001B60B2"/>
    <w:rsid w:val="001B7EEA"/>
    <w:rsid w:val="001C245C"/>
    <w:rsid w:val="001C2BE6"/>
    <w:rsid w:val="001C3868"/>
    <w:rsid w:val="001C3EEF"/>
    <w:rsid w:val="001D2F94"/>
    <w:rsid w:val="001F0BC2"/>
    <w:rsid w:val="001F17A4"/>
    <w:rsid w:val="001F2B0C"/>
    <w:rsid w:val="001F3BB2"/>
    <w:rsid w:val="001F525A"/>
    <w:rsid w:val="001F5C3D"/>
    <w:rsid w:val="00200897"/>
    <w:rsid w:val="0021318E"/>
    <w:rsid w:val="00214062"/>
    <w:rsid w:val="00223272"/>
    <w:rsid w:val="00223277"/>
    <w:rsid w:val="0022365C"/>
    <w:rsid w:val="0022608E"/>
    <w:rsid w:val="00242132"/>
    <w:rsid w:val="0024779E"/>
    <w:rsid w:val="00266ACE"/>
    <w:rsid w:val="002832AC"/>
    <w:rsid w:val="00290601"/>
    <w:rsid w:val="00294BDD"/>
    <w:rsid w:val="002A69F5"/>
    <w:rsid w:val="002A6EA1"/>
    <w:rsid w:val="002C0DA8"/>
    <w:rsid w:val="002C6FD1"/>
    <w:rsid w:val="002D7C93"/>
    <w:rsid w:val="002E1368"/>
    <w:rsid w:val="002E46A2"/>
    <w:rsid w:val="00330B60"/>
    <w:rsid w:val="003333C6"/>
    <w:rsid w:val="00336E28"/>
    <w:rsid w:val="00365835"/>
    <w:rsid w:val="00366EB5"/>
    <w:rsid w:val="0038241F"/>
    <w:rsid w:val="00396A4F"/>
    <w:rsid w:val="003A0C65"/>
    <w:rsid w:val="003A17E0"/>
    <w:rsid w:val="003A3F8A"/>
    <w:rsid w:val="003A447C"/>
    <w:rsid w:val="003B4D94"/>
    <w:rsid w:val="003C6221"/>
    <w:rsid w:val="003E0993"/>
    <w:rsid w:val="003E4927"/>
    <w:rsid w:val="003E4F1B"/>
    <w:rsid w:val="00401999"/>
    <w:rsid w:val="004249F9"/>
    <w:rsid w:val="004301D0"/>
    <w:rsid w:val="00430EE6"/>
    <w:rsid w:val="004366C4"/>
    <w:rsid w:val="00441C3B"/>
    <w:rsid w:val="00446FE5"/>
    <w:rsid w:val="00452396"/>
    <w:rsid w:val="004609E6"/>
    <w:rsid w:val="00464B28"/>
    <w:rsid w:val="00465C5A"/>
    <w:rsid w:val="00474F3A"/>
    <w:rsid w:val="00484203"/>
    <w:rsid w:val="00490EF7"/>
    <w:rsid w:val="00491147"/>
    <w:rsid w:val="004A1ECE"/>
    <w:rsid w:val="004A50E9"/>
    <w:rsid w:val="004A66BA"/>
    <w:rsid w:val="004D29C5"/>
    <w:rsid w:val="004E468C"/>
    <w:rsid w:val="0054560B"/>
    <w:rsid w:val="005505B7"/>
    <w:rsid w:val="005635F2"/>
    <w:rsid w:val="00573BE5"/>
    <w:rsid w:val="00577640"/>
    <w:rsid w:val="00581060"/>
    <w:rsid w:val="00586ED3"/>
    <w:rsid w:val="005874D7"/>
    <w:rsid w:val="00596AA9"/>
    <w:rsid w:val="00612030"/>
    <w:rsid w:val="00634050"/>
    <w:rsid w:val="006503B3"/>
    <w:rsid w:val="00650A2F"/>
    <w:rsid w:val="006669D8"/>
    <w:rsid w:val="0067356E"/>
    <w:rsid w:val="00686861"/>
    <w:rsid w:val="00697094"/>
    <w:rsid w:val="006A1BD9"/>
    <w:rsid w:val="006B28FF"/>
    <w:rsid w:val="006C1F40"/>
    <w:rsid w:val="006C50CE"/>
    <w:rsid w:val="006D3914"/>
    <w:rsid w:val="006F09F7"/>
    <w:rsid w:val="006F4413"/>
    <w:rsid w:val="006F6EE3"/>
    <w:rsid w:val="00706D06"/>
    <w:rsid w:val="00713439"/>
    <w:rsid w:val="0071601D"/>
    <w:rsid w:val="00721B8A"/>
    <w:rsid w:val="00736F95"/>
    <w:rsid w:val="0075121E"/>
    <w:rsid w:val="00755802"/>
    <w:rsid w:val="0076147A"/>
    <w:rsid w:val="0078033B"/>
    <w:rsid w:val="00790CFD"/>
    <w:rsid w:val="007A40D8"/>
    <w:rsid w:val="007A62E6"/>
    <w:rsid w:val="007B7F22"/>
    <w:rsid w:val="007C48EF"/>
    <w:rsid w:val="007C77D6"/>
    <w:rsid w:val="007F00F5"/>
    <w:rsid w:val="00801314"/>
    <w:rsid w:val="008019CF"/>
    <w:rsid w:val="008020EC"/>
    <w:rsid w:val="0080236C"/>
    <w:rsid w:val="0080684C"/>
    <w:rsid w:val="00812789"/>
    <w:rsid w:val="008321D0"/>
    <w:rsid w:val="00842CF4"/>
    <w:rsid w:val="0084343E"/>
    <w:rsid w:val="00866553"/>
    <w:rsid w:val="00871C75"/>
    <w:rsid w:val="008776DC"/>
    <w:rsid w:val="00880927"/>
    <w:rsid w:val="00884A97"/>
    <w:rsid w:val="00886F2F"/>
    <w:rsid w:val="008958D5"/>
    <w:rsid w:val="008A51CC"/>
    <w:rsid w:val="008B1065"/>
    <w:rsid w:val="008B59DB"/>
    <w:rsid w:val="008B67F9"/>
    <w:rsid w:val="008E057B"/>
    <w:rsid w:val="008E1958"/>
    <w:rsid w:val="008F5B72"/>
    <w:rsid w:val="008F6F2F"/>
    <w:rsid w:val="009028CB"/>
    <w:rsid w:val="00903181"/>
    <w:rsid w:val="00907B2E"/>
    <w:rsid w:val="0091124B"/>
    <w:rsid w:val="00914B1A"/>
    <w:rsid w:val="009174BE"/>
    <w:rsid w:val="00920EE0"/>
    <w:rsid w:val="0092288C"/>
    <w:rsid w:val="00927055"/>
    <w:rsid w:val="00962C9C"/>
    <w:rsid w:val="00967489"/>
    <w:rsid w:val="009705C8"/>
    <w:rsid w:val="00970CB8"/>
    <w:rsid w:val="009A22EA"/>
    <w:rsid w:val="009A37AC"/>
    <w:rsid w:val="009C1CF4"/>
    <w:rsid w:val="009C2469"/>
    <w:rsid w:val="009D155D"/>
    <w:rsid w:val="009E0FBF"/>
    <w:rsid w:val="00A058BB"/>
    <w:rsid w:val="00A17AB7"/>
    <w:rsid w:val="00A30353"/>
    <w:rsid w:val="00A52AC7"/>
    <w:rsid w:val="00A6023E"/>
    <w:rsid w:val="00A67A14"/>
    <w:rsid w:val="00AA15D1"/>
    <w:rsid w:val="00AA42FA"/>
    <w:rsid w:val="00AB4243"/>
    <w:rsid w:val="00AB69E0"/>
    <w:rsid w:val="00AC341D"/>
    <w:rsid w:val="00AC3823"/>
    <w:rsid w:val="00AD6859"/>
    <w:rsid w:val="00AE323C"/>
    <w:rsid w:val="00AF23BA"/>
    <w:rsid w:val="00AF290F"/>
    <w:rsid w:val="00AF44DA"/>
    <w:rsid w:val="00B00181"/>
    <w:rsid w:val="00B00B0D"/>
    <w:rsid w:val="00B0415B"/>
    <w:rsid w:val="00B0561B"/>
    <w:rsid w:val="00B127FF"/>
    <w:rsid w:val="00B2449E"/>
    <w:rsid w:val="00B356BC"/>
    <w:rsid w:val="00B40920"/>
    <w:rsid w:val="00B41E88"/>
    <w:rsid w:val="00B45CDB"/>
    <w:rsid w:val="00B50040"/>
    <w:rsid w:val="00B53495"/>
    <w:rsid w:val="00B53A95"/>
    <w:rsid w:val="00B6583B"/>
    <w:rsid w:val="00B65E0A"/>
    <w:rsid w:val="00B724E7"/>
    <w:rsid w:val="00B74A88"/>
    <w:rsid w:val="00B765F7"/>
    <w:rsid w:val="00B96338"/>
    <w:rsid w:val="00B97184"/>
    <w:rsid w:val="00BA0CA9"/>
    <w:rsid w:val="00BB08CD"/>
    <w:rsid w:val="00BB3975"/>
    <w:rsid w:val="00BC109D"/>
    <w:rsid w:val="00BC6469"/>
    <w:rsid w:val="00BC6837"/>
    <w:rsid w:val="00BD26B4"/>
    <w:rsid w:val="00BE28BE"/>
    <w:rsid w:val="00BE78E7"/>
    <w:rsid w:val="00C012C8"/>
    <w:rsid w:val="00C02897"/>
    <w:rsid w:val="00C22485"/>
    <w:rsid w:val="00C25685"/>
    <w:rsid w:val="00C32947"/>
    <w:rsid w:val="00C40506"/>
    <w:rsid w:val="00C41189"/>
    <w:rsid w:val="00C46468"/>
    <w:rsid w:val="00C5313C"/>
    <w:rsid w:val="00C5334C"/>
    <w:rsid w:val="00C725B2"/>
    <w:rsid w:val="00C762D3"/>
    <w:rsid w:val="00CD1794"/>
    <w:rsid w:val="00CE082F"/>
    <w:rsid w:val="00CE16D6"/>
    <w:rsid w:val="00CF346C"/>
    <w:rsid w:val="00CF4A75"/>
    <w:rsid w:val="00CF7104"/>
    <w:rsid w:val="00D0302E"/>
    <w:rsid w:val="00D03A6F"/>
    <w:rsid w:val="00D15E84"/>
    <w:rsid w:val="00D25D00"/>
    <w:rsid w:val="00D2687E"/>
    <w:rsid w:val="00D3439C"/>
    <w:rsid w:val="00D448F8"/>
    <w:rsid w:val="00D4549B"/>
    <w:rsid w:val="00D6365E"/>
    <w:rsid w:val="00D75300"/>
    <w:rsid w:val="00D761A1"/>
    <w:rsid w:val="00DA4EFE"/>
    <w:rsid w:val="00DB1831"/>
    <w:rsid w:val="00DC4AB5"/>
    <w:rsid w:val="00DD1763"/>
    <w:rsid w:val="00DD3BFD"/>
    <w:rsid w:val="00DF376E"/>
    <w:rsid w:val="00DF4903"/>
    <w:rsid w:val="00DF6678"/>
    <w:rsid w:val="00E02271"/>
    <w:rsid w:val="00E15440"/>
    <w:rsid w:val="00E31AED"/>
    <w:rsid w:val="00E40358"/>
    <w:rsid w:val="00E44FB0"/>
    <w:rsid w:val="00E52A51"/>
    <w:rsid w:val="00E564C4"/>
    <w:rsid w:val="00E72DC6"/>
    <w:rsid w:val="00EA53A9"/>
    <w:rsid w:val="00EB543B"/>
    <w:rsid w:val="00EB6A9A"/>
    <w:rsid w:val="00EC5BA7"/>
    <w:rsid w:val="00ED3384"/>
    <w:rsid w:val="00EF2799"/>
    <w:rsid w:val="00EF2E22"/>
    <w:rsid w:val="00EF5A80"/>
    <w:rsid w:val="00F114D0"/>
    <w:rsid w:val="00F2058F"/>
    <w:rsid w:val="00F35215"/>
    <w:rsid w:val="00F44FD7"/>
    <w:rsid w:val="00F60C5C"/>
    <w:rsid w:val="00F660DF"/>
    <w:rsid w:val="00F70DEF"/>
    <w:rsid w:val="00F73908"/>
    <w:rsid w:val="00F74613"/>
    <w:rsid w:val="00F83B36"/>
    <w:rsid w:val="00F95C08"/>
    <w:rsid w:val="00FA0BF8"/>
    <w:rsid w:val="00FA648F"/>
    <w:rsid w:val="00FB381B"/>
    <w:rsid w:val="00FB4FAA"/>
    <w:rsid w:val="00FD4FD7"/>
    <w:rsid w:val="00FD6BA8"/>
    <w:rsid w:val="00FF36A3"/>
    <w:rsid w:val="00FF72C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9124A"/>
  <w15:docId w15:val="{DA0BD47A-F2D6-4823-A608-F18DF337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table" w:styleId="Tableausimple2">
    <w:name w:val="Plain Table 2"/>
    <w:basedOn w:val="TableauNormal"/>
    <w:uiPriority w:val="42"/>
    <w:rsid w:val="004366C4"/>
    <w:pPr>
      <w:spacing w:after="0" w:line="240" w:lineRule="auto"/>
    </w:pPr>
    <w:rPr>
      <w:rFonts w:eastAsiaTheme="minorHAnsi"/>
      <w:lang w:val="et-EE"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4366C4"/>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1.png@01D47AB0.7E149D6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ria\Desktop\Ravi%20ja%20rehab%20koh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Sheet2!$A$27</c:f>
              <c:strCache>
                <c:ptCount val="1"/>
                <c:pt idx="0">
                  <c:v>Tarvitajad</c:v>
                </c:pt>
              </c:strCache>
            </c:strRef>
          </c:tx>
          <c:marker>
            <c:symbol val="none"/>
          </c:marker>
          <c:dLbls>
            <c:dLbl>
              <c:idx val="0"/>
              <c:layout>
                <c:manualLayout>
                  <c:x val="6.802721088435399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AB-406C-9241-04615CDAB83C}"/>
                </c:ext>
              </c:extLst>
            </c:dLbl>
            <c:dLbl>
              <c:idx val="1"/>
              <c:layout>
                <c:manualLayout>
                  <c:x val="-1.1337868480725599E-2"/>
                  <c:y val="2.6560424966799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AB-406C-9241-04615CDAB83C}"/>
                </c:ext>
              </c:extLst>
            </c:dLbl>
            <c:dLbl>
              <c:idx val="2"/>
              <c:layout>
                <c:manualLayout>
                  <c:x val="2.2675736961451499E-3"/>
                  <c:y val="1.5936254980079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AB-406C-9241-04615CDAB83C}"/>
                </c:ext>
              </c:extLst>
            </c:dLbl>
            <c:dLbl>
              <c:idx val="3"/>
              <c:layout>
                <c:manualLayout>
                  <c:x val="-1.3605442176870699E-2"/>
                  <c:y val="3.71845949535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AB-406C-9241-04615CDAB83C}"/>
                </c:ext>
              </c:extLst>
            </c:dLbl>
            <c:dLbl>
              <c:idx val="4"/>
              <c:layout>
                <c:manualLayout>
                  <c:x val="-9.0702947845805008E-3"/>
                  <c:y val="1.0624169986719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3AB-406C-9241-04615CDAB83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Sheet2!$B$26:$G$26</c:f>
              <c:numCache>
                <c:formatCode>General</c:formatCode>
                <c:ptCount val="6"/>
                <c:pt idx="0">
                  <c:v>1995</c:v>
                </c:pt>
                <c:pt idx="1">
                  <c:v>1999</c:v>
                </c:pt>
                <c:pt idx="2">
                  <c:v>2003</c:v>
                </c:pt>
                <c:pt idx="3">
                  <c:v>2007</c:v>
                </c:pt>
                <c:pt idx="4">
                  <c:v>2011</c:v>
                </c:pt>
                <c:pt idx="5">
                  <c:v>2015</c:v>
                </c:pt>
              </c:numCache>
            </c:numRef>
          </c:cat>
          <c:val>
            <c:numRef>
              <c:f>Sheet2!$B$27:$G$27</c:f>
              <c:numCache>
                <c:formatCode>General</c:formatCode>
                <c:ptCount val="6"/>
                <c:pt idx="0">
                  <c:v>7</c:v>
                </c:pt>
                <c:pt idx="1">
                  <c:v>15</c:v>
                </c:pt>
                <c:pt idx="2">
                  <c:v>24</c:v>
                </c:pt>
                <c:pt idx="3">
                  <c:v>30</c:v>
                </c:pt>
                <c:pt idx="4">
                  <c:v>32</c:v>
                </c:pt>
                <c:pt idx="5">
                  <c:v>38</c:v>
                </c:pt>
              </c:numCache>
            </c:numRef>
          </c:val>
          <c:smooth val="0"/>
          <c:extLst>
            <c:ext xmlns:c16="http://schemas.microsoft.com/office/drawing/2014/chart" uri="{C3380CC4-5D6E-409C-BE32-E72D297353CC}">
              <c16:uniqueId val="{00000005-53AB-406C-9241-04615CDAB83C}"/>
            </c:ext>
          </c:extLst>
        </c:ser>
        <c:dLbls>
          <c:showLegendKey val="0"/>
          <c:showVal val="0"/>
          <c:showCatName val="0"/>
          <c:showSerName val="0"/>
          <c:showPercent val="0"/>
          <c:showBubbleSize val="0"/>
        </c:dLbls>
        <c:smooth val="0"/>
        <c:axId val="447920032"/>
        <c:axId val="447920424"/>
      </c:lineChart>
      <c:catAx>
        <c:axId val="447920032"/>
        <c:scaling>
          <c:orientation val="minMax"/>
        </c:scaling>
        <c:delete val="0"/>
        <c:axPos val="b"/>
        <c:numFmt formatCode="General" sourceLinked="1"/>
        <c:majorTickMark val="out"/>
        <c:minorTickMark val="none"/>
        <c:tickLblPos val="nextTo"/>
        <c:crossAx val="447920424"/>
        <c:crosses val="autoZero"/>
        <c:auto val="1"/>
        <c:lblAlgn val="ctr"/>
        <c:lblOffset val="100"/>
        <c:noMultiLvlLbl val="0"/>
      </c:catAx>
      <c:valAx>
        <c:axId val="447920424"/>
        <c:scaling>
          <c:orientation val="minMax"/>
        </c:scaling>
        <c:delete val="0"/>
        <c:axPos val="l"/>
        <c:majorGridlines/>
        <c:numFmt formatCode="General" sourceLinked="1"/>
        <c:majorTickMark val="out"/>
        <c:minorTickMark val="none"/>
        <c:tickLblPos val="nextTo"/>
        <c:crossAx val="4479200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BA5A-DA98-4F2D-BF96-6F182193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7</TotalTime>
  <Pages>29</Pages>
  <Words>12109</Words>
  <Characters>66601</Characters>
  <Application>Microsoft Office Word</Application>
  <DocSecurity>0</DocSecurity>
  <Lines>555</Lines>
  <Paragraphs>157</Paragraphs>
  <ScaleCrop>false</ScaleCrop>
  <HeadingPairs>
    <vt:vector size="2" baseType="variant">
      <vt:variant>
        <vt:lpstr>Titre</vt:lpstr>
      </vt:variant>
      <vt:variant>
        <vt:i4>1</vt:i4>
      </vt:variant>
    </vt:vector>
  </HeadingPairs>
  <TitlesOfParts>
    <vt:vector size="1" baseType="lpstr">
      <vt:lpstr>E/C.12/EST/Q/3/Add.1</vt:lpstr>
    </vt:vector>
  </TitlesOfParts>
  <Company>DCM</Company>
  <LinksUpToDate>false</LinksUpToDate>
  <CharactersWithSpaces>78553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E/C.12/EST/Q/3/Add.1</dc:title>
  <dc:subject/>
  <dc:creator>xx</dc:creator>
  <cp:keywords/>
  <cp:lastModifiedBy>xx</cp:lastModifiedBy>
  <cp:revision>3</cp:revision>
  <cp:lastPrinted>2019-01-18T10:58:00Z</cp:lastPrinted>
  <dcterms:created xsi:type="dcterms:W3CDTF">2019-01-18T10:58:00Z</dcterms:created>
  <dcterms:modified xsi:type="dcterms:W3CDTF">2019-01-18T11:05:00Z</dcterms:modified>
</cp:coreProperties>
</file>