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3D1522" w:rsidTr="000D1B89">
        <w:trPr>
          <w:cantSplit/>
          <w:trHeight w:hRule="exact" w:val="851"/>
        </w:trPr>
        <w:tc>
          <w:tcPr>
            <w:tcW w:w="1276" w:type="dxa"/>
            <w:tcBorders>
              <w:bottom w:val="single" w:sz="4" w:space="0" w:color="auto"/>
            </w:tcBorders>
            <w:vAlign w:val="bottom"/>
          </w:tcPr>
          <w:p w:rsidR="00717266" w:rsidRPr="003D1522" w:rsidRDefault="00717266" w:rsidP="000D1B89">
            <w:pPr>
              <w:spacing w:after="80"/>
            </w:pPr>
            <w:bookmarkStart w:id="0" w:name="_GoBack"/>
            <w:bookmarkEnd w:id="0"/>
          </w:p>
        </w:tc>
        <w:tc>
          <w:tcPr>
            <w:tcW w:w="2268" w:type="dxa"/>
            <w:tcBorders>
              <w:bottom w:val="single" w:sz="4" w:space="0" w:color="auto"/>
            </w:tcBorders>
            <w:vAlign w:val="bottom"/>
          </w:tcPr>
          <w:p w:rsidR="00717266" w:rsidRPr="003D1522" w:rsidRDefault="00717266" w:rsidP="000D1B89">
            <w:pPr>
              <w:spacing w:after="80" w:line="300" w:lineRule="exact"/>
              <w:rPr>
                <w:b/>
                <w:sz w:val="24"/>
                <w:szCs w:val="24"/>
              </w:rPr>
            </w:pPr>
            <w:r w:rsidRPr="003D1522">
              <w:rPr>
                <w:sz w:val="28"/>
                <w:szCs w:val="28"/>
              </w:rPr>
              <w:t>United Nations</w:t>
            </w:r>
          </w:p>
        </w:tc>
        <w:tc>
          <w:tcPr>
            <w:tcW w:w="6095" w:type="dxa"/>
            <w:gridSpan w:val="2"/>
            <w:tcBorders>
              <w:bottom w:val="single" w:sz="4" w:space="0" w:color="auto"/>
            </w:tcBorders>
            <w:vAlign w:val="bottom"/>
          </w:tcPr>
          <w:p w:rsidR="00717266" w:rsidRPr="003D1522" w:rsidRDefault="00EC33A7" w:rsidP="00EC33A7">
            <w:pPr>
              <w:suppressAutoHyphens w:val="0"/>
              <w:spacing w:after="20"/>
              <w:jc w:val="right"/>
            </w:pPr>
            <w:r w:rsidRPr="003D1522">
              <w:rPr>
                <w:sz w:val="40"/>
              </w:rPr>
              <w:t>E</w:t>
            </w:r>
            <w:r w:rsidRPr="003D1522">
              <w:t>/C.12/EST/Q/3/Add.1</w:t>
            </w:r>
          </w:p>
        </w:tc>
      </w:tr>
      <w:tr w:rsidR="00717266" w:rsidRPr="003D1522" w:rsidTr="000D1B89">
        <w:trPr>
          <w:cantSplit/>
          <w:trHeight w:hRule="exact" w:val="2835"/>
        </w:trPr>
        <w:tc>
          <w:tcPr>
            <w:tcW w:w="1276" w:type="dxa"/>
            <w:tcBorders>
              <w:top w:val="single" w:sz="4" w:space="0" w:color="auto"/>
              <w:bottom w:val="single" w:sz="12" w:space="0" w:color="auto"/>
            </w:tcBorders>
          </w:tcPr>
          <w:p w:rsidR="00717266" w:rsidRPr="003D1522" w:rsidRDefault="00717266" w:rsidP="000D1B89">
            <w:pPr>
              <w:spacing w:before="120"/>
            </w:pPr>
            <w:r w:rsidRPr="003D1522">
              <w:rPr>
                <w:noProof/>
                <w:lang w:val="en-US"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3D1522" w:rsidRDefault="00717266" w:rsidP="000D1B89">
            <w:pPr>
              <w:spacing w:before="120" w:line="420" w:lineRule="exact"/>
              <w:rPr>
                <w:sz w:val="40"/>
                <w:szCs w:val="40"/>
              </w:rPr>
            </w:pPr>
            <w:r w:rsidRPr="003D1522">
              <w:rPr>
                <w:b/>
                <w:sz w:val="40"/>
                <w:szCs w:val="40"/>
              </w:rPr>
              <w:t>Economic and Social Council</w:t>
            </w:r>
          </w:p>
        </w:tc>
        <w:tc>
          <w:tcPr>
            <w:tcW w:w="2835" w:type="dxa"/>
            <w:tcBorders>
              <w:top w:val="single" w:sz="4" w:space="0" w:color="auto"/>
              <w:bottom w:val="single" w:sz="12" w:space="0" w:color="auto"/>
            </w:tcBorders>
          </w:tcPr>
          <w:p w:rsidR="00717266" w:rsidRPr="003D1522" w:rsidRDefault="00EC33A7" w:rsidP="00EC33A7">
            <w:pPr>
              <w:spacing w:before="240"/>
            </w:pPr>
            <w:r w:rsidRPr="003D1522">
              <w:t>Distr.: General</w:t>
            </w:r>
          </w:p>
          <w:p w:rsidR="00EC33A7" w:rsidRPr="003D1522" w:rsidRDefault="007321D4" w:rsidP="00CD544A">
            <w:pPr>
              <w:suppressAutoHyphens w:val="0"/>
            </w:pPr>
            <w:r w:rsidRPr="003D1522">
              <w:t>1</w:t>
            </w:r>
            <w:r w:rsidR="00CD544A">
              <w:t>8</w:t>
            </w:r>
            <w:r w:rsidR="00EC33A7" w:rsidRPr="003D1522">
              <w:t xml:space="preserve"> December 2018</w:t>
            </w:r>
          </w:p>
          <w:p w:rsidR="00EC33A7" w:rsidRPr="003D1522" w:rsidRDefault="00EC33A7" w:rsidP="00EC33A7">
            <w:pPr>
              <w:suppressAutoHyphens w:val="0"/>
            </w:pPr>
          </w:p>
          <w:p w:rsidR="00EC33A7" w:rsidRPr="003D1522" w:rsidRDefault="00EC33A7" w:rsidP="00EC33A7">
            <w:pPr>
              <w:suppressAutoHyphens w:val="0"/>
            </w:pPr>
            <w:r w:rsidRPr="003D1522">
              <w:t>Original: English</w:t>
            </w:r>
          </w:p>
          <w:p w:rsidR="00EC33A7" w:rsidRPr="003D1522" w:rsidRDefault="00EC33A7" w:rsidP="00EC33A7">
            <w:pPr>
              <w:suppressAutoHyphens w:val="0"/>
            </w:pPr>
            <w:r w:rsidRPr="003D1522">
              <w:t>English, French and Spanish only</w:t>
            </w:r>
          </w:p>
        </w:tc>
      </w:tr>
    </w:tbl>
    <w:p w:rsidR="00EC33A7" w:rsidRPr="003D1522" w:rsidRDefault="00EC33A7" w:rsidP="002246AD">
      <w:pPr>
        <w:spacing w:before="120"/>
        <w:rPr>
          <w:b/>
          <w:bCs/>
          <w:sz w:val="24"/>
          <w:szCs w:val="24"/>
        </w:rPr>
      </w:pPr>
      <w:r w:rsidRPr="003D1522">
        <w:rPr>
          <w:b/>
          <w:bCs/>
          <w:sz w:val="24"/>
          <w:szCs w:val="24"/>
        </w:rPr>
        <w:t>Committee on Economic, Social and Cultural Rights</w:t>
      </w:r>
    </w:p>
    <w:p w:rsidR="00EC33A7" w:rsidRPr="003D1522" w:rsidRDefault="00EC33A7" w:rsidP="00EC33A7">
      <w:pPr>
        <w:rPr>
          <w:b/>
          <w:bCs/>
        </w:rPr>
      </w:pPr>
      <w:r w:rsidRPr="003D1522">
        <w:rPr>
          <w:b/>
          <w:bCs/>
        </w:rPr>
        <w:t>Sixty-fifth session</w:t>
      </w:r>
    </w:p>
    <w:p w:rsidR="00EC33A7" w:rsidRPr="003D1522" w:rsidRDefault="00EC33A7" w:rsidP="00EC33A7">
      <w:r w:rsidRPr="003D1522">
        <w:t>18 February–8 March 2019</w:t>
      </w:r>
    </w:p>
    <w:p w:rsidR="00EC33A7" w:rsidRPr="003D1522" w:rsidRDefault="00EC33A7" w:rsidP="00EC33A7">
      <w:r w:rsidRPr="003D1522">
        <w:t>Item 7 (a) of the provisional agenda</w:t>
      </w:r>
    </w:p>
    <w:p w:rsidR="00EC33A7" w:rsidRPr="003D1522" w:rsidRDefault="00EC33A7" w:rsidP="00EC33A7">
      <w:pPr>
        <w:rPr>
          <w:b/>
          <w:bCs/>
        </w:rPr>
      </w:pPr>
      <w:r w:rsidRPr="003D1522">
        <w:rPr>
          <w:b/>
          <w:bCs/>
        </w:rPr>
        <w:t xml:space="preserve">Consideration of reports: reports submitted by States parties </w:t>
      </w:r>
      <w:r w:rsidRPr="003D1522">
        <w:rPr>
          <w:b/>
          <w:bCs/>
        </w:rPr>
        <w:br/>
        <w:t>in accordance with articles 16 and 17 of the Covenant</w:t>
      </w:r>
    </w:p>
    <w:p w:rsidR="00EC33A7" w:rsidRPr="003D1522" w:rsidRDefault="00EC33A7" w:rsidP="002246AD">
      <w:pPr>
        <w:pStyle w:val="HChG"/>
      </w:pPr>
      <w:r w:rsidRPr="003D1522">
        <w:tab/>
      </w:r>
      <w:r w:rsidRPr="003D1522">
        <w:tab/>
        <w:t xml:space="preserve">List of issues in relation to the third periodic report </w:t>
      </w:r>
      <w:r w:rsidRPr="003D1522">
        <w:br/>
        <w:t>of Estonia</w:t>
      </w:r>
    </w:p>
    <w:p w:rsidR="00EC33A7" w:rsidRPr="003D1522" w:rsidRDefault="00EC33A7" w:rsidP="002246AD">
      <w:pPr>
        <w:pStyle w:val="H23G"/>
      </w:pPr>
      <w:r w:rsidRPr="003D1522">
        <w:tab/>
      </w:r>
      <w:r w:rsidRPr="003D1522">
        <w:tab/>
        <w:t>Addendum</w:t>
      </w:r>
    </w:p>
    <w:p w:rsidR="00EC33A7" w:rsidRPr="003D1522" w:rsidRDefault="00EC33A7" w:rsidP="002246AD">
      <w:pPr>
        <w:pStyle w:val="HChG"/>
      </w:pPr>
      <w:r w:rsidRPr="003D1522">
        <w:tab/>
      </w:r>
      <w:r w:rsidRPr="003D1522">
        <w:tab/>
        <w:t>Replies of Estonia to the list of issues</w:t>
      </w:r>
      <w:r w:rsidRPr="003D1522">
        <w:rPr>
          <w:b w:val="0"/>
          <w:bCs/>
          <w:sz w:val="20"/>
          <w:szCs w:val="14"/>
        </w:rPr>
        <w:footnoteReference w:customMarkFollows="1" w:id="1"/>
        <w:t>*</w:t>
      </w:r>
    </w:p>
    <w:p w:rsidR="00EC33A7" w:rsidRPr="003D1522" w:rsidRDefault="00EC33A7" w:rsidP="002246AD">
      <w:pPr>
        <w:pStyle w:val="SingleTxtG"/>
        <w:jc w:val="right"/>
      </w:pPr>
      <w:r w:rsidRPr="003D1522">
        <w:t>[Date received: 3 December 2018]</w:t>
      </w:r>
    </w:p>
    <w:p w:rsidR="002246AD" w:rsidRPr="003D1522" w:rsidRDefault="00EC33A7" w:rsidP="007566D9">
      <w:pPr>
        <w:pStyle w:val="HChG"/>
      </w:pPr>
      <w:r w:rsidRPr="003D1522">
        <w:br w:type="page"/>
      </w:r>
      <w:r w:rsidR="002246AD" w:rsidRPr="003D1522">
        <w:lastRenderedPageBreak/>
        <w:tab/>
        <w:t>I.</w:t>
      </w:r>
      <w:r w:rsidR="002246AD" w:rsidRPr="003D1522">
        <w:tab/>
        <w:t xml:space="preserve">General information </w:t>
      </w:r>
    </w:p>
    <w:p w:rsidR="002246AD" w:rsidRPr="003D1522" w:rsidRDefault="002246AD" w:rsidP="007566D9">
      <w:pPr>
        <w:pStyle w:val="H1G"/>
      </w:pPr>
      <w:r w:rsidRPr="003D1522">
        <w:tab/>
      </w:r>
      <w:r w:rsidRPr="003D1522">
        <w:tab/>
        <w:t>Effective remedies</w:t>
      </w:r>
    </w:p>
    <w:p w:rsidR="002246AD" w:rsidRPr="003D1522" w:rsidRDefault="002246AD" w:rsidP="007566D9">
      <w:pPr>
        <w:pStyle w:val="SingleTxtG"/>
      </w:pPr>
      <w:r w:rsidRPr="003D1522">
        <w:t>1.</w:t>
      </w:r>
      <w:r w:rsidRPr="003D1522">
        <w:tab/>
        <w:t>An individual whose rights under the Covenant have been violated by Government agencies, local authorities or their officials, has the right to file an action against the violator to an administrative court. Such an action according to section 37 subsection 2 of the Estonian Code of Administrative Court Procedure may seek: full or partial annulment of an administrative act (annulment action); issuance of an administrative act or taking of an administrative measure (mandatory action); prohibition of an issuance of a certain administrative act or taking of a certain administrative measure (prohibition action); compensation for harm caused in a public law relationship (compensation action); elimination of unlawful consequences of an administrative act or measure (reparation action); a declaration of nullity of an administrative act, a declaration of unlawfulness of an administrative act or measure, or a declaration ascertaining other facts of material importance in a public law relationship (declaratory action).</w:t>
      </w:r>
    </w:p>
    <w:p w:rsidR="002246AD" w:rsidRPr="003D1522" w:rsidRDefault="002246AD" w:rsidP="007566D9">
      <w:pPr>
        <w:pStyle w:val="SingleTxtG"/>
      </w:pPr>
      <w:r w:rsidRPr="003D1522">
        <w:t>2.</w:t>
      </w:r>
      <w:r w:rsidRPr="003D1522">
        <w:tab/>
        <w:t>In addition to courts, labour dispute bodies, the Chancellor of Justice and the Gender Equality and Equal Treatment Commissioner provide effective remedies to individuals who claim to be victims of violation of economic, social and cultural rights.</w:t>
      </w:r>
    </w:p>
    <w:p w:rsidR="002246AD" w:rsidRPr="003D1522" w:rsidRDefault="002246AD" w:rsidP="007566D9">
      <w:pPr>
        <w:pStyle w:val="SingleTxtG"/>
      </w:pPr>
      <w:r w:rsidRPr="003D1522">
        <w:t>3.</w:t>
      </w:r>
      <w:r w:rsidRPr="003D1522">
        <w:tab/>
        <w:t>Human rights, including economic, social and cultural rights, are included in the curricula of lawyers as well as in-service programs for judges, prosecutors, law enforcement officials and other relevant officials working in the related fields, for instance social workers etc.</w:t>
      </w:r>
    </w:p>
    <w:p w:rsidR="002246AD" w:rsidRPr="003D1522" w:rsidRDefault="002246AD" w:rsidP="007566D9">
      <w:pPr>
        <w:pStyle w:val="SingleTxtG"/>
      </w:pPr>
      <w:r w:rsidRPr="003D1522">
        <w:t>4.</w:t>
      </w:r>
      <w:r w:rsidRPr="003D1522">
        <w:tab/>
        <w:t>See also point 6.</w:t>
      </w:r>
    </w:p>
    <w:p w:rsidR="002246AD" w:rsidRPr="003D1522" w:rsidRDefault="002246AD" w:rsidP="007566D9">
      <w:pPr>
        <w:pStyle w:val="H1G"/>
      </w:pPr>
      <w:r w:rsidRPr="003D1522">
        <w:tab/>
      </w:r>
      <w:r w:rsidRPr="003D1522">
        <w:tab/>
        <w:t xml:space="preserve">Office of the Chancellor of Justice </w:t>
      </w:r>
    </w:p>
    <w:p w:rsidR="002246AD" w:rsidRPr="003D1522" w:rsidRDefault="002246AD" w:rsidP="007566D9">
      <w:pPr>
        <w:pStyle w:val="SingleTxtG"/>
      </w:pPr>
      <w:r w:rsidRPr="003D1522">
        <w:t>5.</w:t>
      </w:r>
      <w:r w:rsidRPr="003D1522">
        <w:tab/>
        <w:t>From 01.01.2019 the Chancellor of Justice will perform the task of NHRI in accordance with Paris Principles. The two amendments to the Chancellor of Justice Act</w:t>
      </w:r>
      <w:r w:rsidRPr="003D1522">
        <w:rPr>
          <w:rStyle w:val="FootnoteReference"/>
        </w:rPr>
        <w:footnoteReference w:id="2"/>
      </w:r>
      <w:r w:rsidRPr="003D1522">
        <w:t xml:space="preserve"> authorise the Chancellor to perform the functions of promoting and protecting human rights, on the basis of the General Assembly resolution 48/134 of 20 December 1993 </w:t>
      </w:r>
      <w:r w:rsidR="00C62389" w:rsidRPr="003D1522">
        <w:t>“</w:t>
      </w:r>
      <w:r w:rsidRPr="003D1522">
        <w:t>National institutions for the promotion and protection of human rights</w:t>
      </w:r>
      <w:r w:rsidR="00C62389" w:rsidRPr="003D1522">
        <w:t>”</w:t>
      </w:r>
      <w:r w:rsidRPr="003D1522">
        <w:t xml:space="preserve"> and to perform the promotion, protection and monitoring functions of implementation of the Convention on the Rights of Persons with Disabilities according to the article 33 section 2 of the convention. All other conditions of the Paris Principles are fulfilled with the existing provisions of the Chancellor of Justice Act.</w:t>
      </w:r>
    </w:p>
    <w:p w:rsidR="002246AD" w:rsidRPr="003D1522" w:rsidRDefault="002246AD" w:rsidP="007566D9">
      <w:pPr>
        <w:pStyle w:val="HChG"/>
      </w:pPr>
      <w:r w:rsidRPr="003D1522">
        <w:tab/>
        <w:t>II.</w:t>
      </w:r>
      <w:r w:rsidRPr="003D1522">
        <w:tab/>
        <w:t xml:space="preserve">Issues relating to the general provisions of the Covenant </w:t>
      </w:r>
      <w:r w:rsidR="007566D9" w:rsidRPr="003D1522">
        <w:br/>
      </w:r>
      <w:r w:rsidRPr="003D1522">
        <w:t xml:space="preserve">(arts. 1–5) </w:t>
      </w:r>
    </w:p>
    <w:p w:rsidR="002246AD" w:rsidRPr="003D1522" w:rsidRDefault="002246AD" w:rsidP="007566D9">
      <w:pPr>
        <w:pStyle w:val="H1G"/>
      </w:pPr>
      <w:r w:rsidRPr="003D1522">
        <w:tab/>
      </w:r>
      <w:r w:rsidRPr="003D1522">
        <w:tab/>
        <w:t xml:space="preserve">Maximum available resources (art. 2 (1)) </w:t>
      </w:r>
    </w:p>
    <w:p w:rsidR="00B83BB8" w:rsidRPr="003D1522" w:rsidRDefault="00B83BB8" w:rsidP="007566D9">
      <w:pPr>
        <w:pStyle w:val="H23G"/>
      </w:pPr>
      <w:r w:rsidRPr="003D1522">
        <w:tab/>
        <w:t>(a)</w:t>
      </w:r>
      <w:r w:rsidRPr="003D1522">
        <w:tab/>
        <w:t>Poverty</w:t>
      </w:r>
    </w:p>
    <w:p w:rsidR="002246AD" w:rsidRPr="003D1522" w:rsidRDefault="00B83BB8" w:rsidP="00B83BB8">
      <w:pPr>
        <w:pStyle w:val="H23G"/>
      </w:pPr>
      <w:r w:rsidRPr="003D1522">
        <w:br w:type="page"/>
      </w:r>
      <w:r w:rsidRPr="003D1522">
        <w:lastRenderedPageBreak/>
        <w:tab/>
      </w:r>
      <w:r w:rsidRPr="003D1522">
        <w:tab/>
      </w:r>
      <w:r w:rsidR="002246AD" w:rsidRPr="003D1522">
        <w:t>At-risk-of-poverty (relative) and absolute poverty rate, income years 2008</w:t>
      </w:r>
      <w:r w:rsidR="00C6515E" w:rsidRPr="003D1522">
        <w:t>–</w:t>
      </w:r>
      <w:r w:rsidR="002246AD" w:rsidRPr="003D1522">
        <w:t>2016</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0"/>
        <w:gridCol w:w="771"/>
        <w:gridCol w:w="772"/>
        <w:gridCol w:w="772"/>
        <w:gridCol w:w="771"/>
        <w:gridCol w:w="772"/>
        <w:gridCol w:w="772"/>
        <w:gridCol w:w="771"/>
        <w:gridCol w:w="772"/>
        <w:gridCol w:w="772"/>
      </w:tblGrid>
      <w:tr w:rsidR="00B83BB8" w:rsidRPr="003D1522" w:rsidTr="004C7354">
        <w:trPr>
          <w:tblHeader/>
        </w:trPr>
        <w:tc>
          <w:tcPr>
            <w:tcW w:w="1560" w:type="dxa"/>
            <w:tcBorders>
              <w:top w:val="single" w:sz="4" w:space="0" w:color="auto"/>
              <w:bottom w:val="single" w:sz="12" w:space="0" w:color="auto"/>
            </w:tcBorders>
            <w:shd w:val="clear" w:color="auto" w:fill="auto"/>
            <w:noWrap/>
            <w:vAlign w:val="bottom"/>
            <w:hideMark/>
          </w:tcPr>
          <w:p w:rsidR="002246AD" w:rsidRPr="003D1522" w:rsidRDefault="002246AD" w:rsidP="00B83BB8">
            <w:pPr>
              <w:pStyle w:val="SingleTxtG"/>
              <w:spacing w:before="80" w:after="80" w:line="200" w:lineRule="exact"/>
              <w:ind w:left="0" w:right="113"/>
              <w:jc w:val="left"/>
              <w:rPr>
                <w:i/>
                <w:sz w:val="16"/>
              </w:rPr>
            </w:pPr>
          </w:p>
        </w:tc>
        <w:tc>
          <w:tcPr>
            <w:tcW w:w="771" w:type="dxa"/>
            <w:tcBorders>
              <w:top w:val="single" w:sz="4" w:space="0" w:color="auto"/>
              <w:bottom w:val="single" w:sz="12" w:space="0" w:color="auto"/>
            </w:tcBorders>
            <w:shd w:val="clear" w:color="auto" w:fill="auto"/>
            <w:noWrap/>
            <w:vAlign w:val="bottom"/>
            <w:hideMark/>
          </w:tcPr>
          <w:p w:rsidR="002246AD" w:rsidRPr="003D1522" w:rsidRDefault="002246AD" w:rsidP="00B83BB8">
            <w:pPr>
              <w:pStyle w:val="SingleTxtG"/>
              <w:spacing w:before="80" w:after="80" w:line="200" w:lineRule="exact"/>
              <w:ind w:left="0" w:right="113"/>
              <w:jc w:val="right"/>
              <w:rPr>
                <w:i/>
                <w:sz w:val="16"/>
              </w:rPr>
            </w:pPr>
            <w:r w:rsidRPr="003D1522">
              <w:rPr>
                <w:i/>
                <w:sz w:val="16"/>
              </w:rPr>
              <w:t>2008</w:t>
            </w:r>
          </w:p>
        </w:tc>
        <w:tc>
          <w:tcPr>
            <w:tcW w:w="772" w:type="dxa"/>
            <w:tcBorders>
              <w:top w:val="single" w:sz="4" w:space="0" w:color="auto"/>
              <w:bottom w:val="single" w:sz="12" w:space="0" w:color="auto"/>
            </w:tcBorders>
            <w:shd w:val="clear" w:color="auto" w:fill="auto"/>
            <w:noWrap/>
            <w:vAlign w:val="bottom"/>
            <w:hideMark/>
          </w:tcPr>
          <w:p w:rsidR="002246AD" w:rsidRPr="003D1522" w:rsidRDefault="002246AD" w:rsidP="00B83BB8">
            <w:pPr>
              <w:pStyle w:val="SingleTxtG"/>
              <w:spacing w:before="80" w:after="80" w:line="200" w:lineRule="exact"/>
              <w:ind w:left="0" w:right="113"/>
              <w:jc w:val="right"/>
              <w:rPr>
                <w:i/>
                <w:sz w:val="16"/>
              </w:rPr>
            </w:pPr>
            <w:r w:rsidRPr="003D1522">
              <w:rPr>
                <w:i/>
                <w:sz w:val="16"/>
              </w:rPr>
              <w:t>2009</w:t>
            </w:r>
          </w:p>
        </w:tc>
        <w:tc>
          <w:tcPr>
            <w:tcW w:w="772" w:type="dxa"/>
            <w:tcBorders>
              <w:top w:val="single" w:sz="4" w:space="0" w:color="auto"/>
              <w:bottom w:val="single" w:sz="12" w:space="0" w:color="auto"/>
            </w:tcBorders>
            <w:shd w:val="clear" w:color="auto" w:fill="auto"/>
            <w:noWrap/>
            <w:vAlign w:val="bottom"/>
            <w:hideMark/>
          </w:tcPr>
          <w:p w:rsidR="002246AD" w:rsidRPr="003D1522" w:rsidRDefault="002246AD" w:rsidP="00B83BB8">
            <w:pPr>
              <w:pStyle w:val="SingleTxtG"/>
              <w:spacing w:before="80" w:after="80" w:line="200" w:lineRule="exact"/>
              <w:ind w:left="0" w:right="113"/>
              <w:jc w:val="right"/>
              <w:rPr>
                <w:i/>
                <w:sz w:val="16"/>
              </w:rPr>
            </w:pPr>
            <w:r w:rsidRPr="003D1522">
              <w:rPr>
                <w:i/>
                <w:sz w:val="16"/>
              </w:rPr>
              <w:t>2010</w:t>
            </w:r>
          </w:p>
        </w:tc>
        <w:tc>
          <w:tcPr>
            <w:tcW w:w="771" w:type="dxa"/>
            <w:tcBorders>
              <w:top w:val="single" w:sz="4" w:space="0" w:color="auto"/>
              <w:bottom w:val="single" w:sz="12" w:space="0" w:color="auto"/>
            </w:tcBorders>
            <w:shd w:val="clear" w:color="auto" w:fill="auto"/>
            <w:noWrap/>
            <w:vAlign w:val="bottom"/>
            <w:hideMark/>
          </w:tcPr>
          <w:p w:rsidR="002246AD" w:rsidRPr="003D1522" w:rsidRDefault="002246AD" w:rsidP="00B83BB8">
            <w:pPr>
              <w:pStyle w:val="SingleTxtG"/>
              <w:spacing w:before="80" w:after="80" w:line="200" w:lineRule="exact"/>
              <w:ind w:left="0" w:right="113"/>
              <w:jc w:val="right"/>
              <w:rPr>
                <w:i/>
                <w:sz w:val="16"/>
              </w:rPr>
            </w:pPr>
            <w:r w:rsidRPr="003D1522">
              <w:rPr>
                <w:i/>
                <w:sz w:val="16"/>
              </w:rPr>
              <w:t>2011</w:t>
            </w:r>
          </w:p>
        </w:tc>
        <w:tc>
          <w:tcPr>
            <w:tcW w:w="772" w:type="dxa"/>
            <w:tcBorders>
              <w:top w:val="single" w:sz="4" w:space="0" w:color="auto"/>
              <w:bottom w:val="single" w:sz="12" w:space="0" w:color="auto"/>
            </w:tcBorders>
            <w:shd w:val="clear" w:color="auto" w:fill="auto"/>
            <w:noWrap/>
            <w:vAlign w:val="bottom"/>
            <w:hideMark/>
          </w:tcPr>
          <w:p w:rsidR="002246AD" w:rsidRPr="003D1522" w:rsidRDefault="002246AD" w:rsidP="00B83BB8">
            <w:pPr>
              <w:pStyle w:val="SingleTxtG"/>
              <w:spacing w:before="80" w:after="80" w:line="200" w:lineRule="exact"/>
              <w:ind w:left="0" w:right="113"/>
              <w:jc w:val="right"/>
              <w:rPr>
                <w:i/>
                <w:sz w:val="16"/>
              </w:rPr>
            </w:pPr>
            <w:r w:rsidRPr="003D1522">
              <w:rPr>
                <w:i/>
                <w:sz w:val="16"/>
              </w:rPr>
              <w:t>2012</w:t>
            </w:r>
          </w:p>
        </w:tc>
        <w:tc>
          <w:tcPr>
            <w:tcW w:w="772" w:type="dxa"/>
            <w:tcBorders>
              <w:top w:val="single" w:sz="4" w:space="0" w:color="auto"/>
              <w:bottom w:val="single" w:sz="12" w:space="0" w:color="auto"/>
            </w:tcBorders>
            <w:shd w:val="clear" w:color="auto" w:fill="auto"/>
            <w:noWrap/>
            <w:vAlign w:val="bottom"/>
            <w:hideMark/>
          </w:tcPr>
          <w:p w:rsidR="002246AD" w:rsidRPr="003D1522" w:rsidRDefault="002246AD" w:rsidP="00B83BB8">
            <w:pPr>
              <w:pStyle w:val="SingleTxtG"/>
              <w:spacing w:before="80" w:after="80" w:line="200" w:lineRule="exact"/>
              <w:ind w:left="0" w:right="113"/>
              <w:jc w:val="right"/>
              <w:rPr>
                <w:i/>
                <w:sz w:val="16"/>
              </w:rPr>
            </w:pPr>
            <w:r w:rsidRPr="003D1522">
              <w:rPr>
                <w:i/>
                <w:sz w:val="16"/>
              </w:rPr>
              <w:t>2013</w:t>
            </w:r>
          </w:p>
        </w:tc>
        <w:tc>
          <w:tcPr>
            <w:tcW w:w="771" w:type="dxa"/>
            <w:tcBorders>
              <w:top w:val="single" w:sz="4" w:space="0" w:color="auto"/>
              <w:bottom w:val="single" w:sz="12" w:space="0" w:color="auto"/>
            </w:tcBorders>
            <w:shd w:val="clear" w:color="auto" w:fill="auto"/>
            <w:noWrap/>
            <w:vAlign w:val="bottom"/>
            <w:hideMark/>
          </w:tcPr>
          <w:p w:rsidR="002246AD" w:rsidRPr="003D1522" w:rsidRDefault="002246AD" w:rsidP="00B83BB8">
            <w:pPr>
              <w:pStyle w:val="SingleTxtG"/>
              <w:spacing w:before="80" w:after="80" w:line="200" w:lineRule="exact"/>
              <w:ind w:left="0" w:right="113"/>
              <w:jc w:val="right"/>
              <w:rPr>
                <w:i/>
                <w:sz w:val="16"/>
              </w:rPr>
            </w:pPr>
            <w:r w:rsidRPr="003D1522">
              <w:rPr>
                <w:i/>
                <w:sz w:val="16"/>
              </w:rPr>
              <w:t>2014</w:t>
            </w:r>
          </w:p>
        </w:tc>
        <w:tc>
          <w:tcPr>
            <w:tcW w:w="772" w:type="dxa"/>
            <w:tcBorders>
              <w:top w:val="single" w:sz="4" w:space="0" w:color="auto"/>
              <w:bottom w:val="single" w:sz="12" w:space="0" w:color="auto"/>
            </w:tcBorders>
            <w:shd w:val="clear" w:color="auto" w:fill="auto"/>
            <w:noWrap/>
            <w:vAlign w:val="bottom"/>
            <w:hideMark/>
          </w:tcPr>
          <w:p w:rsidR="002246AD" w:rsidRPr="003D1522" w:rsidRDefault="002246AD" w:rsidP="00B83BB8">
            <w:pPr>
              <w:pStyle w:val="SingleTxtG"/>
              <w:spacing w:before="80" w:after="80" w:line="200" w:lineRule="exact"/>
              <w:ind w:left="0" w:right="113"/>
              <w:jc w:val="right"/>
              <w:rPr>
                <w:i/>
                <w:sz w:val="16"/>
              </w:rPr>
            </w:pPr>
            <w:r w:rsidRPr="003D1522">
              <w:rPr>
                <w:i/>
                <w:sz w:val="16"/>
              </w:rPr>
              <w:t>2015</w:t>
            </w:r>
          </w:p>
        </w:tc>
        <w:tc>
          <w:tcPr>
            <w:tcW w:w="772" w:type="dxa"/>
            <w:tcBorders>
              <w:top w:val="single" w:sz="4" w:space="0" w:color="auto"/>
              <w:bottom w:val="single" w:sz="12" w:space="0" w:color="auto"/>
            </w:tcBorders>
            <w:shd w:val="clear" w:color="auto" w:fill="auto"/>
            <w:noWrap/>
            <w:vAlign w:val="bottom"/>
            <w:hideMark/>
          </w:tcPr>
          <w:p w:rsidR="002246AD" w:rsidRPr="003D1522" w:rsidRDefault="002246AD" w:rsidP="00B83BB8">
            <w:pPr>
              <w:pStyle w:val="SingleTxtG"/>
              <w:spacing w:before="80" w:after="80" w:line="200" w:lineRule="exact"/>
              <w:ind w:left="0" w:right="113"/>
              <w:jc w:val="right"/>
              <w:rPr>
                <w:i/>
                <w:sz w:val="16"/>
              </w:rPr>
            </w:pPr>
            <w:r w:rsidRPr="003D1522">
              <w:rPr>
                <w:i/>
                <w:sz w:val="16"/>
              </w:rPr>
              <w:t>2016</w:t>
            </w:r>
          </w:p>
        </w:tc>
      </w:tr>
      <w:tr w:rsidR="007F1BD5" w:rsidRPr="003D1522" w:rsidTr="004C7354">
        <w:tc>
          <w:tcPr>
            <w:tcW w:w="1560" w:type="dxa"/>
            <w:tcBorders>
              <w:top w:val="single" w:sz="12" w:space="0" w:color="auto"/>
            </w:tcBorders>
            <w:shd w:val="clear" w:color="auto" w:fill="auto"/>
            <w:hideMark/>
          </w:tcPr>
          <w:p w:rsidR="002246AD" w:rsidRPr="003D1522" w:rsidRDefault="002246AD" w:rsidP="00B83BB8">
            <w:pPr>
              <w:pStyle w:val="SingleTxtG"/>
              <w:spacing w:before="40" w:after="40" w:line="220" w:lineRule="exact"/>
              <w:ind w:left="0" w:right="113"/>
              <w:jc w:val="left"/>
              <w:rPr>
                <w:sz w:val="18"/>
              </w:rPr>
            </w:pPr>
            <w:r w:rsidRPr="003D1522">
              <w:rPr>
                <w:sz w:val="18"/>
              </w:rPr>
              <w:t>At-risk-of-poverty rate, %</w:t>
            </w:r>
          </w:p>
        </w:tc>
        <w:tc>
          <w:tcPr>
            <w:tcW w:w="771" w:type="dxa"/>
            <w:tcBorders>
              <w:top w:val="single" w:sz="12" w:space="0" w:color="auto"/>
            </w:tcBorders>
            <w:shd w:val="clear" w:color="auto" w:fill="auto"/>
            <w:noWrap/>
            <w:vAlign w:val="bottom"/>
            <w:hideMark/>
          </w:tcPr>
          <w:p w:rsidR="002246AD" w:rsidRPr="003D1522" w:rsidRDefault="002246AD" w:rsidP="00B83BB8">
            <w:pPr>
              <w:pStyle w:val="SingleTxtG"/>
              <w:spacing w:before="40" w:after="40" w:line="220" w:lineRule="exact"/>
              <w:ind w:left="0" w:right="113"/>
              <w:jc w:val="right"/>
              <w:rPr>
                <w:sz w:val="18"/>
              </w:rPr>
            </w:pPr>
            <w:r w:rsidRPr="003D1522">
              <w:rPr>
                <w:sz w:val="18"/>
              </w:rPr>
              <w:t>19</w:t>
            </w:r>
            <w:r w:rsidR="00DF2C9B" w:rsidRPr="003D1522">
              <w:rPr>
                <w:sz w:val="18"/>
              </w:rPr>
              <w:t>.</w:t>
            </w:r>
            <w:r w:rsidRPr="003D1522">
              <w:rPr>
                <w:sz w:val="18"/>
              </w:rPr>
              <w:t>7</w:t>
            </w:r>
          </w:p>
        </w:tc>
        <w:tc>
          <w:tcPr>
            <w:tcW w:w="772" w:type="dxa"/>
            <w:tcBorders>
              <w:top w:val="single" w:sz="12" w:space="0" w:color="auto"/>
            </w:tcBorders>
            <w:shd w:val="clear" w:color="auto" w:fill="auto"/>
            <w:noWrap/>
            <w:vAlign w:val="bottom"/>
            <w:hideMark/>
          </w:tcPr>
          <w:p w:rsidR="002246AD" w:rsidRPr="003D1522" w:rsidRDefault="002246AD" w:rsidP="00B83BB8">
            <w:pPr>
              <w:pStyle w:val="SingleTxtG"/>
              <w:spacing w:before="40" w:after="40" w:line="220" w:lineRule="exact"/>
              <w:ind w:left="0" w:right="113"/>
              <w:jc w:val="right"/>
              <w:rPr>
                <w:sz w:val="18"/>
              </w:rPr>
            </w:pPr>
            <w:r w:rsidRPr="003D1522">
              <w:rPr>
                <w:sz w:val="18"/>
              </w:rPr>
              <w:t>15</w:t>
            </w:r>
            <w:r w:rsidR="00DF2C9B" w:rsidRPr="003D1522">
              <w:rPr>
                <w:sz w:val="18"/>
              </w:rPr>
              <w:t>.</w:t>
            </w:r>
            <w:r w:rsidRPr="003D1522">
              <w:rPr>
                <w:sz w:val="18"/>
              </w:rPr>
              <w:t>8</w:t>
            </w:r>
          </w:p>
        </w:tc>
        <w:tc>
          <w:tcPr>
            <w:tcW w:w="772" w:type="dxa"/>
            <w:tcBorders>
              <w:top w:val="single" w:sz="12" w:space="0" w:color="auto"/>
            </w:tcBorders>
            <w:shd w:val="clear" w:color="auto" w:fill="auto"/>
            <w:noWrap/>
            <w:vAlign w:val="bottom"/>
            <w:hideMark/>
          </w:tcPr>
          <w:p w:rsidR="002246AD" w:rsidRPr="003D1522" w:rsidRDefault="002246AD" w:rsidP="00B83BB8">
            <w:pPr>
              <w:pStyle w:val="SingleTxtG"/>
              <w:spacing w:before="40" w:after="40" w:line="220" w:lineRule="exact"/>
              <w:ind w:left="0" w:right="113"/>
              <w:jc w:val="right"/>
              <w:rPr>
                <w:sz w:val="18"/>
              </w:rPr>
            </w:pPr>
            <w:r w:rsidRPr="003D1522">
              <w:rPr>
                <w:sz w:val="18"/>
              </w:rPr>
              <w:t>17</w:t>
            </w:r>
            <w:r w:rsidR="00DF2C9B" w:rsidRPr="003D1522">
              <w:rPr>
                <w:sz w:val="18"/>
              </w:rPr>
              <w:t>.</w:t>
            </w:r>
            <w:r w:rsidRPr="003D1522">
              <w:rPr>
                <w:sz w:val="18"/>
              </w:rPr>
              <w:t>5</w:t>
            </w:r>
          </w:p>
        </w:tc>
        <w:tc>
          <w:tcPr>
            <w:tcW w:w="771" w:type="dxa"/>
            <w:tcBorders>
              <w:top w:val="single" w:sz="12" w:space="0" w:color="auto"/>
            </w:tcBorders>
            <w:shd w:val="clear" w:color="auto" w:fill="auto"/>
            <w:noWrap/>
            <w:vAlign w:val="bottom"/>
            <w:hideMark/>
          </w:tcPr>
          <w:p w:rsidR="002246AD" w:rsidRPr="003D1522" w:rsidRDefault="002246AD" w:rsidP="00B83BB8">
            <w:pPr>
              <w:pStyle w:val="SingleTxtG"/>
              <w:spacing w:before="40" w:after="40" w:line="220" w:lineRule="exact"/>
              <w:ind w:left="0" w:right="113"/>
              <w:jc w:val="right"/>
              <w:rPr>
                <w:sz w:val="18"/>
              </w:rPr>
            </w:pPr>
            <w:r w:rsidRPr="003D1522">
              <w:rPr>
                <w:sz w:val="18"/>
              </w:rPr>
              <w:t>17</w:t>
            </w:r>
            <w:r w:rsidR="00DF2C9B" w:rsidRPr="003D1522">
              <w:rPr>
                <w:sz w:val="18"/>
              </w:rPr>
              <w:t>.</w:t>
            </w:r>
            <w:r w:rsidRPr="003D1522">
              <w:rPr>
                <w:sz w:val="18"/>
              </w:rPr>
              <w:t>5</w:t>
            </w:r>
          </w:p>
        </w:tc>
        <w:tc>
          <w:tcPr>
            <w:tcW w:w="772" w:type="dxa"/>
            <w:tcBorders>
              <w:top w:val="single" w:sz="12" w:space="0" w:color="auto"/>
            </w:tcBorders>
            <w:shd w:val="clear" w:color="auto" w:fill="auto"/>
            <w:noWrap/>
            <w:vAlign w:val="bottom"/>
            <w:hideMark/>
          </w:tcPr>
          <w:p w:rsidR="002246AD" w:rsidRPr="003D1522" w:rsidRDefault="002246AD" w:rsidP="00B83BB8">
            <w:pPr>
              <w:pStyle w:val="SingleTxtG"/>
              <w:spacing w:before="40" w:after="40" w:line="220" w:lineRule="exact"/>
              <w:ind w:left="0" w:right="113"/>
              <w:jc w:val="right"/>
              <w:rPr>
                <w:sz w:val="18"/>
              </w:rPr>
            </w:pPr>
            <w:r w:rsidRPr="003D1522">
              <w:rPr>
                <w:sz w:val="18"/>
              </w:rPr>
              <w:t>20</w:t>
            </w:r>
            <w:r w:rsidR="00DF2C9B" w:rsidRPr="003D1522">
              <w:rPr>
                <w:sz w:val="18"/>
              </w:rPr>
              <w:t>.</w:t>
            </w:r>
            <w:r w:rsidRPr="003D1522">
              <w:rPr>
                <w:sz w:val="18"/>
              </w:rPr>
              <w:t>7</w:t>
            </w:r>
          </w:p>
        </w:tc>
        <w:tc>
          <w:tcPr>
            <w:tcW w:w="772" w:type="dxa"/>
            <w:tcBorders>
              <w:top w:val="single" w:sz="12" w:space="0" w:color="auto"/>
            </w:tcBorders>
            <w:shd w:val="clear" w:color="auto" w:fill="auto"/>
            <w:noWrap/>
            <w:vAlign w:val="bottom"/>
            <w:hideMark/>
          </w:tcPr>
          <w:p w:rsidR="002246AD" w:rsidRPr="003D1522" w:rsidRDefault="002246AD" w:rsidP="00B83BB8">
            <w:pPr>
              <w:pStyle w:val="SingleTxtG"/>
              <w:spacing w:before="40" w:after="40" w:line="220" w:lineRule="exact"/>
              <w:ind w:left="0" w:right="113"/>
              <w:jc w:val="right"/>
              <w:rPr>
                <w:sz w:val="18"/>
              </w:rPr>
            </w:pPr>
            <w:r w:rsidRPr="003D1522">
              <w:rPr>
                <w:sz w:val="18"/>
              </w:rPr>
              <w:t>21</w:t>
            </w:r>
            <w:r w:rsidR="00DF2C9B" w:rsidRPr="003D1522">
              <w:rPr>
                <w:sz w:val="18"/>
              </w:rPr>
              <w:t>.</w:t>
            </w:r>
            <w:r w:rsidRPr="003D1522">
              <w:rPr>
                <w:sz w:val="18"/>
              </w:rPr>
              <w:t>8</w:t>
            </w:r>
          </w:p>
        </w:tc>
        <w:tc>
          <w:tcPr>
            <w:tcW w:w="771" w:type="dxa"/>
            <w:tcBorders>
              <w:top w:val="single" w:sz="12" w:space="0" w:color="auto"/>
            </w:tcBorders>
            <w:shd w:val="clear" w:color="auto" w:fill="auto"/>
            <w:noWrap/>
            <w:vAlign w:val="bottom"/>
            <w:hideMark/>
          </w:tcPr>
          <w:p w:rsidR="002246AD" w:rsidRPr="003D1522" w:rsidRDefault="002246AD" w:rsidP="00B83BB8">
            <w:pPr>
              <w:pStyle w:val="SingleTxtG"/>
              <w:spacing w:before="40" w:after="40" w:line="220" w:lineRule="exact"/>
              <w:ind w:left="0" w:right="113"/>
              <w:jc w:val="right"/>
              <w:rPr>
                <w:sz w:val="18"/>
              </w:rPr>
            </w:pPr>
            <w:r w:rsidRPr="003D1522">
              <w:rPr>
                <w:sz w:val="18"/>
              </w:rPr>
              <w:t>21</w:t>
            </w:r>
            <w:r w:rsidR="00DF2C9B" w:rsidRPr="003D1522">
              <w:rPr>
                <w:sz w:val="18"/>
              </w:rPr>
              <w:t>.</w:t>
            </w:r>
            <w:r w:rsidRPr="003D1522">
              <w:rPr>
                <w:sz w:val="18"/>
              </w:rPr>
              <w:t>6</w:t>
            </w:r>
          </w:p>
        </w:tc>
        <w:tc>
          <w:tcPr>
            <w:tcW w:w="772" w:type="dxa"/>
            <w:tcBorders>
              <w:top w:val="single" w:sz="12" w:space="0" w:color="auto"/>
            </w:tcBorders>
            <w:shd w:val="clear" w:color="auto" w:fill="auto"/>
            <w:noWrap/>
            <w:vAlign w:val="bottom"/>
            <w:hideMark/>
          </w:tcPr>
          <w:p w:rsidR="002246AD" w:rsidRPr="003D1522" w:rsidRDefault="002246AD" w:rsidP="00B83BB8">
            <w:pPr>
              <w:pStyle w:val="SingleTxtG"/>
              <w:spacing w:before="40" w:after="40" w:line="220" w:lineRule="exact"/>
              <w:ind w:left="0" w:right="113"/>
              <w:jc w:val="right"/>
              <w:rPr>
                <w:sz w:val="18"/>
              </w:rPr>
            </w:pPr>
            <w:r w:rsidRPr="003D1522">
              <w:rPr>
                <w:sz w:val="18"/>
              </w:rPr>
              <w:t>21</w:t>
            </w:r>
            <w:r w:rsidR="00DF2C9B" w:rsidRPr="003D1522">
              <w:rPr>
                <w:sz w:val="18"/>
              </w:rPr>
              <w:t>.</w:t>
            </w:r>
            <w:r w:rsidRPr="003D1522">
              <w:rPr>
                <w:sz w:val="18"/>
              </w:rPr>
              <w:t>7</w:t>
            </w:r>
          </w:p>
        </w:tc>
        <w:tc>
          <w:tcPr>
            <w:tcW w:w="772" w:type="dxa"/>
            <w:tcBorders>
              <w:top w:val="single" w:sz="12" w:space="0" w:color="auto"/>
            </w:tcBorders>
            <w:shd w:val="clear" w:color="auto" w:fill="auto"/>
            <w:noWrap/>
            <w:vAlign w:val="bottom"/>
            <w:hideMark/>
          </w:tcPr>
          <w:p w:rsidR="002246AD" w:rsidRPr="003D1522" w:rsidRDefault="002246AD" w:rsidP="00B83BB8">
            <w:pPr>
              <w:pStyle w:val="SingleTxtG"/>
              <w:spacing w:before="40" w:after="40" w:line="220" w:lineRule="exact"/>
              <w:ind w:left="0" w:right="113"/>
              <w:jc w:val="right"/>
              <w:rPr>
                <w:sz w:val="18"/>
              </w:rPr>
            </w:pPr>
            <w:r w:rsidRPr="003D1522">
              <w:rPr>
                <w:sz w:val="18"/>
              </w:rPr>
              <w:t>21</w:t>
            </w:r>
            <w:r w:rsidR="00DF2C9B" w:rsidRPr="003D1522">
              <w:rPr>
                <w:sz w:val="18"/>
              </w:rPr>
              <w:t>.</w:t>
            </w:r>
            <w:r w:rsidRPr="003D1522">
              <w:rPr>
                <w:sz w:val="18"/>
              </w:rPr>
              <w:t>1</w:t>
            </w:r>
          </w:p>
        </w:tc>
      </w:tr>
      <w:tr w:rsidR="007F1BD5" w:rsidRPr="003D1522" w:rsidTr="004C7354">
        <w:tc>
          <w:tcPr>
            <w:tcW w:w="1560" w:type="dxa"/>
            <w:shd w:val="clear" w:color="auto" w:fill="auto"/>
            <w:hideMark/>
          </w:tcPr>
          <w:p w:rsidR="002246AD" w:rsidRPr="003D1522" w:rsidRDefault="002246AD" w:rsidP="00B83BB8">
            <w:pPr>
              <w:pStyle w:val="SingleTxtG"/>
              <w:spacing w:before="40" w:after="40" w:line="220" w:lineRule="exact"/>
              <w:ind w:left="0" w:right="113"/>
              <w:jc w:val="left"/>
              <w:rPr>
                <w:sz w:val="18"/>
              </w:rPr>
            </w:pPr>
            <w:r w:rsidRPr="003D1522">
              <w:rPr>
                <w:sz w:val="18"/>
              </w:rPr>
              <w:t>Absolute poverty rate, %</w:t>
            </w:r>
          </w:p>
        </w:tc>
        <w:tc>
          <w:tcPr>
            <w:tcW w:w="771" w:type="dxa"/>
            <w:shd w:val="clear" w:color="auto" w:fill="auto"/>
            <w:noWrap/>
            <w:vAlign w:val="bottom"/>
            <w:hideMark/>
          </w:tcPr>
          <w:p w:rsidR="002246AD" w:rsidRPr="003D1522" w:rsidRDefault="002246AD" w:rsidP="00B83BB8">
            <w:pPr>
              <w:pStyle w:val="SingleTxtG"/>
              <w:spacing w:before="40" w:after="40" w:line="220" w:lineRule="exact"/>
              <w:ind w:left="0" w:right="113"/>
              <w:jc w:val="right"/>
              <w:rPr>
                <w:sz w:val="18"/>
              </w:rPr>
            </w:pPr>
            <w:r w:rsidRPr="003D1522">
              <w:rPr>
                <w:sz w:val="18"/>
              </w:rPr>
              <w:t>4</w:t>
            </w:r>
            <w:r w:rsidR="00DF2C9B" w:rsidRPr="003D1522">
              <w:rPr>
                <w:sz w:val="18"/>
              </w:rPr>
              <w:t>.</w:t>
            </w:r>
            <w:r w:rsidRPr="003D1522">
              <w:rPr>
                <w:sz w:val="18"/>
              </w:rPr>
              <w:t>7</w:t>
            </w:r>
          </w:p>
        </w:tc>
        <w:tc>
          <w:tcPr>
            <w:tcW w:w="772" w:type="dxa"/>
            <w:shd w:val="clear" w:color="auto" w:fill="auto"/>
            <w:noWrap/>
            <w:vAlign w:val="bottom"/>
            <w:hideMark/>
          </w:tcPr>
          <w:p w:rsidR="002246AD" w:rsidRPr="003D1522" w:rsidRDefault="002246AD" w:rsidP="00B83BB8">
            <w:pPr>
              <w:pStyle w:val="SingleTxtG"/>
              <w:spacing w:before="40" w:after="40" w:line="220" w:lineRule="exact"/>
              <w:ind w:left="0" w:right="113"/>
              <w:jc w:val="right"/>
              <w:rPr>
                <w:sz w:val="18"/>
              </w:rPr>
            </w:pPr>
            <w:r w:rsidRPr="003D1522">
              <w:rPr>
                <w:sz w:val="18"/>
              </w:rPr>
              <w:t>6</w:t>
            </w:r>
            <w:r w:rsidR="00DF2C9B" w:rsidRPr="003D1522">
              <w:rPr>
                <w:sz w:val="18"/>
              </w:rPr>
              <w:t>.</w:t>
            </w:r>
            <w:r w:rsidRPr="003D1522">
              <w:rPr>
                <w:sz w:val="18"/>
              </w:rPr>
              <w:t>3</w:t>
            </w:r>
          </w:p>
        </w:tc>
        <w:tc>
          <w:tcPr>
            <w:tcW w:w="772" w:type="dxa"/>
            <w:shd w:val="clear" w:color="auto" w:fill="auto"/>
            <w:noWrap/>
            <w:vAlign w:val="bottom"/>
            <w:hideMark/>
          </w:tcPr>
          <w:p w:rsidR="002246AD" w:rsidRPr="003D1522" w:rsidRDefault="002246AD" w:rsidP="00B83BB8">
            <w:pPr>
              <w:pStyle w:val="SingleTxtG"/>
              <w:spacing w:before="40" w:after="40" w:line="220" w:lineRule="exact"/>
              <w:ind w:left="0" w:right="113"/>
              <w:jc w:val="right"/>
              <w:rPr>
                <w:sz w:val="18"/>
              </w:rPr>
            </w:pPr>
            <w:r w:rsidRPr="003D1522">
              <w:rPr>
                <w:sz w:val="18"/>
              </w:rPr>
              <w:t>8</w:t>
            </w:r>
            <w:r w:rsidR="00DF2C9B" w:rsidRPr="003D1522">
              <w:rPr>
                <w:sz w:val="18"/>
              </w:rPr>
              <w:t>.</w:t>
            </w:r>
            <w:r w:rsidRPr="003D1522">
              <w:rPr>
                <w:sz w:val="18"/>
              </w:rPr>
              <w:t>7</w:t>
            </w:r>
          </w:p>
        </w:tc>
        <w:tc>
          <w:tcPr>
            <w:tcW w:w="771" w:type="dxa"/>
            <w:shd w:val="clear" w:color="auto" w:fill="auto"/>
            <w:noWrap/>
            <w:vAlign w:val="bottom"/>
            <w:hideMark/>
          </w:tcPr>
          <w:p w:rsidR="002246AD" w:rsidRPr="003D1522" w:rsidRDefault="002246AD" w:rsidP="00B83BB8">
            <w:pPr>
              <w:pStyle w:val="SingleTxtG"/>
              <w:spacing w:before="40" w:after="40" w:line="220" w:lineRule="exact"/>
              <w:ind w:left="0" w:right="113"/>
              <w:jc w:val="right"/>
              <w:rPr>
                <w:sz w:val="18"/>
              </w:rPr>
            </w:pPr>
            <w:r w:rsidRPr="003D1522">
              <w:rPr>
                <w:sz w:val="18"/>
              </w:rPr>
              <w:t>8</w:t>
            </w:r>
            <w:r w:rsidR="00DF2C9B" w:rsidRPr="003D1522">
              <w:rPr>
                <w:sz w:val="18"/>
              </w:rPr>
              <w:t>.</w:t>
            </w:r>
            <w:r w:rsidRPr="003D1522">
              <w:rPr>
                <w:sz w:val="18"/>
              </w:rPr>
              <w:t>1</w:t>
            </w:r>
          </w:p>
        </w:tc>
        <w:tc>
          <w:tcPr>
            <w:tcW w:w="772" w:type="dxa"/>
            <w:shd w:val="clear" w:color="auto" w:fill="auto"/>
            <w:noWrap/>
            <w:vAlign w:val="bottom"/>
            <w:hideMark/>
          </w:tcPr>
          <w:p w:rsidR="002246AD" w:rsidRPr="003D1522" w:rsidRDefault="002246AD" w:rsidP="00B83BB8">
            <w:pPr>
              <w:pStyle w:val="SingleTxtG"/>
              <w:spacing w:before="40" w:after="40" w:line="220" w:lineRule="exact"/>
              <w:ind w:left="0" w:right="113"/>
              <w:jc w:val="right"/>
              <w:rPr>
                <w:sz w:val="18"/>
              </w:rPr>
            </w:pPr>
            <w:r w:rsidRPr="003D1522">
              <w:rPr>
                <w:sz w:val="18"/>
              </w:rPr>
              <w:t>8</w:t>
            </w:r>
            <w:r w:rsidR="00DF2C9B" w:rsidRPr="003D1522">
              <w:rPr>
                <w:sz w:val="18"/>
              </w:rPr>
              <w:t>.</w:t>
            </w:r>
            <w:r w:rsidRPr="003D1522">
              <w:rPr>
                <w:sz w:val="18"/>
              </w:rPr>
              <w:t>4</w:t>
            </w:r>
          </w:p>
        </w:tc>
        <w:tc>
          <w:tcPr>
            <w:tcW w:w="772" w:type="dxa"/>
            <w:shd w:val="clear" w:color="auto" w:fill="auto"/>
            <w:noWrap/>
            <w:vAlign w:val="bottom"/>
            <w:hideMark/>
          </w:tcPr>
          <w:p w:rsidR="002246AD" w:rsidRPr="003D1522" w:rsidRDefault="002246AD" w:rsidP="00B83BB8">
            <w:pPr>
              <w:pStyle w:val="SingleTxtG"/>
              <w:spacing w:before="40" w:after="40" w:line="220" w:lineRule="exact"/>
              <w:ind w:left="0" w:right="113"/>
              <w:jc w:val="right"/>
              <w:rPr>
                <w:sz w:val="18"/>
              </w:rPr>
            </w:pPr>
            <w:r w:rsidRPr="003D1522">
              <w:rPr>
                <w:sz w:val="18"/>
              </w:rPr>
              <w:t>7</w:t>
            </w:r>
            <w:r w:rsidR="00DF2C9B" w:rsidRPr="003D1522">
              <w:rPr>
                <w:sz w:val="18"/>
              </w:rPr>
              <w:t>.</w:t>
            </w:r>
            <w:r w:rsidRPr="003D1522">
              <w:rPr>
                <w:sz w:val="18"/>
              </w:rPr>
              <w:t>6</w:t>
            </w:r>
          </w:p>
        </w:tc>
        <w:tc>
          <w:tcPr>
            <w:tcW w:w="771" w:type="dxa"/>
            <w:shd w:val="clear" w:color="auto" w:fill="auto"/>
            <w:noWrap/>
            <w:vAlign w:val="bottom"/>
            <w:hideMark/>
          </w:tcPr>
          <w:p w:rsidR="002246AD" w:rsidRPr="003D1522" w:rsidRDefault="002246AD" w:rsidP="00B83BB8">
            <w:pPr>
              <w:pStyle w:val="SingleTxtG"/>
              <w:spacing w:before="40" w:after="40" w:line="220" w:lineRule="exact"/>
              <w:ind w:left="0" w:right="113"/>
              <w:jc w:val="right"/>
              <w:rPr>
                <w:sz w:val="18"/>
              </w:rPr>
            </w:pPr>
            <w:r w:rsidRPr="003D1522">
              <w:rPr>
                <w:sz w:val="18"/>
              </w:rPr>
              <w:t>6</w:t>
            </w:r>
            <w:r w:rsidR="00DF2C9B" w:rsidRPr="003D1522">
              <w:rPr>
                <w:sz w:val="18"/>
              </w:rPr>
              <w:t>.</w:t>
            </w:r>
            <w:r w:rsidRPr="003D1522">
              <w:rPr>
                <w:sz w:val="18"/>
              </w:rPr>
              <w:t>3</w:t>
            </w:r>
          </w:p>
        </w:tc>
        <w:tc>
          <w:tcPr>
            <w:tcW w:w="772" w:type="dxa"/>
            <w:shd w:val="clear" w:color="auto" w:fill="auto"/>
            <w:noWrap/>
            <w:vAlign w:val="bottom"/>
            <w:hideMark/>
          </w:tcPr>
          <w:p w:rsidR="002246AD" w:rsidRPr="003D1522" w:rsidRDefault="002246AD" w:rsidP="00B83BB8">
            <w:pPr>
              <w:pStyle w:val="SingleTxtG"/>
              <w:spacing w:before="40" w:after="40" w:line="220" w:lineRule="exact"/>
              <w:ind w:left="0" w:right="113"/>
              <w:jc w:val="right"/>
              <w:rPr>
                <w:sz w:val="18"/>
              </w:rPr>
            </w:pPr>
            <w:r w:rsidRPr="003D1522">
              <w:rPr>
                <w:sz w:val="18"/>
              </w:rPr>
              <w:t>4</w:t>
            </w:r>
            <w:r w:rsidR="00DF2C9B" w:rsidRPr="003D1522">
              <w:rPr>
                <w:sz w:val="18"/>
              </w:rPr>
              <w:t>.</w:t>
            </w:r>
            <w:r w:rsidRPr="003D1522">
              <w:rPr>
                <w:sz w:val="18"/>
              </w:rPr>
              <w:t>3</w:t>
            </w:r>
          </w:p>
        </w:tc>
        <w:tc>
          <w:tcPr>
            <w:tcW w:w="772" w:type="dxa"/>
            <w:shd w:val="clear" w:color="auto" w:fill="auto"/>
            <w:noWrap/>
            <w:vAlign w:val="bottom"/>
            <w:hideMark/>
          </w:tcPr>
          <w:p w:rsidR="002246AD" w:rsidRPr="003D1522" w:rsidRDefault="002246AD" w:rsidP="00B83BB8">
            <w:pPr>
              <w:pStyle w:val="SingleTxtG"/>
              <w:spacing w:before="40" w:after="40" w:line="220" w:lineRule="exact"/>
              <w:ind w:left="0" w:right="113"/>
              <w:jc w:val="right"/>
              <w:rPr>
                <w:sz w:val="18"/>
              </w:rPr>
            </w:pPr>
            <w:r w:rsidRPr="003D1522">
              <w:rPr>
                <w:sz w:val="18"/>
              </w:rPr>
              <w:t>3</w:t>
            </w:r>
            <w:r w:rsidR="00DF2C9B" w:rsidRPr="003D1522">
              <w:rPr>
                <w:sz w:val="18"/>
              </w:rPr>
              <w:t>.</w:t>
            </w:r>
            <w:r w:rsidRPr="003D1522">
              <w:rPr>
                <w:sz w:val="18"/>
              </w:rPr>
              <w:t>3</w:t>
            </w:r>
          </w:p>
        </w:tc>
      </w:tr>
    </w:tbl>
    <w:p w:rsidR="002246AD" w:rsidRPr="003D1522" w:rsidRDefault="000972C3" w:rsidP="000972C3">
      <w:pPr>
        <w:pStyle w:val="H23G"/>
      </w:pPr>
      <w:r w:rsidRPr="003D1522">
        <w:tab/>
      </w:r>
      <w:r w:rsidRPr="003D1522">
        <w:tab/>
      </w:r>
      <w:r w:rsidR="002246AD" w:rsidRPr="003D1522">
        <w:t>At-risk-of-poverty rate for the total population by poverty thresholds,</w:t>
      </w:r>
      <w:r w:rsidR="002246AD" w:rsidRPr="003D1522">
        <w:br/>
        <w:t>income years 2008</w:t>
      </w:r>
      <w:r w:rsidR="00C6515E" w:rsidRPr="003D1522">
        <w:t>–</w:t>
      </w:r>
      <w:r w:rsidR="002246AD" w:rsidRPr="003D1522">
        <w:t>2016</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0"/>
        <w:gridCol w:w="771"/>
        <w:gridCol w:w="772"/>
        <w:gridCol w:w="772"/>
        <w:gridCol w:w="771"/>
        <w:gridCol w:w="772"/>
        <w:gridCol w:w="772"/>
        <w:gridCol w:w="771"/>
        <w:gridCol w:w="772"/>
        <w:gridCol w:w="772"/>
      </w:tblGrid>
      <w:tr w:rsidR="000972C3" w:rsidRPr="003D1522" w:rsidTr="004C7354">
        <w:trPr>
          <w:tblHeader/>
        </w:trPr>
        <w:tc>
          <w:tcPr>
            <w:tcW w:w="1560" w:type="dxa"/>
            <w:tcBorders>
              <w:top w:val="single" w:sz="4" w:space="0" w:color="auto"/>
              <w:bottom w:val="single" w:sz="12" w:space="0" w:color="auto"/>
            </w:tcBorders>
            <w:shd w:val="clear" w:color="auto" w:fill="auto"/>
            <w:noWrap/>
            <w:vAlign w:val="bottom"/>
            <w:hideMark/>
          </w:tcPr>
          <w:p w:rsidR="002246AD" w:rsidRPr="003D1522" w:rsidRDefault="000732E4" w:rsidP="000972C3">
            <w:pPr>
              <w:pStyle w:val="SingleTxtG"/>
              <w:spacing w:before="80" w:after="80" w:line="200" w:lineRule="exact"/>
              <w:ind w:left="0" w:right="113"/>
              <w:jc w:val="left"/>
              <w:rPr>
                <w:i/>
                <w:sz w:val="16"/>
              </w:rPr>
            </w:pPr>
            <w:r w:rsidRPr="003D1522">
              <w:rPr>
                <w:i/>
                <w:sz w:val="16"/>
              </w:rPr>
              <w:t xml:space="preserve"> </w:t>
            </w:r>
          </w:p>
        </w:tc>
        <w:tc>
          <w:tcPr>
            <w:tcW w:w="771" w:type="dxa"/>
            <w:tcBorders>
              <w:top w:val="single" w:sz="4" w:space="0" w:color="auto"/>
              <w:bottom w:val="single" w:sz="12" w:space="0" w:color="auto"/>
            </w:tcBorders>
            <w:shd w:val="clear" w:color="auto" w:fill="auto"/>
            <w:noWrap/>
            <w:vAlign w:val="bottom"/>
            <w:hideMark/>
          </w:tcPr>
          <w:p w:rsidR="002246AD" w:rsidRPr="003D1522" w:rsidRDefault="002246AD" w:rsidP="000972C3">
            <w:pPr>
              <w:pStyle w:val="SingleTxtG"/>
              <w:spacing w:before="80" w:after="80" w:line="200" w:lineRule="exact"/>
              <w:ind w:left="0" w:right="113"/>
              <w:jc w:val="right"/>
              <w:rPr>
                <w:i/>
                <w:sz w:val="16"/>
              </w:rPr>
            </w:pPr>
            <w:r w:rsidRPr="003D1522">
              <w:rPr>
                <w:i/>
                <w:sz w:val="16"/>
              </w:rPr>
              <w:t>2008</w:t>
            </w:r>
          </w:p>
        </w:tc>
        <w:tc>
          <w:tcPr>
            <w:tcW w:w="772" w:type="dxa"/>
            <w:tcBorders>
              <w:top w:val="single" w:sz="4" w:space="0" w:color="auto"/>
              <w:bottom w:val="single" w:sz="12" w:space="0" w:color="auto"/>
            </w:tcBorders>
            <w:shd w:val="clear" w:color="auto" w:fill="auto"/>
            <w:noWrap/>
            <w:vAlign w:val="bottom"/>
            <w:hideMark/>
          </w:tcPr>
          <w:p w:rsidR="002246AD" w:rsidRPr="003D1522" w:rsidRDefault="002246AD" w:rsidP="000972C3">
            <w:pPr>
              <w:pStyle w:val="SingleTxtG"/>
              <w:spacing w:before="80" w:after="80" w:line="200" w:lineRule="exact"/>
              <w:ind w:left="0" w:right="113"/>
              <w:jc w:val="right"/>
              <w:rPr>
                <w:i/>
                <w:sz w:val="16"/>
              </w:rPr>
            </w:pPr>
            <w:r w:rsidRPr="003D1522">
              <w:rPr>
                <w:i/>
                <w:sz w:val="16"/>
              </w:rPr>
              <w:t>2009</w:t>
            </w:r>
          </w:p>
        </w:tc>
        <w:tc>
          <w:tcPr>
            <w:tcW w:w="772" w:type="dxa"/>
            <w:tcBorders>
              <w:top w:val="single" w:sz="4" w:space="0" w:color="auto"/>
              <w:bottom w:val="single" w:sz="12" w:space="0" w:color="auto"/>
            </w:tcBorders>
            <w:shd w:val="clear" w:color="auto" w:fill="auto"/>
            <w:noWrap/>
            <w:vAlign w:val="bottom"/>
            <w:hideMark/>
          </w:tcPr>
          <w:p w:rsidR="002246AD" w:rsidRPr="003D1522" w:rsidRDefault="002246AD" w:rsidP="000972C3">
            <w:pPr>
              <w:pStyle w:val="SingleTxtG"/>
              <w:spacing w:before="80" w:after="80" w:line="200" w:lineRule="exact"/>
              <w:ind w:left="0" w:right="113"/>
              <w:jc w:val="right"/>
              <w:rPr>
                <w:i/>
                <w:sz w:val="16"/>
              </w:rPr>
            </w:pPr>
            <w:r w:rsidRPr="003D1522">
              <w:rPr>
                <w:i/>
                <w:sz w:val="16"/>
              </w:rPr>
              <w:t>2010</w:t>
            </w:r>
          </w:p>
        </w:tc>
        <w:tc>
          <w:tcPr>
            <w:tcW w:w="771" w:type="dxa"/>
            <w:tcBorders>
              <w:top w:val="single" w:sz="4" w:space="0" w:color="auto"/>
              <w:bottom w:val="single" w:sz="12" w:space="0" w:color="auto"/>
            </w:tcBorders>
            <w:shd w:val="clear" w:color="auto" w:fill="auto"/>
            <w:noWrap/>
            <w:vAlign w:val="bottom"/>
            <w:hideMark/>
          </w:tcPr>
          <w:p w:rsidR="002246AD" w:rsidRPr="003D1522" w:rsidRDefault="002246AD" w:rsidP="000972C3">
            <w:pPr>
              <w:pStyle w:val="SingleTxtG"/>
              <w:spacing w:before="80" w:after="80" w:line="200" w:lineRule="exact"/>
              <w:ind w:left="0" w:right="113"/>
              <w:jc w:val="right"/>
              <w:rPr>
                <w:i/>
                <w:sz w:val="16"/>
              </w:rPr>
            </w:pPr>
            <w:r w:rsidRPr="003D1522">
              <w:rPr>
                <w:i/>
                <w:sz w:val="16"/>
              </w:rPr>
              <w:t>2011</w:t>
            </w:r>
          </w:p>
        </w:tc>
        <w:tc>
          <w:tcPr>
            <w:tcW w:w="772" w:type="dxa"/>
            <w:tcBorders>
              <w:top w:val="single" w:sz="4" w:space="0" w:color="auto"/>
              <w:bottom w:val="single" w:sz="12" w:space="0" w:color="auto"/>
            </w:tcBorders>
            <w:shd w:val="clear" w:color="auto" w:fill="auto"/>
            <w:noWrap/>
            <w:vAlign w:val="bottom"/>
            <w:hideMark/>
          </w:tcPr>
          <w:p w:rsidR="002246AD" w:rsidRPr="003D1522" w:rsidRDefault="002246AD" w:rsidP="000972C3">
            <w:pPr>
              <w:pStyle w:val="SingleTxtG"/>
              <w:spacing w:before="80" w:after="80" w:line="200" w:lineRule="exact"/>
              <w:ind w:left="0" w:right="113"/>
              <w:jc w:val="right"/>
              <w:rPr>
                <w:i/>
                <w:sz w:val="16"/>
              </w:rPr>
            </w:pPr>
            <w:r w:rsidRPr="003D1522">
              <w:rPr>
                <w:i/>
                <w:sz w:val="16"/>
              </w:rPr>
              <w:t>2012</w:t>
            </w:r>
          </w:p>
        </w:tc>
        <w:tc>
          <w:tcPr>
            <w:tcW w:w="772" w:type="dxa"/>
            <w:tcBorders>
              <w:top w:val="single" w:sz="4" w:space="0" w:color="auto"/>
              <w:bottom w:val="single" w:sz="12" w:space="0" w:color="auto"/>
            </w:tcBorders>
            <w:shd w:val="clear" w:color="auto" w:fill="auto"/>
            <w:noWrap/>
            <w:vAlign w:val="bottom"/>
            <w:hideMark/>
          </w:tcPr>
          <w:p w:rsidR="002246AD" w:rsidRPr="003D1522" w:rsidRDefault="002246AD" w:rsidP="000972C3">
            <w:pPr>
              <w:pStyle w:val="SingleTxtG"/>
              <w:spacing w:before="80" w:after="80" w:line="200" w:lineRule="exact"/>
              <w:ind w:left="0" w:right="113"/>
              <w:jc w:val="right"/>
              <w:rPr>
                <w:i/>
                <w:sz w:val="16"/>
              </w:rPr>
            </w:pPr>
            <w:r w:rsidRPr="003D1522">
              <w:rPr>
                <w:i/>
                <w:sz w:val="16"/>
              </w:rPr>
              <w:t>2013</w:t>
            </w:r>
          </w:p>
        </w:tc>
        <w:tc>
          <w:tcPr>
            <w:tcW w:w="771" w:type="dxa"/>
            <w:tcBorders>
              <w:top w:val="single" w:sz="4" w:space="0" w:color="auto"/>
              <w:bottom w:val="single" w:sz="12" w:space="0" w:color="auto"/>
            </w:tcBorders>
            <w:shd w:val="clear" w:color="auto" w:fill="auto"/>
            <w:noWrap/>
            <w:vAlign w:val="bottom"/>
            <w:hideMark/>
          </w:tcPr>
          <w:p w:rsidR="002246AD" w:rsidRPr="003D1522" w:rsidRDefault="002246AD" w:rsidP="000972C3">
            <w:pPr>
              <w:pStyle w:val="SingleTxtG"/>
              <w:spacing w:before="80" w:after="80" w:line="200" w:lineRule="exact"/>
              <w:ind w:left="0" w:right="113"/>
              <w:jc w:val="right"/>
              <w:rPr>
                <w:i/>
                <w:sz w:val="16"/>
              </w:rPr>
            </w:pPr>
            <w:r w:rsidRPr="003D1522">
              <w:rPr>
                <w:i/>
                <w:sz w:val="16"/>
              </w:rPr>
              <w:t>2014</w:t>
            </w:r>
          </w:p>
        </w:tc>
        <w:tc>
          <w:tcPr>
            <w:tcW w:w="772" w:type="dxa"/>
            <w:tcBorders>
              <w:top w:val="single" w:sz="4" w:space="0" w:color="auto"/>
              <w:bottom w:val="single" w:sz="12" w:space="0" w:color="auto"/>
            </w:tcBorders>
            <w:shd w:val="clear" w:color="auto" w:fill="auto"/>
            <w:noWrap/>
            <w:vAlign w:val="bottom"/>
            <w:hideMark/>
          </w:tcPr>
          <w:p w:rsidR="002246AD" w:rsidRPr="003D1522" w:rsidRDefault="002246AD" w:rsidP="000972C3">
            <w:pPr>
              <w:pStyle w:val="SingleTxtG"/>
              <w:spacing w:before="80" w:after="80" w:line="200" w:lineRule="exact"/>
              <w:ind w:left="0" w:right="113"/>
              <w:jc w:val="right"/>
              <w:rPr>
                <w:i/>
                <w:sz w:val="16"/>
              </w:rPr>
            </w:pPr>
            <w:r w:rsidRPr="003D1522">
              <w:rPr>
                <w:i/>
                <w:sz w:val="16"/>
              </w:rPr>
              <w:t>2015</w:t>
            </w:r>
          </w:p>
        </w:tc>
        <w:tc>
          <w:tcPr>
            <w:tcW w:w="772" w:type="dxa"/>
            <w:tcBorders>
              <w:top w:val="single" w:sz="4" w:space="0" w:color="auto"/>
              <w:bottom w:val="single" w:sz="12" w:space="0" w:color="auto"/>
            </w:tcBorders>
            <w:shd w:val="clear" w:color="auto" w:fill="auto"/>
            <w:noWrap/>
            <w:vAlign w:val="bottom"/>
            <w:hideMark/>
          </w:tcPr>
          <w:p w:rsidR="002246AD" w:rsidRPr="003D1522" w:rsidRDefault="002246AD" w:rsidP="000972C3">
            <w:pPr>
              <w:pStyle w:val="SingleTxtG"/>
              <w:spacing w:before="80" w:after="80" w:line="200" w:lineRule="exact"/>
              <w:ind w:left="0" w:right="113"/>
              <w:jc w:val="right"/>
              <w:rPr>
                <w:i/>
                <w:sz w:val="16"/>
              </w:rPr>
            </w:pPr>
            <w:r w:rsidRPr="003D1522">
              <w:rPr>
                <w:i/>
                <w:sz w:val="16"/>
              </w:rPr>
              <w:t>2016</w:t>
            </w:r>
          </w:p>
        </w:tc>
      </w:tr>
      <w:tr w:rsidR="000972C3" w:rsidRPr="003D1522" w:rsidTr="004C7354">
        <w:tc>
          <w:tcPr>
            <w:tcW w:w="1560" w:type="dxa"/>
            <w:tcBorders>
              <w:top w:val="single" w:sz="12" w:space="0" w:color="auto"/>
            </w:tcBorders>
            <w:shd w:val="clear" w:color="auto" w:fill="auto"/>
            <w:noWrap/>
            <w:hideMark/>
          </w:tcPr>
          <w:p w:rsidR="002246AD" w:rsidRPr="003D1522" w:rsidRDefault="002246AD" w:rsidP="000972C3">
            <w:pPr>
              <w:pStyle w:val="SingleTxtG"/>
              <w:spacing w:before="40" w:after="40" w:line="220" w:lineRule="exact"/>
              <w:ind w:left="0" w:right="113"/>
              <w:jc w:val="left"/>
              <w:rPr>
                <w:sz w:val="18"/>
              </w:rPr>
            </w:pPr>
            <w:r w:rsidRPr="003D1522">
              <w:rPr>
                <w:sz w:val="18"/>
              </w:rPr>
              <w:t>40% of median income</w:t>
            </w:r>
          </w:p>
        </w:tc>
        <w:tc>
          <w:tcPr>
            <w:tcW w:w="771" w:type="dxa"/>
            <w:tcBorders>
              <w:top w:val="single" w:sz="12" w:space="0" w:color="auto"/>
            </w:tcBorders>
            <w:shd w:val="clear" w:color="auto" w:fill="auto"/>
            <w:noWrap/>
            <w:vAlign w:val="bottom"/>
            <w:hideMark/>
          </w:tcPr>
          <w:p w:rsidR="002246AD" w:rsidRPr="003D1522" w:rsidRDefault="002246AD" w:rsidP="000972C3">
            <w:pPr>
              <w:pStyle w:val="SingleTxtG"/>
              <w:spacing w:before="40" w:after="40" w:line="220" w:lineRule="exact"/>
              <w:ind w:left="0" w:right="113"/>
              <w:jc w:val="right"/>
              <w:rPr>
                <w:sz w:val="18"/>
              </w:rPr>
            </w:pPr>
            <w:r w:rsidRPr="003D1522">
              <w:rPr>
                <w:sz w:val="18"/>
              </w:rPr>
              <w:t>5</w:t>
            </w:r>
            <w:r w:rsidR="00DF2C9B" w:rsidRPr="003D1522">
              <w:rPr>
                <w:sz w:val="18"/>
              </w:rPr>
              <w:t>.</w:t>
            </w:r>
            <w:r w:rsidRPr="003D1522">
              <w:rPr>
                <w:sz w:val="18"/>
              </w:rPr>
              <w:t>3</w:t>
            </w:r>
          </w:p>
        </w:tc>
        <w:tc>
          <w:tcPr>
            <w:tcW w:w="772" w:type="dxa"/>
            <w:tcBorders>
              <w:top w:val="single" w:sz="12" w:space="0" w:color="auto"/>
            </w:tcBorders>
            <w:shd w:val="clear" w:color="auto" w:fill="auto"/>
            <w:noWrap/>
            <w:vAlign w:val="bottom"/>
            <w:hideMark/>
          </w:tcPr>
          <w:p w:rsidR="002246AD" w:rsidRPr="003D1522" w:rsidRDefault="002246AD" w:rsidP="000972C3">
            <w:pPr>
              <w:pStyle w:val="SingleTxtG"/>
              <w:spacing w:before="40" w:after="40" w:line="220" w:lineRule="exact"/>
              <w:ind w:left="0" w:right="113"/>
              <w:jc w:val="right"/>
              <w:rPr>
                <w:sz w:val="18"/>
              </w:rPr>
            </w:pPr>
            <w:r w:rsidRPr="003D1522">
              <w:rPr>
                <w:sz w:val="18"/>
              </w:rPr>
              <w:t>5</w:t>
            </w:r>
            <w:r w:rsidR="00DF2C9B" w:rsidRPr="003D1522">
              <w:rPr>
                <w:sz w:val="18"/>
              </w:rPr>
              <w:t>.</w:t>
            </w:r>
            <w:r w:rsidRPr="003D1522">
              <w:rPr>
                <w:sz w:val="18"/>
              </w:rPr>
              <w:t>4</w:t>
            </w:r>
          </w:p>
        </w:tc>
        <w:tc>
          <w:tcPr>
            <w:tcW w:w="772" w:type="dxa"/>
            <w:tcBorders>
              <w:top w:val="single" w:sz="12" w:space="0" w:color="auto"/>
            </w:tcBorders>
            <w:shd w:val="clear" w:color="auto" w:fill="auto"/>
            <w:noWrap/>
            <w:vAlign w:val="bottom"/>
            <w:hideMark/>
          </w:tcPr>
          <w:p w:rsidR="002246AD" w:rsidRPr="003D1522" w:rsidRDefault="002246AD" w:rsidP="000972C3">
            <w:pPr>
              <w:pStyle w:val="SingleTxtG"/>
              <w:spacing w:before="40" w:after="40" w:line="220" w:lineRule="exact"/>
              <w:ind w:left="0" w:right="113"/>
              <w:jc w:val="right"/>
              <w:rPr>
                <w:sz w:val="18"/>
              </w:rPr>
            </w:pPr>
            <w:r w:rsidRPr="003D1522">
              <w:rPr>
                <w:sz w:val="18"/>
              </w:rPr>
              <w:t>6</w:t>
            </w:r>
            <w:r w:rsidR="00DF2C9B" w:rsidRPr="003D1522">
              <w:rPr>
                <w:sz w:val="18"/>
              </w:rPr>
              <w:t>.</w:t>
            </w:r>
            <w:r w:rsidRPr="003D1522">
              <w:rPr>
                <w:sz w:val="18"/>
              </w:rPr>
              <w:t>9</w:t>
            </w:r>
          </w:p>
        </w:tc>
        <w:tc>
          <w:tcPr>
            <w:tcW w:w="771" w:type="dxa"/>
            <w:tcBorders>
              <w:top w:val="single" w:sz="12" w:space="0" w:color="auto"/>
            </w:tcBorders>
            <w:shd w:val="clear" w:color="auto" w:fill="auto"/>
            <w:noWrap/>
            <w:vAlign w:val="bottom"/>
            <w:hideMark/>
          </w:tcPr>
          <w:p w:rsidR="002246AD" w:rsidRPr="003D1522" w:rsidRDefault="002246AD" w:rsidP="000972C3">
            <w:pPr>
              <w:pStyle w:val="SingleTxtG"/>
              <w:spacing w:before="40" w:after="40" w:line="220" w:lineRule="exact"/>
              <w:ind w:left="0" w:right="113"/>
              <w:jc w:val="right"/>
              <w:rPr>
                <w:sz w:val="18"/>
              </w:rPr>
            </w:pPr>
            <w:r w:rsidRPr="003D1522">
              <w:rPr>
                <w:sz w:val="18"/>
              </w:rPr>
              <w:t>6</w:t>
            </w:r>
            <w:r w:rsidR="00DF2C9B" w:rsidRPr="003D1522">
              <w:rPr>
                <w:sz w:val="18"/>
              </w:rPr>
              <w:t>.</w:t>
            </w:r>
            <w:r w:rsidRPr="003D1522">
              <w:rPr>
                <w:sz w:val="18"/>
              </w:rPr>
              <w:t>7</w:t>
            </w:r>
          </w:p>
        </w:tc>
        <w:tc>
          <w:tcPr>
            <w:tcW w:w="772" w:type="dxa"/>
            <w:tcBorders>
              <w:top w:val="single" w:sz="12" w:space="0" w:color="auto"/>
            </w:tcBorders>
            <w:shd w:val="clear" w:color="auto" w:fill="auto"/>
            <w:noWrap/>
            <w:vAlign w:val="bottom"/>
            <w:hideMark/>
          </w:tcPr>
          <w:p w:rsidR="002246AD" w:rsidRPr="003D1522" w:rsidRDefault="002246AD" w:rsidP="000972C3">
            <w:pPr>
              <w:pStyle w:val="SingleTxtG"/>
              <w:spacing w:before="40" w:after="40" w:line="220" w:lineRule="exact"/>
              <w:ind w:left="0" w:right="113"/>
              <w:jc w:val="right"/>
              <w:rPr>
                <w:sz w:val="18"/>
              </w:rPr>
            </w:pPr>
            <w:r w:rsidRPr="003D1522">
              <w:rPr>
                <w:sz w:val="18"/>
              </w:rPr>
              <w:t>7</w:t>
            </w:r>
            <w:r w:rsidR="00DF2C9B" w:rsidRPr="003D1522">
              <w:rPr>
                <w:sz w:val="18"/>
              </w:rPr>
              <w:t>.</w:t>
            </w:r>
            <w:r w:rsidRPr="003D1522">
              <w:rPr>
                <w:sz w:val="18"/>
              </w:rPr>
              <w:t>9</w:t>
            </w:r>
          </w:p>
        </w:tc>
        <w:tc>
          <w:tcPr>
            <w:tcW w:w="772" w:type="dxa"/>
            <w:tcBorders>
              <w:top w:val="single" w:sz="12" w:space="0" w:color="auto"/>
            </w:tcBorders>
            <w:shd w:val="clear" w:color="auto" w:fill="auto"/>
            <w:noWrap/>
            <w:vAlign w:val="bottom"/>
            <w:hideMark/>
          </w:tcPr>
          <w:p w:rsidR="002246AD" w:rsidRPr="003D1522" w:rsidRDefault="002246AD" w:rsidP="000972C3">
            <w:pPr>
              <w:pStyle w:val="SingleTxtG"/>
              <w:spacing w:before="40" w:after="40" w:line="220" w:lineRule="exact"/>
              <w:ind w:left="0" w:right="113"/>
              <w:jc w:val="right"/>
              <w:rPr>
                <w:sz w:val="18"/>
              </w:rPr>
            </w:pPr>
            <w:r w:rsidRPr="003D1522">
              <w:rPr>
                <w:sz w:val="18"/>
              </w:rPr>
              <w:t>8</w:t>
            </w:r>
            <w:r w:rsidR="00DF2C9B" w:rsidRPr="003D1522">
              <w:rPr>
                <w:sz w:val="18"/>
              </w:rPr>
              <w:t>.</w:t>
            </w:r>
            <w:r w:rsidRPr="003D1522">
              <w:rPr>
                <w:sz w:val="18"/>
              </w:rPr>
              <w:t>2</w:t>
            </w:r>
          </w:p>
        </w:tc>
        <w:tc>
          <w:tcPr>
            <w:tcW w:w="771" w:type="dxa"/>
            <w:tcBorders>
              <w:top w:val="single" w:sz="12" w:space="0" w:color="auto"/>
            </w:tcBorders>
            <w:shd w:val="clear" w:color="auto" w:fill="auto"/>
            <w:noWrap/>
            <w:vAlign w:val="bottom"/>
            <w:hideMark/>
          </w:tcPr>
          <w:p w:rsidR="002246AD" w:rsidRPr="003D1522" w:rsidRDefault="002246AD" w:rsidP="000972C3">
            <w:pPr>
              <w:pStyle w:val="SingleTxtG"/>
              <w:spacing w:before="40" w:after="40" w:line="220" w:lineRule="exact"/>
              <w:ind w:left="0" w:right="113"/>
              <w:jc w:val="right"/>
              <w:rPr>
                <w:sz w:val="18"/>
              </w:rPr>
            </w:pPr>
            <w:r w:rsidRPr="003D1522">
              <w:rPr>
                <w:sz w:val="18"/>
              </w:rPr>
              <w:t>7</w:t>
            </w:r>
            <w:r w:rsidR="00DF2C9B" w:rsidRPr="003D1522">
              <w:rPr>
                <w:sz w:val="18"/>
              </w:rPr>
              <w:t>.</w:t>
            </w:r>
            <w:r w:rsidRPr="003D1522">
              <w:rPr>
                <w:sz w:val="18"/>
              </w:rPr>
              <w:t>4</w:t>
            </w:r>
          </w:p>
        </w:tc>
        <w:tc>
          <w:tcPr>
            <w:tcW w:w="772" w:type="dxa"/>
            <w:tcBorders>
              <w:top w:val="single" w:sz="12" w:space="0" w:color="auto"/>
            </w:tcBorders>
            <w:shd w:val="clear" w:color="auto" w:fill="auto"/>
            <w:noWrap/>
            <w:vAlign w:val="bottom"/>
            <w:hideMark/>
          </w:tcPr>
          <w:p w:rsidR="002246AD" w:rsidRPr="003D1522" w:rsidRDefault="002246AD" w:rsidP="000972C3">
            <w:pPr>
              <w:pStyle w:val="SingleTxtG"/>
              <w:spacing w:before="40" w:after="40" w:line="220" w:lineRule="exact"/>
              <w:ind w:left="0" w:right="113"/>
              <w:jc w:val="right"/>
              <w:rPr>
                <w:sz w:val="18"/>
              </w:rPr>
            </w:pPr>
            <w:r w:rsidRPr="003D1522">
              <w:rPr>
                <w:sz w:val="18"/>
              </w:rPr>
              <w:t>6</w:t>
            </w:r>
            <w:r w:rsidR="00DF2C9B" w:rsidRPr="003D1522">
              <w:rPr>
                <w:sz w:val="18"/>
              </w:rPr>
              <w:t>.</w:t>
            </w:r>
            <w:r w:rsidRPr="003D1522">
              <w:rPr>
                <w:sz w:val="18"/>
              </w:rPr>
              <w:t>5</w:t>
            </w:r>
          </w:p>
        </w:tc>
        <w:tc>
          <w:tcPr>
            <w:tcW w:w="772" w:type="dxa"/>
            <w:tcBorders>
              <w:top w:val="single" w:sz="12" w:space="0" w:color="auto"/>
            </w:tcBorders>
            <w:shd w:val="clear" w:color="auto" w:fill="auto"/>
            <w:noWrap/>
            <w:vAlign w:val="bottom"/>
            <w:hideMark/>
          </w:tcPr>
          <w:p w:rsidR="002246AD" w:rsidRPr="003D1522" w:rsidRDefault="002246AD" w:rsidP="000972C3">
            <w:pPr>
              <w:pStyle w:val="SingleTxtG"/>
              <w:spacing w:before="40" w:after="40" w:line="220" w:lineRule="exact"/>
              <w:ind w:left="0" w:right="113"/>
              <w:jc w:val="right"/>
              <w:rPr>
                <w:sz w:val="18"/>
              </w:rPr>
            </w:pPr>
            <w:r w:rsidRPr="003D1522">
              <w:rPr>
                <w:sz w:val="18"/>
              </w:rPr>
              <w:t>6</w:t>
            </w:r>
            <w:r w:rsidR="00DF2C9B" w:rsidRPr="003D1522">
              <w:rPr>
                <w:sz w:val="18"/>
              </w:rPr>
              <w:t>.</w:t>
            </w:r>
            <w:r w:rsidRPr="003D1522">
              <w:rPr>
                <w:sz w:val="18"/>
              </w:rPr>
              <w:t>6</w:t>
            </w:r>
          </w:p>
        </w:tc>
      </w:tr>
      <w:tr w:rsidR="000972C3" w:rsidRPr="003D1522" w:rsidTr="004C7354">
        <w:tc>
          <w:tcPr>
            <w:tcW w:w="1560" w:type="dxa"/>
            <w:shd w:val="clear" w:color="auto" w:fill="auto"/>
            <w:noWrap/>
            <w:hideMark/>
          </w:tcPr>
          <w:p w:rsidR="002246AD" w:rsidRPr="003D1522" w:rsidRDefault="002246AD" w:rsidP="000972C3">
            <w:pPr>
              <w:pStyle w:val="SingleTxtG"/>
              <w:spacing w:before="40" w:after="40" w:line="220" w:lineRule="exact"/>
              <w:ind w:left="0" w:right="113"/>
              <w:jc w:val="left"/>
              <w:rPr>
                <w:sz w:val="18"/>
              </w:rPr>
            </w:pPr>
            <w:r w:rsidRPr="003D1522">
              <w:rPr>
                <w:sz w:val="18"/>
              </w:rPr>
              <w:t>50% of median income</w:t>
            </w:r>
          </w:p>
        </w:tc>
        <w:tc>
          <w:tcPr>
            <w:tcW w:w="771" w:type="dxa"/>
            <w:shd w:val="clear" w:color="auto" w:fill="auto"/>
            <w:noWrap/>
            <w:vAlign w:val="bottom"/>
            <w:hideMark/>
          </w:tcPr>
          <w:p w:rsidR="002246AD" w:rsidRPr="003D1522" w:rsidRDefault="002246AD" w:rsidP="000972C3">
            <w:pPr>
              <w:pStyle w:val="SingleTxtG"/>
              <w:spacing w:before="40" w:after="40" w:line="220" w:lineRule="exact"/>
              <w:ind w:left="0" w:right="113"/>
              <w:jc w:val="right"/>
              <w:rPr>
                <w:sz w:val="18"/>
              </w:rPr>
            </w:pPr>
            <w:r w:rsidRPr="003D1522">
              <w:rPr>
                <w:sz w:val="18"/>
              </w:rPr>
              <w:t>10</w:t>
            </w:r>
            <w:r w:rsidR="00DF2C9B" w:rsidRPr="003D1522">
              <w:rPr>
                <w:sz w:val="18"/>
              </w:rPr>
              <w:t>.</w:t>
            </w:r>
            <w:r w:rsidRPr="003D1522">
              <w:rPr>
                <w:sz w:val="18"/>
              </w:rPr>
              <w:t>2</w:t>
            </w:r>
          </w:p>
        </w:tc>
        <w:tc>
          <w:tcPr>
            <w:tcW w:w="772" w:type="dxa"/>
            <w:shd w:val="clear" w:color="auto" w:fill="auto"/>
            <w:noWrap/>
            <w:vAlign w:val="bottom"/>
            <w:hideMark/>
          </w:tcPr>
          <w:p w:rsidR="002246AD" w:rsidRPr="003D1522" w:rsidRDefault="002246AD" w:rsidP="000972C3">
            <w:pPr>
              <w:pStyle w:val="SingleTxtG"/>
              <w:spacing w:before="40" w:after="40" w:line="220" w:lineRule="exact"/>
              <w:ind w:left="0" w:right="113"/>
              <w:jc w:val="right"/>
              <w:rPr>
                <w:sz w:val="18"/>
              </w:rPr>
            </w:pPr>
            <w:r w:rsidRPr="003D1522">
              <w:rPr>
                <w:sz w:val="18"/>
              </w:rPr>
              <w:t>9</w:t>
            </w:r>
            <w:r w:rsidR="00DF2C9B" w:rsidRPr="003D1522">
              <w:rPr>
                <w:sz w:val="18"/>
              </w:rPr>
              <w:t>.</w:t>
            </w:r>
            <w:r w:rsidRPr="003D1522">
              <w:rPr>
                <w:sz w:val="18"/>
              </w:rPr>
              <w:t>4</w:t>
            </w:r>
          </w:p>
        </w:tc>
        <w:tc>
          <w:tcPr>
            <w:tcW w:w="772" w:type="dxa"/>
            <w:shd w:val="clear" w:color="auto" w:fill="auto"/>
            <w:noWrap/>
            <w:vAlign w:val="bottom"/>
            <w:hideMark/>
          </w:tcPr>
          <w:p w:rsidR="002246AD" w:rsidRPr="003D1522" w:rsidRDefault="002246AD" w:rsidP="000972C3">
            <w:pPr>
              <w:pStyle w:val="SingleTxtG"/>
              <w:spacing w:before="40" w:after="40" w:line="220" w:lineRule="exact"/>
              <w:ind w:left="0" w:right="113"/>
              <w:jc w:val="right"/>
              <w:rPr>
                <w:sz w:val="18"/>
              </w:rPr>
            </w:pPr>
            <w:r w:rsidRPr="003D1522">
              <w:rPr>
                <w:sz w:val="18"/>
              </w:rPr>
              <w:t>10</w:t>
            </w:r>
            <w:r w:rsidR="00DF2C9B" w:rsidRPr="003D1522">
              <w:rPr>
                <w:sz w:val="18"/>
              </w:rPr>
              <w:t>.</w:t>
            </w:r>
            <w:r w:rsidRPr="003D1522">
              <w:rPr>
                <w:sz w:val="18"/>
              </w:rPr>
              <w:t>9</w:t>
            </w:r>
          </w:p>
        </w:tc>
        <w:tc>
          <w:tcPr>
            <w:tcW w:w="771" w:type="dxa"/>
            <w:shd w:val="clear" w:color="auto" w:fill="auto"/>
            <w:noWrap/>
            <w:vAlign w:val="bottom"/>
            <w:hideMark/>
          </w:tcPr>
          <w:p w:rsidR="002246AD" w:rsidRPr="003D1522" w:rsidRDefault="002246AD" w:rsidP="000972C3">
            <w:pPr>
              <w:pStyle w:val="SingleTxtG"/>
              <w:spacing w:before="40" w:after="40" w:line="220" w:lineRule="exact"/>
              <w:ind w:left="0" w:right="113"/>
              <w:jc w:val="right"/>
              <w:rPr>
                <w:sz w:val="18"/>
              </w:rPr>
            </w:pPr>
            <w:r w:rsidRPr="003D1522">
              <w:rPr>
                <w:sz w:val="18"/>
              </w:rPr>
              <w:t>10</w:t>
            </w:r>
            <w:r w:rsidR="00DF2C9B" w:rsidRPr="003D1522">
              <w:rPr>
                <w:sz w:val="18"/>
              </w:rPr>
              <w:t>.</w:t>
            </w:r>
            <w:r w:rsidRPr="003D1522">
              <w:rPr>
                <w:sz w:val="18"/>
              </w:rPr>
              <w:t>9</w:t>
            </w:r>
          </w:p>
        </w:tc>
        <w:tc>
          <w:tcPr>
            <w:tcW w:w="772" w:type="dxa"/>
            <w:shd w:val="clear" w:color="auto" w:fill="auto"/>
            <w:noWrap/>
            <w:vAlign w:val="bottom"/>
            <w:hideMark/>
          </w:tcPr>
          <w:p w:rsidR="002246AD" w:rsidRPr="003D1522" w:rsidRDefault="002246AD" w:rsidP="000972C3">
            <w:pPr>
              <w:pStyle w:val="SingleTxtG"/>
              <w:spacing w:before="40" w:after="40" w:line="220" w:lineRule="exact"/>
              <w:ind w:left="0" w:right="113"/>
              <w:jc w:val="right"/>
              <w:rPr>
                <w:sz w:val="18"/>
              </w:rPr>
            </w:pPr>
            <w:r w:rsidRPr="003D1522">
              <w:rPr>
                <w:sz w:val="18"/>
              </w:rPr>
              <w:t>12</w:t>
            </w:r>
            <w:r w:rsidR="00DF2C9B" w:rsidRPr="003D1522">
              <w:rPr>
                <w:sz w:val="18"/>
              </w:rPr>
              <w:t>.</w:t>
            </w:r>
            <w:r w:rsidRPr="003D1522">
              <w:rPr>
                <w:sz w:val="18"/>
              </w:rPr>
              <w:t>6</w:t>
            </w:r>
          </w:p>
        </w:tc>
        <w:tc>
          <w:tcPr>
            <w:tcW w:w="772" w:type="dxa"/>
            <w:shd w:val="clear" w:color="auto" w:fill="auto"/>
            <w:noWrap/>
            <w:vAlign w:val="bottom"/>
            <w:hideMark/>
          </w:tcPr>
          <w:p w:rsidR="002246AD" w:rsidRPr="003D1522" w:rsidRDefault="002246AD" w:rsidP="000972C3">
            <w:pPr>
              <w:pStyle w:val="SingleTxtG"/>
              <w:spacing w:before="40" w:after="40" w:line="220" w:lineRule="exact"/>
              <w:ind w:left="0" w:right="113"/>
              <w:jc w:val="right"/>
              <w:rPr>
                <w:sz w:val="18"/>
              </w:rPr>
            </w:pPr>
            <w:r w:rsidRPr="003D1522">
              <w:rPr>
                <w:sz w:val="18"/>
              </w:rPr>
              <w:t>13</w:t>
            </w:r>
            <w:r w:rsidR="00DF2C9B" w:rsidRPr="003D1522">
              <w:rPr>
                <w:sz w:val="18"/>
              </w:rPr>
              <w:t>.</w:t>
            </w:r>
            <w:r w:rsidRPr="003D1522">
              <w:rPr>
                <w:sz w:val="18"/>
              </w:rPr>
              <w:t>4</w:t>
            </w:r>
          </w:p>
        </w:tc>
        <w:tc>
          <w:tcPr>
            <w:tcW w:w="771" w:type="dxa"/>
            <w:shd w:val="clear" w:color="auto" w:fill="auto"/>
            <w:noWrap/>
            <w:vAlign w:val="bottom"/>
            <w:hideMark/>
          </w:tcPr>
          <w:p w:rsidR="002246AD" w:rsidRPr="003D1522" w:rsidRDefault="002246AD" w:rsidP="000972C3">
            <w:pPr>
              <w:pStyle w:val="SingleTxtG"/>
              <w:spacing w:before="40" w:after="40" w:line="220" w:lineRule="exact"/>
              <w:ind w:left="0" w:right="113"/>
              <w:jc w:val="right"/>
              <w:rPr>
                <w:sz w:val="18"/>
              </w:rPr>
            </w:pPr>
            <w:r w:rsidRPr="003D1522">
              <w:rPr>
                <w:sz w:val="18"/>
              </w:rPr>
              <w:t>12</w:t>
            </w:r>
            <w:r w:rsidR="00DF2C9B" w:rsidRPr="003D1522">
              <w:rPr>
                <w:sz w:val="18"/>
              </w:rPr>
              <w:t>.</w:t>
            </w:r>
            <w:r w:rsidRPr="003D1522">
              <w:rPr>
                <w:sz w:val="18"/>
              </w:rPr>
              <w:t>5</w:t>
            </w:r>
          </w:p>
        </w:tc>
        <w:tc>
          <w:tcPr>
            <w:tcW w:w="772" w:type="dxa"/>
            <w:shd w:val="clear" w:color="auto" w:fill="auto"/>
            <w:noWrap/>
            <w:vAlign w:val="bottom"/>
            <w:hideMark/>
          </w:tcPr>
          <w:p w:rsidR="002246AD" w:rsidRPr="003D1522" w:rsidRDefault="002246AD" w:rsidP="000972C3">
            <w:pPr>
              <w:pStyle w:val="SingleTxtG"/>
              <w:spacing w:before="40" w:after="40" w:line="220" w:lineRule="exact"/>
              <w:ind w:left="0" w:right="113"/>
              <w:jc w:val="right"/>
              <w:rPr>
                <w:sz w:val="18"/>
              </w:rPr>
            </w:pPr>
            <w:r w:rsidRPr="003D1522">
              <w:rPr>
                <w:sz w:val="18"/>
              </w:rPr>
              <w:t>13</w:t>
            </w:r>
            <w:r w:rsidR="00DF2C9B" w:rsidRPr="003D1522">
              <w:rPr>
                <w:sz w:val="18"/>
              </w:rPr>
              <w:t>.</w:t>
            </w:r>
            <w:r w:rsidRPr="003D1522">
              <w:rPr>
                <w:sz w:val="18"/>
              </w:rPr>
              <w:t>1</w:t>
            </w:r>
          </w:p>
        </w:tc>
        <w:tc>
          <w:tcPr>
            <w:tcW w:w="772" w:type="dxa"/>
            <w:shd w:val="clear" w:color="auto" w:fill="auto"/>
            <w:noWrap/>
            <w:vAlign w:val="bottom"/>
            <w:hideMark/>
          </w:tcPr>
          <w:p w:rsidR="002246AD" w:rsidRPr="003D1522" w:rsidRDefault="002246AD" w:rsidP="000972C3">
            <w:pPr>
              <w:pStyle w:val="SingleTxtG"/>
              <w:spacing w:before="40" w:after="40" w:line="220" w:lineRule="exact"/>
              <w:ind w:left="0" w:right="113"/>
              <w:jc w:val="right"/>
              <w:rPr>
                <w:sz w:val="18"/>
              </w:rPr>
            </w:pPr>
            <w:r w:rsidRPr="003D1522">
              <w:rPr>
                <w:sz w:val="18"/>
              </w:rPr>
              <w:t>12</w:t>
            </w:r>
            <w:r w:rsidR="00DF2C9B" w:rsidRPr="003D1522">
              <w:rPr>
                <w:sz w:val="18"/>
              </w:rPr>
              <w:t>.</w:t>
            </w:r>
            <w:r w:rsidRPr="003D1522">
              <w:rPr>
                <w:sz w:val="18"/>
              </w:rPr>
              <w:t>9</w:t>
            </w:r>
          </w:p>
        </w:tc>
      </w:tr>
      <w:tr w:rsidR="000972C3" w:rsidRPr="003D1522" w:rsidTr="004C7354">
        <w:tc>
          <w:tcPr>
            <w:tcW w:w="1560" w:type="dxa"/>
            <w:shd w:val="clear" w:color="auto" w:fill="auto"/>
            <w:hideMark/>
          </w:tcPr>
          <w:p w:rsidR="002246AD" w:rsidRPr="003D1522" w:rsidRDefault="002246AD" w:rsidP="000972C3">
            <w:pPr>
              <w:pStyle w:val="SingleTxtG"/>
              <w:spacing w:before="40" w:after="40" w:line="220" w:lineRule="exact"/>
              <w:ind w:left="0" w:right="113"/>
              <w:jc w:val="left"/>
              <w:rPr>
                <w:sz w:val="18"/>
              </w:rPr>
            </w:pPr>
            <w:r w:rsidRPr="003D1522">
              <w:rPr>
                <w:sz w:val="18"/>
              </w:rPr>
              <w:t>60% of median income (at-risk-of-poverty rate)</w:t>
            </w:r>
          </w:p>
        </w:tc>
        <w:tc>
          <w:tcPr>
            <w:tcW w:w="771" w:type="dxa"/>
            <w:shd w:val="clear" w:color="auto" w:fill="auto"/>
            <w:noWrap/>
            <w:vAlign w:val="bottom"/>
            <w:hideMark/>
          </w:tcPr>
          <w:p w:rsidR="002246AD" w:rsidRPr="003D1522" w:rsidRDefault="002246AD" w:rsidP="000972C3">
            <w:pPr>
              <w:pStyle w:val="SingleTxtG"/>
              <w:spacing w:before="40" w:after="40" w:line="220" w:lineRule="exact"/>
              <w:ind w:left="0" w:right="113"/>
              <w:jc w:val="right"/>
              <w:rPr>
                <w:sz w:val="18"/>
              </w:rPr>
            </w:pPr>
            <w:r w:rsidRPr="003D1522">
              <w:rPr>
                <w:sz w:val="18"/>
              </w:rPr>
              <w:t>19</w:t>
            </w:r>
            <w:r w:rsidR="00DF2C9B" w:rsidRPr="003D1522">
              <w:rPr>
                <w:sz w:val="18"/>
              </w:rPr>
              <w:t>.</w:t>
            </w:r>
            <w:r w:rsidRPr="003D1522">
              <w:rPr>
                <w:sz w:val="18"/>
              </w:rPr>
              <w:t>7</w:t>
            </w:r>
          </w:p>
        </w:tc>
        <w:tc>
          <w:tcPr>
            <w:tcW w:w="772" w:type="dxa"/>
            <w:shd w:val="clear" w:color="auto" w:fill="auto"/>
            <w:noWrap/>
            <w:vAlign w:val="bottom"/>
            <w:hideMark/>
          </w:tcPr>
          <w:p w:rsidR="002246AD" w:rsidRPr="003D1522" w:rsidRDefault="002246AD" w:rsidP="000972C3">
            <w:pPr>
              <w:pStyle w:val="SingleTxtG"/>
              <w:spacing w:before="40" w:after="40" w:line="220" w:lineRule="exact"/>
              <w:ind w:left="0" w:right="113"/>
              <w:jc w:val="right"/>
              <w:rPr>
                <w:sz w:val="18"/>
              </w:rPr>
            </w:pPr>
            <w:r w:rsidRPr="003D1522">
              <w:rPr>
                <w:sz w:val="18"/>
              </w:rPr>
              <w:t>15</w:t>
            </w:r>
            <w:r w:rsidR="00DF2C9B" w:rsidRPr="003D1522">
              <w:rPr>
                <w:sz w:val="18"/>
              </w:rPr>
              <w:t>.</w:t>
            </w:r>
            <w:r w:rsidRPr="003D1522">
              <w:rPr>
                <w:sz w:val="18"/>
              </w:rPr>
              <w:t>8</w:t>
            </w:r>
          </w:p>
        </w:tc>
        <w:tc>
          <w:tcPr>
            <w:tcW w:w="772" w:type="dxa"/>
            <w:shd w:val="clear" w:color="auto" w:fill="auto"/>
            <w:noWrap/>
            <w:vAlign w:val="bottom"/>
            <w:hideMark/>
          </w:tcPr>
          <w:p w:rsidR="002246AD" w:rsidRPr="003D1522" w:rsidRDefault="002246AD" w:rsidP="000972C3">
            <w:pPr>
              <w:pStyle w:val="SingleTxtG"/>
              <w:spacing w:before="40" w:after="40" w:line="220" w:lineRule="exact"/>
              <w:ind w:left="0" w:right="113"/>
              <w:jc w:val="right"/>
              <w:rPr>
                <w:sz w:val="18"/>
              </w:rPr>
            </w:pPr>
            <w:r w:rsidRPr="003D1522">
              <w:rPr>
                <w:sz w:val="18"/>
              </w:rPr>
              <w:t>17</w:t>
            </w:r>
            <w:r w:rsidR="00DF2C9B" w:rsidRPr="003D1522">
              <w:rPr>
                <w:sz w:val="18"/>
              </w:rPr>
              <w:t>.</w:t>
            </w:r>
            <w:r w:rsidRPr="003D1522">
              <w:rPr>
                <w:sz w:val="18"/>
              </w:rPr>
              <w:t>5</w:t>
            </w:r>
          </w:p>
        </w:tc>
        <w:tc>
          <w:tcPr>
            <w:tcW w:w="771" w:type="dxa"/>
            <w:shd w:val="clear" w:color="auto" w:fill="auto"/>
            <w:noWrap/>
            <w:vAlign w:val="bottom"/>
            <w:hideMark/>
          </w:tcPr>
          <w:p w:rsidR="002246AD" w:rsidRPr="003D1522" w:rsidRDefault="002246AD" w:rsidP="000972C3">
            <w:pPr>
              <w:pStyle w:val="SingleTxtG"/>
              <w:spacing w:before="40" w:after="40" w:line="220" w:lineRule="exact"/>
              <w:ind w:left="0" w:right="113"/>
              <w:jc w:val="right"/>
              <w:rPr>
                <w:sz w:val="18"/>
              </w:rPr>
            </w:pPr>
            <w:r w:rsidRPr="003D1522">
              <w:rPr>
                <w:sz w:val="18"/>
              </w:rPr>
              <w:t>17</w:t>
            </w:r>
            <w:r w:rsidR="00DF2C9B" w:rsidRPr="003D1522">
              <w:rPr>
                <w:sz w:val="18"/>
              </w:rPr>
              <w:t>.</w:t>
            </w:r>
            <w:r w:rsidRPr="003D1522">
              <w:rPr>
                <w:sz w:val="18"/>
              </w:rPr>
              <w:t>5</w:t>
            </w:r>
          </w:p>
        </w:tc>
        <w:tc>
          <w:tcPr>
            <w:tcW w:w="772" w:type="dxa"/>
            <w:shd w:val="clear" w:color="auto" w:fill="auto"/>
            <w:noWrap/>
            <w:vAlign w:val="bottom"/>
            <w:hideMark/>
          </w:tcPr>
          <w:p w:rsidR="002246AD" w:rsidRPr="003D1522" w:rsidRDefault="002246AD" w:rsidP="000972C3">
            <w:pPr>
              <w:pStyle w:val="SingleTxtG"/>
              <w:spacing w:before="40" w:after="40" w:line="220" w:lineRule="exact"/>
              <w:ind w:left="0" w:right="113"/>
              <w:jc w:val="right"/>
              <w:rPr>
                <w:sz w:val="18"/>
              </w:rPr>
            </w:pPr>
            <w:r w:rsidRPr="003D1522">
              <w:rPr>
                <w:sz w:val="18"/>
              </w:rPr>
              <w:t>20</w:t>
            </w:r>
            <w:r w:rsidR="00DF2C9B" w:rsidRPr="003D1522">
              <w:rPr>
                <w:sz w:val="18"/>
              </w:rPr>
              <w:t>.</w:t>
            </w:r>
            <w:r w:rsidRPr="003D1522">
              <w:rPr>
                <w:sz w:val="18"/>
              </w:rPr>
              <w:t>7</w:t>
            </w:r>
          </w:p>
        </w:tc>
        <w:tc>
          <w:tcPr>
            <w:tcW w:w="772" w:type="dxa"/>
            <w:shd w:val="clear" w:color="auto" w:fill="auto"/>
            <w:noWrap/>
            <w:vAlign w:val="bottom"/>
            <w:hideMark/>
          </w:tcPr>
          <w:p w:rsidR="002246AD" w:rsidRPr="003D1522" w:rsidRDefault="002246AD" w:rsidP="000972C3">
            <w:pPr>
              <w:pStyle w:val="SingleTxtG"/>
              <w:spacing w:before="40" w:after="40" w:line="220" w:lineRule="exact"/>
              <w:ind w:left="0" w:right="113"/>
              <w:jc w:val="right"/>
              <w:rPr>
                <w:sz w:val="18"/>
              </w:rPr>
            </w:pPr>
            <w:r w:rsidRPr="003D1522">
              <w:rPr>
                <w:sz w:val="18"/>
              </w:rPr>
              <w:t>22</w:t>
            </w:r>
            <w:r w:rsidR="00DF2C9B" w:rsidRPr="003D1522">
              <w:rPr>
                <w:sz w:val="18"/>
              </w:rPr>
              <w:t>.</w:t>
            </w:r>
            <w:r w:rsidRPr="003D1522">
              <w:rPr>
                <w:sz w:val="18"/>
              </w:rPr>
              <w:t>1</w:t>
            </w:r>
          </w:p>
        </w:tc>
        <w:tc>
          <w:tcPr>
            <w:tcW w:w="771" w:type="dxa"/>
            <w:shd w:val="clear" w:color="auto" w:fill="auto"/>
            <w:noWrap/>
            <w:vAlign w:val="bottom"/>
            <w:hideMark/>
          </w:tcPr>
          <w:p w:rsidR="002246AD" w:rsidRPr="003D1522" w:rsidRDefault="002246AD" w:rsidP="000972C3">
            <w:pPr>
              <w:pStyle w:val="SingleTxtG"/>
              <w:spacing w:before="40" w:after="40" w:line="220" w:lineRule="exact"/>
              <w:ind w:left="0" w:right="113"/>
              <w:jc w:val="right"/>
              <w:rPr>
                <w:sz w:val="18"/>
              </w:rPr>
            </w:pPr>
            <w:r w:rsidRPr="003D1522">
              <w:rPr>
                <w:sz w:val="18"/>
              </w:rPr>
              <w:t>21</w:t>
            </w:r>
            <w:r w:rsidR="00DF2C9B" w:rsidRPr="003D1522">
              <w:rPr>
                <w:sz w:val="18"/>
              </w:rPr>
              <w:t>.</w:t>
            </w:r>
            <w:r w:rsidRPr="003D1522">
              <w:rPr>
                <w:sz w:val="18"/>
              </w:rPr>
              <w:t>6</w:t>
            </w:r>
          </w:p>
        </w:tc>
        <w:tc>
          <w:tcPr>
            <w:tcW w:w="772" w:type="dxa"/>
            <w:shd w:val="clear" w:color="auto" w:fill="auto"/>
            <w:noWrap/>
            <w:vAlign w:val="bottom"/>
            <w:hideMark/>
          </w:tcPr>
          <w:p w:rsidR="002246AD" w:rsidRPr="003D1522" w:rsidRDefault="002246AD" w:rsidP="000972C3">
            <w:pPr>
              <w:pStyle w:val="SingleTxtG"/>
              <w:spacing w:before="40" w:after="40" w:line="220" w:lineRule="exact"/>
              <w:ind w:left="0" w:right="113"/>
              <w:jc w:val="right"/>
              <w:rPr>
                <w:sz w:val="18"/>
              </w:rPr>
            </w:pPr>
            <w:r w:rsidRPr="003D1522">
              <w:rPr>
                <w:sz w:val="18"/>
              </w:rPr>
              <w:t>21</w:t>
            </w:r>
            <w:r w:rsidR="00DF2C9B" w:rsidRPr="003D1522">
              <w:rPr>
                <w:sz w:val="18"/>
              </w:rPr>
              <w:t>.</w:t>
            </w:r>
            <w:r w:rsidRPr="003D1522">
              <w:rPr>
                <w:sz w:val="18"/>
              </w:rPr>
              <w:t>7</w:t>
            </w:r>
          </w:p>
        </w:tc>
        <w:tc>
          <w:tcPr>
            <w:tcW w:w="772" w:type="dxa"/>
            <w:shd w:val="clear" w:color="auto" w:fill="auto"/>
            <w:noWrap/>
            <w:vAlign w:val="bottom"/>
            <w:hideMark/>
          </w:tcPr>
          <w:p w:rsidR="002246AD" w:rsidRPr="003D1522" w:rsidRDefault="002246AD" w:rsidP="000972C3">
            <w:pPr>
              <w:pStyle w:val="SingleTxtG"/>
              <w:spacing w:before="40" w:after="40" w:line="220" w:lineRule="exact"/>
              <w:ind w:left="0" w:right="113"/>
              <w:jc w:val="right"/>
              <w:rPr>
                <w:sz w:val="18"/>
              </w:rPr>
            </w:pPr>
            <w:r w:rsidRPr="003D1522">
              <w:rPr>
                <w:sz w:val="18"/>
              </w:rPr>
              <w:t>21</w:t>
            </w:r>
            <w:r w:rsidR="00DF2C9B" w:rsidRPr="003D1522">
              <w:rPr>
                <w:sz w:val="18"/>
              </w:rPr>
              <w:t>.</w:t>
            </w:r>
            <w:r w:rsidRPr="003D1522">
              <w:rPr>
                <w:sz w:val="18"/>
              </w:rPr>
              <w:t>1</w:t>
            </w:r>
          </w:p>
        </w:tc>
      </w:tr>
    </w:tbl>
    <w:p w:rsidR="002246AD" w:rsidRPr="003D1522" w:rsidRDefault="002246AD" w:rsidP="007F1BD5">
      <w:pPr>
        <w:pStyle w:val="H23G"/>
      </w:pPr>
      <w:r w:rsidRPr="003D1522">
        <w:tab/>
        <w:t>(b)</w:t>
      </w:r>
      <w:r w:rsidRPr="003D1522">
        <w:tab/>
        <w:t>Taxes as the share of general government revenues</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50"/>
        <w:gridCol w:w="851"/>
        <w:gridCol w:w="850"/>
        <w:gridCol w:w="851"/>
        <w:gridCol w:w="850"/>
        <w:gridCol w:w="851"/>
        <w:gridCol w:w="850"/>
        <w:gridCol w:w="851"/>
        <w:gridCol w:w="850"/>
        <w:gridCol w:w="851"/>
      </w:tblGrid>
      <w:tr w:rsidR="002246AD" w:rsidRPr="003D1522" w:rsidTr="00E07B5C">
        <w:trPr>
          <w:tblHeader/>
        </w:trPr>
        <w:tc>
          <w:tcPr>
            <w:tcW w:w="850" w:type="dxa"/>
            <w:tcBorders>
              <w:top w:val="single" w:sz="4" w:space="0" w:color="auto"/>
              <w:bottom w:val="single" w:sz="12" w:space="0" w:color="auto"/>
            </w:tcBorders>
            <w:shd w:val="clear" w:color="auto" w:fill="auto"/>
            <w:noWrap/>
            <w:vAlign w:val="bottom"/>
            <w:hideMark/>
          </w:tcPr>
          <w:p w:rsidR="002246AD" w:rsidRPr="003D1522" w:rsidRDefault="002246AD" w:rsidP="00C10282">
            <w:pPr>
              <w:pStyle w:val="SingleTxtG"/>
              <w:spacing w:before="80" w:after="80" w:line="200" w:lineRule="exact"/>
              <w:ind w:left="0" w:right="113"/>
              <w:jc w:val="right"/>
              <w:rPr>
                <w:i/>
                <w:sz w:val="16"/>
              </w:rPr>
            </w:pPr>
            <w:r w:rsidRPr="003D1522">
              <w:rPr>
                <w:i/>
                <w:sz w:val="16"/>
              </w:rPr>
              <w:t>2008</w:t>
            </w:r>
          </w:p>
        </w:tc>
        <w:tc>
          <w:tcPr>
            <w:tcW w:w="851" w:type="dxa"/>
            <w:tcBorders>
              <w:top w:val="single" w:sz="4" w:space="0" w:color="auto"/>
              <w:bottom w:val="single" w:sz="12" w:space="0" w:color="auto"/>
            </w:tcBorders>
            <w:shd w:val="clear" w:color="auto" w:fill="auto"/>
            <w:noWrap/>
            <w:vAlign w:val="bottom"/>
            <w:hideMark/>
          </w:tcPr>
          <w:p w:rsidR="002246AD" w:rsidRPr="003D1522" w:rsidRDefault="002246AD" w:rsidP="007F1BD5">
            <w:pPr>
              <w:pStyle w:val="SingleTxtG"/>
              <w:spacing w:before="80" w:after="80" w:line="200" w:lineRule="exact"/>
              <w:ind w:left="0" w:right="113"/>
              <w:jc w:val="right"/>
              <w:rPr>
                <w:i/>
                <w:sz w:val="16"/>
              </w:rPr>
            </w:pPr>
            <w:r w:rsidRPr="003D1522">
              <w:rPr>
                <w:i/>
                <w:sz w:val="16"/>
              </w:rPr>
              <w:t>2009</w:t>
            </w:r>
          </w:p>
        </w:tc>
        <w:tc>
          <w:tcPr>
            <w:tcW w:w="850" w:type="dxa"/>
            <w:tcBorders>
              <w:top w:val="single" w:sz="4" w:space="0" w:color="auto"/>
              <w:bottom w:val="single" w:sz="12" w:space="0" w:color="auto"/>
            </w:tcBorders>
            <w:shd w:val="clear" w:color="auto" w:fill="auto"/>
            <w:noWrap/>
            <w:vAlign w:val="bottom"/>
            <w:hideMark/>
          </w:tcPr>
          <w:p w:rsidR="002246AD" w:rsidRPr="003D1522" w:rsidRDefault="002246AD" w:rsidP="007F1BD5">
            <w:pPr>
              <w:pStyle w:val="SingleTxtG"/>
              <w:spacing w:before="80" w:after="80" w:line="200" w:lineRule="exact"/>
              <w:ind w:left="0" w:right="113"/>
              <w:jc w:val="right"/>
              <w:rPr>
                <w:i/>
                <w:sz w:val="16"/>
              </w:rPr>
            </w:pPr>
            <w:r w:rsidRPr="003D1522">
              <w:rPr>
                <w:i/>
                <w:sz w:val="16"/>
              </w:rPr>
              <w:t>2010</w:t>
            </w:r>
          </w:p>
        </w:tc>
        <w:tc>
          <w:tcPr>
            <w:tcW w:w="851" w:type="dxa"/>
            <w:tcBorders>
              <w:top w:val="single" w:sz="4" w:space="0" w:color="auto"/>
              <w:bottom w:val="single" w:sz="12" w:space="0" w:color="auto"/>
            </w:tcBorders>
            <w:shd w:val="clear" w:color="auto" w:fill="auto"/>
            <w:noWrap/>
            <w:vAlign w:val="bottom"/>
            <w:hideMark/>
          </w:tcPr>
          <w:p w:rsidR="002246AD" w:rsidRPr="003D1522" w:rsidRDefault="002246AD" w:rsidP="007F1BD5">
            <w:pPr>
              <w:pStyle w:val="SingleTxtG"/>
              <w:spacing w:before="80" w:after="80" w:line="200" w:lineRule="exact"/>
              <w:ind w:left="0" w:right="113"/>
              <w:jc w:val="right"/>
              <w:rPr>
                <w:i/>
                <w:sz w:val="16"/>
              </w:rPr>
            </w:pPr>
            <w:r w:rsidRPr="003D1522">
              <w:rPr>
                <w:i/>
                <w:sz w:val="16"/>
              </w:rPr>
              <w:t>2011</w:t>
            </w:r>
          </w:p>
        </w:tc>
        <w:tc>
          <w:tcPr>
            <w:tcW w:w="850" w:type="dxa"/>
            <w:tcBorders>
              <w:top w:val="single" w:sz="4" w:space="0" w:color="auto"/>
              <w:bottom w:val="single" w:sz="12" w:space="0" w:color="auto"/>
            </w:tcBorders>
            <w:shd w:val="clear" w:color="auto" w:fill="auto"/>
            <w:noWrap/>
            <w:vAlign w:val="bottom"/>
            <w:hideMark/>
          </w:tcPr>
          <w:p w:rsidR="002246AD" w:rsidRPr="003D1522" w:rsidRDefault="002246AD" w:rsidP="007F1BD5">
            <w:pPr>
              <w:pStyle w:val="SingleTxtG"/>
              <w:spacing w:before="80" w:after="80" w:line="200" w:lineRule="exact"/>
              <w:ind w:left="0" w:right="113"/>
              <w:jc w:val="right"/>
              <w:rPr>
                <w:i/>
                <w:sz w:val="16"/>
              </w:rPr>
            </w:pPr>
            <w:r w:rsidRPr="003D1522">
              <w:rPr>
                <w:i/>
                <w:sz w:val="16"/>
              </w:rPr>
              <w:t>2012</w:t>
            </w:r>
          </w:p>
        </w:tc>
        <w:tc>
          <w:tcPr>
            <w:tcW w:w="851" w:type="dxa"/>
            <w:tcBorders>
              <w:top w:val="single" w:sz="4" w:space="0" w:color="auto"/>
              <w:bottom w:val="single" w:sz="12" w:space="0" w:color="auto"/>
            </w:tcBorders>
            <w:shd w:val="clear" w:color="auto" w:fill="auto"/>
            <w:noWrap/>
            <w:vAlign w:val="bottom"/>
            <w:hideMark/>
          </w:tcPr>
          <w:p w:rsidR="002246AD" w:rsidRPr="003D1522" w:rsidRDefault="002246AD" w:rsidP="007F1BD5">
            <w:pPr>
              <w:pStyle w:val="SingleTxtG"/>
              <w:spacing w:before="80" w:after="80" w:line="200" w:lineRule="exact"/>
              <w:ind w:left="0" w:right="113"/>
              <w:jc w:val="right"/>
              <w:rPr>
                <w:i/>
                <w:sz w:val="16"/>
              </w:rPr>
            </w:pPr>
            <w:r w:rsidRPr="003D1522">
              <w:rPr>
                <w:i/>
                <w:sz w:val="16"/>
              </w:rPr>
              <w:t>2013</w:t>
            </w:r>
          </w:p>
        </w:tc>
        <w:tc>
          <w:tcPr>
            <w:tcW w:w="850" w:type="dxa"/>
            <w:tcBorders>
              <w:top w:val="single" w:sz="4" w:space="0" w:color="auto"/>
              <w:bottom w:val="single" w:sz="12" w:space="0" w:color="auto"/>
            </w:tcBorders>
            <w:shd w:val="clear" w:color="auto" w:fill="auto"/>
            <w:noWrap/>
            <w:vAlign w:val="bottom"/>
            <w:hideMark/>
          </w:tcPr>
          <w:p w:rsidR="002246AD" w:rsidRPr="003D1522" w:rsidRDefault="002246AD" w:rsidP="007F1BD5">
            <w:pPr>
              <w:pStyle w:val="SingleTxtG"/>
              <w:spacing w:before="80" w:after="80" w:line="200" w:lineRule="exact"/>
              <w:ind w:left="0" w:right="113"/>
              <w:jc w:val="right"/>
              <w:rPr>
                <w:i/>
                <w:sz w:val="16"/>
              </w:rPr>
            </w:pPr>
            <w:r w:rsidRPr="003D1522">
              <w:rPr>
                <w:i/>
                <w:sz w:val="16"/>
              </w:rPr>
              <w:t>2014</w:t>
            </w:r>
          </w:p>
        </w:tc>
        <w:tc>
          <w:tcPr>
            <w:tcW w:w="851" w:type="dxa"/>
            <w:tcBorders>
              <w:top w:val="single" w:sz="4" w:space="0" w:color="auto"/>
              <w:bottom w:val="single" w:sz="12" w:space="0" w:color="auto"/>
            </w:tcBorders>
            <w:shd w:val="clear" w:color="auto" w:fill="auto"/>
            <w:noWrap/>
            <w:vAlign w:val="bottom"/>
            <w:hideMark/>
          </w:tcPr>
          <w:p w:rsidR="002246AD" w:rsidRPr="003D1522" w:rsidRDefault="002246AD" w:rsidP="007F1BD5">
            <w:pPr>
              <w:pStyle w:val="SingleTxtG"/>
              <w:spacing w:before="80" w:after="80" w:line="200" w:lineRule="exact"/>
              <w:ind w:left="0" w:right="113"/>
              <w:jc w:val="right"/>
              <w:rPr>
                <w:i/>
                <w:sz w:val="16"/>
              </w:rPr>
            </w:pPr>
            <w:r w:rsidRPr="003D1522">
              <w:rPr>
                <w:i/>
                <w:sz w:val="16"/>
              </w:rPr>
              <w:t>2015</w:t>
            </w:r>
          </w:p>
        </w:tc>
        <w:tc>
          <w:tcPr>
            <w:tcW w:w="850" w:type="dxa"/>
            <w:tcBorders>
              <w:top w:val="single" w:sz="4" w:space="0" w:color="auto"/>
              <w:bottom w:val="single" w:sz="12" w:space="0" w:color="auto"/>
            </w:tcBorders>
            <w:shd w:val="clear" w:color="auto" w:fill="auto"/>
            <w:noWrap/>
            <w:vAlign w:val="bottom"/>
            <w:hideMark/>
          </w:tcPr>
          <w:p w:rsidR="002246AD" w:rsidRPr="003D1522" w:rsidRDefault="002246AD" w:rsidP="007F1BD5">
            <w:pPr>
              <w:pStyle w:val="SingleTxtG"/>
              <w:spacing w:before="80" w:after="80" w:line="200" w:lineRule="exact"/>
              <w:ind w:left="0" w:right="113"/>
              <w:jc w:val="right"/>
              <w:rPr>
                <w:i/>
                <w:sz w:val="16"/>
              </w:rPr>
            </w:pPr>
            <w:r w:rsidRPr="003D1522">
              <w:rPr>
                <w:i/>
                <w:sz w:val="16"/>
              </w:rPr>
              <w:t>2016</w:t>
            </w:r>
          </w:p>
        </w:tc>
        <w:tc>
          <w:tcPr>
            <w:tcW w:w="851" w:type="dxa"/>
            <w:tcBorders>
              <w:top w:val="single" w:sz="4" w:space="0" w:color="auto"/>
              <w:bottom w:val="single" w:sz="12" w:space="0" w:color="auto"/>
            </w:tcBorders>
            <w:shd w:val="clear" w:color="auto" w:fill="auto"/>
            <w:noWrap/>
            <w:vAlign w:val="bottom"/>
            <w:hideMark/>
          </w:tcPr>
          <w:p w:rsidR="002246AD" w:rsidRPr="003D1522" w:rsidRDefault="002246AD" w:rsidP="007F1BD5">
            <w:pPr>
              <w:pStyle w:val="SingleTxtG"/>
              <w:spacing w:before="80" w:after="80" w:line="200" w:lineRule="exact"/>
              <w:ind w:left="0" w:right="113"/>
              <w:jc w:val="right"/>
              <w:rPr>
                <w:i/>
                <w:sz w:val="16"/>
              </w:rPr>
            </w:pPr>
            <w:r w:rsidRPr="003D1522">
              <w:rPr>
                <w:i/>
                <w:sz w:val="16"/>
              </w:rPr>
              <w:t>2017</w:t>
            </w:r>
          </w:p>
        </w:tc>
      </w:tr>
      <w:tr w:rsidR="002246AD" w:rsidRPr="003D1522" w:rsidTr="00E07B5C">
        <w:tc>
          <w:tcPr>
            <w:tcW w:w="850" w:type="dxa"/>
            <w:tcBorders>
              <w:top w:val="single" w:sz="12" w:space="0" w:color="auto"/>
            </w:tcBorders>
            <w:shd w:val="clear" w:color="auto" w:fill="auto"/>
            <w:noWrap/>
            <w:hideMark/>
          </w:tcPr>
          <w:p w:rsidR="002246AD" w:rsidRPr="003D1522" w:rsidRDefault="002246AD" w:rsidP="00C10282">
            <w:pPr>
              <w:pStyle w:val="SingleTxtG"/>
              <w:spacing w:before="40" w:after="40" w:line="220" w:lineRule="exact"/>
              <w:ind w:left="0" w:right="113"/>
              <w:jc w:val="right"/>
              <w:rPr>
                <w:sz w:val="18"/>
              </w:rPr>
            </w:pPr>
            <w:r w:rsidRPr="003D1522">
              <w:rPr>
                <w:sz w:val="18"/>
              </w:rPr>
              <w:t>84</w:t>
            </w:r>
            <w:r w:rsidR="00DF2C9B" w:rsidRPr="003D1522">
              <w:rPr>
                <w:sz w:val="18"/>
              </w:rPr>
              <w:t>.</w:t>
            </w:r>
            <w:r w:rsidRPr="003D1522">
              <w:rPr>
                <w:sz w:val="18"/>
              </w:rPr>
              <w:t>8%</w:t>
            </w:r>
          </w:p>
        </w:tc>
        <w:tc>
          <w:tcPr>
            <w:tcW w:w="851" w:type="dxa"/>
            <w:tcBorders>
              <w:top w:val="single" w:sz="12" w:space="0" w:color="auto"/>
            </w:tcBorders>
            <w:shd w:val="clear" w:color="auto" w:fill="auto"/>
            <w:noWrap/>
            <w:vAlign w:val="bottom"/>
            <w:hideMark/>
          </w:tcPr>
          <w:p w:rsidR="002246AD" w:rsidRPr="003D1522" w:rsidRDefault="002246AD" w:rsidP="007F1BD5">
            <w:pPr>
              <w:pStyle w:val="SingleTxtG"/>
              <w:spacing w:before="40" w:after="40" w:line="220" w:lineRule="exact"/>
              <w:ind w:left="0" w:right="113"/>
              <w:jc w:val="right"/>
              <w:rPr>
                <w:sz w:val="18"/>
              </w:rPr>
            </w:pPr>
            <w:r w:rsidRPr="003D1522">
              <w:rPr>
                <w:sz w:val="18"/>
              </w:rPr>
              <w:t>79</w:t>
            </w:r>
            <w:r w:rsidR="00DF2C9B" w:rsidRPr="003D1522">
              <w:rPr>
                <w:sz w:val="18"/>
              </w:rPr>
              <w:t>.</w:t>
            </w:r>
            <w:r w:rsidRPr="003D1522">
              <w:rPr>
                <w:sz w:val="18"/>
              </w:rPr>
              <w:t>6%</w:t>
            </w:r>
          </w:p>
        </w:tc>
        <w:tc>
          <w:tcPr>
            <w:tcW w:w="850" w:type="dxa"/>
            <w:tcBorders>
              <w:top w:val="single" w:sz="12" w:space="0" w:color="auto"/>
            </w:tcBorders>
            <w:shd w:val="clear" w:color="auto" w:fill="auto"/>
            <w:noWrap/>
            <w:vAlign w:val="bottom"/>
            <w:hideMark/>
          </w:tcPr>
          <w:p w:rsidR="002246AD" w:rsidRPr="003D1522" w:rsidRDefault="002246AD" w:rsidP="007F1BD5">
            <w:pPr>
              <w:pStyle w:val="SingleTxtG"/>
              <w:spacing w:before="40" w:after="40" w:line="220" w:lineRule="exact"/>
              <w:ind w:left="0" w:right="113"/>
              <w:jc w:val="right"/>
              <w:rPr>
                <w:sz w:val="18"/>
              </w:rPr>
            </w:pPr>
            <w:r w:rsidRPr="003D1522">
              <w:rPr>
                <w:sz w:val="18"/>
              </w:rPr>
              <w:t>81</w:t>
            </w:r>
            <w:r w:rsidR="00DF2C9B" w:rsidRPr="003D1522">
              <w:rPr>
                <w:sz w:val="18"/>
              </w:rPr>
              <w:t>.</w:t>
            </w:r>
            <w:r w:rsidRPr="003D1522">
              <w:rPr>
                <w:sz w:val="18"/>
              </w:rPr>
              <w:t>7%</w:t>
            </w:r>
          </w:p>
        </w:tc>
        <w:tc>
          <w:tcPr>
            <w:tcW w:w="851" w:type="dxa"/>
            <w:tcBorders>
              <w:top w:val="single" w:sz="12" w:space="0" w:color="auto"/>
            </w:tcBorders>
            <w:shd w:val="clear" w:color="auto" w:fill="auto"/>
            <w:noWrap/>
            <w:vAlign w:val="bottom"/>
            <w:hideMark/>
          </w:tcPr>
          <w:p w:rsidR="002246AD" w:rsidRPr="003D1522" w:rsidRDefault="002246AD" w:rsidP="007F1BD5">
            <w:pPr>
              <w:pStyle w:val="SingleTxtG"/>
              <w:spacing w:before="40" w:after="40" w:line="220" w:lineRule="exact"/>
              <w:ind w:left="0" w:right="113"/>
              <w:jc w:val="right"/>
              <w:rPr>
                <w:sz w:val="18"/>
              </w:rPr>
            </w:pPr>
            <w:r w:rsidRPr="003D1522">
              <w:rPr>
                <w:sz w:val="18"/>
              </w:rPr>
              <w:t>81</w:t>
            </w:r>
            <w:r w:rsidR="00DF2C9B" w:rsidRPr="003D1522">
              <w:rPr>
                <w:sz w:val="18"/>
              </w:rPr>
              <w:t>.</w:t>
            </w:r>
            <w:r w:rsidRPr="003D1522">
              <w:rPr>
                <w:sz w:val="18"/>
              </w:rPr>
              <w:t>7%</w:t>
            </w:r>
          </w:p>
        </w:tc>
        <w:tc>
          <w:tcPr>
            <w:tcW w:w="850" w:type="dxa"/>
            <w:tcBorders>
              <w:top w:val="single" w:sz="12" w:space="0" w:color="auto"/>
            </w:tcBorders>
            <w:shd w:val="clear" w:color="auto" w:fill="auto"/>
            <w:noWrap/>
            <w:vAlign w:val="bottom"/>
            <w:hideMark/>
          </w:tcPr>
          <w:p w:rsidR="002246AD" w:rsidRPr="003D1522" w:rsidRDefault="002246AD" w:rsidP="007F1BD5">
            <w:pPr>
              <w:pStyle w:val="SingleTxtG"/>
              <w:spacing w:before="40" w:after="40" w:line="220" w:lineRule="exact"/>
              <w:ind w:left="0" w:right="113"/>
              <w:jc w:val="right"/>
              <w:rPr>
                <w:sz w:val="18"/>
              </w:rPr>
            </w:pPr>
            <w:r w:rsidRPr="003D1522">
              <w:rPr>
                <w:sz w:val="18"/>
              </w:rPr>
              <w:t>81</w:t>
            </w:r>
            <w:r w:rsidR="00DF2C9B" w:rsidRPr="003D1522">
              <w:rPr>
                <w:sz w:val="18"/>
              </w:rPr>
              <w:t>.</w:t>
            </w:r>
            <w:r w:rsidRPr="003D1522">
              <w:rPr>
                <w:sz w:val="18"/>
              </w:rPr>
              <w:t>1%</w:t>
            </w:r>
          </w:p>
        </w:tc>
        <w:tc>
          <w:tcPr>
            <w:tcW w:w="851" w:type="dxa"/>
            <w:tcBorders>
              <w:top w:val="single" w:sz="12" w:space="0" w:color="auto"/>
            </w:tcBorders>
            <w:shd w:val="clear" w:color="auto" w:fill="auto"/>
            <w:noWrap/>
            <w:vAlign w:val="bottom"/>
            <w:hideMark/>
          </w:tcPr>
          <w:p w:rsidR="002246AD" w:rsidRPr="003D1522" w:rsidRDefault="002246AD" w:rsidP="007F1BD5">
            <w:pPr>
              <w:pStyle w:val="SingleTxtG"/>
              <w:spacing w:before="40" w:after="40" w:line="220" w:lineRule="exact"/>
              <w:ind w:left="0" w:right="113"/>
              <w:jc w:val="right"/>
              <w:rPr>
                <w:sz w:val="18"/>
              </w:rPr>
            </w:pPr>
            <w:r w:rsidRPr="003D1522">
              <w:rPr>
                <w:sz w:val="18"/>
              </w:rPr>
              <w:t>82</w:t>
            </w:r>
            <w:r w:rsidR="00DF2C9B" w:rsidRPr="003D1522">
              <w:rPr>
                <w:sz w:val="18"/>
              </w:rPr>
              <w:t>.</w:t>
            </w:r>
            <w:r w:rsidRPr="003D1522">
              <w:rPr>
                <w:sz w:val="18"/>
              </w:rPr>
              <w:t>6%</w:t>
            </w:r>
          </w:p>
        </w:tc>
        <w:tc>
          <w:tcPr>
            <w:tcW w:w="850" w:type="dxa"/>
            <w:tcBorders>
              <w:top w:val="single" w:sz="12" w:space="0" w:color="auto"/>
            </w:tcBorders>
            <w:shd w:val="clear" w:color="auto" w:fill="auto"/>
            <w:noWrap/>
            <w:vAlign w:val="bottom"/>
            <w:hideMark/>
          </w:tcPr>
          <w:p w:rsidR="002246AD" w:rsidRPr="003D1522" w:rsidRDefault="002246AD" w:rsidP="007F1BD5">
            <w:pPr>
              <w:pStyle w:val="SingleTxtG"/>
              <w:spacing w:before="40" w:after="40" w:line="220" w:lineRule="exact"/>
              <w:ind w:left="0" w:right="113"/>
              <w:jc w:val="right"/>
              <w:rPr>
                <w:sz w:val="18"/>
              </w:rPr>
            </w:pPr>
            <w:r w:rsidRPr="003D1522">
              <w:rPr>
                <w:sz w:val="18"/>
              </w:rPr>
              <w:t>83</w:t>
            </w:r>
            <w:r w:rsidR="00DF2C9B" w:rsidRPr="003D1522">
              <w:rPr>
                <w:sz w:val="18"/>
              </w:rPr>
              <w:t>.</w:t>
            </w:r>
            <w:r w:rsidRPr="003D1522">
              <w:rPr>
                <w:sz w:val="18"/>
              </w:rPr>
              <w:t>3%</w:t>
            </w:r>
          </w:p>
        </w:tc>
        <w:tc>
          <w:tcPr>
            <w:tcW w:w="851" w:type="dxa"/>
            <w:tcBorders>
              <w:top w:val="single" w:sz="12" w:space="0" w:color="auto"/>
            </w:tcBorders>
            <w:shd w:val="clear" w:color="auto" w:fill="auto"/>
            <w:noWrap/>
            <w:vAlign w:val="bottom"/>
            <w:hideMark/>
          </w:tcPr>
          <w:p w:rsidR="002246AD" w:rsidRPr="003D1522" w:rsidRDefault="002246AD" w:rsidP="007F1BD5">
            <w:pPr>
              <w:pStyle w:val="SingleTxtG"/>
              <w:spacing w:before="40" w:after="40" w:line="220" w:lineRule="exact"/>
              <w:ind w:left="0" w:right="113"/>
              <w:jc w:val="right"/>
              <w:rPr>
                <w:sz w:val="18"/>
              </w:rPr>
            </w:pPr>
            <w:r w:rsidRPr="003D1522">
              <w:rPr>
                <w:sz w:val="18"/>
              </w:rPr>
              <w:t>83</w:t>
            </w:r>
            <w:r w:rsidR="00DF2C9B" w:rsidRPr="003D1522">
              <w:rPr>
                <w:sz w:val="18"/>
              </w:rPr>
              <w:t>.</w:t>
            </w:r>
            <w:r w:rsidRPr="003D1522">
              <w:rPr>
                <w:sz w:val="18"/>
              </w:rPr>
              <w:t>7%</w:t>
            </w:r>
          </w:p>
        </w:tc>
        <w:tc>
          <w:tcPr>
            <w:tcW w:w="850" w:type="dxa"/>
            <w:tcBorders>
              <w:top w:val="single" w:sz="12" w:space="0" w:color="auto"/>
            </w:tcBorders>
            <w:shd w:val="clear" w:color="auto" w:fill="auto"/>
            <w:noWrap/>
            <w:vAlign w:val="bottom"/>
            <w:hideMark/>
          </w:tcPr>
          <w:p w:rsidR="002246AD" w:rsidRPr="003D1522" w:rsidRDefault="002246AD" w:rsidP="007F1BD5">
            <w:pPr>
              <w:pStyle w:val="SingleTxtG"/>
              <w:spacing w:before="40" w:after="40" w:line="220" w:lineRule="exact"/>
              <w:ind w:left="0" w:right="113"/>
              <w:jc w:val="right"/>
              <w:rPr>
                <w:sz w:val="18"/>
              </w:rPr>
            </w:pPr>
            <w:r w:rsidRPr="003D1522">
              <w:rPr>
                <w:sz w:val="18"/>
              </w:rPr>
              <w:t>85</w:t>
            </w:r>
            <w:r w:rsidR="00DF2C9B" w:rsidRPr="003D1522">
              <w:rPr>
                <w:sz w:val="18"/>
              </w:rPr>
              <w:t>.</w:t>
            </w:r>
            <w:r w:rsidRPr="003D1522">
              <w:rPr>
                <w:sz w:val="18"/>
              </w:rPr>
              <w:t>7%</w:t>
            </w:r>
          </w:p>
        </w:tc>
        <w:tc>
          <w:tcPr>
            <w:tcW w:w="851" w:type="dxa"/>
            <w:tcBorders>
              <w:top w:val="single" w:sz="12" w:space="0" w:color="auto"/>
            </w:tcBorders>
            <w:shd w:val="clear" w:color="auto" w:fill="auto"/>
            <w:noWrap/>
            <w:vAlign w:val="bottom"/>
            <w:hideMark/>
          </w:tcPr>
          <w:p w:rsidR="002246AD" w:rsidRPr="003D1522" w:rsidRDefault="002246AD" w:rsidP="007F1BD5">
            <w:pPr>
              <w:pStyle w:val="SingleTxtG"/>
              <w:spacing w:before="40" w:after="40" w:line="220" w:lineRule="exact"/>
              <w:ind w:left="0" w:right="113"/>
              <w:jc w:val="right"/>
              <w:rPr>
                <w:sz w:val="18"/>
              </w:rPr>
            </w:pPr>
            <w:r w:rsidRPr="003D1522">
              <w:rPr>
                <w:sz w:val="18"/>
              </w:rPr>
              <w:t>84</w:t>
            </w:r>
            <w:r w:rsidR="00DF2C9B" w:rsidRPr="003D1522">
              <w:rPr>
                <w:sz w:val="18"/>
              </w:rPr>
              <w:t>.</w:t>
            </w:r>
            <w:r w:rsidRPr="003D1522">
              <w:rPr>
                <w:sz w:val="18"/>
              </w:rPr>
              <w:t>2%</w:t>
            </w:r>
          </w:p>
        </w:tc>
      </w:tr>
    </w:tbl>
    <w:p w:rsidR="002246AD" w:rsidRPr="003D1522" w:rsidRDefault="00637150" w:rsidP="007F1BD5">
      <w:pPr>
        <w:spacing w:before="120" w:after="240"/>
        <w:ind w:left="1134" w:right="1134" w:firstLine="170"/>
        <w:rPr>
          <w:sz w:val="18"/>
        </w:rPr>
      </w:pPr>
      <w:r w:rsidRPr="003D1522">
        <w:rPr>
          <w:sz w:val="18"/>
        </w:rPr>
        <w:t xml:space="preserve">* </w:t>
      </w:r>
      <w:r w:rsidR="002246AD" w:rsidRPr="003D1522">
        <w:rPr>
          <w:sz w:val="18"/>
        </w:rPr>
        <w:t>Found using taxes in tax burden.</w:t>
      </w:r>
    </w:p>
    <w:p w:rsidR="002246AD" w:rsidRPr="003D1522" w:rsidRDefault="002246AD" w:rsidP="007F1BD5">
      <w:pPr>
        <w:pStyle w:val="H23G"/>
      </w:pPr>
      <w:r w:rsidRPr="003D1522">
        <w:tab/>
        <w:t>(c)</w:t>
      </w:r>
      <w:r w:rsidRPr="003D1522">
        <w:tab/>
        <w:t xml:space="preserve">PIT and CIT rate are the same </w:t>
      </w:r>
      <w:r w:rsidR="007837F9" w:rsidRPr="003D1522">
        <w:t>—</w:t>
      </w:r>
      <w:r w:rsidRPr="003D1522">
        <w:t xml:space="preserve"> in 2007 22%, during 2008</w:t>
      </w:r>
      <w:r w:rsidR="00C6515E" w:rsidRPr="003D1522">
        <w:t>–</w:t>
      </w:r>
      <w:r w:rsidRPr="003D1522">
        <w:t>2014 21% and from 2015 20%. VAT standard rate is 20% and reduced rate 9%. The change in rates in July 2009 and January 2009 respectively</w:t>
      </w:r>
    </w:p>
    <w:p w:rsidR="002246AD" w:rsidRPr="003D1522" w:rsidRDefault="007837F9" w:rsidP="007837F9">
      <w:pPr>
        <w:pStyle w:val="H23G"/>
      </w:pPr>
      <w:r w:rsidRPr="003D1522">
        <w:tab/>
      </w:r>
      <w:r w:rsidRPr="003D1522">
        <w:tab/>
      </w:r>
      <w:r w:rsidR="002246AD" w:rsidRPr="003D1522">
        <w:t>The dynamics of value added tax rates in Estonia, 2008</w:t>
      </w:r>
      <w:r w:rsidRPr="003D1522">
        <w:t>–</w:t>
      </w:r>
      <w:r w:rsidR="002246AD" w:rsidRPr="003D1522">
        <w:t>2017</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51"/>
        <w:gridCol w:w="590"/>
        <w:gridCol w:w="827"/>
        <w:gridCol w:w="851"/>
        <w:gridCol w:w="673"/>
        <w:gridCol w:w="673"/>
        <w:gridCol w:w="673"/>
        <w:gridCol w:w="674"/>
        <w:gridCol w:w="673"/>
        <w:gridCol w:w="673"/>
        <w:gridCol w:w="673"/>
        <w:gridCol w:w="674"/>
      </w:tblGrid>
      <w:tr w:rsidR="007837F9" w:rsidRPr="003D1522" w:rsidTr="00A234C8">
        <w:trPr>
          <w:tblHeader/>
        </w:trPr>
        <w:tc>
          <w:tcPr>
            <w:tcW w:w="851" w:type="dxa"/>
            <w:tcBorders>
              <w:top w:val="single" w:sz="4" w:space="0" w:color="auto"/>
              <w:bottom w:val="single" w:sz="12" w:space="0" w:color="auto"/>
            </w:tcBorders>
            <w:shd w:val="clear" w:color="auto" w:fill="auto"/>
            <w:noWrap/>
            <w:vAlign w:val="bottom"/>
            <w:hideMark/>
          </w:tcPr>
          <w:p w:rsidR="002246AD" w:rsidRPr="003D1522" w:rsidRDefault="002246AD" w:rsidP="007837F9">
            <w:pPr>
              <w:pStyle w:val="SingleTxtG"/>
              <w:spacing w:before="80" w:after="80" w:line="200" w:lineRule="exact"/>
              <w:ind w:left="0" w:right="113"/>
              <w:jc w:val="left"/>
              <w:rPr>
                <w:i/>
                <w:sz w:val="16"/>
              </w:rPr>
            </w:pPr>
          </w:p>
        </w:tc>
        <w:tc>
          <w:tcPr>
            <w:tcW w:w="590" w:type="dxa"/>
            <w:tcBorders>
              <w:top w:val="single" w:sz="4" w:space="0" w:color="auto"/>
              <w:bottom w:val="single" w:sz="12" w:space="0" w:color="auto"/>
            </w:tcBorders>
            <w:shd w:val="clear" w:color="auto" w:fill="auto"/>
            <w:noWrap/>
            <w:vAlign w:val="bottom"/>
            <w:hideMark/>
          </w:tcPr>
          <w:p w:rsidR="002246AD" w:rsidRPr="003D1522" w:rsidRDefault="002246AD" w:rsidP="007837F9">
            <w:pPr>
              <w:pStyle w:val="SingleTxtG"/>
              <w:spacing w:before="80" w:after="80" w:line="200" w:lineRule="exact"/>
              <w:ind w:left="0" w:right="113"/>
              <w:jc w:val="right"/>
              <w:rPr>
                <w:i/>
                <w:sz w:val="16"/>
              </w:rPr>
            </w:pPr>
            <w:r w:rsidRPr="003D1522">
              <w:rPr>
                <w:i/>
                <w:sz w:val="16"/>
              </w:rPr>
              <w:t>2008</w:t>
            </w:r>
          </w:p>
        </w:tc>
        <w:tc>
          <w:tcPr>
            <w:tcW w:w="827" w:type="dxa"/>
            <w:tcBorders>
              <w:top w:val="single" w:sz="4" w:space="0" w:color="auto"/>
              <w:bottom w:val="single" w:sz="12" w:space="0" w:color="auto"/>
            </w:tcBorders>
            <w:shd w:val="clear" w:color="auto" w:fill="auto"/>
            <w:noWrap/>
            <w:vAlign w:val="bottom"/>
            <w:hideMark/>
          </w:tcPr>
          <w:p w:rsidR="002246AD" w:rsidRPr="003D1522" w:rsidRDefault="002246AD" w:rsidP="007837F9">
            <w:pPr>
              <w:pStyle w:val="SingleTxtG"/>
              <w:spacing w:before="80" w:after="80" w:line="200" w:lineRule="exact"/>
              <w:ind w:left="0" w:right="113"/>
              <w:jc w:val="right"/>
              <w:rPr>
                <w:i/>
                <w:sz w:val="16"/>
              </w:rPr>
            </w:pPr>
            <w:r w:rsidRPr="003D1522">
              <w:rPr>
                <w:i/>
                <w:sz w:val="16"/>
              </w:rPr>
              <w:t>1.01.2009</w:t>
            </w:r>
          </w:p>
        </w:tc>
        <w:tc>
          <w:tcPr>
            <w:tcW w:w="851" w:type="dxa"/>
            <w:tcBorders>
              <w:top w:val="single" w:sz="4" w:space="0" w:color="auto"/>
              <w:bottom w:val="single" w:sz="12" w:space="0" w:color="auto"/>
            </w:tcBorders>
            <w:shd w:val="clear" w:color="auto" w:fill="auto"/>
            <w:noWrap/>
            <w:vAlign w:val="bottom"/>
            <w:hideMark/>
          </w:tcPr>
          <w:p w:rsidR="002246AD" w:rsidRPr="003D1522" w:rsidRDefault="002246AD" w:rsidP="007837F9">
            <w:pPr>
              <w:pStyle w:val="SingleTxtG"/>
              <w:spacing w:before="80" w:after="80" w:line="200" w:lineRule="exact"/>
              <w:ind w:left="0" w:right="113"/>
              <w:jc w:val="right"/>
              <w:rPr>
                <w:i/>
                <w:sz w:val="16"/>
              </w:rPr>
            </w:pPr>
            <w:r w:rsidRPr="003D1522">
              <w:rPr>
                <w:i/>
                <w:sz w:val="16"/>
              </w:rPr>
              <w:t>1.07.2009</w:t>
            </w:r>
          </w:p>
        </w:tc>
        <w:tc>
          <w:tcPr>
            <w:tcW w:w="673" w:type="dxa"/>
            <w:tcBorders>
              <w:top w:val="single" w:sz="4" w:space="0" w:color="auto"/>
              <w:bottom w:val="single" w:sz="12" w:space="0" w:color="auto"/>
            </w:tcBorders>
            <w:shd w:val="clear" w:color="auto" w:fill="auto"/>
            <w:noWrap/>
            <w:vAlign w:val="bottom"/>
            <w:hideMark/>
          </w:tcPr>
          <w:p w:rsidR="002246AD" w:rsidRPr="003D1522" w:rsidRDefault="002246AD" w:rsidP="007837F9">
            <w:pPr>
              <w:pStyle w:val="SingleTxtG"/>
              <w:spacing w:before="80" w:after="80" w:line="200" w:lineRule="exact"/>
              <w:ind w:left="0" w:right="113"/>
              <w:jc w:val="right"/>
              <w:rPr>
                <w:i/>
                <w:sz w:val="16"/>
              </w:rPr>
            </w:pPr>
            <w:r w:rsidRPr="003D1522">
              <w:rPr>
                <w:i/>
                <w:sz w:val="16"/>
              </w:rPr>
              <w:t>2010</w:t>
            </w:r>
          </w:p>
        </w:tc>
        <w:tc>
          <w:tcPr>
            <w:tcW w:w="673" w:type="dxa"/>
            <w:tcBorders>
              <w:top w:val="single" w:sz="4" w:space="0" w:color="auto"/>
              <w:bottom w:val="single" w:sz="12" w:space="0" w:color="auto"/>
            </w:tcBorders>
            <w:shd w:val="clear" w:color="auto" w:fill="auto"/>
            <w:noWrap/>
            <w:vAlign w:val="bottom"/>
            <w:hideMark/>
          </w:tcPr>
          <w:p w:rsidR="002246AD" w:rsidRPr="003D1522" w:rsidRDefault="002246AD" w:rsidP="007837F9">
            <w:pPr>
              <w:pStyle w:val="SingleTxtG"/>
              <w:spacing w:before="80" w:after="80" w:line="200" w:lineRule="exact"/>
              <w:ind w:left="0" w:right="113"/>
              <w:jc w:val="right"/>
              <w:rPr>
                <w:i/>
                <w:sz w:val="16"/>
              </w:rPr>
            </w:pPr>
            <w:r w:rsidRPr="003D1522">
              <w:rPr>
                <w:i/>
                <w:sz w:val="16"/>
              </w:rPr>
              <w:t>2011</w:t>
            </w:r>
          </w:p>
        </w:tc>
        <w:tc>
          <w:tcPr>
            <w:tcW w:w="673" w:type="dxa"/>
            <w:tcBorders>
              <w:top w:val="single" w:sz="4" w:space="0" w:color="auto"/>
              <w:bottom w:val="single" w:sz="12" w:space="0" w:color="auto"/>
            </w:tcBorders>
            <w:shd w:val="clear" w:color="auto" w:fill="auto"/>
            <w:noWrap/>
            <w:vAlign w:val="bottom"/>
            <w:hideMark/>
          </w:tcPr>
          <w:p w:rsidR="002246AD" w:rsidRPr="003D1522" w:rsidRDefault="002246AD" w:rsidP="007837F9">
            <w:pPr>
              <w:pStyle w:val="SingleTxtG"/>
              <w:spacing w:before="80" w:after="80" w:line="200" w:lineRule="exact"/>
              <w:ind w:left="0" w:right="113"/>
              <w:jc w:val="right"/>
              <w:rPr>
                <w:i/>
                <w:sz w:val="16"/>
              </w:rPr>
            </w:pPr>
            <w:r w:rsidRPr="003D1522">
              <w:rPr>
                <w:i/>
                <w:sz w:val="16"/>
              </w:rPr>
              <w:t>2012</w:t>
            </w:r>
          </w:p>
        </w:tc>
        <w:tc>
          <w:tcPr>
            <w:tcW w:w="674" w:type="dxa"/>
            <w:tcBorders>
              <w:top w:val="single" w:sz="4" w:space="0" w:color="auto"/>
              <w:bottom w:val="single" w:sz="12" w:space="0" w:color="auto"/>
            </w:tcBorders>
            <w:shd w:val="clear" w:color="auto" w:fill="auto"/>
            <w:noWrap/>
            <w:vAlign w:val="bottom"/>
            <w:hideMark/>
          </w:tcPr>
          <w:p w:rsidR="002246AD" w:rsidRPr="003D1522" w:rsidRDefault="002246AD" w:rsidP="007837F9">
            <w:pPr>
              <w:pStyle w:val="SingleTxtG"/>
              <w:spacing w:before="80" w:after="80" w:line="200" w:lineRule="exact"/>
              <w:ind w:left="0" w:right="113"/>
              <w:jc w:val="right"/>
              <w:rPr>
                <w:i/>
                <w:sz w:val="16"/>
              </w:rPr>
            </w:pPr>
            <w:r w:rsidRPr="003D1522">
              <w:rPr>
                <w:i/>
                <w:sz w:val="16"/>
              </w:rPr>
              <w:t>2013</w:t>
            </w:r>
          </w:p>
        </w:tc>
        <w:tc>
          <w:tcPr>
            <w:tcW w:w="673" w:type="dxa"/>
            <w:tcBorders>
              <w:top w:val="single" w:sz="4" w:space="0" w:color="auto"/>
              <w:bottom w:val="single" w:sz="12" w:space="0" w:color="auto"/>
            </w:tcBorders>
            <w:shd w:val="clear" w:color="auto" w:fill="auto"/>
            <w:noWrap/>
            <w:vAlign w:val="bottom"/>
            <w:hideMark/>
          </w:tcPr>
          <w:p w:rsidR="002246AD" w:rsidRPr="003D1522" w:rsidRDefault="002246AD" w:rsidP="007837F9">
            <w:pPr>
              <w:pStyle w:val="SingleTxtG"/>
              <w:spacing w:before="80" w:after="80" w:line="200" w:lineRule="exact"/>
              <w:ind w:left="0" w:right="113"/>
              <w:jc w:val="right"/>
              <w:rPr>
                <w:i/>
                <w:sz w:val="16"/>
              </w:rPr>
            </w:pPr>
            <w:r w:rsidRPr="003D1522">
              <w:rPr>
                <w:i/>
                <w:sz w:val="16"/>
              </w:rPr>
              <w:t>2014</w:t>
            </w:r>
          </w:p>
        </w:tc>
        <w:tc>
          <w:tcPr>
            <w:tcW w:w="673" w:type="dxa"/>
            <w:tcBorders>
              <w:top w:val="single" w:sz="4" w:space="0" w:color="auto"/>
              <w:bottom w:val="single" w:sz="12" w:space="0" w:color="auto"/>
            </w:tcBorders>
            <w:shd w:val="clear" w:color="auto" w:fill="auto"/>
            <w:noWrap/>
            <w:vAlign w:val="bottom"/>
            <w:hideMark/>
          </w:tcPr>
          <w:p w:rsidR="002246AD" w:rsidRPr="003D1522" w:rsidRDefault="002246AD" w:rsidP="007837F9">
            <w:pPr>
              <w:pStyle w:val="SingleTxtG"/>
              <w:spacing w:before="80" w:after="80" w:line="200" w:lineRule="exact"/>
              <w:ind w:left="0" w:right="113"/>
              <w:jc w:val="right"/>
              <w:rPr>
                <w:i/>
                <w:sz w:val="16"/>
              </w:rPr>
            </w:pPr>
            <w:r w:rsidRPr="003D1522">
              <w:rPr>
                <w:i/>
                <w:sz w:val="16"/>
              </w:rPr>
              <w:t>2015</w:t>
            </w:r>
          </w:p>
        </w:tc>
        <w:tc>
          <w:tcPr>
            <w:tcW w:w="673" w:type="dxa"/>
            <w:tcBorders>
              <w:top w:val="single" w:sz="4" w:space="0" w:color="auto"/>
              <w:bottom w:val="single" w:sz="12" w:space="0" w:color="auto"/>
            </w:tcBorders>
            <w:shd w:val="clear" w:color="auto" w:fill="auto"/>
            <w:noWrap/>
            <w:vAlign w:val="bottom"/>
            <w:hideMark/>
          </w:tcPr>
          <w:p w:rsidR="002246AD" w:rsidRPr="003D1522" w:rsidRDefault="002246AD" w:rsidP="007837F9">
            <w:pPr>
              <w:pStyle w:val="SingleTxtG"/>
              <w:spacing w:before="80" w:after="80" w:line="200" w:lineRule="exact"/>
              <w:ind w:left="0" w:right="113"/>
              <w:jc w:val="right"/>
              <w:rPr>
                <w:i/>
                <w:sz w:val="16"/>
              </w:rPr>
            </w:pPr>
            <w:r w:rsidRPr="003D1522">
              <w:rPr>
                <w:i/>
                <w:sz w:val="16"/>
              </w:rPr>
              <w:t>2016</w:t>
            </w:r>
          </w:p>
        </w:tc>
        <w:tc>
          <w:tcPr>
            <w:tcW w:w="674" w:type="dxa"/>
            <w:tcBorders>
              <w:top w:val="single" w:sz="4" w:space="0" w:color="auto"/>
              <w:bottom w:val="single" w:sz="12" w:space="0" w:color="auto"/>
            </w:tcBorders>
            <w:shd w:val="clear" w:color="auto" w:fill="auto"/>
            <w:noWrap/>
            <w:vAlign w:val="bottom"/>
            <w:hideMark/>
          </w:tcPr>
          <w:p w:rsidR="002246AD" w:rsidRPr="003D1522" w:rsidRDefault="002246AD" w:rsidP="007837F9">
            <w:pPr>
              <w:pStyle w:val="SingleTxtG"/>
              <w:spacing w:before="80" w:after="80" w:line="200" w:lineRule="exact"/>
              <w:ind w:left="0" w:right="113"/>
              <w:jc w:val="right"/>
              <w:rPr>
                <w:i/>
                <w:sz w:val="16"/>
              </w:rPr>
            </w:pPr>
            <w:r w:rsidRPr="003D1522">
              <w:rPr>
                <w:i/>
                <w:sz w:val="16"/>
              </w:rPr>
              <w:t>2017</w:t>
            </w:r>
          </w:p>
        </w:tc>
      </w:tr>
      <w:tr w:rsidR="00ED3B30" w:rsidRPr="003D1522" w:rsidTr="00A234C8">
        <w:tc>
          <w:tcPr>
            <w:tcW w:w="851" w:type="dxa"/>
            <w:tcBorders>
              <w:top w:val="single" w:sz="12" w:space="0" w:color="auto"/>
            </w:tcBorders>
            <w:shd w:val="clear" w:color="auto" w:fill="auto"/>
            <w:noWrap/>
            <w:hideMark/>
          </w:tcPr>
          <w:p w:rsidR="002246AD" w:rsidRPr="003D1522" w:rsidRDefault="002246AD" w:rsidP="007837F9">
            <w:pPr>
              <w:pStyle w:val="SingleTxtG"/>
              <w:spacing w:before="40" w:after="40" w:line="220" w:lineRule="exact"/>
              <w:ind w:left="0" w:right="113"/>
              <w:jc w:val="left"/>
              <w:rPr>
                <w:sz w:val="18"/>
              </w:rPr>
            </w:pPr>
            <w:r w:rsidRPr="003D1522">
              <w:rPr>
                <w:sz w:val="18"/>
              </w:rPr>
              <w:t>Standard rate</w:t>
            </w:r>
          </w:p>
        </w:tc>
        <w:tc>
          <w:tcPr>
            <w:tcW w:w="590" w:type="dxa"/>
            <w:tcBorders>
              <w:top w:val="single" w:sz="12" w:space="0" w:color="auto"/>
            </w:tcBorders>
            <w:shd w:val="clear" w:color="auto" w:fill="auto"/>
            <w:noWrap/>
            <w:vAlign w:val="bottom"/>
            <w:hideMark/>
          </w:tcPr>
          <w:p w:rsidR="002246AD" w:rsidRPr="003D1522" w:rsidRDefault="002246AD" w:rsidP="007837F9">
            <w:pPr>
              <w:pStyle w:val="SingleTxtG"/>
              <w:spacing w:before="40" w:after="40" w:line="220" w:lineRule="exact"/>
              <w:ind w:left="0" w:right="113"/>
              <w:jc w:val="right"/>
              <w:rPr>
                <w:sz w:val="18"/>
              </w:rPr>
            </w:pPr>
            <w:r w:rsidRPr="003D1522">
              <w:rPr>
                <w:sz w:val="18"/>
              </w:rPr>
              <w:t>18%</w:t>
            </w:r>
          </w:p>
        </w:tc>
        <w:tc>
          <w:tcPr>
            <w:tcW w:w="827" w:type="dxa"/>
            <w:tcBorders>
              <w:top w:val="single" w:sz="12" w:space="0" w:color="auto"/>
            </w:tcBorders>
            <w:shd w:val="clear" w:color="auto" w:fill="auto"/>
            <w:noWrap/>
            <w:vAlign w:val="bottom"/>
            <w:hideMark/>
          </w:tcPr>
          <w:p w:rsidR="002246AD" w:rsidRPr="003D1522" w:rsidRDefault="002246AD" w:rsidP="007837F9">
            <w:pPr>
              <w:pStyle w:val="SingleTxtG"/>
              <w:spacing w:before="40" w:after="40" w:line="220" w:lineRule="exact"/>
              <w:ind w:left="0" w:right="113"/>
              <w:jc w:val="right"/>
              <w:rPr>
                <w:sz w:val="18"/>
              </w:rPr>
            </w:pPr>
            <w:r w:rsidRPr="003D1522">
              <w:rPr>
                <w:sz w:val="18"/>
              </w:rPr>
              <w:t>18%</w:t>
            </w:r>
          </w:p>
        </w:tc>
        <w:tc>
          <w:tcPr>
            <w:tcW w:w="851" w:type="dxa"/>
            <w:tcBorders>
              <w:top w:val="single" w:sz="12" w:space="0" w:color="auto"/>
            </w:tcBorders>
            <w:shd w:val="clear" w:color="auto" w:fill="auto"/>
            <w:noWrap/>
            <w:vAlign w:val="bottom"/>
            <w:hideMark/>
          </w:tcPr>
          <w:p w:rsidR="002246AD" w:rsidRPr="003D1522" w:rsidRDefault="002246AD" w:rsidP="007837F9">
            <w:pPr>
              <w:pStyle w:val="SingleTxtG"/>
              <w:spacing w:before="40" w:after="40" w:line="220" w:lineRule="exact"/>
              <w:ind w:left="0" w:right="113"/>
              <w:jc w:val="right"/>
              <w:rPr>
                <w:sz w:val="18"/>
              </w:rPr>
            </w:pPr>
            <w:r w:rsidRPr="003D1522">
              <w:rPr>
                <w:sz w:val="18"/>
              </w:rPr>
              <w:t>20%</w:t>
            </w:r>
          </w:p>
        </w:tc>
        <w:tc>
          <w:tcPr>
            <w:tcW w:w="673" w:type="dxa"/>
            <w:tcBorders>
              <w:top w:val="single" w:sz="12" w:space="0" w:color="auto"/>
            </w:tcBorders>
            <w:shd w:val="clear" w:color="auto" w:fill="auto"/>
            <w:noWrap/>
            <w:vAlign w:val="bottom"/>
            <w:hideMark/>
          </w:tcPr>
          <w:p w:rsidR="002246AD" w:rsidRPr="003D1522" w:rsidRDefault="002246AD" w:rsidP="007837F9">
            <w:pPr>
              <w:pStyle w:val="SingleTxtG"/>
              <w:spacing w:before="40" w:after="40" w:line="220" w:lineRule="exact"/>
              <w:ind w:left="0" w:right="113"/>
              <w:jc w:val="right"/>
              <w:rPr>
                <w:sz w:val="18"/>
              </w:rPr>
            </w:pPr>
            <w:r w:rsidRPr="003D1522">
              <w:rPr>
                <w:sz w:val="18"/>
              </w:rPr>
              <w:t>20%</w:t>
            </w:r>
          </w:p>
        </w:tc>
        <w:tc>
          <w:tcPr>
            <w:tcW w:w="673" w:type="dxa"/>
            <w:tcBorders>
              <w:top w:val="single" w:sz="12" w:space="0" w:color="auto"/>
            </w:tcBorders>
            <w:shd w:val="clear" w:color="auto" w:fill="auto"/>
            <w:noWrap/>
            <w:vAlign w:val="bottom"/>
            <w:hideMark/>
          </w:tcPr>
          <w:p w:rsidR="002246AD" w:rsidRPr="003D1522" w:rsidRDefault="002246AD" w:rsidP="007837F9">
            <w:pPr>
              <w:pStyle w:val="SingleTxtG"/>
              <w:spacing w:before="40" w:after="40" w:line="220" w:lineRule="exact"/>
              <w:ind w:left="0" w:right="113"/>
              <w:jc w:val="right"/>
              <w:rPr>
                <w:sz w:val="18"/>
              </w:rPr>
            </w:pPr>
            <w:r w:rsidRPr="003D1522">
              <w:rPr>
                <w:sz w:val="18"/>
              </w:rPr>
              <w:t>20%</w:t>
            </w:r>
          </w:p>
        </w:tc>
        <w:tc>
          <w:tcPr>
            <w:tcW w:w="673" w:type="dxa"/>
            <w:tcBorders>
              <w:top w:val="single" w:sz="12" w:space="0" w:color="auto"/>
            </w:tcBorders>
            <w:shd w:val="clear" w:color="auto" w:fill="auto"/>
            <w:noWrap/>
            <w:vAlign w:val="bottom"/>
            <w:hideMark/>
          </w:tcPr>
          <w:p w:rsidR="002246AD" w:rsidRPr="003D1522" w:rsidRDefault="002246AD" w:rsidP="007837F9">
            <w:pPr>
              <w:pStyle w:val="SingleTxtG"/>
              <w:spacing w:before="40" w:after="40" w:line="220" w:lineRule="exact"/>
              <w:ind w:left="0" w:right="113"/>
              <w:jc w:val="right"/>
              <w:rPr>
                <w:sz w:val="18"/>
              </w:rPr>
            </w:pPr>
            <w:r w:rsidRPr="003D1522">
              <w:rPr>
                <w:sz w:val="18"/>
              </w:rPr>
              <w:t>20%</w:t>
            </w:r>
          </w:p>
        </w:tc>
        <w:tc>
          <w:tcPr>
            <w:tcW w:w="674" w:type="dxa"/>
            <w:tcBorders>
              <w:top w:val="single" w:sz="12" w:space="0" w:color="auto"/>
            </w:tcBorders>
            <w:shd w:val="clear" w:color="auto" w:fill="auto"/>
            <w:noWrap/>
            <w:vAlign w:val="bottom"/>
            <w:hideMark/>
          </w:tcPr>
          <w:p w:rsidR="002246AD" w:rsidRPr="003D1522" w:rsidRDefault="002246AD" w:rsidP="007837F9">
            <w:pPr>
              <w:pStyle w:val="SingleTxtG"/>
              <w:spacing w:before="40" w:after="40" w:line="220" w:lineRule="exact"/>
              <w:ind w:left="0" w:right="113"/>
              <w:jc w:val="right"/>
              <w:rPr>
                <w:sz w:val="18"/>
              </w:rPr>
            </w:pPr>
            <w:r w:rsidRPr="003D1522">
              <w:rPr>
                <w:sz w:val="18"/>
              </w:rPr>
              <w:t>20%</w:t>
            </w:r>
          </w:p>
        </w:tc>
        <w:tc>
          <w:tcPr>
            <w:tcW w:w="673" w:type="dxa"/>
            <w:tcBorders>
              <w:top w:val="single" w:sz="12" w:space="0" w:color="auto"/>
            </w:tcBorders>
            <w:shd w:val="clear" w:color="auto" w:fill="auto"/>
            <w:noWrap/>
            <w:vAlign w:val="bottom"/>
            <w:hideMark/>
          </w:tcPr>
          <w:p w:rsidR="002246AD" w:rsidRPr="003D1522" w:rsidRDefault="002246AD" w:rsidP="007837F9">
            <w:pPr>
              <w:pStyle w:val="SingleTxtG"/>
              <w:spacing w:before="40" w:after="40" w:line="220" w:lineRule="exact"/>
              <w:ind w:left="0" w:right="113"/>
              <w:jc w:val="right"/>
              <w:rPr>
                <w:sz w:val="18"/>
              </w:rPr>
            </w:pPr>
            <w:r w:rsidRPr="003D1522">
              <w:rPr>
                <w:sz w:val="18"/>
              </w:rPr>
              <w:t>20%</w:t>
            </w:r>
          </w:p>
        </w:tc>
        <w:tc>
          <w:tcPr>
            <w:tcW w:w="673" w:type="dxa"/>
            <w:tcBorders>
              <w:top w:val="single" w:sz="12" w:space="0" w:color="auto"/>
            </w:tcBorders>
            <w:shd w:val="clear" w:color="auto" w:fill="auto"/>
            <w:noWrap/>
            <w:vAlign w:val="bottom"/>
            <w:hideMark/>
          </w:tcPr>
          <w:p w:rsidR="002246AD" w:rsidRPr="003D1522" w:rsidRDefault="002246AD" w:rsidP="007837F9">
            <w:pPr>
              <w:pStyle w:val="SingleTxtG"/>
              <w:spacing w:before="40" w:after="40" w:line="220" w:lineRule="exact"/>
              <w:ind w:left="0" w:right="113"/>
              <w:jc w:val="right"/>
              <w:rPr>
                <w:sz w:val="18"/>
              </w:rPr>
            </w:pPr>
            <w:r w:rsidRPr="003D1522">
              <w:rPr>
                <w:sz w:val="18"/>
              </w:rPr>
              <w:t>20%</w:t>
            </w:r>
          </w:p>
        </w:tc>
        <w:tc>
          <w:tcPr>
            <w:tcW w:w="673" w:type="dxa"/>
            <w:tcBorders>
              <w:top w:val="single" w:sz="12" w:space="0" w:color="auto"/>
            </w:tcBorders>
            <w:shd w:val="clear" w:color="auto" w:fill="auto"/>
            <w:noWrap/>
            <w:vAlign w:val="bottom"/>
            <w:hideMark/>
          </w:tcPr>
          <w:p w:rsidR="002246AD" w:rsidRPr="003D1522" w:rsidRDefault="002246AD" w:rsidP="007837F9">
            <w:pPr>
              <w:pStyle w:val="SingleTxtG"/>
              <w:spacing w:before="40" w:after="40" w:line="220" w:lineRule="exact"/>
              <w:ind w:left="0" w:right="113"/>
              <w:jc w:val="right"/>
              <w:rPr>
                <w:sz w:val="18"/>
              </w:rPr>
            </w:pPr>
            <w:r w:rsidRPr="003D1522">
              <w:rPr>
                <w:sz w:val="18"/>
              </w:rPr>
              <w:t>20%</w:t>
            </w:r>
          </w:p>
        </w:tc>
        <w:tc>
          <w:tcPr>
            <w:tcW w:w="674" w:type="dxa"/>
            <w:tcBorders>
              <w:top w:val="single" w:sz="12" w:space="0" w:color="auto"/>
            </w:tcBorders>
            <w:shd w:val="clear" w:color="auto" w:fill="auto"/>
            <w:noWrap/>
            <w:vAlign w:val="bottom"/>
            <w:hideMark/>
          </w:tcPr>
          <w:p w:rsidR="002246AD" w:rsidRPr="003D1522" w:rsidRDefault="002246AD" w:rsidP="007837F9">
            <w:pPr>
              <w:pStyle w:val="SingleTxtG"/>
              <w:spacing w:before="40" w:after="40" w:line="220" w:lineRule="exact"/>
              <w:ind w:left="0" w:right="113"/>
              <w:jc w:val="right"/>
              <w:rPr>
                <w:sz w:val="18"/>
              </w:rPr>
            </w:pPr>
            <w:r w:rsidRPr="003D1522">
              <w:rPr>
                <w:sz w:val="18"/>
              </w:rPr>
              <w:t>20%</w:t>
            </w:r>
          </w:p>
        </w:tc>
      </w:tr>
      <w:tr w:rsidR="00ED3B30" w:rsidRPr="003D1522" w:rsidTr="00A234C8">
        <w:tc>
          <w:tcPr>
            <w:tcW w:w="851" w:type="dxa"/>
            <w:shd w:val="clear" w:color="auto" w:fill="auto"/>
            <w:noWrap/>
            <w:hideMark/>
          </w:tcPr>
          <w:p w:rsidR="002246AD" w:rsidRPr="003D1522" w:rsidRDefault="002246AD" w:rsidP="007837F9">
            <w:pPr>
              <w:pStyle w:val="SingleTxtG"/>
              <w:spacing w:before="40" w:after="40" w:line="220" w:lineRule="exact"/>
              <w:ind w:left="0" w:right="113"/>
              <w:jc w:val="left"/>
              <w:rPr>
                <w:sz w:val="18"/>
              </w:rPr>
            </w:pPr>
            <w:r w:rsidRPr="003D1522">
              <w:rPr>
                <w:sz w:val="18"/>
              </w:rPr>
              <w:t>Reduced rate</w:t>
            </w:r>
          </w:p>
        </w:tc>
        <w:tc>
          <w:tcPr>
            <w:tcW w:w="590" w:type="dxa"/>
            <w:shd w:val="clear" w:color="auto" w:fill="auto"/>
            <w:noWrap/>
            <w:vAlign w:val="bottom"/>
            <w:hideMark/>
          </w:tcPr>
          <w:p w:rsidR="002246AD" w:rsidRPr="003D1522" w:rsidRDefault="002246AD" w:rsidP="007837F9">
            <w:pPr>
              <w:pStyle w:val="SingleTxtG"/>
              <w:spacing w:before="40" w:after="40" w:line="220" w:lineRule="exact"/>
              <w:ind w:left="0" w:right="113"/>
              <w:jc w:val="right"/>
              <w:rPr>
                <w:sz w:val="18"/>
              </w:rPr>
            </w:pPr>
            <w:r w:rsidRPr="003D1522">
              <w:rPr>
                <w:sz w:val="18"/>
              </w:rPr>
              <w:t>5%</w:t>
            </w:r>
          </w:p>
        </w:tc>
        <w:tc>
          <w:tcPr>
            <w:tcW w:w="827" w:type="dxa"/>
            <w:shd w:val="clear" w:color="auto" w:fill="auto"/>
            <w:noWrap/>
            <w:vAlign w:val="bottom"/>
            <w:hideMark/>
          </w:tcPr>
          <w:p w:rsidR="002246AD" w:rsidRPr="003D1522" w:rsidRDefault="002246AD" w:rsidP="007837F9">
            <w:pPr>
              <w:pStyle w:val="SingleTxtG"/>
              <w:spacing w:before="40" w:after="40" w:line="220" w:lineRule="exact"/>
              <w:ind w:left="0" w:right="113"/>
              <w:jc w:val="right"/>
              <w:rPr>
                <w:sz w:val="18"/>
              </w:rPr>
            </w:pPr>
            <w:r w:rsidRPr="003D1522">
              <w:rPr>
                <w:sz w:val="18"/>
              </w:rPr>
              <w:t>9%</w:t>
            </w:r>
          </w:p>
        </w:tc>
        <w:tc>
          <w:tcPr>
            <w:tcW w:w="851" w:type="dxa"/>
            <w:shd w:val="clear" w:color="auto" w:fill="auto"/>
            <w:noWrap/>
            <w:vAlign w:val="bottom"/>
            <w:hideMark/>
          </w:tcPr>
          <w:p w:rsidR="002246AD" w:rsidRPr="003D1522" w:rsidRDefault="002246AD" w:rsidP="007837F9">
            <w:pPr>
              <w:pStyle w:val="SingleTxtG"/>
              <w:spacing w:before="40" w:after="40" w:line="220" w:lineRule="exact"/>
              <w:ind w:left="0" w:right="113"/>
              <w:jc w:val="right"/>
              <w:rPr>
                <w:sz w:val="18"/>
              </w:rPr>
            </w:pPr>
            <w:r w:rsidRPr="003D1522">
              <w:rPr>
                <w:sz w:val="18"/>
              </w:rPr>
              <w:t>9%</w:t>
            </w:r>
          </w:p>
        </w:tc>
        <w:tc>
          <w:tcPr>
            <w:tcW w:w="673" w:type="dxa"/>
            <w:shd w:val="clear" w:color="auto" w:fill="auto"/>
            <w:noWrap/>
            <w:vAlign w:val="bottom"/>
            <w:hideMark/>
          </w:tcPr>
          <w:p w:rsidR="002246AD" w:rsidRPr="003D1522" w:rsidRDefault="002246AD" w:rsidP="007837F9">
            <w:pPr>
              <w:pStyle w:val="SingleTxtG"/>
              <w:spacing w:before="40" w:after="40" w:line="220" w:lineRule="exact"/>
              <w:ind w:left="0" w:right="113"/>
              <w:jc w:val="right"/>
              <w:rPr>
                <w:sz w:val="18"/>
              </w:rPr>
            </w:pPr>
            <w:r w:rsidRPr="003D1522">
              <w:rPr>
                <w:sz w:val="18"/>
              </w:rPr>
              <w:t>9%</w:t>
            </w:r>
          </w:p>
        </w:tc>
        <w:tc>
          <w:tcPr>
            <w:tcW w:w="673" w:type="dxa"/>
            <w:shd w:val="clear" w:color="auto" w:fill="auto"/>
            <w:noWrap/>
            <w:vAlign w:val="bottom"/>
            <w:hideMark/>
          </w:tcPr>
          <w:p w:rsidR="002246AD" w:rsidRPr="003D1522" w:rsidRDefault="002246AD" w:rsidP="007837F9">
            <w:pPr>
              <w:pStyle w:val="SingleTxtG"/>
              <w:spacing w:before="40" w:after="40" w:line="220" w:lineRule="exact"/>
              <w:ind w:left="0" w:right="113"/>
              <w:jc w:val="right"/>
              <w:rPr>
                <w:sz w:val="18"/>
              </w:rPr>
            </w:pPr>
            <w:r w:rsidRPr="003D1522">
              <w:rPr>
                <w:sz w:val="18"/>
              </w:rPr>
              <w:t>9%</w:t>
            </w:r>
          </w:p>
        </w:tc>
        <w:tc>
          <w:tcPr>
            <w:tcW w:w="673" w:type="dxa"/>
            <w:shd w:val="clear" w:color="auto" w:fill="auto"/>
            <w:noWrap/>
            <w:vAlign w:val="bottom"/>
            <w:hideMark/>
          </w:tcPr>
          <w:p w:rsidR="002246AD" w:rsidRPr="003D1522" w:rsidRDefault="002246AD" w:rsidP="007837F9">
            <w:pPr>
              <w:pStyle w:val="SingleTxtG"/>
              <w:spacing w:before="40" w:after="40" w:line="220" w:lineRule="exact"/>
              <w:ind w:left="0" w:right="113"/>
              <w:jc w:val="right"/>
              <w:rPr>
                <w:sz w:val="18"/>
              </w:rPr>
            </w:pPr>
            <w:r w:rsidRPr="003D1522">
              <w:rPr>
                <w:sz w:val="18"/>
              </w:rPr>
              <w:t>9%</w:t>
            </w:r>
          </w:p>
        </w:tc>
        <w:tc>
          <w:tcPr>
            <w:tcW w:w="674" w:type="dxa"/>
            <w:shd w:val="clear" w:color="auto" w:fill="auto"/>
            <w:noWrap/>
            <w:vAlign w:val="bottom"/>
            <w:hideMark/>
          </w:tcPr>
          <w:p w:rsidR="002246AD" w:rsidRPr="003D1522" w:rsidRDefault="002246AD" w:rsidP="007837F9">
            <w:pPr>
              <w:pStyle w:val="SingleTxtG"/>
              <w:spacing w:before="40" w:after="40" w:line="220" w:lineRule="exact"/>
              <w:ind w:left="0" w:right="113"/>
              <w:jc w:val="right"/>
              <w:rPr>
                <w:sz w:val="18"/>
              </w:rPr>
            </w:pPr>
            <w:r w:rsidRPr="003D1522">
              <w:rPr>
                <w:sz w:val="18"/>
              </w:rPr>
              <w:t>9%</w:t>
            </w:r>
          </w:p>
        </w:tc>
        <w:tc>
          <w:tcPr>
            <w:tcW w:w="673" w:type="dxa"/>
            <w:shd w:val="clear" w:color="auto" w:fill="auto"/>
            <w:noWrap/>
            <w:vAlign w:val="bottom"/>
            <w:hideMark/>
          </w:tcPr>
          <w:p w:rsidR="002246AD" w:rsidRPr="003D1522" w:rsidRDefault="002246AD" w:rsidP="007837F9">
            <w:pPr>
              <w:pStyle w:val="SingleTxtG"/>
              <w:spacing w:before="40" w:after="40" w:line="220" w:lineRule="exact"/>
              <w:ind w:left="0" w:right="113"/>
              <w:jc w:val="right"/>
              <w:rPr>
                <w:sz w:val="18"/>
              </w:rPr>
            </w:pPr>
            <w:r w:rsidRPr="003D1522">
              <w:rPr>
                <w:sz w:val="18"/>
              </w:rPr>
              <w:t>9%</w:t>
            </w:r>
          </w:p>
        </w:tc>
        <w:tc>
          <w:tcPr>
            <w:tcW w:w="673" w:type="dxa"/>
            <w:shd w:val="clear" w:color="auto" w:fill="auto"/>
            <w:noWrap/>
            <w:vAlign w:val="bottom"/>
            <w:hideMark/>
          </w:tcPr>
          <w:p w:rsidR="002246AD" w:rsidRPr="003D1522" w:rsidRDefault="002246AD" w:rsidP="007837F9">
            <w:pPr>
              <w:pStyle w:val="SingleTxtG"/>
              <w:spacing w:before="40" w:after="40" w:line="220" w:lineRule="exact"/>
              <w:ind w:left="0" w:right="113"/>
              <w:jc w:val="right"/>
              <w:rPr>
                <w:sz w:val="18"/>
              </w:rPr>
            </w:pPr>
            <w:r w:rsidRPr="003D1522">
              <w:rPr>
                <w:sz w:val="18"/>
              </w:rPr>
              <w:t>9%</w:t>
            </w:r>
          </w:p>
        </w:tc>
        <w:tc>
          <w:tcPr>
            <w:tcW w:w="673" w:type="dxa"/>
            <w:shd w:val="clear" w:color="auto" w:fill="auto"/>
            <w:noWrap/>
            <w:vAlign w:val="bottom"/>
            <w:hideMark/>
          </w:tcPr>
          <w:p w:rsidR="002246AD" w:rsidRPr="003D1522" w:rsidRDefault="002246AD" w:rsidP="007837F9">
            <w:pPr>
              <w:pStyle w:val="SingleTxtG"/>
              <w:spacing w:before="40" w:after="40" w:line="220" w:lineRule="exact"/>
              <w:ind w:left="0" w:right="113"/>
              <w:jc w:val="right"/>
              <w:rPr>
                <w:sz w:val="18"/>
              </w:rPr>
            </w:pPr>
            <w:r w:rsidRPr="003D1522">
              <w:rPr>
                <w:sz w:val="18"/>
              </w:rPr>
              <w:t>9%</w:t>
            </w:r>
          </w:p>
        </w:tc>
        <w:tc>
          <w:tcPr>
            <w:tcW w:w="674" w:type="dxa"/>
            <w:shd w:val="clear" w:color="auto" w:fill="auto"/>
            <w:noWrap/>
            <w:vAlign w:val="bottom"/>
            <w:hideMark/>
          </w:tcPr>
          <w:p w:rsidR="002246AD" w:rsidRPr="003D1522" w:rsidRDefault="002246AD" w:rsidP="007837F9">
            <w:pPr>
              <w:pStyle w:val="SingleTxtG"/>
              <w:spacing w:before="40" w:after="40" w:line="220" w:lineRule="exact"/>
              <w:ind w:left="0" w:right="113"/>
              <w:jc w:val="right"/>
              <w:rPr>
                <w:sz w:val="18"/>
              </w:rPr>
            </w:pPr>
            <w:r w:rsidRPr="003D1522">
              <w:rPr>
                <w:sz w:val="18"/>
              </w:rPr>
              <w:t>9%</w:t>
            </w:r>
          </w:p>
        </w:tc>
      </w:tr>
    </w:tbl>
    <w:p w:rsidR="002246AD" w:rsidRPr="003D1522" w:rsidRDefault="00A234C8" w:rsidP="00A234C8">
      <w:pPr>
        <w:pStyle w:val="H23G"/>
      </w:pPr>
      <w:r w:rsidRPr="003D1522">
        <w:tab/>
      </w:r>
      <w:r w:rsidRPr="003D1522">
        <w:tab/>
      </w:r>
      <w:r w:rsidR="002246AD" w:rsidRPr="003D1522">
        <w:t>The percentage of total revenue that is generated from personal income taxes collected</w:t>
      </w:r>
      <w:r w:rsidR="002246AD" w:rsidRPr="003D1522">
        <w:br/>
        <w:t>from the richest decile of the population during 2008</w:t>
      </w:r>
      <w:r w:rsidR="00C6515E" w:rsidRPr="003D1522">
        <w:t>–</w:t>
      </w:r>
      <w:r w:rsidR="002246AD" w:rsidRPr="003D1522">
        <w:t xml:space="preserve">2017 ranges </w:t>
      </w:r>
      <w:r w:rsidR="002246AD" w:rsidRPr="003D1522">
        <w:br/>
        <w:t>from 43% to 50% of all PIT</w:t>
      </w:r>
    </w:p>
    <w:tbl>
      <w:tblPr>
        <w:tblW w:w="8435" w:type="dxa"/>
        <w:tblInd w:w="120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43"/>
        <w:gridCol w:w="844"/>
        <w:gridCol w:w="843"/>
        <w:gridCol w:w="844"/>
        <w:gridCol w:w="843"/>
        <w:gridCol w:w="844"/>
        <w:gridCol w:w="843"/>
        <w:gridCol w:w="844"/>
        <w:gridCol w:w="843"/>
        <w:gridCol w:w="844"/>
      </w:tblGrid>
      <w:tr w:rsidR="002246AD" w:rsidRPr="003D1522" w:rsidTr="00E07B5C">
        <w:trPr>
          <w:tblHeader/>
        </w:trPr>
        <w:tc>
          <w:tcPr>
            <w:tcW w:w="843"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2246AD" w:rsidRPr="003D1522" w:rsidRDefault="002246AD" w:rsidP="005C7ACB">
            <w:pPr>
              <w:pStyle w:val="SingleTxtG"/>
              <w:spacing w:before="80" w:after="80" w:line="200" w:lineRule="exact"/>
              <w:ind w:left="0" w:right="113"/>
              <w:jc w:val="right"/>
              <w:rPr>
                <w:i/>
                <w:sz w:val="16"/>
              </w:rPr>
            </w:pPr>
            <w:r w:rsidRPr="003D1522">
              <w:rPr>
                <w:i/>
                <w:sz w:val="16"/>
              </w:rPr>
              <w:t>2008</w:t>
            </w:r>
          </w:p>
        </w:tc>
        <w:tc>
          <w:tcPr>
            <w:tcW w:w="844"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2246AD" w:rsidRPr="003D1522" w:rsidRDefault="002246AD" w:rsidP="00A234C8">
            <w:pPr>
              <w:pStyle w:val="SingleTxtG"/>
              <w:spacing w:before="80" w:after="80" w:line="200" w:lineRule="exact"/>
              <w:ind w:left="0" w:right="113"/>
              <w:jc w:val="right"/>
              <w:rPr>
                <w:i/>
                <w:sz w:val="16"/>
              </w:rPr>
            </w:pPr>
            <w:r w:rsidRPr="003D1522">
              <w:rPr>
                <w:i/>
                <w:sz w:val="16"/>
              </w:rPr>
              <w:t>2009</w:t>
            </w:r>
          </w:p>
        </w:tc>
        <w:tc>
          <w:tcPr>
            <w:tcW w:w="843"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2246AD" w:rsidRPr="003D1522" w:rsidRDefault="002246AD" w:rsidP="00A234C8">
            <w:pPr>
              <w:pStyle w:val="SingleTxtG"/>
              <w:spacing w:before="80" w:after="80" w:line="200" w:lineRule="exact"/>
              <w:ind w:left="0" w:right="113"/>
              <w:jc w:val="right"/>
              <w:rPr>
                <w:i/>
                <w:sz w:val="16"/>
              </w:rPr>
            </w:pPr>
            <w:r w:rsidRPr="003D1522">
              <w:rPr>
                <w:i/>
                <w:sz w:val="16"/>
              </w:rPr>
              <w:t>2010</w:t>
            </w:r>
          </w:p>
        </w:tc>
        <w:tc>
          <w:tcPr>
            <w:tcW w:w="844"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2246AD" w:rsidRPr="003D1522" w:rsidRDefault="002246AD" w:rsidP="00A234C8">
            <w:pPr>
              <w:pStyle w:val="SingleTxtG"/>
              <w:spacing w:before="80" w:after="80" w:line="200" w:lineRule="exact"/>
              <w:ind w:left="0" w:right="113"/>
              <w:jc w:val="right"/>
              <w:rPr>
                <w:i/>
                <w:sz w:val="16"/>
              </w:rPr>
            </w:pPr>
            <w:r w:rsidRPr="003D1522">
              <w:rPr>
                <w:i/>
                <w:sz w:val="16"/>
              </w:rPr>
              <w:t>2011</w:t>
            </w:r>
          </w:p>
        </w:tc>
        <w:tc>
          <w:tcPr>
            <w:tcW w:w="843"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2246AD" w:rsidRPr="003D1522" w:rsidRDefault="002246AD" w:rsidP="00A234C8">
            <w:pPr>
              <w:pStyle w:val="SingleTxtG"/>
              <w:spacing w:before="80" w:after="80" w:line="200" w:lineRule="exact"/>
              <w:ind w:left="0" w:right="113"/>
              <w:jc w:val="right"/>
              <w:rPr>
                <w:i/>
                <w:sz w:val="16"/>
              </w:rPr>
            </w:pPr>
            <w:r w:rsidRPr="003D1522">
              <w:rPr>
                <w:i/>
                <w:sz w:val="16"/>
              </w:rPr>
              <w:t>2012</w:t>
            </w:r>
          </w:p>
        </w:tc>
        <w:tc>
          <w:tcPr>
            <w:tcW w:w="844"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2246AD" w:rsidRPr="003D1522" w:rsidRDefault="002246AD" w:rsidP="00A234C8">
            <w:pPr>
              <w:pStyle w:val="SingleTxtG"/>
              <w:spacing w:before="80" w:after="80" w:line="200" w:lineRule="exact"/>
              <w:ind w:left="0" w:right="113"/>
              <w:jc w:val="right"/>
              <w:rPr>
                <w:i/>
                <w:sz w:val="16"/>
              </w:rPr>
            </w:pPr>
            <w:r w:rsidRPr="003D1522">
              <w:rPr>
                <w:i/>
                <w:sz w:val="16"/>
              </w:rPr>
              <w:t>2013</w:t>
            </w:r>
          </w:p>
        </w:tc>
        <w:tc>
          <w:tcPr>
            <w:tcW w:w="843"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2246AD" w:rsidRPr="003D1522" w:rsidRDefault="002246AD" w:rsidP="00A234C8">
            <w:pPr>
              <w:pStyle w:val="SingleTxtG"/>
              <w:spacing w:before="80" w:after="80" w:line="200" w:lineRule="exact"/>
              <w:ind w:left="0" w:right="113"/>
              <w:jc w:val="right"/>
              <w:rPr>
                <w:i/>
                <w:sz w:val="16"/>
              </w:rPr>
            </w:pPr>
            <w:r w:rsidRPr="003D1522">
              <w:rPr>
                <w:i/>
                <w:sz w:val="16"/>
              </w:rPr>
              <w:t>2014</w:t>
            </w:r>
          </w:p>
        </w:tc>
        <w:tc>
          <w:tcPr>
            <w:tcW w:w="844"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2246AD" w:rsidRPr="003D1522" w:rsidRDefault="002246AD" w:rsidP="00A234C8">
            <w:pPr>
              <w:pStyle w:val="SingleTxtG"/>
              <w:spacing w:before="80" w:after="80" w:line="200" w:lineRule="exact"/>
              <w:ind w:left="0" w:right="113"/>
              <w:jc w:val="right"/>
              <w:rPr>
                <w:i/>
                <w:sz w:val="16"/>
              </w:rPr>
            </w:pPr>
            <w:r w:rsidRPr="003D1522">
              <w:rPr>
                <w:i/>
                <w:sz w:val="16"/>
              </w:rPr>
              <w:t>2015</w:t>
            </w:r>
          </w:p>
        </w:tc>
        <w:tc>
          <w:tcPr>
            <w:tcW w:w="843"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2246AD" w:rsidRPr="003D1522" w:rsidRDefault="002246AD" w:rsidP="00A234C8">
            <w:pPr>
              <w:pStyle w:val="SingleTxtG"/>
              <w:spacing w:before="80" w:after="80" w:line="200" w:lineRule="exact"/>
              <w:ind w:left="0" w:right="113"/>
              <w:jc w:val="right"/>
              <w:rPr>
                <w:i/>
                <w:sz w:val="16"/>
              </w:rPr>
            </w:pPr>
            <w:r w:rsidRPr="003D1522">
              <w:rPr>
                <w:i/>
                <w:sz w:val="16"/>
              </w:rPr>
              <w:t>2016</w:t>
            </w:r>
          </w:p>
        </w:tc>
        <w:tc>
          <w:tcPr>
            <w:tcW w:w="844"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2246AD" w:rsidRPr="003D1522" w:rsidRDefault="002246AD" w:rsidP="00A234C8">
            <w:pPr>
              <w:pStyle w:val="SingleTxtG"/>
              <w:spacing w:before="80" w:after="80" w:line="200" w:lineRule="exact"/>
              <w:ind w:left="0" w:right="113"/>
              <w:jc w:val="right"/>
              <w:rPr>
                <w:i/>
                <w:sz w:val="16"/>
              </w:rPr>
            </w:pPr>
            <w:r w:rsidRPr="003D1522">
              <w:rPr>
                <w:i/>
                <w:sz w:val="16"/>
              </w:rPr>
              <w:t>2017</w:t>
            </w:r>
          </w:p>
        </w:tc>
      </w:tr>
      <w:tr w:rsidR="002246AD" w:rsidRPr="003D1522" w:rsidTr="00E07B5C">
        <w:tc>
          <w:tcPr>
            <w:tcW w:w="843" w:type="dxa"/>
            <w:tcBorders>
              <w:top w:val="single" w:sz="12" w:space="0" w:color="auto"/>
            </w:tcBorders>
            <w:shd w:val="clear" w:color="auto" w:fill="auto"/>
            <w:noWrap/>
            <w:tcMar>
              <w:top w:w="0" w:type="dxa"/>
              <w:left w:w="70" w:type="dxa"/>
              <w:bottom w:w="0" w:type="dxa"/>
              <w:right w:w="70" w:type="dxa"/>
            </w:tcMar>
            <w:hideMark/>
          </w:tcPr>
          <w:p w:rsidR="002246AD" w:rsidRPr="003D1522" w:rsidRDefault="002246AD" w:rsidP="005C7ACB">
            <w:pPr>
              <w:pStyle w:val="SingleTxtG"/>
              <w:spacing w:before="40" w:after="40" w:line="220" w:lineRule="exact"/>
              <w:ind w:left="0" w:right="113"/>
              <w:jc w:val="right"/>
              <w:rPr>
                <w:sz w:val="18"/>
              </w:rPr>
            </w:pPr>
            <w:r w:rsidRPr="003D1522">
              <w:rPr>
                <w:sz w:val="18"/>
              </w:rPr>
              <w:t>43</w:t>
            </w:r>
            <w:r w:rsidR="00DF2C9B" w:rsidRPr="003D1522">
              <w:rPr>
                <w:sz w:val="18"/>
              </w:rPr>
              <w:t>.</w:t>
            </w:r>
            <w:r w:rsidRPr="003D1522">
              <w:rPr>
                <w:sz w:val="18"/>
              </w:rPr>
              <w:t>9%</w:t>
            </w:r>
          </w:p>
        </w:tc>
        <w:tc>
          <w:tcPr>
            <w:tcW w:w="844" w:type="dxa"/>
            <w:tcBorders>
              <w:top w:val="single" w:sz="12" w:space="0" w:color="auto"/>
            </w:tcBorders>
            <w:shd w:val="clear" w:color="auto" w:fill="auto"/>
            <w:noWrap/>
            <w:tcMar>
              <w:top w:w="0" w:type="dxa"/>
              <w:left w:w="70" w:type="dxa"/>
              <w:bottom w:w="0" w:type="dxa"/>
              <w:right w:w="70" w:type="dxa"/>
            </w:tcMar>
            <w:vAlign w:val="bottom"/>
            <w:hideMark/>
          </w:tcPr>
          <w:p w:rsidR="002246AD" w:rsidRPr="003D1522" w:rsidRDefault="002246AD" w:rsidP="00A234C8">
            <w:pPr>
              <w:pStyle w:val="SingleTxtG"/>
              <w:spacing w:before="40" w:after="40" w:line="220" w:lineRule="exact"/>
              <w:ind w:left="0" w:right="113"/>
              <w:jc w:val="right"/>
              <w:rPr>
                <w:sz w:val="18"/>
              </w:rPr>
            </w:pPr>
            <w:r w:rsidRPr="003D1522">
              <w:rPr>
                <w:sz w:val="18"/>
              </w:rPr>
              <w:t>50</w:t>
            </w:r>
            <w:r w:rsidR="00DF2C9B" w:rsidRPr="003D1522">
              <w:rPr>
                <w:sz w:val="18"/>
              </w:rPr>
              <w:t>.</w:t>
            </w:r>
            <w:r w:rsidRPr="003D1522">
              <w:rPr>
                <w:sz w:val="18"/>
              </w:rPr>
              <w:t>3%</w:t>
            </w:r>
          </w:p>
        </w:tc>
        <w:tc>
          <w:tcPr>
            <w:tcW w:w="843" w:type="dxa"/>
            <w:tcBorders>
              <w:top w:val="single" w:sz="12" w:space="0" w:color="auto"/>
            </w:tcBorders>
            <w:shd w:val="clear" w:color="auto" w:fill="auto"/>
            <w:noWrap/>
            <w:tcMar>
              <w:top w:w="0" w:type="dxa"/>
              <w:left w:w="70" w:type="dxa"/>
              <w:bottom w:w="0" w:type="dxa"/>
              <w:right w:w="70" w:type="dxa"/>
            </w:tcMar>
            <w:vAlign w:val="bottom"/>
            <w:hideMark/>
          </w:tcPr>
          <w:p w:rsidR="002246AD" w:rsidRPr="003D1522" w:rsidRDefault="002246AD" w:rsidP="00A234C8">
            <w:pPr>
              <w:pStyle w:val="SingleTxtG"/>
              <w:spacing w:before="40" w:after="40" w:line="220" w:lineRule="exact"/>
              <w:ind w:left="0" w:right="113"/>
              <w:jc w:val="right"/>
              <w:rPr>
                <w:sz w:val="18"/>
              </w:rPr>
            </w:pPr>
            <w:r w:rsidRPr="003D1522">
              <w:rPr>
                <w:sz w:val="18"/>
              </w:rPr>
              <w:t>49</w:t>
            </w:r>
            <w:r w:rsidR="00DF2C9B" w:rsidRPr="003D1522">
              <w:rPr>
                <w:sz w:val="18"/>
              </w:rPr>
              <w:t>.</w:t>
            </w:r>
            <w:r w:rsidRPr="003D1522">
              <w:rPr>
                <w:sz w:val="18"/>
              </w:rPr>
              <w:t>7%</w:t>
            </w:r>
          </w:p>
        </w:tc>
        <w:tc>
          <w:tcPr>
            <w:tcW w:w="844" w:type="dxa"/>
            <w:tcBorders>
              <w:top w:val="single" w:sz="12" w:space="0" w:color="auto"/>
            </w:tcBorders>
            <w:shd w:val="clear" w:color="auto" w:fill="auto"/>
            <w:noWrap/>
            <w:tcMar>
              <w:top w:w="0" w:type="dxa"/>
              <w:left w:w="70" w:type="dxa"/>
              <w:bottom w:w="0" w:type="dxa"/>
              <w:right w:w="70" w:type="dxa"/>
            </w:tcMar>
            <w:vAlign w:val="bottom"/>
            <w:hideMark/>
          </w:tcPr>
          <w:p w:rsidR="002246AD" w:rsidRPr="003D1522" w:rsidRDefault="002246AD" w:rsidP="00A234C8">
            <w:pPr>
              <w:pStyle w:val="SingleTxtG"/>
              <w:spacing w:before="40" w:after="40" w:line="220" w:lineRule="exact"/>
              <w:ind w:left="0" w:right="113"/>
              <w:jc w:val="right"/>
              <w:rPr>
                <w:sz w:val="18"/>
              </w:rPr>
            </w:pPr>
            <w:r w:rsidRPr="003D1522">
              <w:rPr>
                <w:sz w:val="18"/>
              </w:rPr>
              <w:t>48</w:t>
            </w:r>
            <w:r w:rsidR="00DF2C9B" w:rsidRPr="003D1522">
              <w:rPr>
                <w:sz w:val="18"/>
              </w:rPr>
              <w:t>.</w:t>
            </w:r>
            <w:r w:rsidRPr="003D1522">
              <w:rPr>
                <w:sz w:val="18"/>
              </w:rPr>
              <w:t>9%</w:t>
            </w:r>
          </w:p>
        </w:tc>
        <w:tc>
          <w:tcPr>
            <w:tcW w:w="843" w:type="dxa"/>
            <w:tcBorders>
              <w:top w:val="single" w:sz="12" w:space="0" w:color="auto"/>
            </w:tcBorders>
            <w:shd w:val="clear" w:color="auto" w:fill="auto"/>
            <w:noWrap/>
            <w:tcMar>
              <w:top w:w="0" w:type="dxa"/>
              <w:left w:w="70" w:type="dxa"/>
              <w:bottom w:w="0" w:type="dxa"/>
              <w:right w:w="70" w:type="dxa"/>
            </w:tcMar>
            <w:vAlign w:val="bottom"/>
            <w:hideMark/>
          </w:tcPr>
          <w:p w:rsidR="002246AD" w:rsidRPr="003D1522" w:rsidRDefault="002246AD" w:rsidP="00A234C8">
            <w:pPr>
              <w:pStyle w:val="SingleTxtG"/>
              <w:spacing w:before="40" w:after="40" w:line="220" w:lineRule="exact"/>
              <w:ind w:left="0" w:right="113"/>
              <w:jc w:val="right"/>
              <w:rPr>
                <w:sz w:val="18"/>
              </w:rPr>
            </w:pPr>
            <w:r w:rsidRPr="003D1522">
              <w:rPr>
                <w:sz w:val="18"/>
              </w:rPr>
              <w:t>47</w:t>
            </w:r>
            <w:r w:rsidR="00DF2C9B" w:rsidRPr="003D1522">
              <w:rPr>
                <w:sz w:val="18"/>
              </w:rPr>
              <w:t>.</w:t>
            </w:r>
            <w:r w:rsidRPr="003D1522">
              <w:rPr>
                <w:sz w:val="18"/>
              </w:rPr>
              <w:t>2%</w:t>
            </w:r>
          </w:p>
        </w:tc>
        <w:tc>
          <w:tcPr>
            <w:tcW w:w="844" w:type="dxa"/>
            <w:tcBorders>
              <w:top w:val="single" w:sz="12" w:space="0" w:color="auto"/>
            </w:tcBorders>
            <w:shd w:val="clear" w:color="auto" w:fill="auto"/>
            <w:noWrap/>
            <w:tcMar>
              <w:top w:w="0" w:type="dxa"/>
              <w:left w:w="70" w:type="dxa"/>
              <w:bottom w:w="0" w:type="dxa"/>
              <w:right w:w="70" w:type="dxa"/>
            </w:tcMar>
            <w:vAlign w:val="bottom"/>
            <w:hideMark/>
          </w:tcPr>
          <w:p w:rsidR="002246AD" w:rsidRPr="003D1522" w:rsidRDefault="002246AD" w:rsidP="00A234C8">
            <w:pPr>
              <w:pStyle w:val="SingleTxtG"/>
              <w:spacing w:before="40" w:after="40" w:line="220" w:lineRule="exact"/>
              <w:ind w:left="0" w:right="113"/>
              <w:jc w:val="right"/>
              <w:rPr>
                <w:sz w:val="18"/>
              </w:rPr>
            </w:pPr>
            <w:r w:rsidRPr="003D1522">
              <w:rPr>
                <w:sz w:val="18"/>
              </w:rPr>
              <w:t>46</w:t>
            </w:r>
            <w:r w:rsidR="00DF2C9B" w:rsidRPr="003D1522">
              <w:rPr>
                <w:sz w:val="18"/>
              </w:rPr>
              <w:t>.</w:t>
            </w:r>
            <w:r w:rsidRPr="003D1522">
              <w:rPr>
                <w:sz w:val="18"/>
              </w:rPr>
              <w:t>1%</w:t>
            </w:r>
          </w:p>
        </w:tc>
        <w:tc>
          <w:tcPr>
            <w:tcW w:w="843" w:type="dxa"/>
            <w:tcBorders>
              <w:top w:val="single" w:sz="12" w:space="0" w:color="auto"/>
            </w:tcBorders>
            <w:shd w:val="clear" w:color="auto" w:fill="auto"/>
            <w:noWrap/>
            <w:tcMar>
              <w:top w:w="0" w:type="dxa"/>
              <w:left w:w="70" w:type="dxa"/>
              <w:bottom w:w="0" w:type="dxa"/>
              <w:right w:w="70" w:type="dxa"/>
            </w:tcMar>
            <w:vAlign w:val="bottom"/>
            <w:hideMark/>
          </w:tcPr>
          <w:p w:rsidR="002246AD" w:rsidRPr="003D1522" w:rsidRDefault="002246AD" w:rsidP="00A234C8">
            <w:pPr>
              <w:pStyle w:val="SingleTxtG"/>
              <w:spacing w:before="40" w:after="40" w:line="220" w:lineRule="exact"/>
              <w:ind w:left="0" w:right="113"/>
              <w:jc w:val="right"/>
              <w:rPr>
                <w:sz w:val="18"/>
              </w:rPr>
            </w:pPr>
            <w:r w:rsidRPr="003D1522">
              <w:rPr>
                <w:sz w:val="18"/>
              </w:rPr>
              <w:t>44</w:t>
            </w:r>
            <w:r w:rsidR="00DF2C9B" w:rsidRPr="003D1522">
              <w:rPr>
                <w:sz w:val="18"/>
              </w:rPr>
              <w:t>.</w:t>
            </w:r>
            <w:r w:rsidRPr="003D1522">
              <w:rPr>
                <w:sz w:val="18"/>
              </w:rPr>
              <w:t>8%</w:t>
            </w:r>
          </w:p>
        </w:tc>
        <w:tc>
          <w:tcPr>
            <w:tcW w:w="844" w:type="dxa"/>
            <w:tcBorders>
              <w:top w:val="single" w:sz="12" w:space="0" w:color="auto"/>
            </w:tcBorders>
            <w:shd w:val="clear" w:color="auto" w:fill="auto"/>
            <w:noWrap/>
            <w:tcMar>
              <w:top w:w="0" w:type="dxa"/>
              <w:left w:w="70" w:type="dxa"/>
              <w:bottom w:w="0" w:type="dxa"/>
              <w:right w:w="70" w:type="dxa"/>
            </w:tcMar>
            <w:vAlign w:val="bottom"/>
            <w:hideMark/>
          </w:tcPr>
          <w:p w:rsidR="002246AD" w:rsidRPr="003D1522" w:rsidRDefault="002246AD" w:rsidP="00A234C8">
            <w:pPr>
              <w:pStyle w:val="SingleTxtG"/>
              <w:spacing w:before="40" w:after="40" w:line="220" w:lineRule="exact"/>
              <w:ind w:left="0" w:right="113"/>
              <w:jc w:val="right"/>
              <w:rPr>
                <w:sz w:val="18"/>
              </w:rPr>
            </w:pPr>
            <w:r w:rsidRPr="003D1522">
              <w:rPr>
                <w:sz w:val="18"/>
              </w:rPr>
              <w:t>43</w:t>
            </w:r>
            <w:r w:rsidR="00DF2C9B" w:rsidRPr="003D1522">
              <w:rPr>
                <w:sz w:val="18"/>
              </w:rPr>
              <w:t>.</w:t>
            </w:r>
            <w:r w:rsidRPr="003D1522">
              <w:rPr>
                <w:sz w:val="18"/>
              </w:rPr>
              <w:t>3%</w:t>
            </w:r>
          </w:p>
        </w:tc>
        <w:tc>
          <w:tcPr>
            <w:tcW w:w="843" w:type="dxa"/>
            <w:tcBorders>
              <w:top w:val="single" w:sz="12" w:space="0" w:color="auto"/>
            </w:tcBorders>
            <w:shd w:val="clear" w:color="auto" w:fill="auto"/>
            <w:noWrap/>
            <w:tcMar>
              <w:top w:w="0" w:type="dxa"/>
              <w:left w:w="70" w:type="dxa"/>
              <w:bottom w:w="0" w:type="dxa"/>
              <w:right w:w="70" w:type="dxa"/>
            </w:tcMar>
            <w:vAlign w:val="bottom"/>
            <w:hideMark/>
          </w:tcPr>
          <w:p w:rsidR="002246AD" w:rsidRPr="003D1522" w:rsidRDefault="002246AD" w:rsidP="00A234C8">
            <w:pPr>
              <w:pStyle w:val="SingleTxtG"/>
              <w:spacing w:before="40" w:after="40" w:line="220" w:lineRule="exact"/>
              <w:ind w:left="0" w:right="113"/>
              <w:jc w:val="right"/>
              <w:rPr>
                <w:sz w:val="18"/>
              </w:rPr>
            </w:pPr>
            <w:r w:rsidRPr="003D1522">
              <w:rPr>
                <w:sz w:val="18"/>
              </w:rPr>
              <w:t>43</w:t>
            </w:r>
            <w:r w:rsidR="00DF2C9B" w:rsidRPr="003D1522">
              <w:rPr>
                <w:sz w:val="18"/>
              </w:rPr>
              <w:t>.</w:t>
            </w:r>
            <w:r w:rsidRPr="003D1522">
              <w:rPr>
                <w:sz w:val="18"/>
              </w:rPr>
              <w:t>1%</w:t>
            </w:r>
          </w:p>
        </w:tc>
        <w:tc>
          <w:tcPr>
            <w:tcW w:w="844" w:type="dxa"/>
            <w:tcBorders>
              <w:top w:val="single" w:sz="12" w:space="0" w:color="auto"/>
            </w:tcBorders>
            <w:shd w:val="clear" w:color="auto" w:fill="auto"/>
            <w:noWrap/>
            <w:tcMar>
              <w:top w:w="0" w:type="dxa"/>
              <w:left w:w="70" w:type="dxa"/>
              <w:bottom w:w="0" w:type="dxa"/>
              <w:right w:w="70" w:type="dxa"/>
            </w:tcMar>
            <w:vAlign w:val="bottom"/>
            <w:hideMark/>
          </w:tcPr>
          <w:p w:rsidR="002246AD" w:rsidRPr="003D1522" w:rsidRDefault="002246AD" w:rsidP="00A234C8">
            <w:pPr>
              <w:pStyle w:val="SingleTxtG"/>
              <w:spacing w:before="40" w:after="40" w:line="220" w:lineRule="exact"/>
              <w:ind w:left="0" w:right="113"/>
              <w:jc w:val="right"/>
              <w:rPr>
                <w:sz w:val="18"/>
              </w:rPr>
            </w:pPr>
            <w:r w:rsidRPr="003D1522">
              <w:rPr>
                <w:sz w:val="18"/>
              </w:rPr>
              <w:t>45</w:t>
            </w:r>
            <w:r w:rsidR="00DF2C9B" w:rsidRPr="003D1522">
              <w:rPr>
                <w:sz w:val="18"/>
              </w:rPr>
              <w:t>.</w:t>
            </w:r>
            <w:r w:rsidRPr="003D1522">
              <w:rPr>
                <w:sz w:val="18"/>
              </w:rPr>
              <w:t>0%</w:t>
            </w:r>
          </w:p>
        </w:tc>
      </w:tr>
    </w:tbl>
    <w:p w:rsidR="002246AD" w:rsidRPr="003D1522" w:rsidRDefault="00A234C8" w:rsidP="00A234C8">
      <w:pPr>
        <w:pStyle w:val="H23G"/>
      </w:pPr>
      <w:r w:rsidRPr="003D1522">
        <w:tab/>
      </w:r>
      <w:r w:rsidRPr="003D1522">
        <w:tab/>
      </w:r>
      <w:r w:rsidR="002246AD" w:rsidRPr="003D1522">
        <w:t>and 7,5% to 8,5% of all</w:t>
      </w:r>
      <w:r w:rsidR="00E45464" w:rsidRPr="003D1522">
        <w:t xml:space="preserve"> tax revenue (as in tax burden)</w:t>
      </w:r>
    </w:p>
    <w:tbl>
      <w:tblPr>
        <w:tblW w:w="8435" w:type="dxa"/>
        <w:tblInd w:w="120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43"/>
        <w:gridCol w:w="844"/>
        <w:gridCol w:w="843"/>
        <w:gridCol w:w="844"/>
        <w:gridCol w:w="843"/>
        <w:gridCol w:w="844"/>
        <w:gridCol w:w="843"/>
        <w:gridCol w:w="844"/>
        <w:gridCol w:w="843"/>
        <w:gridCol w:w="844"/>
      </w:tblGrid>
      <w:tr w:rsidR="002246AD" w:rsidRPr="003D1522" w:rsidTr="00E07B5C">
        <w:trPr>
          <w:tblHeader/>
        </w:trPr>
        <w:tc>
          <w:tcPr>
            <w:tcW w:w="843"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2246AD" w:rsidRPr="003D1522" w:rsidRDefault="002246AD" w:rsidP="005C7ACB">
            <w:pPr>
              <w:pStyle w:val="SingleTxtG"/>
              <w:spacing w:before="80" w:after="80" w:line="200" w:lineRule="exact"/>
              <w:ind w:left="0" w:right="113"/>
              <w:jc w:val="right"/>
              <w:rPr>
                <w:i/>
                <w:sz w:val="16"/>
              </w:rPr>
            </w:pPr>
            <w:r w:rsidRPr="003D1522">
              <w:rPr>
                <w:i/>
                <w:sz w:val="16"/>
              </w:rPr>
              <w:t>2008</w:t>
            </w:r>
          </w:p>
        </w:tc>
        <w:tc>
          <w:tcPr>
            <w:tcW w:w="844"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2246AD" w:rsidRPr="003D1522" w:rsidRDefault="002246AD" w:rsidP="00A234C8">
            <w:pPr>
              <w:pStyle w:val="SingleTxtG"/>
              <w:spacing w:before="80" w:after="80" w:line="200" w:lineRule="exact"/>
              <w:ind w:left="0" w:right="113"/>
              <w:jc w:val="right"/>
              <w:rPr>
                <w:i/>
                <w:sz w:val="16"/>
              </w:rPr>
            </w:pPr>
            <w:r w:rsidRPr="003D1522">
              <w:rPr>
                <w:i/>
                <w:sz w:val="16"/>
              </w:rPr>
              <w:t>2009</w:t>
            </w:r>
          </w:p>
        </w:tc>
        <w:tc>
          <w:tcPr>
            <w:tcW w:w="843"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2246AD" w:rsidRPr="003D1522" w:rsidRDefault="002246AD" w:rsidP="00A234C8">
            <w:pPr>
              <w:pStyle w:val="SingleTxtG"/>
              <w:spacing w:before="80" w:after="80" w:line="200" w:lineRule="exact"/>
              <w:ind w:left="0" w:right="113"/>
              <w:jc w:val="right"/>
              <w:rPr>
                <w:i/>
                <w:sz w:val="16"/>
              </w:rPr>
            </w:pPr>
            <w:r w:rsidRPr="003D1522">
              <w:rPr>
                <w:i/>
                <w:sz w:val="16"/>
              </w:rPr>
              <w:t>2010</w:t>
            </w:r>
          </w:p>
        </w:tc>
        <w:tc>
          <w:tcPr>
            <w:tcW w:w="844"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2246AD" w:rsidRPr="003D1522" w:rsidRDefault="002246AD" w:rsidP="00A234C8">
            <w:pPr>
              <w:pStyle w:val="SingleTxtG"/>
              <w:spacing w:before="80" w:after="80" w:line="200" w:lineRule="exact"/>
              <w:ind w:left="0" w:right="113"/>
              <w:jc w:val="right"/>
              <w:rPr>
                <w:i/>
                <w:sz w:val="16"/>
              </w:rPr>
            </w:pPr>
            <w:r w:rsidRPr="003D1522">
              <w:rPr>
                <w:i/>
                <w:sz w:val="16"/>
              </w:rPr>
              <w:t>2011</w:t>
            </w:r>
          </w:p>
        </w:tc>
        <w:tc>
          <w:tcPr>
            <w:tcW w:w="843"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2246AD" w:rsidRPr="003D1522" w:rsidRDefault="002246AD" w:rsidP="00A234C8">
            <w:pPr>
              <w:pStyle w:val="SingleTxtG"/>
              <w:spacing w:before="80" w:after="80" w:line="200" w:lineRule="exact"/>
              <w:ind w:left="0" w:right="113"/>
              <w:jc w:val="right"/>
              <w:rPr>
                <w:i/>
                <w:sz w:val="16"/>
              </w:rPr>
            </w:pPr>
            <w:r w:rsidRPr="003D1522">
              <w:rPr>
                <w:i/>
                <w:sz w:val="16"/>
              </w:rPr>
              <w:t>2012</w:t>
            </w:r>
          </w:p>
        </w:tc>
        <w:tc>
          <w:tcPr>
            <w:tcW w:w="844"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2246AD" w:rsidRPr="003D1522" w:rsidRDefault="002246AD" w:rsidP="00A234C8">
            <w:pPr>
              <w:pStyle w:val="SingleTxtG"/>
              <w:spacing w:before="80" w:after="80" w:line="200" w:lineRule="exact"/>
              <w:ind w:left="0" w:right="113"/>
              <w:jc w:val="right"/>
              <w:rPr>
                <w:i/>
                <w:sz w:val="16"/>
              </w:rPr>
            </w:pPr>
            <w:r w:rsidRPr="003D1522">
              <w:rPr>
                <w:i/>
                <w:sz w:val="16"/>
              </w:rPr>
              <w:t>2013</w:t>
            </w:r>
          </w:p>
        </w:tc>
        <w:tc>
          <w:tcPr>
            <w:tcW w:w="843"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2246AD" w:rsidRPr="003D1522" w:rsidRDefault="002246AD" w:rsidP="00A234C8">
            <w:pPr>
              <w:pStyle w:val="SingleTxtG"/>
              <w:spacing w:before="80" w:after="80" w:line="200" w:lineRule="exact"/>
              <w:ind w:left="0" w:right="113"/>
              <w:jc w:val="right"/>
              <w:rPr>
                <w:i/>
                <w:sz w:val="16"/>
              </w:rPr>
            </w:pPr>
            <w:r w:rsidRPr="003D1522">
              <w:rPr>
                <w:i/>
                <w:sz w:val="16"/>
              </w:rPr>
              <w:t>2014</w:t>
            </w:r>
          </w:p>
        </w:tc>
        <w:tc>
          <w:tcPr>
            <w:tcW w:w="844"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2246AD" w:rsidRPr="003D1522" w:rsidRDefault="002246AD" w:rsidP="00A234C8">
            <w:pPr>
              <w:pStyle w:val="SingleTxtG"/>
              <w:spacing w:before="80" w:after="80" w:line="200" w:lineRule="exact"/>
              <w:ind w:left="0" w:right="113"/>
              <w:jc w:val="right"/>
              <w:rPr>
                <w:i/>
                <w:sz w:val="16"/>
              </w:rPr>
            </w:pPr>
            <w:r w:rsidRPr="003D1522">
              <w:rPr>
                <w:i/>
                <w:sz w:val="16"/>
              </w:rPr>
              <w:t>2015</w:t>
            </w:r>
          </w:p>
        </w:tc>
        <w:tc>
          <w:tcPr>
            <w:tcW w:w="843"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2246AD" w:rsidRPr="003D1522" w:rsidRDefault="002246AD" w:rsidP="00A234C8">
            <w:pPr>
              <w:pStyle w:val="SingleTxtG"/>
              <w:spacing w:before="80" w:after="80" w:line="200" w:lineRule="exact"/>
              <w:ind w:left="0" w:right="113"/>
              <w:jc w:val="right"/>
              <w:rPr>
                <w:i/>
                <w:sz w:val="16"/>
              </w:rPr>
            </w:pPr>
            <w:r w:rsidRPr="003D1522">
              <w:rPr>
                <w:i/>
                <w:sz w:val="16"/>
              </w:rPr>
              <w:t>2016</w:t>
            </w:r>
          </w:p>
        </w:tc>
        <w:tc>
          <w:tcPr>
            <w:tcW w:w="844"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2246AD" w:rsidRPr="003D1522" w:rsidRDefault="002246AD" w:rsidP="00A234C8">
            <w:pPr>
              <w:pStyle w:val="SingleTxtG"/>
              <w:spacing w:before="80" w:after="80" w:line="200" w:lineRule="exact"/>
              <w:ind w:left="0" w:right="113"/>
              <w:jc w:val="right"/>
              <w:rPr>
                <w:i/>
                <w:sz w:val="16"/>
              </w:rPr>
            </w:pPr>
            <w:r w:rsidRPr="003D1522">
              <w:rPr>
                <w:i/>
                <w:sz w:val="16"/>
              </w:rPr>
              <w:t>2017</w:t>
            </w:r>
          </w:p>
        </w:tc>
      </w:tr>
      <w:tr w:rsidR="002246AD" w:rsidRPr="003D1522" w:rsidTr="00E07B5C">
        <w:tc>
          <w:tcPr>
            <w:tcW w:w="843" w:type="dxa"/>
            <w:tcBorders>
              <w:top w:val="single" w:sz="12" w:space="0" w:color="auto"/>
            </w:tcBorders>
            <w:shd w:val="clear" w:color="auto" w:fill="auto"/>
            <w:noWrap/>
            <w:tcMar>
              <w:top w:w="0" w:type="dxa"/>
              <w:left w:w="70" w:type="dxa"/>
              <w:bottom w:w="0" w:type="dxa"/>
              <w:right w:w="70" w:type="dxa"/>
            </w:tcMar>
            <w:hideMark/>
          </w:tcPr>
          <w:p w:rsidR="002246AD" w:rsidRPr="003D1522" w:rsidRDefault="002246AD" w:rsidP="005C7ACB">
            <w:pPr>
              <w:pStyle w:val="SingleTxtG"/>
              <w:spacing w:before="40" w:after="40" w:line="220" w:lineRule="exact"/>
              <w:ind w:left="0" w:right="113"/>
              <w:jc w:val="right"/>
              <w:rPr>
                <w:sz w:val="18"/>
              </w:rPr>
            </w:pPr>
            <w:r w:rsidRPr="003D1522">
              <w:rPr>
                <w:sz w:val="18"/>
              </w:rPr>
              <w:t>8</w:t>
            </w:r>
            <w:r w:rsidR="00DF2C9B" w:rsidRPr="003D1522">
              <w:rPr>
                <w:sz w:val="18"/>
              </w:rPr>
              <w:t>.</w:t>
            </w:r>
            <w:r w:rsidRPr="003D1522">
              <w:rPr>
                <w:sz w:val="18"/>
              </w:rPr>
              <w:t>5%</w:t>
            </w:r>
          </w:p>
        </w:tc>
        <w:tc>
          <w:tcPr>
            <w:tcW w:w="844" w:type="dxa"/>
            <w:tcBorders>
              <w:top w:val="single" w:sz="12" w:space="0" w:color="auto"/>
            </w:tcBorders>
            <w:shd w:val="clear" w:color="auto" w:fill="auto"/>
            <w:noWrap/>
            <w:tcMar>
              <w:top w:w="0" w:type="dxa"/>
              <w:left w:w="70" w:type="dxa"/>
              <w:bottom w:w="0" w:type="dxa"/>
              <w:right w:w="70" w:type="dxa"/>
            </w:tcMar>
            <w:vAlign w:val="bottom"/>
            <w:hideMark/>
          </w:tcPr>
          <w:p w:rsidR="002246AD" w:rsidRPr="003D1522" w:rsidRDefault="002246AD" w:rsidP="00A234C8">
            <w:pPr>
              <w:pStyle w:val="SingleTxtG"/>
              <w:spacing w:before="40" w:after="40" w:line="220" w:lineRule="exact"/>
              <w:ind w:left="0" w:right="113"/>
              <w:jc w:val="right"/>
              <w:rPr>
                <w:sz w:val="18"/>
              </w:rPr>
            </w:pPr>
            <w:r w:rsidRPr="003D1522">
              <w:rPr>
                <w:sz w:val="18"/>
              </w:rPr>
              <w:t>8</w:t>
            </w:r>
            <w:r w:rsidR="00DF2C9B" w:rsidRPr="003D1522">
              <w:rPr>
                <w:sz w:val="18"/>
              </w:rPr>
              <w:t>.</w:t>
            </w:r>
            <w:r w:rsidRPr="003D1522">
              <w:rPr>
                <w:sz w:val="18"/>
              </w:rPr>
              <w:t>0%</w:t>
            </w:r>
          </w:p>
        </w:tc>
        <w:tc>
          <w:tcPr>
            <w:tcW w:w="843" w:type="dxa"/>
            <w:tcBorders>
              <w:top w:val="single" w:sz="12" w:space="0" w:color="auto"/>
            </w:tcBorders>
            <w:shd w:val="clear" w:color="auto" w:fill="auto"/>
            <w:noWrap/>
            <w:tcMar>
              <w:top w:w="0" w:type="dxa"/>
              <w:left w:w="70" w:type="dxa"/>
              <w:bottom w:w="0" w:type="dxa"/>
              <w:right w:w="70" w:type="dxa"/>
            </w:tcMar>
            <w:vAlign w:val="bottom"/>
            <w:hideMark/>
          </w:tcPr>
          <w:p w:rsidR="002246AD" w:rsidRPr="003D1522" w:rsidRDefault="002246AD" w:rsidP="00A234C8">
            <w:pPr>
              <w:pStyle w:val="SingleTxtG"/>
              <w:spacing w:before="40" w:after="40" w:line="220" w:lineRule="exact"/>
              <w:ind w:left="0" w:right="113"/>
              <w:jc w:val="right"/>
              <w:rPr>
                <w:sz w:val="18"/>
              </w:rPr>
            </w:pPr>
            <w:r w:rsidRPr="003D1522">
              <w:rPr>
                <w:sz w:val="18"/>
              </w:rPr>
              <w:t>7</w:t>
            </w:r>
            <w:r w:rsidR="00DF2C9B" w:rsidRPr="003D1522">
              <w:rPr>
                <w:sz w:val="18"/>
              </w:rPr>
              <w:t>.</w:t>
            </w:r>
            <w:r w:rsidRPr="003D1522">
              <w:rPr>
                <w:sz w:val="18"/>
              </w:rPr>
              <w:t>9%</w:t>
            </w:r>
          </w:p>
        </w:tc>
        <w:tc>
          <w:tcPr>
            <w:tcW w:w="844" w:type="dxa"/>
            <w:tcBorders>
              <w:top w:val="single" w:sz="12" w:space="0" w:color="auto"/>
            </w:tcBorders>
            <w:shd w:val="clear" w:color="auto" w:fill="auto"/>
            <w:noWrap/>
            <w:tcMar>
              <w:top w:w="0" w:type="dxa"/>
              <w:left w:w="70" w:type="dxa"/>
              <w:bottom w:w="0" w:type="dxa"/>
              <w:right w:w="70" w:type="dxa"/>
            </w:tcMar>
            <w:vAlign w:val="bottom"/>
            <w:hideMark/>
          </w:tcPr>
          <w:p w:rsidR="002246AD" w:rsidRPr="003D1522" w:rsidRDefault="002246AD" w:rsidP="00A234C8">
            <w:pPr>
              <w:pStyle w:val="SingleTxtG"/>
              <w:spacing w:before="40" w:after="40" w:line="220" w:lineRule="exact"/>
              <w:ind w:left="0" w:right="113"/>
              <w:jc w:val="right"/>
              <w:rPr>
                <w:sz w:val="18"/>
              </w:rPr>
            </w:pPr>
            <w:r w:rsidRPr="003D1522">
              <w:rPr>
                <w:sz w:val="18"/>
              </w:rPr>
              <w:t>7</w:t>
            </w:r>
            <w:r w:rsidR="00DF2C9B" w:rsidRPr="003D1522">
              <w:rPr>
                <w:sz w:val="18"/>
              </w:rPr>
              <w:t>.</w:t>
            </w:r>
            <w:r w:rsidRPr="003D1522">
              <w:rPr>
                <w:sz w:val="18"/>
              </w:rPr>
              <w:t>9%</w:t>
            </w:r>
          </w:p>
        </w:tc>
        <w:tc>
          <w:tcPr>
            <w:tcW w:w="843" w:type="dxa"/>
            <w:tcBorders>
              <w:top w:val="single" w:sz="12" w:space="0" w:color="auto"/>
            </w:tcBorders>
            <w:shd w:val="clear" w:color="auto" w:fill="auto"/>
            <w:noWrap/>
            <w:tcMar>
              <w:top w:w="0" w:type="dxa"/>
              <w:left w:w="70" w:type="dxa"/>
              <w:bottom w:w="0" w:type="dxa"/>
              <w:right w:w="70" w:type="dxa"/>
            </w:tcMar>
            <w:vAlign w:val="bottom"/>
            <w:hideMark/>
          </w:tcPr>
          <w:p w:rsidR="002246AD" w:rsidRPr="003D1522" w:rsidRDefault="002246AD" w:rsidP="00A234C8">
            <w:pPr>
              <w:pStyle w:val="SingleTxtG"/>
              <w:spacing w:before="40" w:after="40" w:line="220" w:lineRule="exact"/>
              <w:ind w:left="0" w:right="113"/>
              <w:jc w:val="right"/>
              <w:rPr>
                <w:sz w:val="18"/>
              </w:rPr>
            </w:pPr>
            <w:r w:rsidRPr="003D1522">
              <w:rPr>
                <w:sz w:val="18"/>
              </w:rPr>
              <w:t>7</w:t>
            </w:r>
            <w:r w:rsidR="00DF2C9B" w:rsidRPr="003D1522">
              <w:rPr>
                <w:sz w:val="18"/>
              </w:rPr>
              <w:t>.</w:t>
            </w:r>
            <w:r w:rsidRPr="003D1522">
              <w:rPr>
                <w:sz w:val="18"/>
              </w:rPr>
              <w:t>7%</w:t>
            </w:r>
          </w:p>
        </w:tc>
        <w:tc>
          <w:tcPr>
            <w:tcW w:w="844" w:type="dxa"/>
            <w:tcBorders>
              <w:top w:val="single" w:sz="12" w:space="0" w:color="auto"/>
            </w:tcBorders>
            <w:shd w:val="clear" w:color="auto" w:fill="auto"/>
            <w:noWrap/>
            <w:tcMar>
              <w:top w:w="0" w:type="dxa"/>
              <w:left w:w="70" w:type="dxa"/>
              <w:bottom w:w="0" w:type="dxa"/>
              <w:right w:w="70" w:type="dxa"/>
            </w:tcMar>
            <w:vAlign w:val="bottom"/>
            <w:hideMark/>
          </w:tcPr>
          <w:p w:rsidR="002246AD" w:rsidRPr="003D1522" w:rsidRDefault="002246AD" w:rsidP="00A234C8">
            <w:pPr>
              <w:pStyle w:val="SingleTxtG"/>
              <w:spacing w:before="40" w:after="40" w:line="220" w:lineRule="exact"/>
              <w:ind w:left="0" w:right="113"/>
              <w:jc w:val="right"/>
              <w:rPr>
                <w:sz w:val="18"/>
              </w:rPr>
            </w:pPr>
            <w:r w:rsidRPr="003D1522">
              <w:rPr>
                <w:sz w:val="18"/>
              </w:rPr>
              <w:t>7</w:t>
            </w:r>
            <w:r w:rsidR="00DF2C9B" w:rsidRPr="003D1522">
              <w:rPr>
                <w:sz w:val="18"/>
              </w:rPr>
              <w:t>.</w:t>
            </w:r>
            <w:r w:rsidRPr="003D1522">
              <w:rPr>
                <w:sz w:val="18"/>
              </w:rPr>
              <w:t>9%</w:t>
            </w:r>
          </w:p>
        </w:tc>
        <w:tc>
          <w:tcPr>
            <w:tcW w:w="843" w:type="dxa"/>
            <w:tcBorders>
              <w:top w:val="single" w:sz="12" w:space="0" w:color="auto"/>
            </w:tcBorders>
            <w:shd w:val="clear" w:color="auto" w:fill="auto"/>
            <w:noWrap/>
            <w:tcMar>
              <w:top w:w="0" w:type="dxa"/>
              <w:left w:w="70" w:type="dxa"/>
              <w:bottom w:w="0" w:type="dxa"/>
              <w:right w:w="70" w:type="dxa"/>
            </w:tcMar>
            <w:vAlign w:val="bottom"/>
            <w:hideMark/>
          </w:tcPr>
          <w:p w:rsidR="002246AD" w:rsidRPr="003D1522" w:rsidRDefault="002246AD" w:rsidP="00A234C8">
            <w:pPr>
              <w:pStyle w:val="SingleTxtG"/>
              <w:spacing w:before="40" w:after="40" w:line="220" w:lineRule="exact"/>
              <w:ind w:left="0" w:right="113"/>
              <w:jc w:val="right"/>
              <w:rPr>
                <w:sz w:val="18"/>
              </w:rPr>
            </w:pPr>
            <w:r w:rsidRPr="003D1522">
              <w:rPr>
                <w:sz w:val="18"/>
              </w:rPr>
              <w:t>7</w:t>
            </w:r>
            <w:r w:rsidR="00DF2C9B" w:rsidRPr="003D1522">
              <w:rPr>
                <w:sz w:val="18"/>
              </w:rPr>
              <w:t>.</w:t>
            </w:r>
            <w:r w:rsidRPr="003D1522">
              <w:rPr>
                <w:sz w:val="18"/>
              </w:rPr>
              <w:t>9%</w:t>
            </w:r>
          </w:p>
        </w:tc>
        <w:tc>
          <w:tcPr>
            <w:tcW w:w="844" w:type="dxa"/>
            <w:tcBorders>
              <w:top w:val="single" w:sz="12" w:space="0" w:color="auto"/>
            </w:tcBorders>
            <w:shd w:val="clear" w:color="auto" w:fill="auto"/>
            <w:noWrap/>
            <w:tcMar>
              <w:top w:w="0" w:type="dxa"/>
              <w:left w:w="70" w:type="dxa"/>
              <w:bottom w:w="0" w:type="dxa"/>
              <w:right w:w="70" w:type="dxa"/>
            </w:tcMar>
            <w:vAlign w:val="bottom"/>
            <w:hideMark/>
          </w:tcPr>
          <w:p w:rsidR="002246AD" w:rsidRPr="003D1522" w:rsidRDefault="002246AD" w:rsidP="00A234C8">
            <w:pPr>
              <w:pStyle w:val="SingleTxtG"/>
              <w:spacing w:before="40" w:after="40" w:line="220" w:lineRule="exact"/>
              <w:ind w:left="0" w:right="113"/>
              <w:jc w:val="right"/>
              <w:rPr>
                <w:sz w:val="18"/>
              </w:rPr>
            </w:pPr>
            <w:r w:rsidRPr="003D1522">
              <w:rPr>
                <w:sz w:val="18"/>
              </w:rPr>
              <w:t>7</w:t>
            </w:r>
            <w:r w:rsidR="00DF2C9B" w:rsidRPr="003D1522">
              <w:rPr>
                <w:sz w:val="18"/>
              </w:rPr>
              <w:t>.</w:t>
            </w:r>
            <w:r w:rsidRPr="003D1522">
              <w:rPr>
                <w:sz w:val="18"/>
              </w:rPr>
              <w:t>5%</w:t>
            </w:r>
          </w:p>
        </w:tc>
        <w:tc>
          <w:tcPr>
            <w:tcW w:w="843" w:type="dxa"/>
            <w:tcBorders>
              <w:top w:val="single" w:sz="12" w:space="0" w:color="auto"/>
            </w:tcBorders>
            <w:shd w:val="clear" w:color="auto" w:fill="auto"/>
            <w:noWrap/>
            <w:tcMar>
              <w:top w:w="0" w:type="dxa"/>
              <w:left w:w="70" w:type="dxa"/>
              <w:bottom w:w="0" w:type="dxa"/>
              <w:right w:w="70" w:type="dxa"/>
            </w:tcMar>
            <w:vAlign w:val="bottom"/>
            <w:hideMark/>
          </w:tcPr>
          <w:p w:rsidR="002246AD" w:rsidRPr="003D1522" w:rsidRDefault="002246AD" w:rsidP="00A234C8">
            <w:pPr>
              <w:pStyle w:val="SingleTxtG"/>
              <w:spacing w:before="40" w:after="40" w:line="220" w:lineRule="exact"/>
              <w:ind w:left="0" w:right="113"/>
              <w:jc w:val="right"/>
              <w:rPr>
                <w:sz w:val="18"/>
              </w:rPr>
            </w:pPr>
            <w:r w:rsidRPr="003D1522">
              <w:rPr>
                <w:sz w:val="18"/>
              </w:rPr>
              <w:t>7</w:t>
            </w:r>
            <w:r w:rsidR="00DF2C9B" w:rsidRPr="003D1522">
              <w:rPr>
                <w:sz w:val="18"/>
              </w:rPr>
              <w:t>.</w:t>
            </w:r>
            <w:r w:rsidRPr="003D1522">
              <w:rPr>
                <w:sz w:val="18"/>
              </w:rPr>
              <w:t>5%</w:t>
            </w:r>
          </w:p>
        </w:tc>
        <w:tc>
          <w:tcPr>
            <w:tcW w:w="844" w:type="dxa"/>
            <w:tcBorders>
              <w:top w:val="single" w:sz="12" w:space="0" w:color="auto"/>
            </w:tcBorders>
            <w:shd w:val="clear" w:color="auto" w:fill="auto"/>
            <w:noWrap/>
            <w:tcMar>
              <w:top w:w="0" w:type="dxa"/>
              <w:left w:w="70" w:type="dxa"/>
              <w:bottom w:w="0" w:type="dxa"/>
              <w:right w:w="70" w:type="dxa"/>
            </w:tcMar>
            <w:vAlign w:val="bottom"/>
            <w:hideMark/>
          </w:tcPr>
          <w:p w:rsidR="002246AD" w:rsidRPr="003D1522" w:rsidRDefault="002246AD" w:rsidP="00A234C8">
            <w:pPr>
              <w:pStyle w:val="SingleTxtG"/>
              <w:spacing w:before="40" w:after="40" w:line="220" w:lineRule="exact"/>
              <w:ind w:left="0" w:right="113"/>
              <w:jc w:val="right"/>
              <w:rPr>
                <w:sz w:val="18"/>
              </w:rPr>
            </w:pPr>
            <w:r w:rsidRPr="003D1522">
              <w:rPr>
                <w:sz w:val="18"/>
              </w:rPr>
              <w:t>7</w:t>
            </w:r>
            <w:r w:rsidR="00DF2C9B" w:rsidRPr="003D1522">
              <w:rPr>
                <w:sz w:val="18"/>
              </w:rPr>
              <w:t>.</w:t>
            </w:r>
            <w:r w:rsidRPr="003D1522">
              <w:rPr>
                <w:sz w:val="18"/>
              </w:rPr>
              <w:t>8%</w:t>
            </w:r>
          </w:p>
        </w:tc>
      </w:tr>
    </w:tbl>
    <w:p w:rsidR="002246AD" w:rsidRPr="003D1522" w:rsidRDefault="002246AD" w:rsidP="00A234C8">
      <w:pPr>
        <w:pStyle w:val="H23G"/>
      </w:pPr>
      <w:r w:rsidRPr="003D1522">
        <w:tab/>
        <w:t>(d)</w:t>
      </w:r>
      <w:r w:rsidRPr="003D1522">
        <w:tab/>
        <w:t>Public expenses as a percentage of gross domestic product</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50"/>
        <w:gridCol w:w="851"/>
        <w:gridCol w:w="850"/>
        <w:gridCol w:w="851"/>
        <w:gridCol w:w="850"/>
        <w:gridCol w:w="851"/>
        <w:gridCol w:w="850"/>
        <w:gridCol w:w="851"/>
        <w:gridCol w:w="850"/>
        <w:gridCol w:w="851"/>
      </w:tblGrid>
      <w:tr w:rsidR="002246AD" w:rsidRPr="003D1522" w:rsidTr="000F23BC">
        <w:trPr>
          <w:tblHeader/>
        </w:trPr>
        <w:tc>
          <w:tcPr>
            <w:tcW w:w="850" w:type="dxa"/>
            <w:tcBorders>
              <w:top w:val="single" w:sz="4" w:space="0" w:color="auto"/>
              <w:bottom w:val="single" w:sz="12" w:space="0" w:color="auto"/>
            </w:tcBorders>
            <w:shd w:val="clear" w:color="auto" w:fill="auto"/>
            <w:noWrap/>
            <w:vAlign w:val="bottom"/>
            <w:hideMark/>
          </w:tcPr>
          <w:p w:rsidR="002246AD" w:rsidRPr="003D1522" w:rsidRDefault="002246AD" w:rsidP="005C7ACB">
            <w:pPr>
              <w:pStyle w:val="SingleTxtG"/>
              <w:spacing w:before="80" w:after="80" w:line="200" w:lineRule="exact"/>
              <w:ind w:left="0" w:right="113"/>
              <w:jc w:val="right"/>
              <w:rPr>
                <w:i/>
                <w:sz w:val="16"/>
              </w:rPr>
            </w:pPr>
            <w:r w:rsidRPr="003D1522">
              <w:rPr>
                <w:i/>
                <w:sz w:val="16"/>
              </w:rPr>
              <w:t>2007</w:t>
            </w:r>
          </w:p>
        </w:tc>
        <w:tc>
          <w:tcPr>
            <w:tcW w:w="851" w:type="dxa"/>
            <w:tcBorders>
              <w:top w:val="single" w:sz="4" w:space="0" w:color="auto"/>
              <w:bottom w:val="single" w:sz="12" w:space="0" w:color="auto"/>
            </w:tcBorders>
            <w:shd w:val="clear" w:color="auto" w:fill="auto"/>
            <w:noWrap/>
            <w:vAlign w:val="bottom"/>
            <w:hideMark/>
          </w:tcPr>
          <w:p w:rsidR="002246AD" w:rsidRPr="003D1522" w:rsidRDefault="002246AD" w:rsidP="00A234C8">
            <w:pPr>
              <w:pStyle w:val="SingleTxtG"/>
              <w:spacing w:before="80" w:after="80" w:line="200" w:lineRule="exact"/>
              <w:ind w:left="0" w:right="113"/>
              <w:jc w:val="right"/>
              <w:rPr>
                <w:i/>
                <w:sz w:val="16"/>
              </w:rPr>
            </w:pPr>
            <w:r w:rsidRPr="003D1522">
              <w:rPr>
                <w:i/>
                <w:sz w:val="16"/>
              </w:rPr>
              <w:t>2008</w:t>
            </w:r>
          </w:p>
        </w:tc>
        <w:tc>
          <w:tcPr>
            <w:tcW w:w="850" w:type="dxa"/>
            <w:tcBorders>
              <w:top w:val="single" w:sz="4" w:space="0" w:color="auto"/>
              <w:bottom w:val="single" w:sz="12" w:space="0" w:color="auto"/>
            </w:tcBorders>
            <w:shd w:val="clear" w:color="auto" w:fill="auto"/>
            <w:noWrap/>
            <w:vAlign w:val="bottom"/>
            <w:hideMark/>
          </w:tcPr>
          <w:p w:rsidR="002246AD" w:rsidRPr="003D1522" w:rsidRDefault="002246AD" w:rsidP="00A234C8">
            <w:pPr>
              <w:pStyle w:val="SingleTxtG"/>
              <w:spacing w:before="80" w:after="80" w:line="200" w:lineRule="exact"/>
              <w:ind w:left="0" w:right="113"/>
              <w:jc w:val="right"/>
              <w:rPr>
                <w:i/>
                <w:sz w:val="16"/>
              </w:rPr>
            </w:pPr>
            <w:r w:rsidRPr="003D1522">
              <w:rPr>
                <w:i/>
                <w:sz w:val="16"/>
              </w:rPr>
              <w:t>2009</w:t>
            </w:r>
          </w:p>
        </w:tc>
        <w:tc>
          <w:tcPr>
            <w:tcW w:w="851" w:type="dxa"/>
            <w:tcBorders>
              <w:top w:val="single" w:sz="4" w:space="0" w:color="auto"/>
              <w:bottom w:val="single" w:sz="12" w:space="0" w:color="auto"/>
            </w:tcBorders>
            <w:shd w:val="clear" w:color="auto" w:fill="auto"/>
            <w:noWrap/>
            <w:vAlign w:val="bottom"/>
            <w:hideMark/>
          </w:tcPr>
          <w:p w:rsidR="002246AD" w:rsidRPr="003D1522" w:rsidRDefault="002246AD" w:rsidP="00A234C8">
            <w:pPr>
              <w:pStyle w:val="SingleTxtG"/>
              <w:spacing w:before="80" w:after="80" w:line="200" w:lineRule="exact"/>
              <w:ind w:left="0" w:right="113"/>
              <w:jc w:val="right"/>
              <w:rPr>
                <w:i/>
                <w:sz w:val="16"/>
              </w:rPr>
            </w:pPr>
            <w:r w:rsidRPr="003D1522">
              <w:rPr>
                <w:i/>
                <w:sz w:val="16"/>
              </w:rPr>
              <w:t>2010</w:t>
            </w:r>
          </w:p>
        </w:tc>
        <w:tc>
          <w:tcPr>
            <w:tcW w:w="850" w:type="dxa"/>
            <w:tcBorders>
              <w:top w:val="single" w:sz="4" w:space="0" w:color="auto"/>
              <w:bottom w:val="single" w:sz="12" w:space="0" w:color="auto"/>
            </w:tcBorders>
            <w:shd w:val="clear" w:color="auto" w:fill="auto"/>
            <w:noWrap/>
            <w:vAlign w:val="bottom"/>
            <w:hideMark/>
          </w:tcPr>
          <w:p w:rsidR="002246AD" w:rsidRPr="003D1522" w:rsidRDefault="002246AD" w:rsidP="00A234C8">
            <w:pPr>
              <w:pStyle w:val="SingleTxtG"/>
              <w:spacing w:before="80" w:after="80" w:line="200" w:lineRule="exact"/>
              <w:ind w:left="0" w:right="113"/>
              <w:jc w:val="right"/>
              <w:rPr>
                <w:i/>
                <w:sz w:val="16"/>
              </w:rPr>
            </w:pPr>
            <w:r w:rsidRPr="003D1522">
              <w:rPr>
                <w:i/>
                <w:sz w:val="16"/>
              </w:rPr>
              <w:t>2011</w:t>
            </w:r>
          </w:p>
        </w:tc>
        <w:tc>
          <w:tcPr>
            <w:tcW w:w="851" w:type="dxa"/>
            <w:tcBorders>
              <w:top w:val="single" w:sz="4" w:space="0" w:color="auto"/>
              <w:bottom w:val="single" w:sz="12" w:space="0" w:color="auto"/>
            </w:tcBorders>
            <w:shd w:val="clear" w:color="auto" w:fill="auto"/>
            <w:noWrap/>
            <w:vAlign w:val="bottom"/>
            <w:hideMark/>
          </w:tcPr>
          <w:p w:rsidR="002246AD" w:rsidRPr="003D1522" w:rsidRDefault="002246AD" w:rsidP="00A234C8">
            <w:pPr>
              <w:pStyle w:val="SingleTxtG"/>
              <w:spacing w:before="80" w:after="80" w:line="200" w:lineRule="exact"/>
              <w:ind w:left="0" w:right="113"/>
              <w:jc w:val="right"/>
              <w:rPr>
                <w:i/>
                <w:sz w:val="16"/>
              </w:rPr>
            </w:pPr>
            <w:r w:rsidRPr="003D1522">
              <w:rPr>
                <w:i/>
                <w:sz w:val="16"/>
              </w:rPr>
              <w:t>2012</w:t>
            </w:r>
          </w:p>
        </w:tc>
        <w:tc>
          <w:tcPr>
            <w:tcW w:w="850" w:type="dxa"/>
            <w:tcBorders>
              <w:top w:val="single" w:sz="4" w:space="0" w:color="auto"/>
              <w:bottom w:val="single" w:sz="12" w:space="0" w:color="auto"/>
            </w:tcBorders>
            <w:shd w:val="clear" w:color="auto" w:fill="auto"/>
            <w:noWrap/>
            <w:vAlign w:val="bottom"/>
            <w:hideMark/>
          </w:tcPr>
          <w:p w:rsidR="002246AD" w:rsidRPr="003D1522" w:rsidRDefault="002246AD" w:rsidP="00A234C8">
            <w:pPr>
              <w:pStyle w:val="SingleTxtG"/>
              <w:spacing w:before="80" w:after="80" w:line="200" w:lineRule="exact"/>
              <w:ind w:left="0" w:right="113"/>
              <w:jc w:val="right"/>
              <w:rPr>
                <w:i/>
                <w:sz w:val="16"/>
              </w:rPr>
            </w:pPr>
            <w:r w:rsidRPr="003D1522">
              <w:rPr>
                <w:i/>
                <w:sz w:val="16"/>
              </w:rPr>
              <w:t>2013</w:t>
            </w:r>
          </w:p>
        </w:tc>
        <w:tc>
          <w:tcPr>
            <w:tcW w:w="851" w:type="dxa"/>
            <w:tcBorders>
              <w:top w:val="single" w:sz="4" w:space="0" w:color="auto"/>
              <w:bottom w:val="single" w:sz="12" w:space="0" w:color="auto"/>
            </w:tcBorders>
            <w:shd w:val="clear" w:color="auto" w:fill="auto"/>
            <w:noWrap/>
            <w:vAlign w:val="bottom"/>
            <w:hideMark/>
          </w:tcPr>
          <w:p w:rsidR="002246AD" w:rsidRPr="003D1522" w:rsidRDefault="002246AD" w:rsidP="00A234C8">
            <w:pPr>
              <w:pStyle w:val="SingleTxtG"/>
              <w:spacing w:before="80" w:after="80" w:line="200" w:lineRule="exact"/>
              <w:ind w:left="0" w:right="113"/>
              <w:jc w:val="right"/>
              <w:rPr>
                <w:i/>
                <w:sz w:val="16"/>
              </w:rPr>
            </w:pPr>
            <w:r w:rsidRPr="003D1522">
              <w:rPr>
                <w:i/>
                <w:sz w:val="16"/>
              </w:rPr>
              <w:t>2014</w:t>
            </w:r>
          </w:p>
        </w:tc>
        <w:tc>
          <w:tcPr>
            <w:tcW w:w="850" w:type="dxa"/>
            <w:tcBorders>
              <w:top w:val="single" w:sz="4" w:space="0" w:color="auto"/>
              <w:bottom w:val="single" w:sz="12" w:space="0" w:color="auto"/>
            </w:tcBorders>
            <w:shd w:val="clear" w:color="auto" w:fill="auto"/>
            <w:noWrap/>
            <w:vAlign w:val="bottom"/>
            <w:hideMark/>
          </w:tcPr>
          <w:p w:rsidR="002246AD" w:rsidRPr="003D1522" w:rsidRDefault="002246AD" w:rsidP="00A234C8">
            <w:pPr>
              <w:pStyle w:val="SingleTxtG"/>
              <w:spacing w:before="80" w:after="80" w:line="200" w:lineRule="exact"/>
              <w:ind w:left="0" w:right="113"/>
              <w:jc w:val="right"/>
              <w:rPr>
                <w:i/>
                <w:sz w:val="16"/>
              </w:rPr>
            </w:pPr>
            <w:r w:rsidRPr="003D1522">
              <w:rPr>
                <w:i/>
                <w:sz w:val="16"/>
              </w:rPr>
              <w:t>2015</w:t>
            </w:r>
          </w:p>
        </w:tc>
        <w:tc>
          <w:tcPr>
            <w:tcW w:w="851" w:type="dxa"/>
            <w:tcBorders>
              <w:top w:val="single" w:sz="4" w:space="0" w:color="auto"/>
              <w:bottom w:val="single" w:sz="12" w:space="0" w:color="auto"/>
            </w:tcBorders>
            <w:shd w:val="clear" w:color="auto" w:fill="auto"/>
            <w:noWrap/>
            <w:vAlign w:val="bottom"/>
            <w:hideMark/>
          </w:tcPr>
          <w:p w:rsidR="002246AD" w:rsidRPr="003D1522" w:rsidRDefault="002246AD" w:rsidP="00A234C8">
            <w:pPr>
              <w:pStyle w:val="SingleTxtG"/>
              <w:spacing w:before="80" w:after="80" w:line="200" w:lineRule="exact"/>
              <w:ind w:left="0" w:right="113"/>
              <w:jc w:val="right"/>
              <w:rPr>
                <w:i/>
                <w:sz w:val="16"/>
              </w:rPr>
            </w:pPr>
            <w:r w:rsidRPr="003D1522">
              <w:rPr>
                <w:i/>
                <w:sz w:val="16"/>
              </w:rPr>
              <w:t>2016</w:t>
            </w:r>
          </w:p>
        </w:tc>
      </w:tr>
      <w:tr w:rsidR="002246AD" w:rsidRPr="003D1522" w:rsidTr="000F23BC">
        <w:tc>
          <w:tcPr>
            <w:tcW w:w="850" w:type="dxa"/>
            <w:tcBorders>
              <w:top w:val="single" w:sz="12" w:space="0" w:color="auto"/>
            </w:tcBorders>
            <w:shd w:val="clear" w:color="auto" w:fill="auto"/>
            <w:noWrap/>
          </w:tcPr>
          <w:p w:rsidR="002246AD" w:rsidRPr="003D1522" w:rsidRDefault="002246AD" w:rsidP="005C7ACB">
            <w:pPr>
              <w:pStyle w:val="SingleTxtG"/>
              <w:spacing w:before="40" w:after="40" w:line="220" w:lineRule="exact"/>
              <w:ind w:left="0" w:right="113"/>
              <w:jc w:val="right"/>
              <w:rPr>
                <w:sz w:val="18"/>
              </w:rPr>
            </w:pPr>
            <w:r w:rsidRPr="003D1522">
              <w:rPr>
                <w:sz w:val="18"/>
              </w:rPr>
              <w:t>34</w:t>
            </w:r>
            <w:r w:rsidR="00DF2C9B" w:rsidRPr="003D1522">
              <w:rPr>
                <w:sz w:val="18"/>
              </w:rPr>
              <w:t>.</w:t>
            </w:r>
            <w:r w:rsidRPr="003D1522">
              <w:rPr>
                <w:sz w:val="18"/>
              </w:rPr>
              <w:t>1%</w:t>
            </w:r>
          </w:p>
        </w:tc>
        <w:tc>
          <w:tcPr>
            <w:tcW w:w="851" w:type="dxa"/>
            <w:tcBorders>
              <w:top w:val="single" w:sz="12" w:space="0" w:color="auto"/>
            </w:tcBorders>
            <w:shd w:val="clear" w:color="auto" w:fill="auto"/>
            <w:noWrap/>
            <w:vAlign w:val="bottom"/>
          </w:tcPr>
          <w:p w:rsidR="002246AD" w:rsidRPr="003D1522" w:rsidRDefault="002246AD" w:rsidP="00A234C8">
            <w:pPr>
              <w:pStyle w:val="SingleTxtG"/>
              <w:spacing w:before="40" w:after="40" w:line="220" w:lineRule="exact"/>
              <w:ind w:left="0" w:right="113"/>
              <w:jc w:val="right"/>
              <w:rPr>
                <w:sz w:val="18"/>
              </w:rPr>
            </w:pPr>
            <w:r w:rsidRPr="003D1522">
              <w:rPr>
                <w:sz w:val="18"/>
              </w:rPr>
              <w:t>39</w:t>
            </w:r>
            <w:r w:rsidR="00DF2C9B" w:rsidRPr="003D1522">
              <w:rPr>
                <w:sz w:val="18"/>
              </w:rPr>
              <w:t>.</w:t>
            </w:r>
            <w:r w:rsidRPr="003D1522">
              <w:rPr>
                <w:sz w:val="18"/>
              </w:rPr>
              <w:t>7%</w:t>
            </w:r>
          </w:p>
        </w:tc>
        <w:tc>
          <w:tcPr>
            <w:tcW w:w="850" w:type="dxa"/>
            <w:tcBorders>
              <w:top w:val="single" w:sz="12" w:space="0" w:color="auto"/>
            </w:tcBorders>
            <w:shd w:val="clear" w:color="auto" w:fill="auto"/>
            <w:noWrap/>
            <w:vAlign w:val="bottom"/>
          </w:tcPr>
          <w:p w:rsidR="002246AD" w:rsidRPr="003D1522" w:rsidRDefault="002246AD" w:rsidP="00A234C8">
            <w:pPr>
              <w:pStyle w:val="SingleTxtG"/>
              <w:spacing w:before="40" w:after="40" w:line="220" w:lineRule="exact"/>
              <w:ind w:left="0" w:right="113"/>
              <w:jc w:val="right"/>
              <w:rPr>
                <w:sz w:val="18"/>
              </w:rPr>
            </w:pPr>
            <w:r w:rsidRPr="003D1522">
              <w:rPr>
                <w:sz w:val="18"/>
              </w:rPr>
              <w:t>46</w:t>
            </w:r>
            <w:r w:rsidR="00DF2C9B" w:rsidRPr="003D1522">
              <w:rPr>
                <w:sz w:val="18"/>
              </w:rPr>
              <w:t>.</w:t>
            </w:r>
            <w:r w:rsidRPr="003D1522">
              <w:rPr>
                <w:sz w:val="18"/>
              </w:rPr>
              <w:t>1%</w:t>
            </w:r>
          </w:p>
        </w:tc>
        <w:tc>
          <w:tcPr>
            <w:tcW w:w="851" w:type="dxa"/>
            <w:tcBorders>
              <w:top w:val="single" w:sz="12" w:space="0" w:color="auto"/>
            </w:tcBorders>
            <w:shd w:val="clear" w:color="auto" w:fill="auto"/>
            <w:noWrap/>
            <w:vAlign w:val="bottom"/>
          </w:tcPr>
          <w:p w:rsidR="002246AD" w:rsidRPr="003D1522" w:rsidRDefault="002246AD" w:rsidP="00A234C8">
            <w:pPr>
              <w:pStyle w:val="SingleTxtG"/>
              <w:spacing w:before="40" w:after="40" w:line="220" w:lineRule="exact"/>
              <w:ind w:left="0" w:right="113"/>
              <w:jc w:val="right"/>
              <w:rPr>
                <w:sz w:val="18"/>
              </w:rPr>
            </w:pPr>
            <w:r w:rsidRPr="003D1522">
              <w:rPr>
                <w:sz w:val="18"/>
              </w:rPr>
              <w:t>40</w:t>
            </w:r>
            <w:r w:rsidR="00DF2C9B" w:rsidRPr="003D1522">
              <w:rPr>
                <w:sz w:val="18"/>
              </w:rPr>
              <w:t>.</w:t>
            </w:r>
            <w:r w:rsidRPr="003D1522">
              <w:rPr>
                <w:sz w:val="18"/>
              </w:rPr>
              <w:t>5%</w:t>
            </w:r>
          </w:p>
        </w:tc>
        <w:tc>
          <w:tcPr>
            <w:tcW w:w="850" w:type="dxa"/>
            <w:tcBorders>
              <w:top w:val="single" w:sz="12" w:space="0" w:color="auto"/>
            </w:tcBorders>
            <w:shd w:val="clear" w:color="auto" w:fill="auto"/>
            <w:noWrap/>
            <w:vAlign w:val="bottom"/>
          </w:tcPr>
          <w:p w:rsidR="002246AD" w:rsidRPr="003D1522" w:rsidRDefault="002246AD" w:rsidP="00A234C8">
            <w:pPr>
              <w:pStyle w:val="SingleTxtG"/>
              <w:spacing w:before="40" w:after="40" w:line="220" w:lineRule="exact"/>
              <w:ind w:left="0" w:right="113"/>
              <w:jc w:val="right"/>
              <w:rPr>
                <w:sz w:val="18"/>
              </w:rPr>
            </w:pPr>
            <w:r w:rsidRPr="003D1522">
              <w:rPr>
                <w:sz w:val="18"/>
              </w:rPr>
              <w:t>37</w:t>
            </w:r>
            <w:r w:rsidR="00DF2C9B" w:rsidRPr="003D1522">
              <w:rPr>
                <w:sz w:val="18"/>
              </w:rPr>
              <w:t>.</w:t>
            </w:r>
            <w:r w:rsidRPr="003D1522">
              <w:rPr>
                <w:sz w:val="18"/>
              </w:rPr>
              <w:t>4%</w:t>
            </w:r>
          </w:p>
        </w:tc>
        <w:tc>
          <w:tcPr>
            <w:tcW w:w="851" w:type="dxa"/>
            <w:tcBorders>
              <w:top w:val="single" w:sz="12" w:space="0" w:color="auto"/>
            </w:tcBorders>
            <w:shd w:val="clear" w:color="auto" w:fill="auto"/>
            <w:noWrap/>
            <w:vAlign w:val="bottom"/>
          </w:tcPr>
          <w:p w:rsidR="002246AD" w:rsidRPr="003D1522" w:rsidRDefault="002246AD" w:rsidP="00A234C8">
            <w:pPr>
              <w:pStyle w:val="SingleTxtG"/>
              <w:spacing w:before="40" w:after="40" w:line="220" w:lineRule="exact"/>
              <w:ind w:left="0" w:right="113"/>
              <w:jc w:val="right"/>
              <w:rPr>
                <w:sz w:val="18"/>
              </w:rPr>
            </w:pPr>
            <w:r w:rsidRPr="003D1522">
              <w:rPr>
                <w:sz w:val="18"/>
              </w:rPr>
              <w:t>39</w:t>
            </w:r>
            <w:r w:rsidR="00DF2C9B" w:rsidRPr="003D1522">
              <w:rPr>
                <w:sz w:val="18"/>
              </w:rPr>
              <w:t>.</w:t>
            </w:r>
            <w:r w:rsidRPr="003D1522">
              <w:rPr>
                <w:sz w:val="18"/>
              </w:rPr>
              <w:t>3%</w:t>
            </w:r>
          </w:p>
        </w:tc>
        <w:tc>
          <w:tcPr>
            <w:tcW w:w="850" w:type="dxa"/>
            <w:tcBorders>
              <w:top w:val="single" w:sz="12" w:space="0" w:color="auto"/>
            </w:tcBorders>
            <w:shd w:val="clear" w:color="auto" w:fill="auto"/>
            <w:noWrap/>
            <w:vAlign w:val="bottom"/>
          </w:tcPr>
          <w:p w:rsidR="002246AD" w:rsidRPr="003D1522" w:rsidRDefault="002246AD" w:rsidP="00A234C8">
            <w:pPr>
              <w:pStyle w:val="SingleTxtG"/>
              <w:spacing w:before="40" w:after="40" w:line="220" w:lineRule="exact"/>
              <w:ind w:left="0" w:right="113"/>
              <w:jc w:val="right"/>
              <w:rPr>
                <w:sz w:val="18"/>
              </w:rPr>
            </w:pPr>
            <w:r w:rsidRPr="003D1522">
              <w:rPr>
                <w:sz w:val="18"/>
              </w:rPr>
              <w:t>38</w:t>
            </w:r>
            <w:r w:rsidR="00DF2C9B" w:rsidRPr="003D1522">
              <w:rPr>
                <w:sz w:val="18"/>
              </w:rPr>
              <w:t>.</w:t>
            </w:r>
            <w:r w:rsidRPr="003D1522">
              <w:rPr>
                <w:sz w:val="18"/>
              </w:rPr>
              <w:t>5%</w:t>
            </w:r>
          </w:p>
        </w:tc>
        <w:tc>
          <w:tcPr>
            <w:tcW w:w="851" w:type="dxa"/>
            <w:tcBorders>
              <w:top w:val="single" w:sz="12" w:space="0" w:color="auto"/>
            </w:tcBorders>
            <w:shd w:val="clear" w:color="auto" w:fill="auto"/>
            <w:noWrap/>
            <w:vAlign w:val="bottom"/>
          </w:tcPr>
          <w:p w:rsidR="002246AD" w:rsidRPr="003D1522" w:rsidRDefault="002246AD" w:rsidP="00A234C8">
            <w:pPr>
              <w:pStyle w:val="SingleTxtG"/>
              <w:spacing w:before="40" w:after="40" w:line="220" w:lineRule="exact"/>
              <w:ind w:left="0" w:right="113"/>
              <w:jc w:val="right"/>
              <w:rPr>
                <w:sz w:val="18"/>
              </w:rPr>
            </w:pPr>
            <w:r w:rsidRPr="003D1522">
              <w:rPr>
                <w:sz w:val="18"/>
              </w:rPr>
              <w:t>37</w:t>
            </w:r>
            <w:r w:rsidR="00DF2C9B" w:rsidRPr="003D1522">
              <w:rPr>
                <w:sz w:val="18"/>
              </w:rPr>
              <w:t>.</w:t>
            </w:r>
            <w:r w:rsidRPr="003D1522">
              <w:rPr>
                <w:sz w:val="18"/>
              </w:rPr>
              <w:t>9%</w:t>
            </w:r>
          </w:p>
        </w:tc>
        <w:tc>
          <w:tcPr>
            <w:tcW w:w="850" w:type="dxa"/>
            <w:tcBorders>
              <w:top w:val="single" w:sz="12" w:space="0" w:color="auto"/>
            </w:tcBorders>
            <w:shd w:val="clear" w:color="auto" w:fill="auto"/>
            <w:noWrap/>
            <w:vAlign w:val="bottom"/>
          </w:tcPr>
          <w:p w:rsidR="002246AD" w:rsidRPr="003D1522" w:rsidRDefault="002246AD" w:rsidP="00A234C8">
            <w:pPr>
              <w:pStyle w:val="SingleTxtG"/>
              <w:spacing w:before="40" w:after="40" w:line="220" w:lineRule="exact"/>
              <w:ind w:left="0" w:right="113"/>
              <w:jc w:val="right"/>
              <w:rPr>
                <w:sz w:val="18"/>
              </w:rPr>
            </w:pPr>
            <w:r w:rsidRPr="003D1522">
              <w:rPr>
                <w:sz w:val="18"/>
              </w:rPr>
              <w:t>39</w:t>
            </w:r>
            <w:r w:rsidR="00DF2C9B" w:rsidRPr="003D1522">
              <w:rPr>
                <w:sz w:val="18"/>
              </w:rPr>
              <w:t>.</w:t>
            </w:r>
            <w:r w:rsidRPr="003D1522">
              <w:rPr>
                <w:sz w:val="18"/>
              </w:rPr>
              <w:t>6%</w:t>
            </w:r>
          </w:p>
        </w:tc>
        <w:tc>
          <w:tcPr>
            <w:tcW w:w="851" w:type="dxa"/>
            <w:tcBorders>
              <w:top w:val="single" w:sz="12" w:space="0" w:color="auto"/>
            </w:tcBorders>
            <w:shd w:val="clear" w:color="auto" w:fill="auto"/>
            <w:noWrap/>
            <w:vAlign w:val="bottom"/>
          </w:tcPr>
          <w:p w:rsidR="002246AD" w:rsidRPr="003D1522" w:rsidRDefault="002246AD" w:rsidP="00A234C8">
            <w:pPr>
              <w:pStyle w:val="SingleTxtG"/>
              <w:spacing w:before="40" w:after="40" w:line="220" w:lineRule="exact"/>
              <w:ind w:left="0" w:right="113"/>
              <w:jc w:val="right"/>
              <w:rPr>
                <w:sz w:val="18"/>
              </w:rPr>
            </w:pPr>
            <w:r w:rsidRPr="003D1522">
              <w:rPr>
                <w:sz w:val="18"/>
              </w:rPr>
              <w:t>39</w:t>
            </w:r>
            <w:r w:rsidR="00DF2C9B" w:rsidRPr="003D1522">
              <w:rPr>
                <w:sz w:val="18"/>
              </w:rPr>
              <w:t>.</w:t>
            </w:r>
            <w:r w:rsidRPr="003D1522">
              <w:rPr>
                <w:sz w:val="18"/>
              </w:rPr>
              <w:t>5%</w:t>
            </w:r>
          </w:p>
        </w:tc>
      </w:tr>
    </w:tbl>
    <w:p w:rsidR="002246AD" w:rsidRPr="003D1522" w:rsidRDefault="00A234C8" w:rsidP="00A234C8">
      <w:pPr>
        <w:pStyle w:val="H23G"/>
      </w:pPr>
      <w:r w:rsidRPr="003D1522">
        <w:lastRenderedPageBreak/>
        <w:tab/>
      </w:r>
      <w:r w:rsidRPr="003D1522">
        <w:tab/>
      </w:r>
      <w:r w:rsidR="002246AD" w:rsidRPr="003D1522">
        <w:t>The proportion of the public budget allocated to social spending</w:t>
      </w:r>
      <w:r w:rsidR="002246AD" w:rsidRPr="003D1522">
        <w:br/>
        <w:t>(COFOG 06, 07, 09 and 10)</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50"/>
        <w:gridCol w:w="851"/>
        <w:gridCol w:w="850"/>
        <w:gridCol w:w="851"/>
        <w:gridCol w:w="850"/>
        <w:gridCol w:w="851"/>
        <w:gridCol w:w="850"/>
        <w:gridCol w:w="851"/>
        <w:gridCol w:w="850"/>
        <w:gridCol w:w="851"/>
      </w:tblGrid>
      <w:tr w:rsidR="002246AD" w:rsidRPr="003D1522" w:rsidTr="000F23BC">
        <w:trPr>
          <w:tblHeader/>
        </w:trPr>
        <w:tc>
          <w:tcPr>
            <w:tcW w:w="850" w:type="dxa"/>
            <w:tcBorders>
              <w:top w:val="single" w:sz="4" w:space="0" w:color="auto"/>
              <w:bottom w:val="single" w:sz="12" w:space="0" w:color="auto"/>
            </w:tcBorders>
            <w:shd w:val="clear" w:color="auto" w:fill="auto"/>
            <w:noWrap/>
            <w:vAlign w:val="bottom"/>
            <w:hideMark/>
          </w:tcPr>
          <w:p w:rsidR="002246AD" w:rsidRPr="003D1522" w:rsidRDefault="002246AD" w:rsidP="005C7ACB">
            <w:pPr>
              <w:pStyle w:val="SingleTxtG"/>
              <w:spacing w:before="80" w:after="80" w:line="200" w:lineRule="exact"/>
              <w:ind w:left="0" w:right="113"/>
              <w:jc w:val="right"/>
              <w:rPr>
                <w:i/>
                <w:sz w:val="16"/>
              </w:rPr>
            </w:pPr>
            <w:r w:rsidRPr="003D1522">
              <w:rPr>
                <w:i/>
                <w:sz w:val="16"/>
              </w:rPr>
              <w:t>2007</w:t>
            </w:r>
          </w:p>
        </w:tc>
        <w:tc>
          <w:tcPr>
            <w:tcW w:w="851" w:type="dxa"/>
            <w:tcBorders>
              <w:top w:val="single" w:sz="4" w:space="0" w:color="auto"/>
              <w:bottom w:val="single" w:sz="12" w:space="0" w:color="auto"/>
            </w:tcBorders>
            <w:shd w:val="clear" w:color="auto" w:fill="auto"/>
            <w:noWrap/>
            <w:vAlign w:val="bottom"/>
            <w:hideMark/>
          </w:tcPr>
          <w:p w:rsidR="002246AD" w:rsidRPr="003D1522" w:rsidRDefault="002246AD" w:rsidP="00B972B9">
            <w:pPr>
              <w:pStyle w:val="SingleTxtG"/>
              <w:spacing w:before="80" w:after="80" w:line="200" w:lineRule="exact"/>
              <w:ind w:left="0" w:right="113"/>
              <w:jc w:val="right"/>
              <w:rPr>
                <w:i/>
                <w:sz w:val="16"/>
              </w:rPr>
            </w:pPr>
            <w:r w:rsidRPr="003D1522">
              <w:rPr>
                <w:i/>
                <w:sz w:val="16"/>
              </w:rPr>
              <w:t>2008</w:t>
            </w:r>
          </w:p>
        </w:tc>
        <w:tc>
          <w:tcPr>
            <w:tcW w:w="850" w:type="dxa"/>
            <w:tcBorders>
              <w:top w:val="single" w:sz="4" w:space="0" w:color="auto"/>
              <w:bottom w:val="single" w:sz="12" w:space="0" w:color="auto"/>
            </w:tcBorders>
            <w:shd w:val="clear" w:color="auto" w:fill="auto"/>
            <w:noWrap/>
            <w:vAlign w:val="bottom"/>
            <w:hideMark/>
          </w:tcPr>
          <w:p w:rsidR="002246AD" w:rsidRPr="003D1522" w:rsidRDefault="002246AD" w:rsidP="00B972B9">
            <w:pPr>
              <w:pStyle w:val="SingleTxtG"/>
              <w:spacing w:before="80" w:after="80" w:line="200" w:lineRule="exact"/>
              <w:ind w:left="0" w:right="113"/>
              <w:jc w:val="right"/>
              <w:rPr>
                <w:i/>
                <w:sz w:val="16"/>
              </w:rPr>
            </w:pPr>
            <w:r w:rsidRPr="003D1522">
              <w:rPr>
                <w:i/>
                <w:sz w:val="16"/>
              </w:rPr>
              <w:t>2009</w:t>
            </w:r>
          </w:p>
        </w:tc>
        <w:tc>
          <w:tcPr>
            <w:tcW w:w="851" w:type="dxa"/>
            <w:tcBorders>
              <w:top w:val="single" w:sz="4" w:space="0" w:color="auto"/>
              <w:bottom w:val="single" w:sz="12" w:space="0" w:color="auto"/>
            </w:tcBorders>
            <w:shd w:val="clear" w:color="auto" w:fill="auto"/>
            <w:noWrap/>
            <w:vAlign w:val="bottom"/>
            <w:hideMark/>
          </w:tcPr>
          <w:p w:rsidR="002246AD" w:rsidRPr="003D1522" w:rsidRDefault="002246AD" w:rsidP="00B972B9">
            <w:pPr>
              <w:pStyle w:val="SingleTxtG"/>
              <w:spacing w:before="80" w:after="80" w:line="200" w:lineRule="exact"/>
              <w:ind w:left="0" w:right="113"/>
              <w:jc w:val="right"/>
              <w:rPr>
                <w:i/>
                <w:sz w:val="16"/>
              </w:rPr>
            </w:pPr>
            <w:r w:rsidRPr="003D1522">
              <w:rPr>
                <w:i/>
                <w:sz w:val="16"/>
              </w:rPr>
              <w:t>2010</w:t>
            </w:r>
          </w:p>
        </w:tc>
        <w:tc>
          <w:tcPr>
            <w:tcW w:w="850" w:type="dxa"/>
            <w:tcBorders>
              <w:top w:val="single" w:sz="4" w:space="0" w:color="auto"/>
              <w:bottom w:val="single" w:sz="12" w:space="0" w:color="auto"/>
            </w:tcBorders>
            <w:shd w:val="clear" w:color="auto" w:fill="auto"/>
            <w:noWrap/>
            <w:vAlign w:val="bottom"/>
            <w:hideMark/>
          </w:tcPr>
          <w:p w:rsidR="002246AD" w:rsidRPr="003D1522" w:rsidRDefault="002246AD" w:rsidP="00B972B9">
            <w:pPr>
              <w:pStyle w:val="SingleTxtG"/>
              <w:spacing w:before="80" w:after="80" w:line="200" w:lineRule="exact"/>
              <w:ind w:left="0" w:right="113"/>
              <w:jc w:val="right"/>
              <w:rPr>
                <w:i/>
                <w:sz w:val="16"/>
              </w:rPr>
            </w:pPr>
            <w:r w:rsidRPr="003D1522">
              <w:rPr>
                <w:i/>
                <w:sz w:val="16"/>
              </w:rPr>
              <w:t>2011</w:t>
            </w:r>
          </w:p>
        </w:tc>
        <w:tc>
          <w:tcPr>
            <w:tcW w:w="851" w:type="dxa"/>
            <w:tcBorders>
              <w:top w:val="single" w:sz="4" w:space="0" w:color="auto"/>
              <w:bottom w:val="single" w:sz="12" w:space="0" w:color="auto"/>
            </w:tcBorders>
            <w:shd w:val="clear" w:color="auto" w:fill="auto"/>
            <w:noWrap/>
            <w:vAlign w:val="bottom"/>
            <w:hideMark/>
          </w:tcPr>
          <w:p w:rsidR="002246AD" w:rsidRPr="003D1522" w:rsidRDefault="002246AD" w:rsidP="00B972B9">
            <w:pPr>
              <w:pStyle w:val="SingleTxtG"/>
              <w:spacing w:before="80" w:after="80" w:line="200" w:lineRule="exact"/>
              <w:ind w:left="0" w:right="113"/>
              <w:jc w:val="right"/>
              <w:rPr>
                <w:i/>
                <w:sz w:val="16"/>
              </w:rPr>
            </w:pPr>
            <w:r w:rsidRPr="003D1522">
              <w:rPr>
                <w:i/>
                <w:sz w:val="16"/>
              </w:rPr>
              <w:t>2012</w:t>
            </w:r>
          </w:p>
        </w:tc>
        <w:tc>
          <w:tcPr>
            <w:tcW w:w="850" w:type="dxa"/>
            <w:tcBorders>
              <w:top w:val="single" w:sz="4" w:space="0" w:color="auto"/>
              <w:bottom w:val="single" w:sz="12" w:space="0" w:color="auto"/>
            </w:tcBorders>
            <w:shd w:val="clear" w:color="auto" w:fill="auto"/>
            <w:noWrap/>
            <w:vAlign w:val="bottom"/>
            <w:hideMark/>
          </w:tcPr>
          <w:p w:rsidR="002246AD" w:rsidRPr="003D1522" w:rsidRDefault="002246AD" w:rsidP="00B972B9">
            <w:pPr>
              <w:pStyle w:val="SingleTxtG"/>
              <w:spacing w:before="80" w:after="80" w:line="200" w:lineRule="exact"/>
              <w:ind w:left="0" w:right="113"/>
              <w:jc w:val="right"/>
              <w:rPr>
                <w:i/>
                <w:sz w:val="16"/>
              </w:rPr>
            </w:pPr>
            <w:r w:rsidRPr="003D1522">
              <w:rPr>
                <w:i/>
                <w:sz w:val="16"/>
              </w:rPr>
              <w:t>2013</w:t>
            </w:r>
          </w:p>
        </w:tc>
        <w:tc>
          <w:tcPr>
            <w:tcW w:w="851" w:type="dxa"/>
            <w:tcBorders>
              <w:top w:val="single" w:sz="4" w:space="0" w:color="auto"/>
              <w:bottom w:val="single" w:sz="12" w:space="0" w:color="auto"/>
            </w:tcBorders>
            <w:shd w:val="clear" w:color="auto" w:fill="auto"/>
            <w:noWrap/>
            <w:vAlign w:val="bottom"/>
            <w:hideMark/>
          </w:tcPr>
          <w:p w:rsidR="002246AD" w:rsidRPr="003D1522" w:rsidRDefault="002246AD" w:rsidP="00B972B9">
            <w:pPr>
              <w:pStyle w:val="SingleTxtG"/>
              <w:spacing w:before="80" w:after="80" w:line="200" w:lineRule="exact"/>
              <w:ind w:left="0" w:right="113"/>
              <w:jc w:val="right"/>
              <w:rPr>
                <w:i/>
                <w:sz w:val="16"/>
              </w:rPr>
            </w:pPr>
            <w:r w:rsidRPr="003D1522">
              <w:rPr>
                <w:i/>
                <w:sz w:val="16"/>
              </w:rPr>
              <w:t>2014</w:t>
            </w:r>
          </w:p>
        </w:tc>
        <w:tc>
          <w:tcPr>
            <w:tcW w:w="850" w:type="dxa"/>
            <w:tcBorders>
              <w:top w:val="single" w:sz="4" w:space="0" w:color="auto"/>
              <w:bottom w:val="single" w:sz="12" w:space="0" w:color="auto"/>
            </w:tcBorders>
            <w:shd w:val="clear" w:color="auto" w:fill="auto"/>
            <w:noWrap/>
            <w:vAlign w:val="bottom"/>
            <w:hideMark/>
          </w:tcPr>
          <w:p w:rsidR="002246AD" w:rsidRPr="003D1522" w:rsidRDefault="002246AD" w:rsidP="00B972B9">
            <w:pPr>
              <w:pStyle w:val="SingleTxtG"/>
              <w:spacing w:before="80" w:after="80" w:line="200" w:lineRule="exact"/>
              <w:ind w:left="0" w:right="113"/>
              <w:jc w:val="right"/>
              <w:rPr>
                <w:i/>
                <w:sz w:val="16"/>
              </w:rPr>
            </w:pPr>
            <w:r w:rsidRPr="003D1522">
              <w:rPr>
                <w:i/>
                <w:sz w:val="16"/>
              </w:rPr>
              <w:t>2015</w:t>
            </w:r>
          </w:p>
        </w:tc>
        <w:tc>
          <w:tcPr>
            <w:tcW w:w="851" w:type="dxa"/>
            <w:tcBorders>
              <w:top w:val="single" w:sz="4" w:space="0" w:color="auto"/>
              <w:bottom w:val="single" w:sz="12" w:space="0" w:color="auto"/>
            </w:tcBorders>
            <w:shd w:val="clear" w:color="auto" w:fill="auto"/>
            <w:noWrap/>
            <w:vAlign w:val="bottom"/>
            <w:hideMark/>
          </w:tcPr>
          <w:p w:rsidR="002246AD" w:rsidRPr="003D1522" w:rsidRDefault="002246AD" w:rsidP="00B972B9">
            <w:pPr>
              <w:pStyle w:val="SingleTxtG"/>
              <w:spacing w:before="80" w:after="80" w:line="200" w:lineRule="exact"/>
              <w:ind w:left="0" w:right="113"/>
              <w:jc w:val="right"/>
              <w:rPr>
                <w:i/>
                <w:sz w:val="16"/>
              </w:rPr>
            </w:pPr>
            <w:r w:rsidRPr="003D1522">
              <w:rPr>
                <w:i/>
                <w:sz w:val="16"/>
              </w:rPr>
              <w:t>2016</w:t>
            </w:r>
          </w:p>
        </w:tc>
      </w:tr>
      <w:tr w:rsidR="002246AD" w:rsidRPr="003D1522" w:rsidTr="000F23BC">
        <w:tc>
          <w:tcPr>
            <w:tcW w:w="850" w:type="dxa"/>
            <w:tcBorders>
              <w:top w:val="single" w:sz="12" w:space="0" w:color="auto"/>
            </w:tcBorders>
            <w:shd w:val="clear" w:color="auto" w:fill="auto"/>
            <w:noWrap/>
          </w:tcPr>
          <w:p w:rsidR="002246AD" w:rsidRPr="003D1522" w:rsidRDefault="002246AD" w:rsidP="005C7ACB">
            <w:pPr>
              <w:pStyle w:val="SingleTxtG"/>
              <w:spacing w:before="40" w:after="40" w:line="220" w:lineRule="exact"/>
              <w:ind w:left="0" w:right="113"/>
              <w:jc w:val="right"/>
              <w:rPr>
                <w:sz w:val="18"/>
              </w:rPr>
            </w:pPr>
            <w:r w:rsidRPr="003D1522">
              <w:rPr>
                <w:sz w:val="18"/>
              </w:rPr>
              <w:t>59</w:t>
            </w:r>
            <w:r w:rsidR="00DF2C9B" w:rsidRPr="003D1522">
              <w:rPr>
                <w:sz w:val="18"/>
              </w:rPr>
              <w:t>.</w:t>
            </w:r>
            <w:r w:rsidRPr="003D1522">
              <w:rPr>
                <w:sz w:val="18"/>
              </w:rPr>
              <w:t>0%</w:t>
            </w:r>
          </w:p>
        </w:tc>
        <w:tc>
          <w:tcPr>
            <w:tcW w:w="851" w:type="dxa"/>
            <w:tcBorders>
              <w:top w:val="single" w:sz="12" w:space="0" w:color="auto"/>
            </w:tcBorders>
            <w:shd w:val="clear" w:color="auto" w:fill="auto"/>
            <w:noWrap/>
            <w:vAlign w:val="bottom"/>
          </w:tcPr>
          <w:p w:rsidR="002246AD" w:rsidRPr="003D1522" w:rsidRDefault="002246AD" w:rsidP="00B972B9">
            <w:pPr>
              <w:pStyle w:val="SingleTxtG"/>
              <w:spacing w:before="40" w:after="40" w:line="220" w:lineRule="exact"/>
              <w:ind w:left="0" w:right="113"/>
              <w:jc w:val="right"/>
              <w:rPr>
                <w:sz w:val="18"/>
              </w:rPr>
            </w:pPr>
            <w:r w:rsidRPr="003D1522">
              <w:rPr>
                <w:sz w:val="18"/>
              </w:rPr>
              <w:t>60</w:t>
            </w:r>
            <w:r w:rsidR="00DF2C9B" w:rsidRPr="003D1522">
              <w:rPr>
                <w:sz w:val="18"/>
              </w:rPr>
              <w:t>.</w:t>
            </w:r>
            <w:r w:rsidRPr="003D1522">
              <w:rPr>
                <w:sz w:val="18"/>
              </w:rPr>
              <w:t>2%</w:t>
            </w:r>
          </w:p>
        </w:tc>
        <w:tc>
          <w:tcPr>
            <w:tcW w:w="850" w:type="dxa"/>
            <w:tcBorders>
              <w:top w:val="single" w:sz="12" w:space="0" w:color="auto"/>
            </w:tcBorders>
            <w:shd w:val="clear" w:color="auto" w:fill="auto"/>
            <w:noWrap/>
            <w:vAlign w:val="bottom"/>
          </w:tcPr>
          <w:p w:rsidR="002246AD" w:rsidRPr="003D1522" w:rsidRDefault="002246AD" w:rsidP="00B972B9">
            <w:pPr>
              <w:pStyle w:val="SingleTxtG"/>
              <w:spacing w:before="40" w:after="40" w:line="220" w:lineRule="exact"/>
              <w:ind w:left="0" w:right="113"/>
              <w:jc w:val="right"/>
              <w:rPr>
                <w:sz w:val="18"/>
              </w:rPr>
            </w:pPr>
            <w:r w:rsidRPr="003D1522">
              <w:rPr>
                <w:sz w:val="18"/>
              </w:rPr>
              <w:t>61</w:t>
            </w:r>
            <w:r w:rsidR="00DF2C9B" w:rsidRPr="003D1522">
              <w:rPr>
                <w:sz w:val="18"/>
              </w:rPr>
              <w:t>.</w:t>
            </w:r>
            <w:r w:rsidRPr="003D1522">
              <w:rPr>
                <w:sz w:val="18"/>
              </w:rPr>
              <w:t>4%</w:t>
            </w:r>
          </w:p>
        </w:tc>
        <w:tc>
          <w:tcPr>
            <w:tcW w:w="851" w:type="dxa"/>
            <w:tcBorders>
              <w:top w:val="single" w:sz="12" w:space="0" w:color="auto"/>
            </w:tcBorders>
            <w:shd w:val="clear" w:color="auto" w:fill="auto"/>
            <w:noWrap/>
            <w:vAlign w:val="bottom"/>
          </w:tcPr>
          <w:p w:rsidR="002246AD" w:rsidRPr="003D1522" w:rsidRDefault="002246AD" w:rsidP="00B972B9">
            <w:pPr>
              <w:pStyle w:val="SingleTxtG"/>
              <w:spacing w:before="40" w:after="40" w:line="220" w:lineRule="exact"/>
              <w:ind w:left="0" w:right="113"/>
              <w:jc w:val="right"/>
              <w:rPr>
                <w:sz w:val="18"/>
              </w:rPr>
            </w:pPr>
            <w:r w:rsidRPr="003D1522">
              <w:rPr>
                <w:sz w:val="18"/>
              </w:rPr>
              <w:t>65</w:t>
            </w:r>
            <w:r w:rsidR="00DF2C9B" w:rsidRPr="003D1522">
              <w:rPr>
                <w:sz w:val="18"/>
              </w:rPr>
              <w:t>.</w:t>
            </w:r>
            <w:r w:rsidRPr="003D1522">
              <w:rPr>
                <w:sz w:val="18"/>
              </w:rPr>
              <w:t>9%</w:t>
            </w:r>
          </w:p>
        </w:tc>
        <w:tc>
          <w:tcPr>
            <w:tcW w:w="850" w:type="dxa"/>
            <w:tcBorders>
              <w:top w:val="single" w:sz="12" w:space="0" w:color="auto"/>
            </w:tcBorders>
            <w:shd w:val="clear" w:color="auto" w:fill="auto"/>
            <w:noWrap/>
            <w:vAlign w:val="bottom"/>
          </w:tcPr>
          <w:p w:rsidR="002246AD" w:rsidRPr="003D1522" w:rsidRDefault="002246AD" w:rsidP="00B972B9">
            <w:pPr>
              <w:pStyle w:val="SingleTxtG"/>
              <w:spacing w:before="40" w:after="40" w:line="220" w:lineRule="exact"/>
              <w:ind w:left="0" w:right="113"/>
              <w:jc w:val="right"/>
              <w:rPr>
                <w:sz w:val="18"/>
              </w:rPr>
            </w:pPr>
            <w:r w:rsidRPr="003D1522">
              <w:rPr>
                <w:sz w:val="18"/>
              </w:rPr>
              <w:t>64</w:t>
            </w:r>
            <w:r w:rsidR="00DF2C9B" w:rsidRPr="003D1522">
              <w:rPr>
                <w:sz w:val="18"/>
              </w:rPr>
              <w:t>.</w:t>
            </w:r>
            <w:r w:rsidRPr="003D1522">
              <w:rPr>
                <w:sz w:val="18"/>
              </w:rPr>
              <w:t>9%</w:t>
            </w:r>
          </w:p>
        </w:tc>
        <w:tc>
          <w:tcPr>
            <w:tcW w:w="851" w:type="dxa"/>
            <w:tcBorders>
              <w:top w:val="single" w:sz="12" w:space="0" w:color="auto"/>
            </w:tcBorders>
            <w:shd w:val="clear" w:color="auto" w:fill="auto"/>
            <w:noWrap/>
            <w:vAlign w:val="bottom"/>
          </w:tcPr>
          <w:p w:rsidR="002246AD" w:rsidRPr="003D1522" w:rsidRDefault="002246AD" w:rsidP="00B972B9">
            <w:pPr>
              <w:pStyle w:val="SingleTxtG"/>
              <w:spacing w:before="40" w:after="40" w:line="220" w:lineRule="exact"/>
              <w:ind w:left="0" w:right="113"/>
              <w:jc w:val="right"/>
              <w:rPr>
                <w:sz w:val="18"/>
              </w:rPr>
            </w:pPr>
            <w:r w:rsidRPr="003D1522">
              <w:rPr>
                <w:sz w:val="18"/>
              </w:rPr>
              <w:t>61</w:t>
            </w:r>
            <w:r w:rsidR="00DF2C9B" w:rsidRPr="003D1522">
              <w:rPr>
                <w:sz w:val="18"/>
              </w:rPr>
              <w:t>.</w:t>
            </w:r>
            <w:r w:rsidRPr="003D1522">
              <w:rPr>
                <w:sz w:val="18"/>
              </w:rPr>
              <w:t>5%</w:t>
            </w:r>
          </w:p>
        </w:tc>
        <w:tc>
          <w:tcPr>
            <w:tcW w:w="850" w:type="dxa"/>
            <w:tcBorders>
              <w:top w:val="single" w:sz="12" w:space="0" w:color="auto"/>
            </w:tcBorders>
            <w:shd w:val="clear" w:color="auto" w:fill="auto"/>
            <w:noWrap/>
            <w:vAlign w:val="bottom"/>
          </w:tcPr>
          <w:p w:rsidR="002246AD" w:rsidRPr="003D1522" w:rsidRDefault="002246AD" w:rsidP="00B972B9">
            <w:pPr>
              <w:pStyle w:val="SingleTxtG"/>
              <w:spacing w:before="40" w:after="40" w:line="220" w:lineRule="exact"/>
              <w:ind w:left="0" w:right="113"/>
              <w:jc w:val="right"/>
              <w:rPr>
                <w:sz w:val="18"/>
              </w:rPr>
            </w:pPr>
            <w:r w:rsidRPr="003D1522">
              <w:rPr>
                <w:sz w:val="18"/>
              </w:rPr>
              <w:t>60</w:t>
            </w:r>
            <w:r w:rsidR="00DF2C9B" w:rsidRPr="003D1522">
              <w:rPr>
                <w:sz w:val="18"/>
              </w:rPr>
              <w:t>.</w:t>
            </w:r>
            <w:r w:rsidRPr="003D1522">
              <w:rPr>
                <w:sz w:val="18"/>
              </w:rPr>
              <w:t>9%</w:t>
            </w:r>
          </w:p>
        </w:tc>
        <w:tc>
          <w:tcPr>
            <w:tcW w:w="851" w:type="dxa"/>
            <w:tcBorders>
              <w:top w:val="single" w:sz="12" w:space="0" w:color="auto"/>
            </w:tcBorders>
            <w:shd w:val="clear" w:color="auto" w:fill="auto"/>
            <w:noWrap/>
            <w:vAlign w:val="bottom"/>
          </w:tcPr>
          <w:p w:rsidR="002246AD" w:rsidRPr="003D1522" w:rsidRDefault="002246AD" w:rsidP="00B972B9">
            <w:pPr>
              <w:pStyle w:val="SingleTxtG"/>
              <w:spacing w:before="40" w:after="40" w:line="220" w:lineRule="exact"/>
              <w:ind w:left="0" w:right="113"/>
              <w:jc w:val="right"/>
              <w:rPr>
                <w:sz w:val="18"/>
              </w:rPr>
            </w:pPr>
            <w:r w:rsidRPr="003D1522">
              <w:rPr>
                <w:sz w:val="18"/>
              </w:rPr>
              <w:t>60</w:t>
            </w:r>
            <w:r w:rsidR="00DF2C9B" w:rsidRPr="003D1522">
              <w:rPr>
                <w:sz w:val="18"/>
              </w:rPr>
              <w:t>.</w:t>
            </w:r>
            <w:r w:rsidRPr="003D1522">
              <w:rPr>
                <w:sz w:val="18"/>
              </w:rPr>
              <w:t>5%</w:t>
            </w:r>
          </w:p>
        </w:tc>
        <w:tc>
          <w:tcPr>
            <w:tcW w:w="850" w:type="dxa"/>
            <w:tcBorders>
              <w:top w:val="single" w:sz="12" w:space="0" w:color="auto"/>
            </w:tcBorders>
            <w:shd w:val="clear" w:color="auto" w:fill="auto"/>
            <w:noWrap/>
            <w:vAlign w:val="bottom"/>
          </w:tcPr>
          <w:p w:rsidR="002246AD" w:rsidRPr="003D1522" w:rsidRDefault="002246AD" w:rsidP="00B972B9">
            <w:pPr>
              <w:pStyle w:val="SingleTxtG"/>
              <w:spacing w:before="40" w:after="40" w:line="220" w:lineRule="exact"/>
              <w:ind w:left="0" w:right="113"/>
              <w:jc w:val="right"/>
              <w:rPr>
                <w:sz w:val="18"/>
              </w:rPr>
            </w:pPr>
            <w:r w:rsidRPr="003D1522">
              <w:rPr>
                <w:sz w:val="18"/>
              </w:rPr>
              <w:t>61</w:t>
            </w:r>
            <w:r w:rsidR="00DF2C9B" w:rsidRPr="003D1522">
              <w:rPr>
                <w:sz w:val="18"/>
              </w:rPr>
              <w:t>.</w:t>
            </w:r>
            <w:r w:rsidRPr="003D1522">
              <w:rPr>
                <w:sz w:val="18"/>
              </w:rPr>
              <w:t>9%</w:t>
            </w:r>
          </w:p>
        </w:tc>
        <w:tc>
          <w:tcPr>
            <w:tcW w:w="851" w:type="dxa"/>
            <w:tcBorders>
              <w:top w:val="single" w:sz="12" w:space="0" w:color="auto"/>
            </w:tcBorders>
            <w:shd w:val="clear" w:color="auto" w:fill="auto"/>
            <w:noWrap/>
            <w:vAlign w:val="bottom"/>
          </w:tcPr>
          <w:p w:rsidR="002246AD" w:rsidRPr="003D1522" w:rsidRDefault="002246AD" w:rsidP="00B972B9">
            <w:pPr>
              <w:pStyle w:val="SingleTxtG"/>
              <w:spacing w:before="40" w:after="40" w:line="220" w:lineRule="exact"/>
              <w:ind w:left="0" w:right="113"/>
              <w:jc w:val="right"/>
              <w:rPr>
                <w:sz w:val="18"/>
              </w:rPr>
            </w:pPr>
            <w:r w:rsidRPr="003D1522">
              <w:rPr>
                <w:sz w:val="18"/>
              </w:rPr>
              <w:t>61</w:t>
            </w:r>
            <w:r w:rsidR="00DF2C9B" w:rsidRPr="003D1522">
              <w:rPr>
                <w:sz w:val="18"/>
              </w:rPr>
              <w:t>.</w:t>
            </w:r>
            <w:r w:rsidRPr="003D1522">
              <w:rPr>
                <w:sz w:val="18"/>
              </w:rPr>
              <w:t>8%</w:t>
            </w:r>
          </w:p>
        </w:tc>
      </w:tr>
    </w:tbl>
    <w:p w:rsidR="002246AD" w:rsidRPr="003D1522" w:rsidRDefault="002246AD" w:rsidP="00B972B9">
      <w:pPr>
        <w:pStyle w:val="H23G"/>
      </w:pPr>
      <w:r w:rsidRPr="003D1522">
        <w:tab/>
        <w:t>(e)</w:t>
      </w:r>
      <w:r w:rsidRPr="003D1522">
        <w:tab/>
        <w:t>Inflation-adjusted absolute levels of social spending, mln €</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50"/>
        <w:gridCol w:w="851"/>
        <w:gridCol w:w="850"/>
        <w:gridCol w:w="851"/>
        <w:gridCol w:w="850"/>
        <w:gridCol w:w="851"/>
        <w:gridCol w:w="850"/>
        <w:gridCol w:w="851"/>
        <w:gridCol w:w="850"/>
        <w:gridCol w:w="851"/>
      </w:tblGrid>
      <w:tr w:rsidR="002246AD" w:rsidRPr="003D1522" w:rsidTr="000F23BC">
        <w:trPr>
          <w:tblHeader/>
        </w:trPr>
        <w:tc>
          <w:tcPr>
            <w:tcW w:w="850" w:type="dxa"/>
            <w:tcBorders>
              <w:top w:val="single" w:sz="4" w:space="0" w:color="auto"/>
              <w:bottom w:val="single" w:sz="12" w:space="0" w:color="auto"/>
            </w:tcBorders>
            <w:shd w:val="clear" w:color="auto" w:fill="auto"/>
            <w:noWrap/>
            <w:vAlign w:val="bottom"/>
            <w:hideMark/>
          </w:tcPr>
          <w:p w:rsidR="002246AD" w:rsidRPr="003D1522" w:rsidRDefault="002246AD" w:rsidP="005C7ACB">
            <w:pPr>
              <w:pStyle w:val="SingleTxtG"/>
              <w:spacing w:before="80" w:after="80" w:line="200" w:lineRule="exact"/>
              <w:ind w:left="0" w:right="113"/>
              <w:jc w:val="right"/>
              <w:rPr>
                <w:i/>
                <w:sz w:val="16"/>
              </w:rPr>
            </w:pPr>
            <w:r w:rsidRPr="003D1522">
              <w:rPr>
                <w:i/>
                <w:sz w:val="16"/>
              </w:rPr>
              <w:t>2007</w:t>
            </w:r>
          </w:p>
        </w:tc>
        <w:tc>
          <w:tcPr>
            <w:tcW w:w="851" w:type="dxa"/>
            <w:tcBorders>
              <w:top w:val="single" w:sz="4" w:space="0" w:color="auto"/>
              <w:bottom w:val="single" w:sz="12" w:space="0" w:color="auto"/>
            </w:tcBorders>
            <w:shd w:val="clear" w:color="auto" w:fill="auto"/>
            <w:noWrap/>
            <w:vAlign w:val="bottom"/>
            <w:hideMark/>
          </w:tcPr>
          <w:p w:rsidR="002246AD" w:rsidRPr="003D1522" w:rsidRDefault="002246AD" w:rsidP="00B972B9">
            <w:pPr>
              <w:pStyle w:val="SingleTxtG"/>
              <w:spacing w:before="80" w:after="80" w:line="200" w:lineRule="exact"/>
              <w:ind w:left="0" w:right="113"/>
              <w:jc w:val="right"/>
              <w:rPr>
                <w:i/>
                <w:sz w:val="16"/>
              </w:rPr>
            </w:pPr>
            <w:r w:rsidRPr="003D1522">
              <w:rPr>
                <w:i/>
                <w:sz w:val="16"/>
              </w:rPr>
              <w:t>2008</w:t>
            </w:r>
          </w:p>
        </w:tc>
        <w:tc>
          <w:tcPr>
            <w:tcW w:w="850" w:type="dxa"/>
            <w:tcBorders>
              <w:top w:val="single" w:sz="4" w:space="0" w:color="auto"/>
              <w:bottom w:val="single" w:sz="12" w:space="0" w:color="auto"/>
            </w:tcBorders>
            <w:shd w:val="clear" w:color="auto" w:fill="auto"/>
            <w:noWrap/>
            <w:vAlign w:val="bottom"/>
            <w:hideMark/>
          </w:tcPr>
          <w:p w:rsidR="002246AD" w:rsidRPr="003D1522" w:rsidRDefault="002246AD" w:rsidP="00B972B9">
            <w:pPr>
              <w:pStyle w:val="SingleTxtG"/>
              <w:spacing w:before="80" w:after="80" w:line="200" w:lineRule="exact"/>
              <w:ind w:left="0" w:right="113"/>
              <w:jc w:val="right"/>
              <w:rPr>
                <w:i/>
                <w:sz w:val="16"/>
              </w:rPr>
            </w:pPr>
            <w:r w:rsidRPr="003D1522">
              <w:rPr>
                <w:i/>
                <w:sz w:val="16"/>
              </w:rPr>
              <w:t>2009</w:t>
            </w:r>
          </w:p>
        </w:tc>
        <w:tc>
          <w:tcPr>
            <w:tcW w:w="851" w:type="dxa"/>
            <w:tcBorders>
              <w:top w:val="single" w:sz="4" w:space="0" w:color="auto"/>
              <w:bottom w:val="single" w:sz="12" w:space="0" w:color="auto"/>
            </w:tcBorders>
            <w:shd w:val="clear" w:color="auto" w:fill="auto"/>
            <w:noWrap/>
            <w:vAlign w:val="bottom"/>
            <w:hideMark/>
          </w:tcPr>
          <w:p w:rsidR="002246AD" w:rsidRPr="003D1522" w:rsidRDefault="002246AD" w:rsidP="00B972B9">
            <w:pPr>
              <w:pStyle w:val="SingleTxtG"/>
              <w:spacing w:before="80" w:after="80" w:line="200" w:lineRule="exact"/>
              <w:ind w:left="0" w:right="113"/>
              <w:jc w:val="right"/>
              <w:rPr>
                <w:i/>
                <w:sz w:val="16"/>
              </w:rPr>
            </w:pPr>
            <w:r w:rsidRPr="003D1522">
              <w:rPr>
                <w:i/>
                <w:sz w:val="16"/>
              </w:rPr>
              <w:t>2010</w:t>
            </w:r>
          </w:p>
        </w:tc>
        <w:tc>
          <w:tcPr>
            <w:tcW w:w="850" w:type="dxa"/>
            <w:tcBorders>
              <w:top w:val="single" w:sz="4" w:space="0" w:color="auto"/>
              <w:bottom w:val="single" w:sz="12" w:space="0" w:color="auto"/>
            </w:tcBorders>
            <w:shd w:val="clear" w:color="auto" w:fill="auto"/>
            <w:noWrap/>
            <w:vAlign w:val="bottom"/>
            <w:hideMark/>
          </w:tcPr>
          <w:p w:rsidR="002246AD" w:rsidRPr="003D1522" w:rsidRDefault="002246AD" w:rsidP="00B972B9">
            <w:pPr>
              <w:pStyle w:val="SingleTxtG"/>
              <w:spacing w:before="80" w:after="80" w:line="200" w:lineRule="exact"/>
              <w:ind w:left="0" w:right="113"/>
              <w:jc w:val="right"/>
              <w:rPr>
                <w:i/>
                <w:sz w:val="16"/>
              </w:rPr>
            </w:pPr>
            <w:r w:rsidRPr="003D1522">
              <w:rPr>
                <w:i/>
                <w:sz w:val="16"/>
              </w:rPr>
              <w:t>2011</w:t>
            </w:r>
          </w:p>
        </w:tc>
        <w:tc>
          <w:tcPr>
            <w:tcW w:w="851" w:type="dxa"/>
            <w:tcBorders>
              <w:top w:val="single" w:sz="4" w:space="0" w:color="auto"/>
              <w:bottom w:val="single" w:sz="12" w:space="0" w:color="auto"/>
            </w:tcBorders>
            <w:shd w:val="clear" w:color="auto" w:fill="auto"/>
            <w:noWrap/>
            <w:vAlign w:val="bottom"/>
            <w:hideMark/>
          </w:tcPr>
          <w:p w:rsidR="002246AD" w:rsidRPr="003D1522" w:rsidRDefault="002246AD" w:rsidP="00B972B9">
            <w:pPr>
              <w:pStyle w:val="SingleTxtG"/>
              <w:spacing w:before="80" w:after="80" w:line="200" w:lineRule="exact"/>
              <w:ind w:left="0" w:right="113"/>
              <w:jc w:val="right"/>
              <w:rPr>
                <w:i/>
                <w:sz w:val="16"/>
              </w:rPr>
            </w:pPr>
            <w:r w:rsidRPr="003D1522">
              <w:rPr>
                <w:i/>
                <w:sz w:val="16"/>
              </w:rPr>
              <w:t>2012</w:t>
            </w:r>
          </w:p>
        </w:tc>
        <w:tc>
          <w:tcPr>
            <w:tcW w:w="850" w:type="dxa"/>
            <w:tcBorders>
              <w:top w:val="single" w:sz="4" w:space="0" w:color="auto"/>
              <w:bottom w:val="single" w:sz="12" w:space="0" w:color="auto"/>
            </w:tcBorders>
            <w:shd w:val="clear" w:color="auto" w:fill="auto"/>
            <w:noWrap/>
            <w:vAlign w:val="bottom"/>
            <w:hideMark/>
          </w:tcPr>
          <w:p w:rsidR="002246AD" w:rsidRPr="003D1522" w:rsidRDefault="002246AD" w:rsidP="00B972B9">
            <w:pPr>
              <w:pStyle w:val="SingleTxtG"/>
              <w:spacing w:before="80" w:after="80" w:line="200" w:lineRule="exact"/>
              <w:ind w:left="0" w:right="113"/>
              <w:jc w:val="right"/>
              <w:rPr>
                <w:i/>
                <w:sz w:val="16"/>
              </w:rPr>
            </w:pPr>
            <w:r w:rsidRPr="003D1522">
              <w:rPr>
                <w:i/>
                <w:sz w:val="16"/>
              </w:rPr>
              <w:t>2013</w:t>
            </w:r>
          </w:p>
        </w:tc>
        <w:tc>
          <w:tcPr>
            <w:tcW w:w="851" w:type="dxa"/>
            <w:tcBorders>
              <w:top w:val="single" w:sz="4" w:space="0" w:color="auto"/>
              <w:bottom w:val="single" w:sz="12" w:space="0" w:color="auto"/>
            </w:tcBorders>
            <w:shd w:val="clear" w:color="auto" w:fill="auto"/>
            <w:noWrap/>
            <w:vAlign w:val="bottom"/>
            <w:hideMark/>
          </w:tcPr>
          <w:p w:rsidR="002246AD" w:rsidRPr="003D1522" w:rsidRDefault="002246AD" w:rsidP="00B972B9">
            <w:pPr>
              <w:pStyle w:val="SingleTxtG"/>
              <w:spacing w:before="80" w:after="80" w:line="200" w:lineRule="exact"/>
              <w:ind w:left="0" w:right="113"/>
              <w:jc w:val="right"/>
              <w:rPr>
                <w:i/>
                <w:sz w:val="16"/>
              </w:rPr>
            </w:pPr>
            <w:r w:rsidRPr="003D1522">
              <w:rPr>
                <w:i/>
                <w:sz w:val="16"/>
              </w:rPr>
              <w:t>2014</w:t>
            </w:r>
          </w:p>
        </w:tc>
        <w:tc>
          <w:tcPr>
            <w:tcW w:w="850" w:type="dxa"/>
            <w:tcBorders>
              <w:top w:val="single" w:sz="4" w:space="0" w:color="auto"/>
              <w:bottom w:val="single" w:sz="12" w:space="0" w:color="auto"/>
            </w:tcBorders>
            <w:shd w:val="clear" w:color="auto" w:fill="auto"/>
            <w:noWrap/>
            <w:vAlign w:val="bottom"/>
            <w:hideMark/>
          </w:tcPr>
          <w:p w:rsidR="002246AD" w:rsidRPr="003D1522" w:rsidRDefault="002246AD" w:rsidP="00B972B9">
            <w:pPr>
              <w:pStyle w:val="SingleTxtG"/>
              <w:spacing w:before="80" w:after="80" w:line="200" w:lineRule="exact"/>
              <w:ind w:left="0" w:right="113"/>
              <w:jc w:val="right"/>
              <w:rPr>
                <w:i/>
                <w:sz w:val="16"/>
              </w:rPr>
            </w:pPr>
            <w:r w:rsidRPr="003D1522">
              <w:rPr>
                <w:i/>
                <w:sz w:val="16"/>
              </w:rPr>
              <w:t>2015</w:t>
            </w:r>
          </w:p>
        </w:tc>
        <w:tc>
          <w:tcPr>
            <w:tcW w:w="851" w:type="dxa"/>
            <w:tcBorders>
              <w:top w:val="single" w:sz="4" w:space="0" w:color="auto"/>
              <w:bottom w:val="single" w:sz="12" w:space="0" w:color="auto"/>
            </w:tcBorders>
            <w:shd w:val="clear" w:color="auto" w:fill="auto"/>
            <w:noWrap/>
            <w:vAlign w:val="bottom"/>
            <w:hideMark/>
          </w:tcPr>
          <w:p w:rsidR="002246AD" w:rsidRPr="003D1522" w:rsidRDefault="002246AD" w:rsidP="00B972B9">
            <w:pPr>
              <w:pStyle w:val="SingleTxtG"/>
              <w:spacing w:before="80" w:after="80" w:line="200" w:lineRule="exact"/>
              <w:ind w:left="0" w:right="113"/>
              <w:jc w:val="right"/>
              <w:rPr>
                <w:i/>
                <w:sz w:val="16"/>
              </w:rPr>
            </w:pPr>
            <w:r w:rsidRPr="003D1522">
              <w:rPr>
                <w:i/>
                <w:sz w:val="16"/>
              </w:rPr>
              <w:t>2016</w:t>
            </w:r>
          </w:p>
        </w:tc>
      </w:tr>
      <w:tr w:rsidR="002246AD" w:rsidRPr="003D1522" w:rsidTr="000F23BC">
        <w:tc>
          <w:tcPr>
            <w:tcW w:w="850" w:type="dxa"/>
            <w:tcBorders>
              <w:top w:val="single" w:sz="12" w:space="0" w:color="auto"/>
            </w:tcBorders>
            <w:shd w:val="clear" w:color="auto" w:fill="auto"/>
            <w:noWrap/>
          </w:tcPr>
          <w:p w:rsidR="002246AD" w:rsidRPr="003D1522" w:rsidRDefault="002246AD" w:rsidP="005C7ACB">
            <w:pPr>
              <w:pStyle w:val="SingleTxtG"/>
              <w:spacing w:before="40" w:after="40" w:line="220" w:lineRule="exact"/>
              <w:ind w:left="0" w:right="113"/>
              <w:jc w:val="right"/>
              <w:rPr>
                <w:sz w:val="18"/>
              </w:rPr>
            </w:pPr>
            <w:r w:rsidRPr="003D1522">
              <w:rPr>
                <w:sz w:val="18"/>
              </w:rPr>
              <w:t>3 269</w:t>
            </w:r>
            <w:r w:rsidR="00DF2C9B" w:rsidRPr="003D1522">
              <w:rPr>
                <w:sz w:val="18"/>
              </w:rPr>
              <w:t>.</w:t>
            </w:r>
            <w:r w:rsidRPr="003D1522">
              <w:rPr>
                <w:sz w:val="18"/>
              </w:rPr>
              <w:t>1</w:t>
            </w:r>
          </w:p>
        </w:tc>
        <w:tc>
          <w:tcPr>
            <w:tcW w:w="851" w:type="dxa"/>
            <w:tcBorders>
              <w:top w:val="single" w:sz="12" w:space="0" w:color="auto"/>
            </w:tcBorders>
            <w:shd w:val="clear" w:color="auto" w:fill="auto"/>
            <w:noWrap/>
            <w:vAlign w:val="bottom"/>
          </w:tcPr>
          <w:p w:rsidR="002246AD" w:rsidRPr="003D1522" w:rsidRDefault="002246AD" w:rsidP="00B972B9">
            <w:pPr>
              <w:pStyle w:val="SingleTxtG"/>
              <w:spacing w:before="40" w:after="40" w:line="220" w:lineRule="exact"/>
              <w:ind w:left="0" w:right="113"/>
              <w:jc w:val="right"/>
              <w:rPr>
                <w:sz w:val="18"/>
              </w:rPr>
            </w:pPr>
            <w:r w:rsidRPr="003D1522">
              <w:rPr>
                <w:sz w:val="18"/>
              </w:rPr>
              <w:t>3</w:t>
            </w:r>
            <w:r w:rsidR="004303F9" w:rsidRPr="003D1522">
              <w:rPr>
                <w:sz w:val="18"/>
              </w:rPr>
              <w:t xml:space="preserve"> </w:t>
            </w:r>
            <w:r w:rsidRPr="003D1522">
              <w:rPr>
                <w:sz w:val="18"/>
              </w:rPr>
              <w:t>578</w:t>
            </w:r>
            <w:r w:rsidR="00DF2C9B" w:rsidRPr="003D1522">
              <w:rPr>
                <w:sz w:val="18"/>
              </w:rPr>
              <w:t>.</w:t>
            </w:r>
            <w:r w:rsidRPr="003D1522">
              <w:rPr>
                <w:sz w:val="18"/>
              </w:rPr>
              <w:t>2</w:t>
            </w:r>
          </w:p>
        </w:tc>
        <w:tc>
          <w:tcPr>
            <w:tcW w:w="850" w:type="dxa"/>
            <w:tcBorders>
              <w:top w:val="single" w:sz="12" w:space="0" w:color="auto"/>
            </w:tcBorders>
            <w:shd w:val="clear" w:color="auto" w:fill="auto"/>
            <w:noWrap/>
            <w:vAlign w:val="bottom"/>
          </w:tcPr>
          <w:p w:rsidR="002246AD" w:rsidRPr="003D1522" w:rsidRDefault="002246AD" w:rsidP="00B972B9">
            <w:pPr>
              <w:pStyle w:val="SingleTxtG"/>
              <w:spacing w:before="40" w:after="40" w:line="220" w:lineRule="exact"/>
              <w:ind w:left="0" w:right="113"/>
              <w:jc w:val="right"/>
              <w:rPr>
                <w:sz w:val="18"/>
              </w:rPr>
            </w:pPr>
            <w:r w:rsidRPr="003D1522">
              <w:rPr>
                <w:sz w:val="18"/>
              </w:rPr>
              <w:t>3</w:t>
            </w:r>
            <w:r w:rsidR="004303F9" w:rsidRPr="003D1522">
              <w:rPr>
                <w:sz w:val="18"/>
              </w:rPr>
              <w:t xml:space="preserve"> </w:t>
            </w:r>
            <w:r w:rsidRPr="003D1522">
              <w:rPr>
                <w:sz w:val="18"/>
              </w:rPr>
              <w:t>623</w:t>
            </w:r>
            <w:r w:rsidR="00DF2C9B" w:rsidRPr="003D1522">
              <w:rPr>
                <w:sz w:val="18"/>
              </w:rPr>
              <w:t>.</w:t>
            </w:r>
            <w:r w:rsidRPr="003D1522">
              <w:rPr>
                <w:sz w:val="18"/>
              </w:rPr>
              <w:t>8</w:t>
            </w:r>
          </w:p>
        </w:tc>
        <w:tc>
          <w:tcPr>
            <w:tcW w:w="851" w:type="dxa"/>
            <w:tcBorders>
              <w:top w:val="single" w:sz="12" w:space="0" w:color="auto"/>
            </w:tcBorders>
            <w:shd w:val="clear" w:color="auto" w:fill="auto"/>
            <w:noWrap/>
            <w:vAlign w:val="bottom"/>
          </w:tcPr>
          <w:p w:rsidR="002246AD" w:rsidRPr="003D1522" w:rsidRDefault="002246AD" w:rsidP="00B972B9">
            <w:pPr>
              <w:pStyle w:val="SingleTxtG"/>
              <w:spacing w:before="40" w:after="40" w:line="220" w:lineRule="exact"/>
              <w:ind w:left="0" w:right="113"/>
              <w:jc w:val="right"/>
              <w:rPr>
                <w:sz w:val="18"/>
              </w:rPr>
            </w:pPr>
            <w:r w:rsidRPr="003D1522">
              <w:rPr>
                <w:sz w:val="18"/>
              </w:rPr>
              <w:t>3</w:t>
            </w:r>
            <w:r w:rsidR="004303F9" w:rsidRPr="003D1522">
              <w:rPr>
                <w:sz w:val="18"/>
              </w:rPr>
              <w:t xml:space="preserve"> </w:t>
            </w:r>
            <w:r w:rsidRPr="003D1522">
              <w:rPr>
                <w:sz w:val="18"/>
              </w:rPr>
              <w:t>457</w:t>
            </w:r>
            <w:r w:rsidR="00DF2C9B" w:rsidRPr="003D1522">
              <w:rPr>
                <w:sz w:val="18"/>
              </w:rPr>
              <w:t>.</w:t>
            </w:r>
            <w:r w:rsidRPr="003D1522">
              <w:rPr>
                <w:sz w:val="18"/>
              </w:rPr>
              <w:t>7</w:t>
            </w:r>
          </w:p>
        </w:tc>
        <w:tc>
          <w:tcPr>
            <w:tcW w:w="850" w:type="dxa"/>
            <w:tcBorders>
              <w:top w:val="single" w:sz="12" w:space="0" w:color="auto"/>
            </w:tcBorders>
            <w:shd w:val="clear" w:color="auto" w:fill="auto"/>
            <w:noWrap/>
            <w:vAlign w:val="bottom"/>
          </w:tcPr>
          <w:p w:rsidR="002246AD" w:rsidRPr="003D1522" w:rsidRDefault="002246AD" w:rsidP="00B972B9">
            <w:pPr>
              <w:pStyle w:val="SingleTxtG"/>
              <w:spacing w:before="40" w:after="40" w:line="220" w:lineRule="exact"/>
              <w:ind w:left="0" w:right="113"/>
              <w:jc w:val="right"/>
              <w:rPr>
                <w:sz w:val="18"/>
              </w:rPr>
            </w:pPr>
            <w:r w:rsidRPr="003D1522">
              <w:rPr>
                <w:sz w:val="18"/>
              </w:rPr>
              <w:t>3</w:t>
            </w:r>
            <w:r w:rsidR="004303F9" w:rsidRPr="003D1522">
              <w:rPr>
                <w:sz w:val="18"/>
              </w:rPr>
              <w:t xml:space="preserve"> </w:t>
            </w:r>
            <w:r w:rsidRPr="003D1522">
              <w:rPr>
                <w:sz w:val="18"/>
              </w:rPr>
              <w:t>394</w:t>
            </w:r>
            <w:r w:rsidR="00DF2C9B" w:rsidRPr="003D1522">
              <w:rPr>
                <w:sz w:val="18"/>
              </w:rPr>
              <w:t>.</w:t>
            </w:r>
            <w:r w:rsidRPr="003D1522">
              <w:rPr>
                <w:sz w:val="18"/>
              </w:rPr>
              <w:t>2</w:t>
            </w:r>
          </w:p>
        </w:tc>
        <w:tc>
          <w:tcPr>
            <w:tcW w:w="851" w:type="dxa"/>
            <w:tcBorders>
              <w:top w:val="single" w:sz="12" w:space="0" w:color="auto"/>
            </w:tcBorders>
            <w:shd w:val="clear" w:color="auto" w:fill="auto"/>
            <w:noWrap/>
            <w:vAlign w:val="bottom"/>
          </w:tcPr>
          <w:p w:rsidR="002246AD" w:rsidRPr="003D1522" w:rsidRDefault="002246AD" w:rsidP="00B972B9">
            <w:pPr>
              <w:pStyle w:val="SingleTxtG"/>
              <w:spacing w:before="40" w:after="40" w:line="220" w:lineRule="exact"/>
              <w:ind w:left="0" w:right="113"/>
              <w:jc w:val="right"/>
              <w:rPr>
                <w:sz w:val="18"/>
              </w:rPr>
            </w:pPr>
            <w:r w:rsidRPr="003D1522">
              <w:rPr>
                <w:sz w:val="18"/>
              </w:rPr>
              <w:t>3</w:t>
            </w:r>
            <w:r w:rsidR="004303F9" w:rsidRPr="003D1522">
              <w:rPr>
                <w:sz w:val="18"/>
              </w:rPr>
              <w:t xml:space="preserve"> </w:t>
            </w:r>
            <w:r w:rsidRPr="003D1522">
              <w:rPr>
                <w:sz w:val="18"/>
              </w:rPr>
              <w:t>500</w:t>
            </w:r>
            <w:r w:rsidR="00DF2C9B" w:rsidRPr="003D1522">
              <w:rPr>
                <w:sz w:val="18"/>
              </w:rPr>
              <w:t>.</w:t>
            </w:r>
            <w:r w:rsidRPr="003D1522">
              <w:rPr>
                <w:sz w:val="18"/>
              </w:rPr>
              <w:t>0</w:t>
            </w:r>
          </w:p>
        </w:tc>
        <w:tc>
          <w:tcPr>
            <w:tcW w:w="850" w:type="dxa"/>
            <w:tcBorders>
              <w:top w:val="single" w:sz="12" w:space="0" w:color="auto"/>
            </w:tcBorders>
            <w:shd w:val="clear" w:color="auto" w:fill="auto"/>
            <w:noWrap/>
            <w:vAlign w:val="bottom"/>
          </w:tcPr>
          <w:p w:rsidR="002246AD" w:rsidRPr="003D1522" w:rsidRDefault="002246AD" w:rsidP="00B972B9">
            <w:pPr>
              <w:pStyle w:val="SingleTxtG"/>
              <w:spacing w:before="40" w:after="40" w:line="220" w:lineRule="exact"/>
              <w:ind w:left="0" w:right="113"/>
              <w:jc w:val="right"/>
              <w:rPr>
                <w:sz w:val="18"/>
              </w:rPr>
            </w:pPr>
            <w:r w:rsidRPr="003D1522">
              <w:rPr>
                <w:sz w:val="18"/>
              </w:rPr>
              <w:t>3</w:t>
            </w:r>
            <w:r w:rsidR="004303F9" w:rsidRPr="003D1522">
              <w:rPr>
                <w:sz w:val="18"/>
              </w:rPr>
              <w:t xml:space="preserve"> </w:t>
            </w:r>
            <w:r w:rsidRPr="003D1522">
              <w:rPr>
                <w:sz w:val="18"/>
              </w:rPr>
              <w:t>480</w:t>
            </w:r>
            <w:r w:rsidR="00DF2C9B" w:rsidRPr="003D1522">
              <w:rPr>
                <w:sz w:val="18"/>
              </w:rPr>
              <w:t>.</w:t>
            </w:r>
            <w:r w:rsidRPr="003D1522">
              <w:rPr>
                <w:sz w:val="18"/>
              </w:rPr>
              <w:t>7</w:t>
            </w:r>
          </w:p>
        </w:tc>
        <w:tc>
          <w:tcPr>
            <w:tcW w:w="851" w:type="dxa"/>
            <w:tcBorders>
              <w:top w:val="single" w:sz="12" w:space="0" w:color="auto"/>
            </w:tcBorders>
            <w:shd w:val="clear" w:color="auto" w:fill="auto"/>
            <w:noWrap/>
            <w:vAlign w:val="bottom"/>
          </w:tcPr>
          <w:p w:rsidR="002246AD" w:rsidRPr="003D1522" w:rsidRDefault="002246AD" w:rsidP="00B972B9">
            <w:pPr>
              <w:pStyle w:val="SingleTxtG"/>
              <w:spacing w:before="40" w:after="40" w:line="220" w:lineRule="exact"/>
              <w:ind w:left="0" w:right="113"/>
              <w:jc w:val="right"/>
              <w:rPr>
                <w:sz w:val="18"/>
              </w:rPr>
            </w:pPr>
            <w:r w:rsidRPr="003D1522">
              <w:rPr>
                <w:sz w:val="18"/>
              </w:rPr>
              <w:t>3</w:t>
            </w:r>
            <w:r w:rsidR="004303F9" w:rsidRPr="003D1522">
              <w:rPr>
                <w:sz w:val="18"/>
              </w:rPr>
              <w:t xml:space="preserve"> </w:t>
            </w:r>
            <w:r w:rsidRPr="003D1522">
              <w:rPr>
                <w:sz w:val="18"/>
              </w:rPr>
              <w:t>610</w:t>
            </w:r>
            <w:r w:rsidR="00DF2C9B" w:rsidRPr="003D1522">
              <w:rPr>
                <w:sz w:val="18"/>
              </w:rPr>
              <w:t>.</w:t>
            </w:r>
            <w:r w:rsidRPr="003D1522">
              <w:rPr>
                <w:sz w:val="18"/>
              </w:rPr>
              <w:t>5</w:t>
            </w:r>
          </w:p>
        </w:tc>
        <w:tc>
          <w:tcPr>
            <w:tcW w:w="850" w:type="dxa"/>
            <w:tcBorders>
              <w:top w:val="single" w:sz="12" w:space="0" w:color="auto"/>
            </w:tcBorders>
            <w:shd w:val="clear" w:color="auto" w:fill="auto"/>
            <w:noWrap/>
            <w:vAlign w:val="bottom"/>
          </w:tcPr>
          <w:p w:rsidR="002246AD" w:rsidRPr="003D1522" w:rsidRDefault="002246AD" w:rsidP="00B972B9">
            <w:pPr>
              <w:pStyle w:val="SingleTxtG"/>
              <w:spacing w:before="40" w:after="40" w:line="220" w:lineRule="exact"/>
              <w:ind w:left="0" w:right="113"/>
              <w:jc w:val="right"/>
              <w:rPr>
                <w:sz w:val="18"/>
              </w:rPr>
            </w:pPr>
            <w:r w:rsidRPr="003D1522">
              <w:rPr>
                <w:sz w:val="18"/>
              </w:rPr>
              <w:t>4</w:t>
            </w:r>
            <w:r w:rsidR="004303F9" w:rsidRPr="003D1522">
              <w:rPr>
                <w:sz w:val="18"/>
              </w:rPr>
              <w:t xml:space="preserve"> </w:t>
            </w:r>
            <w:r w:rsidRPr="003D1522">
              <w:rPr>
                <w:sz w:val="18"/>
              </w:rPr>
              <w:t>000</w:t>
            </w:r>
            <w:r w:rsidR="00DF2C9B" w:rsidRPr="003D1522">
              <w:rPr>
                <w:sz w:val="18"/>
              </w:rPr>
              <w:t>.</w:t>
            </w:r>
            <w:r w:rsidRPr="003D1522">
              <w:rPr>
                <w:sz w:val="18"/>
              </w:rPr>
              <w:t>4</w:t>
            </w:r>
          </w:p>
        </w:tc>
        <w:tc>
          <w:tcPr>
            <w:tcW w:w="851" w:type="dxa"/>
            <w:tcBorders>
              <w:top w:val="single" w:sz="12" w:space="0" w:color="auto"/>
            </w:tcBorders>
            <w:shd w:val="clear" w:color="auto" w:fill="auto"/>
            <w:noWrap/>
            <w:vAlign w:val="bottom"/>
          </w:tcPr>
          <w:p w:rsidR="002246AD" w:rsidRPr="003D1522" w:rsidRDefault="002246AD" w:rsidP="00B972B9">
            <w:pPr>
              <w:pStyle w:val="SingleTxtG"/>
              <w:spacing w:before="40" w:after="40" w:line="220" w:lineRule="exact"/>
              <w:ind w:left="0" w:right="113"/>
              <w:jc w:val="right"/>
              <w:rPr>
                <w:sz w:val="18"/>
              </w:rPr>
            </w:pPr>
            <w:r w:rsidRPr="003D1522">
              <w:rPr>
                <w:sz w:val="18"/>
              </w:rPr>
              <w:t>4</w:t>
            </w:r>
            <w:r w:rsidR="004303F9" w:rsidRPr="003D1522">
              <w:rPr>
                <w:sz w:val="18"/>
              </w:rPr>
              <w:t xml:space="preserve"> </w:t>
            </w:r>
            <w:r w:rsidRPr="003D1522">
              <w:rPr>
                <w:sz w:val="18"/>
              </w:rPr>
              <w:t>179</w:t>
            </w:r>
            <w:r w:rsidR="00DF2C9B" w:rsidRPr="003D1522">
              <w:rPr>
                <w:sz w:val="18"/>
              </w:rPr>
              <w:t>.</w:t>
            </w:r>
            <w:r w:rsidRPr="003D1522">
              <w:rPr>
                <w:sz w:val="18"/>
              </w:rPr>
              <w:t>6</w:t>
            </w:r>
          </w:p>
        </w:tc>
      </w:tr>
    </w:tbl>
    <w:p w:rsidR="002246AD" w:rsidRPr="003D1522" w:rsidRDefault="002246AD" w:rsidP="00B972B9">
      <w:pPr>
        <w:pStyle w:val="H1G"/>
      </w:pPr>
      <w:r w:rsidRPr="003D1522">
        <w:tab/>
      </w:r>
      <w:r w:rsidRPr="003D1522">
        <w:tab/>
        <w:t>Prevention of corruption</w:t>
      </w:r>
    </w:p>
    <w:p w:rsidR="002246AD" w:rsidRPr="003D1522" w:rsidRDefault="002246AD" w:rsidP="007566D9">
      <w:pPr>
        <w:pStyle w:val="SingleTxtG"/>
      </w:pPr>
      <w:r w:rsidRPr="003D1522">
        <w:t>6.</w:t>
      </w:r>
      <w:r w:rsidRPr="003D1522">
        <w:tab/>
        <w:t>The aim of the</w:t>
      </w:r>
      <w:r w:rsidR="000732E4" w:rsidRPr="003D1522">
        <w:t xml:space="preserve"> </w:t>
      </w:r>
      <w:r w:rsidRPr="003D1522">
        <w:t>Anti-Corruption Act of 2013 is to make available the core measures to manage and avoid risks of corruption by officials in the public sector. Legislative, executive, and judicial powers are all covered by the Act, it is applicable also to local municipalities, legal persons in public law (such as universities, professional bodies of such status, state foundations), and to the leadership of enterprises</w:t>
      </w:r>
      <w:r w:rsidR="000732E4" w:rsidRPr="003D1522">
        <w:t xml:space="preserve"> </w:t>
      </w:r>
      <w:r w:rsidRPr="003D1522">
        <w:t>owned by state or municipalities. Purely private enterprises and associations are outside of the Act</w:t>
      </w:r>
      <w:r w:rsidR="00C62389" w:rsidRPr="003D1522">
        <w:t>’</w:t>
      </w:r>
      <w:r w:rsidRPr="003D1522">
        <w:t>s area of application, except for the provisions on whistle-blower protection. The misdemeanours and offences</w:t>
      </w:r>
      <w:r w:rsidR="000732E4" w:rsidRPr="003D1522">
        <w:t xml:space="preserve"> </w:t>
      </w:r>
      <w:r w:rsidRPr="003D1522">
        <w:t>are, in principle, investigated by the specialised Anti-Corruption Bureau of the Central Criminal Police. The charges for corruption offences are dealt with by specialised prosecutors in the central or regional Prosecutors</w:t>
      </w:r>
      <w:r w:rsidR="00C62389" w:rsidRPr="003D1522">
        <w:t>’</w:t>
      </w:r>
      <w:r w:rsidRPr="003D1522">
        <w:t xml:space="preserve"> Offices.</w:t>
      </w:r>
    </w:p>
    <w:p w:rsidR="002246AD" w:rsidRPr="003D1522" w:rsidRDefault="002246AD" w:rsidP="007566D9">
      <w:pPr>
        <w:pStyle w:val="SingleTxtG"/>
      </w:pPr>
      <w:r w:rsidRPr="003D1522">
        <w:t>7.</w:t>
      </w:r>
      <w:r w:rsidRPr="003D1522">
        <w:tab/>
        <w:t>At the national level, the Ministry of Justice is responsible for the preparation of an anti-corruption strategy. The third Anti-Corruption Strategy 2013</w:t>
      </w:r>
      <w:r w:rsidR="00C6515E" w:rsidRPr="003D1522">
        <w:t>–</w:t>
      </w:r>
      <w:r w:rsidRPr="003D1522">
        <w:t>2020</w:t>
      </w:r>
      <w:r w:rsidRPr="003D1522">
        <w:rPr>
          <w:rStyle w:val="FootnoteReference"/>
        </w:rPr>
        <w:footnoteReference w:id="3"/>
      </w:r>
      <w:r w:rsidRPr="003D1522">
        <w:t xml:space="preserve"> is being implemented by all relevant ministries and agencies. The Strategy focuses on issues that have been proven by analyses to be more serious (e.g. public procurement, health care, awareness raising in private sector, etc.). Several agencies and entities have trained their officials regarding anti-corruption policy, and adopted internal guidelines and mechanisms to identify and solve risky situations.</w:t>
      </w:r>
      <w:r w:rsidR="000732E4" w:rsidRPr="003D1522">
        <w:t xml:space="preserve"> </w:t>
      </w:r>
      <w:r w:rsidRPr="003D1522">
        <w:t>Some examples:</w:t>
      </w:r>
    </w:p>
    <w:p w:rsidR="002246AD" w:rsidRPr="003D1522" w:rsidRDefault="00D66FF2" w:rsidP="00D66FF2">
      <w:pPr>
        <w:pStyle w:val="Bullet1G"/>
        <w:numPr>
          <w:ilvl w:val="0"/>
          <w:numId w:val="0"/>
        </w:numPr>
        <w:tabs>
          <w:tab w:val="left" w:pos="1701"/>
        </w:tabs>
        <w:ind w:left="1701" w:hanging="170"/>
      </w:pPr>
      <w:r w:rsidRPr="003D1522">
        <w:t>•</w:t>
      </w:r>
      <w:r w:rsidRPr="003D1522">
        <w:tab/>
      </w:r>
      <w:r w:rsidR="002246AD" w:rsidRPr="003D1522">
        <w:t>The Estonian Academy of Security Sciences has carried out 10 training events in 2017 for 199 people;</w:t>
      </w:r>
    </w:p>
    <w:p w:rsidR="002246AD" w:rsidRPr="003D1522" w:rsidRDefault="00D66FF2" w:rsidP="00D66FF2">
      <w:pPr>
        <w:pStyle w:val="Bullet1G"/>
        <w:numPr>
          <w:ilvl w:val="0"/>
          <w:numId w:val="0"/>
        </w:numPr>
        <w:tabs>
          <w:tab w:val="left" w:pos="1701"/>
        </w:tabs>
        <w:ind w:left="1701" w:hanging="170"/>
      </w:pPr>
      <w:r w:rsidRPr="003D1522">
        <w:t>•</w:t>
      </w:r>
      <w:r w:rsidRPr="003D1522">
        <w:tab/>
      </w:r>
      <w:r w:rsidR="002246AD" w:rsidRPr="003D1522">
        <w:t>Guidelines for the development of the general principles of an internal control system and prevention of corruption were prepared in 2017 for members of local government councils; municipality, town and city mayors; and members, officials and employees of municipality, town or city governments;</w:t>
      </w:r>
    </w:p>
    <w:p w:rsidR="002246AD" w:rsidRPr="003D1522" w:rsidRDefault="00D66FF2" w:rsidP="00D66FF2">
      <w:pPr>
        <w:pStyle w:val="Bullet1G"/>
        <w:numPr>
          <w:ilvl w:val="0"/>
          <w:numId w:val="0"/>
        </w:numPr>
        <w:tabs>
          <w:tab w:val="left" w:pos="1701"/>
        </w:tabs>
        <w:ind w:left="1701" w:hanging="170"/>
      </w:pPr>
      <w:r w:rsidRPr="003D1522">
        <w:t>•</w:t>
      </w:r>
      <w:r w:rsidRPr="003D1522">
        <w:tab/>
      </w:r>
      <w:r w:rsidR="002246AD" w:rsidRPr="003D1522">
        <w:t>In 2018, the Ministry of Finance prepared practical guidelines and recommendations for the development of an internal control system for local governments;</w:t>
      </w:r>
    </w:p>
    <w:p w:rsidR="002246AD" w:rsidRPr="003D1522" w:rsidRDefault="00D66FF2" w:rsidP="00D66FF2">
      <w:pPr>
        <w:pStyle w:val="Bullet1G"/>
        <w:numPr>
          <w:ilvl w:val="0"/>
          <w:numId w:val="0"/>
        </w:numPr>
        <w:tabs>
          <w:tab w:val="left" w:pos="1701"/>
        </w:tabs>
        <w:ind w:left="1701" w:hanging="170"/>
      </w:pPr>
      <w:r w:rsidRPr="003D1522">
        <w:t>•</w:t>
      </w:r>
      <w:r w:rsidRPr="003D1522">
        <w:tab/>
      </w:r>
      <w:r w:rsidR="002246AD" w:rsidRPr="003D1522">
        <w:t>The share of e-procurements in public procurements has increased constantly. The share of e-procurements was 90% in 2016 and 96% by Q4 2017;</w:t>
      </w:r>
    </w:p>
    <w:p w:rsidR="002246AD" w:rsidRPr="003D1522" w:rsidRDefault="00D66FF2" w:rsidP="00D66FF2">
      <w:pPr>
        <w:pStyle w:val="Bullet1G"/>
        <w:numPr>
          <w:ilvl w:val="0"/>
          <w:numId w:val="0"/>
        </w:numPr>
        <w:tabs>
          <w:tab w:val="left" w:pos="1701"/>
        </w:tabs>
        <w:ind w:left="1701" w:hanging="170"/>
      </w:pPr>
      <w:r w:rsidRPr="003D1522">
        <w:t>•</w:t>
      </w:r>
      <w:r w:rsidRPr="003D1522">
        <w:tab/>
      </w:r>
      <w:r w:rsidR="002246AD" w:rsidRPr="003D1522">
        <w:t xml:space="preserve">The Internal Control Bureau (SKB) of the Police and Border Guard Board carried out 51 trainings in 2017 for 987 officials. Each new employee of the PBGB attends a 1.5-hour presentation on the above-mentioned topics. </w:t>
      </w:r>
    </w:p>
    <w:p w:rsidR="002246AD" w:rsidRPr="003D1522" w:rsidRDefault="002246AD" w:rsidP="007566D9">
      <w:pPr>
        <w:pStyle w:val="SingleTxtG"/>
      </w:pPr>
      <w:r w:rsidRPr="003D1522">
        <w:t>8.</w:t>
      </w:r>
      <w:r w:rsidRPr="003D1522">
        <w:tab/>
        <w:t>There is no separate legal act for the protection of whistle-blowers but relevant amendments are being prepared. The protection of whistle-blowers is currently regulated by § 6 of the Anti-corruption Act (Notification of public or private sector incidents of corruption).</w:t>
      </w:r>
    </w:p>
    <w:p w:rsidR="002246AD" w:rsidRPr="003D1522" w:rsidRDefault="002246AD" w:rsidP="00E92E53">
      <w:pPr>
        <w:pStyle w:val="H1G"/>
      </w:pPr>
      <w:r w:rsidRPr="003D1522">
        <w:lastRenderedPageBreak/>
        <w:tab/>
      </w:r>
      <w:r w:rsidRPr="003D1522">
        <w:tab/>
        <w:t>Non-discrimination (art. 2 (2))</w:t>
      </w:r>
    </w:p>
    <w:p w:rsidR="002246AD" w:rsidRPr="003D1522" w:rsidRDefault="002246AD" w:rsidP="00E92E53">
      <w:pPr>
        <w:pStyle w:val="H23G"/>
      </w:pPr>
      <w:r w:rsidRPr="003D1522">
        <w:tab/>
      </w:r>
      <w:r w:rsidRPr="003D1522">
        <w:tab/>
        <w:t xml:space="preserve">The Equal Treatment Act </w:t>
      </w:r>
    </w:p>
    <w:p w:rsidR="002246AD" w:rsidRPr="003D1522" w:rsidRDefault="002246AD" w:rsidP="007566D9">
      <w:pPr>
        <w:pStyle w:val="SingleTxtG"/>
      </w:pPr>
      <w:r w:rsidRPr="003D1522">
        <w:t>9.</w:t>
      </w:r>
      <w:r w:rsidRPr="003D1522">
        <w:tab/>
        <w:t xml:space="preserve">A draft amending the Equal Treatment Act is in the consultation proceedings of government agencies to widen its scope of application concerning discrimination of persons on grounds of religion and other beliefs, age, disability and sexual orientation outside the field of employment to cover also </w:t>
      </w:r>
      <w:bookmarkStart w:id="1" w:name="para2lg1p5"/>
      <w:bookmarkEnd w:id="1"/>
      <w:r w:rsidRPr="003D1522">
        <w:t xml:space="preserve">access to the services of social welfare, social security and healthcare, including social benefits, the area of education and access to and supply of goods and services which are available to the public, including housing. </w:t>
      </w:r>
    </w:p>
    <w:p w:rsidR="002246AD" w:rsidRPr="003D1522" w:rsidRDefault="002246AD" w:rsidP="00C21C76">
      <w:pPr>
        <w:pStyle w:val="H23G"/>
      </w:pPr>
      <w:r w:rsidRPr="003D1522">
        <w:tab/>
      </w:r>
      <w:r w:rsidRPr="003D1522">
        <w:tab/>
        <w:t xml:space="preserve">Complaints to the Gender Equality and Equal Treatment Commissioner </w:t>
      </w:r>
    </w:p>
    <w:p w:rsidR="002246AD" w:rsidRPr="003D1522" w:rsidRDefault="002246AD" w:rsidP="007566D9">
      <w:pPr>
        <w:pStyle w:val="SingleTxtG"/>
      </w:pPr>
      <w:r w:rsidRPr="003D1522">
        <w:t>10.</w:t>
      </w:r>
      <w:r w:rsidRPr="003D1522">
        <w:tab/>
        <w:t>The number of complaints filed for the Commissioner is increasing showing the rise of awareness of one</w:t>
      </w:r>
      <w:r w:rsidR="00C62389" w:rsidRPr="003D1522">
        <w:t>’</w:t>
      </w:r>
      <w:r w:rsidRPr="003D1522">
        <w:t xml:space="preserve">s rights and possibilities to seek legal support. </w:t>
      </w:r>
    </w:p>
    <w:p w:rsidR="002246AD" w:rsidRPr="003D1522" w:rsidRDefault="002246AD" w:rsidP="000C7CEB">
      <w:pPr>
        <w:pStyle w:val="Heading1"/>
        <w:spacing w:after="120"/>
        <w:rPr>
          <w:rStyle w:val="SingleTxtGChar"/>
          <w:b/>
          <w:bCs/>
        </w:rPr>
      </w:pPr>
      <w:r w:rsidRPr="003D1522">
        <w:t>Table 1</w:t>
      </w:r>
      <w:r w:rsidRPr="003D1522">
        <w:br/>
      </w:r>
      <w:r w:rsidRPr="003D1522">
        <w:rPr>
          <w:rStyle w:val="SingleTxtGChar"/>
          <w:b/>
          <w:bCs/>
        </w:rPr>
        <w:t xml:space="preserve">Complaints filed </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8"/>
        <w:gridCol w:w="4482"/>
      </w:tblGrid>
      <w:tr w:rsidR="00C21C76" w:rsidRPr="003D1522" w:rsidTr="00C21C76">
        <w:trPr>
          <w:tblHeader/>
        </w:trPr>
        <w:tc>
          <w:tcPr>
            <w:tcW w:w="2888" w:type="dxa"/>
            <w:tcBorders>
              <w:top w:val="single" w:sz="4" w:space="0" w:color="auto"/>
              <w:bottom w:val="single" w:sz="12" w:space="0" w:color="auto"/>
            </w:tcBorders>
            <w:shd w:val="clear" w:color="auto" w:fill="auto"/>
            <w:vAlign w:val="bottom"/>
          </w:tcPr>
          <w:p w:rsidR="002246AD" w:rsidRPr="003D1522" w:rsidRDefault="002246AD" w:rsidP="00C21C76">
            <w:pPr>
              <w:pStyle w:val="SingleTxtG"/>
              <w:spacing w:before="80" w:after="80" w:line="200" w:lineRule="exact"/>
              <w:ind w:left="0" w:right="113"/>
              <w:jc w:val="left"/>
              <w:rPr>
                <w:i/>
                <w:sz w:val="16"/>
              </w:rPr>
            </w:pPr>
            <w:r w:rsidRPr="003D1522">
              <w:rPr>
                <w:i/>
                <w:sz w:val="16"/>
              </w:rPr>
              <w:t>Year</w:t>
            </w:r>
          </w:p>
        </w:tc>
        <w:tc>
          <w:tcPr>
            <w:tcW w:w="4482" w:type="dxa"/>
            <w:tcBorders>
              <w:top w:val="single" w:sz="4" w:space="0" w:color="auto"/>
              <w:bottom w:val="single" w:sz="12" w:space="0" w:color="auto"/>
            </w:tcBorders>
            <w:shd w:val="clear" w:color="auto" w:fill="auto"/>
            <w:vAlign w:val="bottom"/>
          </w:tcPr>
          <w:p w:rsidR="002246AD" w:rsidRPr="003D1522" w:rsidRDefault="002246AD" w:rsidP="00C21C76">
            <w:pPr>
              <w:pStyle w:val="SingleTxtG"/>
              <w:spacing w:before="80" w:after="80" w:line="200" w:lineRule="exact"/>
              <w:ind w:left="0" w:right="113"/>
              <w:jc w:val="right"/>
              <w:rPr>
                <w:i/>
                <w:sz w:val="16"/>
              </w:rPr>
            </w:pPr>
            <w:r w:rsidRPr="003D1522">
              <w:rPr>
                <w:i/>
                <w:sz w:val="16"/>
              </w:rPr>
              <w:t>Number of complaints</w:t>
            </w:r>
          </w:p>
        </w:tc>
      </w:tr>
      <w:tr w:rsidR="002246AD" w:rsidRPr="003D1522" w:rsidTr="00C21C76">
        <w:tc>
          <w:tcPr>
            <w:tcW w:w="2888" w:type="dxa"/>
            <w:tcBorders>
              <w:top w:val="single" w:sz="12" w:space="0" w:color="auto"/>
            </w:tcBorders>
            <w:shd w:val="clear" w:color="auto" w:fill="auto"/>
          </w:tcPr>
          <w:p w:rsidR="002246AD" w:rsidRPr="003D1522" w:rsidRDefault="002246AD" w:rsidP="00C21C76">
            <w:pPr>
              <w:pStyle w:val="SingleTxtG"/>
              <w:spacing w:before="40" w:after="40" w:line="220" w:lineRule="exact"/>
              <w:ind w:left="0" w:right="113"/>
              <w:jc w:val="left"/>
              <w:rPr>
                <w:sz w:val="18"/>
              </w:rPr>
            </w:pPr>
            <w:r w:rsidRPr="003D1522">
              <w:rPr>
                <w:sz w:val="18"/>
              </w:rPr>
              <w:t>2009</w:t>
            </w:r>
          </w:p>
        </w:tc>
        <w:tc>
          <w:tcPr>
            <w:tcW w:w="4482" w:type="dxa"/>
            <w:tcBorders>
              <w:top w:val="single" w:sz="12" w:space="0" w:color="auto"/>
            </w:tcBorders>
            <w:shd w:val="clear" w:color="auto" w:fill="auto"/>
            <w:vAlign w:val="bottom"/>
          </w:tcPr>
          <w:p w:rsidR="002246AD" w:rsidRPr="003D1522" w:rsidRDefault="002246AD" w:rsidP="00C21C76">
            <w:pPr>
              <w:pStyle w:val="SingleTxtG"/>
              <w:spacing w:before="40" w:after="40" w:line="220" w:lineRule="exact"/>
              <w:ind w:left="0" w:right="113"/>
              <w:jc w:val="right"/>
              <w:rPr>
                <w:sz w:val="18"/>
              </w:rPr>
            </w:pPr>
            <w:r w:rsidRPr="003D1522">
              <w:rPr>
                <w:sz w:val="18"/>
              </w:rPr>
              <w:t>51</w:t>
            </w:r>
          </w:p>
        </w:tc>
      </w:tr>
      <w:tr w:rsidR="002246AD" w:rsidRPr="003D1522" w:rsidTr="00C21C76">
        <w:tc>
          <w:tcPr>
            <w:tcW w:w="2888" w:type="dxa"/>
            <w:shd w:val="clear" w:color="auto" w:fill="auto"/>
          </w:tcPr>
          <w:p w:rsidR="002246AD" w:rsidRPr="003D1522" w:rsidRDefault="002246AD" w:rsidP="00C21C76">
            <w:pPr>
              <w:pStyle w:val="SingleTxtG"/>
              <w:spacing w:before="40" w:after="40" w:line="220" w:lineRule="exact"/>
              <w:ind w:left="0" w:right="113"/>
              <w:jc w:val="left"/>
              <w:rPr>
                <w:sz w:val="18"/>
              </w:rPr>
            </w:pPr>
            <w:r w:rsidRPr="003D1522">
              <w:rPr>
                <w:sz w:val="18"/>
              </w:rPr>
              <w:t>2010</w:t>
            </w:r>
          </w:p>
        </w:tc>
        <w:tc>
          <w:tcPr>
            <w:tcW w:w="4482" w:type="dxa"/>
            <w:shd w:val="clear" w:color="auto" w:fill="auto"/>
            <w:vAlign w:val="bottom"/>
          </w:tcPr>
          <w:p w:rsidR="002246AD" w:rsidRPr="003D1522" w:rsidRDefault="002246AD" w:rsidP="00C21C76">
            <w:pPr>
              <w:pStyle w:val="SingleTxtG"/>
              <w:spacing w:before="40" w:after="40" w:line="220" w:lineRule="exact"/>
              <w:ind w:left="0" w:right="113"/>
              <w:jc w:val="right"/>
              <w:rPr>
                <w:sz w:val="18"/>
              </w:rPr>
            </w:pPr>
            <w:r w:rsidRPr="003D1522">
              <w:rPr>
                <w:sz w:val="18"/>
              </w:rPr>
              <w:t>47</w:t>
            </w:r>
          </w:p>
        </w:tc>
      </w:tr>
      <w:tr w:rsidR="002246AD" w:rsidRPr="003D1522" w:rsidTr="00C21C76">
        <w:tc>
          <w:tcPr>
            <w:tcW w:w="2888" w:type="dxa"/>
            <w:shd w:val="clear" w:color="auto" w:fill="auto"/>
          </w:tcPr>
          <w:p w:rsidR="002246AD" w:rsidRPr="003D1522" w:rsidRDefault="002246AD" w:rsidP="00C21C76">
            <w:pPr>
              <w:pStyle w:val="SingleTxtG"/>
              <w:spacing w:before="40" w:after="40" w:line="220" w:lineRule="exact"/>
              <w:ind w:left="0" w:right="113"/>
              <w:jc w:val="left"/>
              <w:rPr>
                <w:sz w:val="18"/>
              </w:rPr>
            </w:pPr>
            <w:r w:rsidRPr="003D1522">
              <w:rPr>
                <w:sz w:val="18"/>
              </w:rPr>
              <w:t>2011</w:t>
            </w:r>
          </w:p>
        </w:tc>
        <w:tc>
          <w:tcPr>
            <w:tcW w:w="4482" w:type="dxa"/>
            <w:shd w:val="clear" w:color="auto" w:fill="auto"/>
            <w:vAlign w:val="bottom"/>
          </w:tcPr>
          <w:p w:rsidR="002246AD" w:rsidRPr="003D1522" w:rsidRDefault="002246AD" w:rsidP="00C21C76">
            <w:pPr>
              <w:pStyle w:val="SingleTxtG"/>
              <w:spacing w:before="40" w:after="40" w:line="220" w:lineRule="exact"/>
              <w:ind w:left="0" w:right="113"/>
              <w:jc w:val="right"/>
              <w:rPr>
                <w:sz w:val="18"/>
              </w:rPr>
            </w:pPr>
            <w:r w:rsidRPr="003D1522">
              <w:rPr>
                <w:sz w:val="18"/>
              </w:rPr>
              <w:t>90</w:t>
            </w:r>
          </w:p>
        </w:tc>
      </w:tr>
      <w:tr w:rsidR="002246AD" w:rsidRPr="003D1522" w:rsidTr="00C21C76">
        <w:tc>
          <w:tcPr>
            <w:tcW w:w="2888" w:type="dxa"/>
            <w:shd w:val="clear" w:color="auto" w:fill="auto"/>
          </w:tcPr>
          <w:p w:rsidR="002246AD" w:rsidRPr="003D1522" w:rsidRDefault="002246AD" w:rsidP="00C21C76">
            <w:pPr>
              <w:pStyle w:val="SingleTxtG"/>
              <w:spacing w:before="40" w:after="40" w:line="220" w:lineRule="exact"/>
              <w:ind w:left="0" w:right="113"/>
              <w:jc w:val="left"/>
              <w:rPr>
                <w:sz w:val="18"/>
              </w:rPr>
            </w:pPr>
            <w:r w:rsidRPr="003D1522">
              <w:rPr>
                <w:sz w:val="18"/>
              </w:rPr>
              <w:t>2012</w:t>
            </w:r>
          </w:p>
        </w:tc>
        <w:tc>
          <w:tcPr>
            <w:tcW w:w="4482" w:type="dxa"/>
            <w:shd w:val="clear" w:color="auto" w:fill="auto"/>
            <w:vAlign w:val="bottom"/>
          </w:tcPr>
          <w:p w:rsidR="002246AD" w:rsidRPr="003D1522" w:rsidRDefault="002246AD" w:rsidP="00C21C76">
            <w:pPr>
              <w:pStyle w:val="SingleTxtG"/>
              <w:spacing w:before="40" w:after="40" w:line="220" w:lineRule="exact"/>
              <w:ind w:left="0" w:right="113"/>
              <w:jc w:val="right"/>
              <w:rPr>
                <w:sz w:val="18"/>
              </w:rPr>
            </w:pPr>
            <w:r w:rsidRPr="003D1522">
              <w:rPr>
                <w:sz w:val="18"/>
              </w:rPr>
              <w:t>95</w:t>
            </w:r>
          </w:p>
        </w:tc>
      </w:tr>
      <w:tr w:rsidR="002246AD" w:rsidRPr="003D1522" w:rsidTr="00C21C76">
        <w:tc>
          <w:tcPr>
            <w:tcW w:w="2888" w:type="dxa"/>
            <w:shd w:val="clear" w:color="auto" w:fill="auto"/>
          </w:tcPr>
          <w:p w:rsidR="002246AD" w:rsidRPr="003D1522" w:rsidRDefault="002246AD" w:rsidP="00C21C76">
            <w:pPr>
              <w:pStyle w:val="SingleTxtG"/>
              <w:spacing w:before="40" w:after="40" w:line="220" w:lineRule="exact"/>
              <w:ind w:left="0" w:right="113"/>
              <w:jc w:val="left"/>
              <w:rPr>
                <w:sz w:val="18"/>
              </w:rPr>
            </w:pPr>
            <w:r w:rsidRPr="003D1522">
              <w:rPr>
                <w:sz w:val="18"/>
              </w:rPr>
              <w:t>2013</w:t>
            </w:r>
          </w:p>
        </w:tc>
        <w:tc>
          <w:tcPr>
            <w:tcW w:w="4482" w:type="dxa"/>
            <w:shd w:val="clear" w:color="auto" w:fill="auto"/>
            <w:vAlign w:val="bottom"/>
          </w:tcPr>
          <w:p w:rsidR="002246AD" w:rsidRPr="003D1522" w:rsidRDefault="002246AD" w:rsidP="00C21C76">
            <w:pPr>
              <w:pStyle w:val="SingleTxtG"/>
              <w:spacing w:before="40" w:after="40" w:line="220" w:lineRule="exact"/>
              <w:ind w:left="0" w:right="113"/>
              <w:jc w:val="right"/>
              <w:rPr>
                <w:sz w:val="18"/>
              </w:rPr>
            </w:pPr>
            <w:r w:rsidRPr="003D1522">
              <w:rPr>
                <w:sz w:val="18"/>
              </w:rPr>
              <w:t>116</w:t>
            </w:r>
          </w:p>
        </w:tc>
      </w:tr>
      <w:tr w:rsidR="002246AD" w:rsidRPr="003D1522" w:rsidTr="00C21C76">
        <w:tc>
          <w:tcPr>
            <w:tcW w:w="2888" w:type="dxa"/>
            <w:shd w:val="clear" w:color="auto" w:fill="auto"/>
          </w:tcPr>
          <w:p w:rsidR="002246AD" w:rsidRPr="003D1522" w:rsidRDefault="002246AD" w:rsidP="00C21C76">
            <w:pPr>
              <w:pStyle w:val="SingleTxtG"/>
              <w:spacing w:before="40" w:after="40" w:line="220" w:lineRule="exact"/>
              <w:ind w:left="0" w:right="113"/>
              <w:jc w:val="left"/>
              <w:rPr>
                <w:sz w:val="18"/>
              </w:rPr>
            </w:pPr>
            <w:r w:rsidRPr="003D1522">
              <w:rPr>
                <w:sz w:val="18"/>
              </w:rPr>
              <w:t>2014</w:t>
            </w:r>
          </w:p>
        </w:tc>
        <w:tc>
          <w:tcPr>
            <w:tcW w:w="4482" w:type="dxa"/>
            <w:shd w:val="clear" w:color="auto" w:fill="auto"/>
            <w:vAlign w:val="bottom"/>
          </w:tcPr>
          <w:p w:rsidR="002246AD" w:rsidRPr="003D1522" w:rsidRDefault="002246AD" w:rsidP="00C21C76">
            <w:pPr>
              <w:pStyle w:val="SingleTxtG"/>
              <w:spacing w:before="40" w:after="40" w:line="220" w:lineRule="exact"/>
              <w:ind w:left="0" w:right="113"/>
              <w:jc w:val="right"/>
              <w:rPr>
                <w:sz w:val="18"/>
              </w:rPr>
            </w:pPr>
            <w:r w:rsidRPr="003D1522">
              <w:rPr>
                <w:sz w:val="18"/>
              </w:rPr>
              <w:t>192</w:t>
            </w:r>
          </w:p>
        </w:tc>
      </w:tr>
      <w:tr w:rsidR="002246AD" w:rsidRPr="003D1522" w:rsidTr="00C21C76">
        <w:tc>
          <w:tcPr>
            <w:tcW w:w="2888" w:type="dxa"/>
            <w:shd w:val="clear" w:color="auto" w:fill="auto"/>
          </w:tcPr>
          <w:p w:rsidR="002246AD" w:rsidRPr="003D1522" w:rsidRDefault="002246AD" w:rsidP="00C21C76">
            <w:pPr>
              <w:pStyle w:val="SingleTxtG"/>
              <w:spacing w:before="40" w:after="40" w:line="220" w:lineRule="exact"/>
              <w:ind w:left="0" w:right="113"/>
              <w:jc w:val="left"/>
              <w:rPr>
                <w:sz w:val="18"/>
              </w:rPr>
            </w:pPr>
            <w:r w:rsidRPr="003D1522">
              <w:rPr>
                <w:sz w:val="18"/>
              </w:rPr>
              <w:t>2015</w:t>
            </w:r>
          </w:p>
        </w:tc>
        <w:tc>
          <w:tcPr>
            <w:tcW w:w="4482" w:type="dxa"/>
            <w:shd w:val="clear" w:color="auto" w:fill="auto"/>
            <w:vAlign w:val="bottom"/>
          </w:tcPr>
          <w:p w:rsidR="002246AD" w:rsidRPr="003D1522" w:rsidRDefault="002246AD" w:rsidP="00C21C76">
            <w:pPr>
              <w:pStyle w:val="SingleTxtG"/>
              <w:spacing w:before="40" w:after="40" w:line="220" w:lineRule="exact"/>
              <w:ind w:left="0" w:right="113"/>
              <w:jc w:val="right"/>
              <w:rPr>
                <w:sz w:val="18"/>
              </w:rPr>
            </w:pPr>
            <w:r w:rsidRPr="003D1522">
              <w:rPr>
                <w:sz w:val="18"/>
              </w:rPr>
              <w:t>209</w:t>
            </w:r>
          </w:p>
        </w:tc>
      </w:tr>
      <w:tr w:rsidR="002246AD" w:rsidRPr="003D1522" w:rsidTr="00C21C76">
        <w:tc>
          <w:tcPr>
            <w:tcW w:w="2888" w:type="dxa"/>
            <w:shd w:val="clear" w:color="auto" w:fill="auto"/>
          </w:tcPr>
          <w:p w:rsidR="002246AD" w:rsidRPr="003D1522" w:rsidRDefault="002246AD" w:rsidP="00C21C76">
            <w:pPr>
              <w:pStyle w:val="SingleTxtG"/>
              <w:spacing w:before="40" w:after="40" w:line="220" w:lineRule="exact"/>
              <w:ind w:left="0" w:right="113"/>
              <w:jc w:val="left"/>
              <w:rPr>
                <w:sz w:val="18"/>
              </w:rPr>
            </w:pPr>
            <w:r w:rsidRPr="003D1522">
              <w:rPr>
                <w:sz w:val="18"/>
              </w:rPr>
              <w:t>2016</w:t>
            </w:r>
          </w:p>
        </w:tc>
        <w:tc>
          <w:tcPr>
            <w:tcW w:w="4482" w:type="dxa"/>
            <w:shd w:val="clear" w:color="auto" w:fill="auto"/>
            <w:vAlign w:val="bottom"/>
          </w:tcPr>
          <w:p w:rsidR="002246AD" w:rsidRPr="003D1522" w:rsidRDefault="002246AD" w:rsidP="00C21C76">
            <w:pPr>
              <w:pStyle w:val="SingleTxtG"/>
              <w:spacing w:before="40" w:after="40" w:line="220" w:lineRule="exact"/>
              <w:ind w:left="0" w:right="113"/>
              <w:jc w:val="right"/>
              <w:rPr>
                <w:sz w:val="18"/>
              </w:rPr>
            </w:pPr>
            <w:r w:rsidRPr="003D1522">
              <w:rPr>
                <w:sz w:val="18"/>
              </w:rPr>
              <w:t>332</w:t>
            </w:r>
          </w:p>
        </w:tc>
      </w:tr>
      <w:tr w:rsidR="002246AD" w:rsidRPr="003D1522" w:rsidTr="00C21C76">
        <w:tc>
          <w:tcPr>
            <w:tcW w:w="2888" w:type="dxa"/>
            <w:shd w:val="clear" w:color="auto" w:fill="auto"/>
          </w:tcPr>
          <w:p w:rsidR="002246AD" w:rsidRPr="003D1522" w:rsidRDefault="002246AD" w:rsidP="00C21C76">
            <w:pPr>
              <w:pStyle w:val="SingleTxtG"/>
              <w:spacing w:before="40" w:after="40" w:line="220" w:lineRule="exact"/>
              <w:ind w:left="0" w:right="113"/>
              <w:jc w:val="left"/>
              <w:rPr>
                <w:sz w:val="18"/>
              </w:rPr>
            </w:pPr>
            <w:r w:rsidRPr="003D1522">
              <w:rPr>
                <w:sz w:val="18"/>
              </w:rPr>
              <w:t>2017</w:t>
            </w:r>
          </w:p>
        </w:tc>
        <w:tc>
          <w:tcPr>
            <w:tcW w:w="4482" w:type="dxa"/>
            <w:shd w:val="clear" w:color="auto" w:fill="auto"/>
            <w:vAlign w:val="bottom"/>
          </w:tcPr>
          <w:p w:rsidR="002246AD" w:rsidRPr="003D1522" w:rsidRDefault="002246AD" w:rsidP="00C21C76">
            <w:pPr>
              <w:pStyle w:val="SingleTxtG"/>
              <w:spacing w:before="40" w:after="40" w:line="220" w:lineRule="exact"/>
              <w:ind w:left="0" w:right="113"/>
              <w:jc w:val="right"/>
              <w:rPr>
                <w:sz w:val="18"/>
              </w:rPr>
            </w:pPr>
            <w:r w:rsidRPr="003D1522">
              <w:rPr>
                <w:sz w:val="18"/>
              </w:rPr>
              <w:t>440</w:t>
            </w:r>
          </w:p>
        </w:tc>
      </w:tr>
    </w:tbl>
    <w:p w:rsidR="002246AD" w:rsidRPr="003D1522" w:rsidRDefault="002246AD" w:rsidP="000C7CEB">
      <w:pPr>
        <w:pStyle w:val="Heading1"/>
        <w:spacing w:before="240" w:after="120"/>
        <w:rPr>
          <w:rStyle w:val="SingleTxtGChar"/>
          <w:b/>
          <w:bCs/>
        </w:rPr>
      </w:pPr>
      <w:r w:rsidRPr="003D1522">
        <w:t>Table 2</w:t>
      </w:r>
      <w:r w:rsidRPr="003D1522">
        <w:br/>
      </w:r>
      <w:r w:rsidRPr="003D1522">
        <w:rPr>
          <w:rStyle w:val="SingleTxtGChar"/>
          <w:b/>
          <w:bCs/>
        </w:rPr>
        <w:t>Complaints filed by most frequent category</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6"/>
        <w:gridCol w:w="1081"/>
        <w:gridCol w:w="1302"/>
        <w:gridCol w:w="1289"/>
        <w:gridCol w:w="1334"/>
        <w:gridCol w:w="1088"/>
      </w:tblGrid>
      <w:tr w:rsidR="00F95285" w:rsidRPr="003D1522" w:rsidTr="00180647">
        <w:trPr>
          <w:tblHeader/>
        </w:trPr>
        <w:tc>
          <w:tcPr>
            <w:tcW w:w="1276" w:type="dxa"/>
            <w:vMerge w:val="restart"/>
            <w:tcBorders>
              <w:top w:val="single" w:sz="4" w:space="0" w:color="auto"/>
              <w:bottom w:val="single" w:sz="12" w:space="0" w:color="auto"/>
            </w:tcBorders>
            <w:shd w:val="clear" w:color="auto" w:fill="auto"/>
            <w:vAlign w:val="bottom"/>
          </w:tcPr>
          <w:p w:rsidR="002246AD" w:rsidRPr="003D1522" w:rsidRDefault="002246AD" w:rsidP="00180647">
            <w:pPr>
              <w:pStyle w:val="SingleTxtG"/>
              <w:spacing w:before="80" w:after="80" w:line="200" w:lineRule="exact"/>
              <w:ind w:left="0" w:right="113"/>
              <w:jc w:val="left"/>
              <w:rPr>
                <w:i/>
                <w:sz w:val="16"/>
              </w:rPr>
            </w:pPr>
            <w:r w:rsidRPr="003D1522">
              <w:rPr>
                <w:i/>
                <w:sz w:val="16"/>
              </w:rPr>
              <w:t>Year</w:t>
            </w:r>
          </w:p>
        </w:tc>
        <w:tc>
          <w:tcPr>
            <w:tcW w:w="6094" w:type="dxa"/>
            <w:gridSpan w:val="5"/>
            <w:tcBorders>
              <w:top w:val="single" w:sz="4" w:space="0" w:color="auto"/>
              <w:bottom w:val="single" w:sz="4" w:space="0" w:color="auto"/>
            </w:tcBorders>
            <w:shd w:val="clear" w:color="auto" w:fill="auto"/>
            <w:vAlign w:val="bottom"/>
          </w:tcPr>
          <w:p w:rsidR="002246AD" w:rsidRPr="003D1522" w:rsidRDefault="002246AD" w:rsidP="00551955">
            <w:pPr>
              <w:pStyle w:val="SingleTxtG"/>
              <w:spacing w:before="80" w:after="80" w:line="200" w:lineRule="exact"/>
              <w:ind w:left="0" w:right="113"/>
              <w:jc w:val="center"/>
              <w:rPr>
                <w:i/>
                <w:sz w:val="16"/>
              </w:rPr>
            </w:pPr>
            <w:r w:rsidRPr="003D1522">
              <w:rPr>
                <w:i/>
                <w:sz w:val="16"/>
              </w:rPr>
              <w:t>Number of complaints</w:t>
            </w:r>
          </w:p>
        </w:tc>
      </w:tr>
      <w:tr w:rsidR="00551955" w:rsidRPr="003D1522" w:rsidTr="00100ACD">
        <w:trPr>
          <w:tblHeader/>
        </w:trPr>
        <w:tc>
          <w:tcPr>
            <w:tcW w:w="1276" w:type="dxa"/>
            <w:vMerge/>
            <w:tcBorders>
              <w:top w:val="single" w:sz="12" w:space="0" w:color="auto"/>
              <w:bottom w:val="single" w:sz="12" w:space="0" w:color="auto"/>
            </w:tcBorders>
            <w:shd w:val="clear" w:color="auto" w:fill="auto"/>
            <w:vAlign w:val="bottom"/>
          </w:tcPr>
          <w:p w:rsidR="002246AD" w:rsidRPr="003D1522" w:rsidRDefault="002246AD" w:rsidP="00F95285">
            <w:pPr>
              <w:pStyle w:val="SingleTxtG"/>
              <w:spacing w:before="40" w:after="40" w:line="220" w:lineRule="exact"/>
              <w:ind w:left="0" w:right="113"/>
              <w:jc w:val="left"/>
              <w:rPr>
                <w:sz w:val="18"/>
              </w:rPr>
            </w:pPr>
          </w:p>
        </w:tc>
        <w:tc>
          <w:tcPr>
            <w:tcW w:w="1081" w:type="dxa"/>
            <w:tcBorders>
              <w:top w:val="single" w:sz="4" w:space="0" w:color="auto"/>
              <w:bottom w:val="single" w:sz="12" w:space="0" w:color="auto"/>
            </w:tcBorders>
            <w:shd w:val="clear" w:color="auto" w:fill="auto"/>
            <w:vAlign w:val="bottom"/>
          </w:tcPr>
          <w:p w:rsidR="002246AD" w:rsidRPr="003D1522" w:rsidRDefault="002246AD" w:rsidP="00100ACD">
            <w:pPr>
              <w:pStyle w:val="SingleTxtG"/>
              <w:spacing w:before="40" w:after="40" w:line="220" w:lineRule="exact"/>
              <w:ind w:left="0" w:right="113"/>
              <w:jc w:val="right"/>
              <w:rPr>
                <w:i/>
                <w:iCs/>
                <w:sz w:val="18"/>
              </w:rPr>
            </w:pPr>
            <w:r w:rsidRPr="003D1522">
              <w:rPr>
                <w:i/>
                <w:iCs/>
                <w:sz w:val="18"/>
              </w:rPr>
              <w:t>Gender equality</w:t>
            </w:r>
          </w:p>
        </w:tc>
        <w:tc>
          <w:tcPr>
            <w:tcW w:w="1302" w:type="dxa"/>
            <w:tcBorders>
              <w:top w:val="single" w:sz="4" w:space="0" w:color="auto"/>
              <w:bottom w:val="single" w:sz="12" w:space="0" w:color="auto"/>
            </w:tcBorders>
            <w:shd w:val="clear" w:color="auto" w:fill="auto"/>
            <w:vAlign w:val="bottom"/>
          </w:tcPr>
          <w:p w:rsidR="002246AD" w:rsidRPr="003D1522" w:rsidRDefault="002246AD" w:rsidP="00100ACD">
            <w:pPr>
              <w:pStyle w:val="SingleTxtG"/>
              <w:spacing w:before="40" w:after="40" w:line="220" w:lineRule="exact"/>
              <w:ind w:left="0" w:right="113"/>
              <w:jc w:val="right"/>
              <w:rPr>
                <w:i/>
                <w:iCs/>
                <w:sz w:val="18"/>
              </w:rPr>
            </w:pPr>
            <w:r w:rsidRPr="003D1522">
              <w:rPr>
                <w:i/>
                <w:iCs/>
                <w:sz w:val="18"/>
              </w:rPr>
              <w:t>Ethnicity</w:t>
            </w:r>
            <w:r w:rsidRPr="003D1522">
              <w:rPr>
                <w:rStyle w:val="FootnoteReference"/>
              </w:rPr>
              <w:footnoteReference w:id="4"/>
            </w:r>
          </w:p>
        </w:tc>
        <w:tc>
          <w:tcPr>
            <w:tcW w:w="1289" w:type="dxa"/>
            <w:tcBorders>
              <w:top w:val="single" w:sz="4" w:space="0" w:color="auto"/>
              <w:bottom w:val="single" w:sz="12" w:space="0" w:color="auto"/>
            </w:tcBorders>
            <w:shd w:val="clear" w:color="auto" w:fill="auto"/>
            <w:vAlign w:val="bottom"/>
          </w:tcPr>
          <w:p w:rsidR="002246AD" w:rsidRPr="003D1522" w:rsidRDefault="002246AD" w:rsidP="00100ACD">
            <w:pPr>
              <w:pStyle w:val="SingleTxtG"/>
              <w:spacing w:before="40" w:after="40" w:line="220" w:lineRule="exact"/>
              <w:ind w:left="0" w:right="113"/>
              <w:jc w:val="right"/>
              <w:rPr>
                <w:i/>
                <w:iCs/>
                <w:sz w:val="18"/>
              </w:rPr>
            </w:pPr>
            <w:r w:rsidRPr="003D1522">
              <w:rPr>
                <w:i/>
                <w:iCs/>
                <w:sz w:val="18"/>
              </w:rPr>
              <w:t>Disability</w:t>
            </w:r>
          </w:p>
        </w:tc>
        <w:tc>
          <w:tcPr>
            <w:tcW w:w="1334" w:type="dxa"/>
            <w:tcBorders>
              <w:top w:val="single" w:sz="4" w:space="0" w:color="auto"/>
              <w:bottom w:val="single" w:sz="12" w:space="0" w:color="auto"/>
            </w:tcBorders>
            <w:shd w:val="clear" w:color="auto" w:fill="auto"/>
            <w:vAlign w:val="bottom"/>
          </w:tcPr>
          <w:p w:rsidR="002246AD" w:rsidRPr="003D1522" w:rsidRDefault="002246AD" w:rsidP="00100ACD">
            <w:pPr>
              <w:pStyle w:val="SingleTxtG"/>
              <w:spacing w:before="40" w:after="40" w:line="220" w:lineRule="exact"/>
              <w:ind w:left="0" w:right="113"/>
              <w:jc w:val="right"/>
              <w:rPr>
                <w:i/>
                <w:iCs/>
                <w:sz w:val="18"/>
              </w:rPr>
            </w:pPr>
            <w:r w:rsidRPr="003D1522">
              <w:rPr>
                <w:i/>
                <w:iCs/>
                <w:sz w:val="18"/>
              </w:rPr>
              <w:t>Sexual minorities</w:t>
            </w:r>
            <w:r w:rsidRPr="003D1522">
              <w:rPr>
                <w:rStyle w:val="FootnoteReference"/>
              </w:rPr>
              <w:footnoteReference w:id="5"/>
            </w:r>
          </w:p>
        </w:tc>
        <w:tc>
          <w:tcPr>
            <w:tcW w:w="1088" w:type="dxa"/>
            <w:tcBorders>
              <w:top w:val="single" w:sz="4" w:space="0" w:color="auto"/>
              <w:bottom w:val="single" w:sz="12" w:space="0" w:color="auto"/>
            </w:tcBorders>
            <w:shd w:val="clear" w:color="auto" w:fill="auto"/>
            <w:vAlign w:val="bottom"/>
          </w:tcPr>
          <w:p w:rsidR="002246AD" w:rsidRPr="003D1522" w:rsidRDefault="002246AD" w:rsidP="00100ACD">
            <w:pPr>
              <w:pStyle w:val="SingleTxtG"/>
              <w:spacing w:before="40" w:after="40" w:line="220" w:lineRule="exact"/>
              <w:ind w:left="0" w:right="113"/>
              <w:jc w:val="right"/>
              <w:rPr>
                <w:i/>
                <w:iCs/>
                <w:sz w:val="18"/>
              </w:rPr>
            </w:pPr>
            <w:r w:rsidRPr="003D1522">
              <w:rPr>
                <w:i/>
                <w:iCs/>
                <w:sz w:val="18"/>
              </w:rPr>
              <w:t>Age</w:t>
            </w:r>
          </w:p>
        </w:tc>
      </w:tr>
      <w:tr w:rsidR="00551955" w:rsidRPr="003D1522" w:rsidTr="00551955">
        <w:tc>
          <w:tcPr>
            <w:tcW w:w="1276" w:type="dxa"/>
            <w:tcBorders>
              <w:top w:val="single" w:sz="12" w:space="0" w:color="auto"/>
            </w:tcBorders>
            <w:shd w:val="clear" w:color="auto" w:fill="auto"/>
          </w:tcPr>
          <w:p w:rsidR="002246AD" w:rsidRPr="003D1522" w:rsidRDefault="002246AD" w:rsidP="00F95285">
            <w:pPr>
              <w:pStyle w:val="SingleTxtG"/>
              <w:spacing w:before="40" w:after="40" w:line="220" w:lineRule="exact"/>
              <w:ind w:left="0" w:right="113"/>
              <w:jc w:val="left"/>
              <w:rPr>
                <w:sz w:val="18"/>
              </w:rPr>
            </w:pPr>
            <w:r w:rsidRPr="003D1522">
              <w:rPr>
                <w:sz w:val="18"/>
              </w:rPr>
              <w:t>2009</w:t>
            </w:r>
          </w:p>
        </w:tc>
        <w:tc>
          <w:tcPr>
            <w:tcW w:w="1081" w:type="dxa"/>
            <w:tcBorders>
              <w:top w:val="single" w:sz="12" w:space="0" w:color="auto"/>
            </w:tcBorders>
            <w:shd w:val="clear" w:color="auto" w:fill="auto"/>
            <w:vAlign w:val="bottom"/>
          </w:tcPr>
          <w:p w:rsidR="002246AD" w:rsidRPr="003D1522" w:rsidRDefault="002246AD" w:rsidP="00F95285">
            <w:pPr>
              <w:pStyle w:val="SingleTxtG"/>
              <w:spacing w:before="40" w:after="40" w:line="220" w:lineRule="exact"/>
              <w:ind w:left="0" w:right="113"/>
              <w:jc w:val="right"/>
              <w:rPr>
                <w:sz w:val="18"/>
              </w:rPr>
            </w:pPr>
            <w:r w:rsidRPr="003D1522">
              <w:rPr>
                <w:sz w:val="18"/>
              </w:rPr>
              <w:t>28</w:t>
            </w:r>
          </w:p>
        </w:tc>
        <w:tc>
          <w:tcPr>
            <w:tcW w:w="1302" w:type="dxa"/>
            <w:tcBorders>
              <w:top w:val="single" w:sz="12" w:space="0" w:color="auto"/>
            </w:tcBorders>
            <w:shd w:val="clear" w:color="auto" w:fill="auto"/>
            <w:vAlign w:val="bottom"/>
          </w:tcPr>
          <w:p w:rsidR="002246AD" w:rsidRPr="003D1522" w:rsidRDefault="002246AD" w:rsidP="00F95285">
            <w:pPr>
              <w:pStyle w:val="SingleTxtG"/>
              <w:spacing w:before="40" w:after="40" w:line="220" w:lineRule="exact"/>
              <w:ind w:left="0" w:right="113"/>
              <w:jc w:val="right"/>
              <w:rPr>
                <w:sz w:val="18"/>
              </w:rPr>
            </w:pPr>
            <w:r w:rsidRPr="003D1522">
              <w:rPr>
                <w:sz w:val="18"/>
              </w:rPr>
              <w:t>10</w:t>
            </w:r>
          </w:p>
        </w:tc>
        <w:tc>
          <w:tcPr>
            <w:tcW w:w="1289" w:type="dxa"/>
            <w:tcBorders>
              <w:top w:val="single" w:sz="12" w:space="0" w:color="auto"/>
            </w:tcBorders>
            <w:shd w:val="clear" w:color="auto" w:fill="auto"/>
            <w:vAlign w:val="bottom"/>
          </w:tcPr>
          <w:p w:rsidR="002246AD" w:rsidRPr="003D1522" w:rsidRDefault="002246AD" w:rsidP="00F95285">
            <w:pPr>
              <w:pStyle w:val="SingleTxtG"/>
              <w:spacing w:before="40" w:after="40" w:line="220" w:lineRule="exact"/>
              <w:ind w:left="0" w:right="113"/>
              <w:jc w:val="right"/>
              <w:rPr>
                <w:sz w:val="18"/>
              </w:rPr>
            </w:pPr>
            <w:r w:rsidRPr="003D1522">
              <w:rPr>
                <w:sz w:val="18"/>
              </w:rPr>
              <w:t>3</w:t>
            </w:r>
          </w:p>
        </w:tc>
        <w:tc>
          <w:tcPr>
            <w:tcW w:w="1334" w:type="dxa"/>
            <w:tcBorders>
              <w:top w:val="single" w:sz="12" w:space="0" w:color="auto"/>
            </w:tcBorders>
            <w:shd w:val="clear" w:color="auto" w:fill="auto"/>
            <w:vAlign w:val="bottom"/>
          </w:tcPr>
          <w:p w:rsidR="002246AD" w:rsidRPr="003D1522" w:rsidRDefault="002246AD" w:rsidP="00F95285">
            <w:pPr>
              <w:pStyle w:val="SingleTxtG"/>
              <w:spacing w:before="40" w:after="40" w:line="220" w:lineRule="exact"/>
              <w:ind w:left="0" w:right="113"/>
              <w:jc w:val="right"/>
              <w:rPr>
                <w:i/>
                <w:iCs/>
                <w:sz w:val="18"/>
              </w:rPr>
            </w:pPr>
            <w:r w:rsidRPr="003D1522">
              <w:rPr>
                <w:i/>
                <w:iCs/>
                <w:sz w:val="18"/>
              </w:rPr>
              <w:t>Under other</w:t>
            </w:r>
          </w:p>
        </w:tc>
        <w:tc>
          <w:tcPr>
            <w:tcW w:w="1088" w:type="dxa"/>
            <w:tcBorders>
              <w:top w:val="single" w:sz="12" w:space="0" w:color="auto"/>
            </w:tcBorders>
            <w:shd w:val="clear" w:color="auto" w:fill="auto"/>
            <w:vAlign w:val="bottom"/>
          </w:tcPr>
          <w:p w:rsidR="002246AD" w:rsidRPr="003D1522" w:rsidRDefault="002246AD" w:rsidP="00F95285">
            <w:pPr>
              <w:pStyle w:val="SingleTxtG"/>
              <w:spacing w:before="40" w:after="40" w:line="220" w:lineRule="exact"/>
              <w:ind w:left="0" w:right="113"/>
              <w:jc w:val="right"/>
              <w:rPr>
                <w:sz w:val="18"/>
              </w:rPr>
            </w:pPr>
            <w:r w:rsidRPr="003D1522">
              <w:rPr>
                <w:sz w:val="18"/>
              </w:rPr>
              <w:t>1</w:t>
            </w:r>
          </w:p>
        </w:tc>
      </w:tr>
      <w:tr w:rsidR="002246AD" w:rsidRPr="003D1522" w:rsidTr="00F95285">
        <w:tc>
          <w:tcPr>
            <w:tcW w:w="1276" w:type="dxa"/>
            <w:shd w:val="clear" w:color="auto" w:fill="auto"/>
          </w:tcPr>
          <w:p w:rsidR="002246AD" w:rsidRPr="003D1522" w:rsidRDefault="002246AD" w:rsidP="00F95285">
            <w:pPr>
              <w:pStyle w:val="SingleTxtG"/>
              <w:spacing w:before="40" w:after="40" w:line="220" w:lineRule="exact"/>
              <w:ind w:left="0" w:right="113"/>
              <w:jc w:val="left"/>
              <w:rPr>
                <w:sz w:val="18"/>
              </w:rPr>
            </w:pPr>
            <w:r w:rsidRPr="003D1522">
              <w:rPr>
                <w:sz w:val="18"/>
              </w:rPr>
              <w:t>2010</w:t>
            </w:r>
          </w:p>
        </w:tc>
        <w:tc>
          <w:tcPr>
            <w:tcW w:w="1081" w:type="dxa"/>
            <w:shd w:val="clear" w:color="auto" w:fill="auto"/>
            <w:vAlign w:val="bottom"/>
          </w:tcPr>
          <w:p w:rsidR="002246AD" w:rsidRPr="003D1522" w:rsidRDefault="002246AD" w:rsidP="00F95285">
            <w:pPr>
              <w:pStyle w:val="SingleTxtG"/>
              <w:spacing w:before="40" w:after="40" w:line="220" w:lineRule="exact"/>
              <w:ind w:left="0" w:right="113"/>
              <w:jc w:val="right"/>
              <w:rPr>
                <w:sz w:val="18"/>
              </w:rPr>
            </w:pPr>
            <w:r w:rsidRPr="003D1522">
              <w:rPr>
                <w:sz w:val="18"/>
              </w:rPr>
              <w:t>28</w:t>
            </w:r>
          </w:p>
        </w:tc>
        <w:tc>
          <w:tcPr>
            <w:tcW w:w="1302" w:type="dxa"/>
            <w:shd w:val="clear" w:color="auto" w:fill="auto"/>
            <w:vAlign w:val="bottom"/>
          </w:tcPr>
          <w:p w:rsidR="002246AD" w:rsidRPr="003D1522" w:rsidRDefault="002246AD" w:rsidP="00F95285">
            <w:pPr>
              <w:pStyle w:val="SingleTxtG"/>
              <w:spacing w:before="40" w:after="40" w:line="220" w:lineRule="exact"/>
              <w:ind w:left="0" w:right="113"/>
              <w:jc w:val="right"/>
              <w:rPr>
                <w:sz w:val="18"/>
              </w:rPr>
            </w:pPr>
            <w:r w:rsidRPr="003D1522">
              <w:rPr>
                <w:sz w:val="18"/>
              </w:rPr>
              <w:t>4</w:t>
            </w:r>
          </w:p>
        </w:tc>
        <w:tc>
          <w:tcPr>
            <w:tcW w:w="1289" w:type="dxa"/>
            <w:shd w:val="clear" w:color="auto" w:fill="auto"/>
            <w:vAlign w:val="bottom"/>
          </w:tcPr>
          <w:p w:rsidR="002246AD" w:rsidRPr="003D1522" w:rsidRDefault="002246AD" w:rsidP="00F95285">
            <w:pPr>
              <w:pStyle w:val="SingleTxtG"/>
              <w:spacing w:before="40" w:after="40" w:line="220" w:lineRule="exact"/>
              <w:ind w:left="0" w:right="113"/>
              <w:jc w:val="right"/>
              <w:rPr>
                <w:sz w:val="18"/>
              </w:rPr>
            </w:pPr>
            <w:r w:rsidRPr="003D1522">
              <w:rPr>
                <w:sz w:val="18"/>
              </w:rPr>
              <w:t>3</w:t>
            </w:r>
          </w:p>
        </w:tc>
        <w:tc>
          <w:tcPr>
            <w:tcW w:w="1334" w:type="dxa"/>
            <w:shd w:val="clear" w:color="auto" w:fill="auto"/>
            <w:vAlign w:val="bottom"/>
          </w:tcPr>
          <w:p w:rsidR="002246AD" w:rsidRPr="003D1522" w:rsidRDefault="002246AD" w:rsidP="00F95285">
            <w:pPr>
              <w:pStyle w:val="SingleTxtG"/>
              <w:spacing w:before="40" w:after="40" w:line="220" w:lineRule="exact"/>
              <w:ind w:left="0" w:right="113"/>
              <w:jc w:val="right"/>
              <w:rPr>
                <w:sz w:val="18"/>
              </w:rPr>
            </w:pPr>
            <w:r w:rsidRPr="003D1522">
              <w:rPr>
                <w:sz w:val="18"/>
              </w:rPr>
              <w:t>2</w:t>
            </w:r>
          </w:p>
        </w:tc>
        <w:tc>
          <w:tcPr>
            <w:tcW w:w="1088" w:type="dxa"/>
            <w:shd w:val="clear" w:color="auto" w:fill="auto"/>
            <w:vAlign w:val="bottom"/>
          </w:tcPr>
          <w:p w:rsidR="002246AD" w:rsidRPr="003D1522" w:rsidRDefault="002246AD" w:rsidP="00F95285">
            <w:pPr>
              <w:pStyle w:val="SingleTxtG"/>
              <w:spacing w:before="40" w:after="40" w:line="220" w:lineRule="exact"/>
              <w:ind w:left="0" w:right="113"/>
              <w:jc w:val="right"/>
              <w:rPr>
                <w:sz w:val="18"/>
              </w:rPr>
            </w:pPr>
            <w:r w:rsidRPr="003D1522">
              <w:rPr>
                <w:sz w:val="18"/>
              </w:rPr>
              <w:t>2</w:t>
            </w:r>
          </w:p>
        </w:tc>
      </w:tr>
      <w:tr w:rsidR="002246AD" w:rsidRPr="003D1522" w:rsidTr="00F95285">
        <w:tc>
          <w:tcPr>
            <w:tcW w:w="1276" w:type="dxa"/>
            <w:shd w:val="clear" w:color="auto" w:fill="auto"/>
          </w:tcPr>
          <w:p w:rsidR="002246AD" w:rsidRPr="003D1522" w:rsidRDefault="002246AD" w:rsidP="00F95285">
            <w:pPr>
              <w:pStyle w:val="SingleTxtG"/>
              <w:spacing w:before="40" w:after="40" w:line="220" w:lineRule="exact"/>
              <w:ind w:left="0" w:right="113"/>
              <w:jc w:val="left"/>
              <w:rPr>
                <w:sz w:val="18"/>
              </w:rPr>
            </w:pPr>
            <w:r w:rsidRPr="003D1522">
              <w:rPr>
                <w:sz w:val="18"/>
              </w:rPr>
              <w:t>2011</w:t>
            </w:r>
          </w:p>
        </w:tc>
        <w:tc>
          <w:tcPr>
            <w:tcW w:w="1081" w:type="dxa"/>
            <w:shd w:val="clear" w:color="auto" w:fill="auto"/>
            <w:vAlign w:val="bottom"/>
          </w:tcPr>
          <w:p w:rsidR="002246AD" w:rsidRPr="003D1522" w:rsidRDefault="002246AD" w:rsidP="00F95285">
            <w:pPr>
              <w:pStyle w:val="SingleTxtG"/>
              <w:spacing w:before="40" w:after="40" w:line="220" w:lineRule="exact"/>
              <w:ind w:left="0" w:right="113"/>
              <w:jc w:val="right"/>
              <w:rPr>
                <w:sz w:val="18"/>
              </w:rPr>
            </w:pPr>
            <w:r w:rsidRPr="003D1522">
              <w:rPr>
                <w:sz w:val="18"/>
              </w:rPr>
              <w:t>45</w:t>
            </w:r>
          </w:p>
        </w:tc>
        <w:tc>
          <w:tcPr>
            <w:tcW w:w="1302" w:type="dxa"/>
            <w:shd w:val="clear" w:color="auto" w:fill="auto"/>
            <w:vAlign w:val="bottom"/>
          </w:tcPr>
          <w:p w:rsidR="002246AD" w:rsidRPr="003D1522" w:rsidRDefault="002246AD" w:rsidP="00F95285">
            <w:pPr>
              <w:pStyle w:val="SingleTxtG"/>
              <w:spacing w:before="40" w:after="40" w:line="220" w:lineRule="exact"/>
              <w:ind w:left="0" w:right="113"/>
              <w:jc w:val="right"/>
              <w:rPr>
                <w:sz w:val="18"/>
              </w:rPr>
            </w:pPr>
            <w:r w:rsidRPr="003D1522">
              <w:rPr>
                <w:sz w:val="18"/>
              </w:rPr>
              <w:t>8</w:t>
            </w:r>
          </w:p>
        </w:tc>
        <w:tc>
          <w:tcPr>
            <w:tcW w:w="1289" w:type="dxa"/>
            <w:shd w:val="clear" w:color="auto" w:fill="auto"/>
            <w:vAlign w:val="bottom"/>
          </w:tcPr>
          <w:p w:rsidR="002246AD" w:rsidRPr="003D1522" w:rsidRDefault="002246AD" w:rsidP="00F95285">
            <w:pPr>
              <w:pStyle w:val="SingleTxtG"/>
              <w:spacing w:before="40" w:after="40" w:line="220" w:lineRule="exact"/>
              <w:ind w:left="0" w:right="113"/>
              <w:jc w:val="right"/>
              <w:rPr>
                <w:sz w:val="18"/>
              </w:rPr>
            </w:pPr>
            <w:r w:rsidRPr="003D1522">
              <w:rPr>
                <w:sz w:val="18"/>
              </w:rPr>
              <w:t>2</w:t>
            </w:r>
          </w:p>
        </w:tc>
        <w:tc>
          <w:tcPr>
            <w:tcW w:w="1334" w:type="dxa"/>
            <w:shd w:val="clear" w:color="auto" w:fill="auto"/>
            <w:vAlign w:val="bottom"/>
          </w:tcPr>
          <w:p w:rsidR="002246AD" w:rsidRPr="003D1522" w:rsidRDefault="002246AD" w:rsidP="00F95285">
            <w:pPr>
              <w:pStyle w:val="SingleTxtG"/>
              <w:spacing w:before="40" w:after="40" w:line="220" w:lineRule="exact"/>
              <w:ind w:left="0" w:right="113"/>
              <w:jc w:val="right"/>
              <w:rPr>
                <w:sz w:val="18"/>
              </w:rPr>
            </w:pPr>
            <w:r w:rsidRPr="003D1522">
              <w:rPr>
                <w:sz w:val="18"/>
              </w:rPr>
              <w:t>5</w:t>
            </w:r>
          </w:p>
        </w:tc>
        <w:tc>
          <w:tcPr>
            <w:tcW w:w="1088" w:type="dxa"/>
            <w:shd w:val="clear" w:color="auto" w:fill="auto"/>
            <w:vAlign w:val="bottom"/>
          </w:tcPr>
          <w:p w:rsidR="002246AD" w:rsidRPr="003D1522" w:rsidRDefault="002246AD" w:rsidP="00F95285">
            <w:pPr>
              <w:pStyle w:val="SingleTxtG"/>
              <w:spacing w:before="40" w:after="40" w:line="220" w:lineRule="exact"/>
              <w:ind w:left="0" w:right="113"/>
              <w:jc w:val="right"/>
              <w:rPr>
                <w:sz w:val="18"/>
              </w:rPr>
            </w:pPr>
            <w:r w:rsidRPr="003D1522">
              <w:rPr>
                <w:sz w:val="18"/>
              </w:rPr>
              <w:t>-</w:t>
            </w:r>
          </w:p>
        </w:tc>
      </w:tr>
      <w:tr w:rsidR="002246AD" w:rsidRPr="003D1522" w:rsidTr="00F95285">
        <w:tc>
          <w:tcPr>
            <w:tcW w:w="1276" w:type="dxa"/>
            <w:shd w:val="clear" w:color="auto" w:fill="auto"/>
          </w:tcPr>
          <w:p w:rsidR="002246AD" w:rsidRPr="003D1522" w:rsidRDefault="002246AD" w:rsidP="00F95285">
            <w:pPr>
              <w:pStyle w:val="SingleTxtG"/>
              <w:spacing w:before="40" w:after="40" w:line="220" w:lineRule="exact"/>
              <w:ind w:left="0" w:right="113"/>
              <w:jc w:val="left"/>
              <w:rPr>
                <w:sz w:val="18"/>
              </w:rPr>
            </w:pPr>
            <w:r w:rsidRPr="003D1522">
              <w:rPr>
                <w:sz w:val="18"/>
              </w:rPr>
              <w:t>2012</w:t>
            </w:r>
          </w:p>
        </w:tc>
        <w:tc>
          <w:tcPr>
            <w:tcW w:w="1081" w:type="dxa"/>
            <w:shd w:val="clear" w:color="auto" w:fill="auto"/>
            <w:vAlign w:val="bottom"/>
          </w:tcPr>
          <w:p w:rsidR="002246AD" w:rsidRPr="003D1522" w:rsidRDefault="002246AD" w:rsidP="00F95285">
            <w:pPr>
              <w:pStyle w:val="SingleTxtG"/>
              <w:spacing w:before="40" w:after="40" w:line="220" w:lineRule="exact"/>
              <w:ind w:left="0" w:right="113"/>
              <w:jc w:val="right"/>
              <w:rPr>
                <w:sz w:val="18"/>
              </w:rPr>
            </w:pPr>
            <w:r w:rsidRPr="003D1522">
              <w:rPr>
                <w:sz w:val="18"/>
              </w:rPr>
              <w:t>58</w:t>
            </w:r>
          </w:p>
        </w:tc>
        <w:tc>
          <w:tcPr>
            <w:tcW w:w="1302" w:type="dxa"/>
            <w:shd w:val="clear" w:color="auto" w:fill="auto"/>
            <w:vAlign w:val="bottom"/>
          </w:tcPr>
          <w:p w:rsidR="002246AD" w:rsidRPr="003D1522" w:rsidRDefault="002246AD" w:rsidP="00F95285">
            <w:pPr>
              <w:pStyle w:val="SingleTxtG"/>
              <w:spacing w:before="40" w:after="40" w:line="220" w:lineRule="exact"/>
              <w:ind w:left="0" w:right="113"/>
              <w:jc w:val="right"/>
              <w:rPr>
                <w:sz w:val="18"/>
              </w:rPr>
            </w:pPr>
            <w:r w:rsidRPr="003D1522">
              <w:rPr>
                <w:sz w:val="18"/>
              </w:rPr>
              <w:t>4</w:t>
            </w:r>
          </w:p>
        </w:tc>
        <w:tc>
          <w:tcPr>
            <w:tcW w:w="1289" w:type="dxa"/>
            <w:shd w:val="clear" w:color="auto" w:fill="auto"/>
            <w:vAlign w:val="bottom"/>
          </w:tcPr>
          <w:p w:rsidR="002246AD" w:rsidRPr="003D1522" w:rsidRDefault="002246AD" w:rsidP="00F95285">
            <w:pPr>
              <w:pStyle w:val="SingleTxtG"/>
              <w:spacing w:before="40" w:after="40" w:line="220" w:lineRule="exact"/>
              <w:ind w:left="0" w:right="113"/>
              <w:jc w:val="right"/>
              <w:rPr>
                <w:sz w:val="18"/>
              </w:rPr>
            </w:pPr>
            <w:r w:rsidRPr="003D1522">
              <w:rPr>
                <w:sz w:val="18"/>
              </w:rPr>
              <w:t>12</w:t>
            </w:r>
          </w:p>
        </w:tc>
        <w:tc>
          <w:tcPr>
            <w:tcW w:w="1334" w:type="dxa"/>
            <w:shd w:val="clear" w:color="auto" w:fill="auto"/>
            <w:vAlign w:val="bottom"/>
          </w:tcPr>
          <w:p w:rsidR="002246AD" w:rsidRPr="003D1522" w:rsidRDefault="002246AD" w:rsidP="00F95285">
            <w:pPr>
              <w:pStyle w:val="SingleTxtG"/>
              <w:spacing w:before="40" w:after="40" w:line="220" w:lineRule="exact"/>
              <w:ind w:left="0" w:right="113"/>
              <w:jc w:val="right"/>
              <w:rPr>
                <w:sz w:val="18"/>
              </w:rPr>
            </w:pPr>
            <w:r w:rsidRPr="003D1522">
              <w:rPr>
                <w:sz w:val="18"/>
              </w:rPr>
              <w:t>4</w:t>
            </w:r>
          </w:p>
        </w:tc>
        <w:tc>
          <w:tcPr>
            <w:tcW w:w="1088" w:type="dxa"/>
            <w:shd w:val="clear" w:color="auto" w:fill="auto"/>
            <w:vAlign w:val="bottom"/>
          </w:tcPr>
          <w:p w:rsidR="002246AD" w:rsidRPr="003D1522" w:rsidRDefault="002246AD" w:rsidP="00F95285">
            <w:pPr>
              <w:pStyle w:val="SingleTxtG"/>
              <w:spacing w:before="40" w:after="40" w:line="220" w:lineRule="exact"/>
              <w:ind w:left="0" w:right="113"/>
              <w:jc w:val="right"/>
              <w:rPr>
                <w:sz w:val="18"/>
              </w:rPr>
            </w:pPr>
            <w:r w:rsidRPr="003D1522">
              <w:rPr>
                <w:sz w:val="18"/>
              </w:rPr>
              <w:t>11</w:t>
            </w:r>
          </w:p>
        </w:tc>
      </w:tr>
      <w:tr w:rsidR="002246AD" w:rsidRPr="003D1522" w:rsidTr="00F95285">
        <w:tc>
          <w:tcPr>
            <w:tcW w:w="1276" w:type="dxa"/>
            <w:shd w:val="clear" w:color="auto" w:fill="auto"/>
          </w:tcPr>
          <w:p w:rsidR="002246AD" w:rsidRPr="003D1522" w:rsidRDefault="002246AD" w:rsidP="00F95285">
            <w:pPr>
              <w:pStyle w:val="SingleTxtG"/>
              <w:spacing w:before="40" w:after="40" w:line="220" w:lineRule="exact"/>
              <w:ind w:left="0" w:right="113"/>
              <w:jc w:val="left"/>
              <w:rPr>
                <w:sz w:val="18"/>
              </w:rPr>
            </w:pPr>
            <w:r w:rsidRPr="003D1522">
              <w:rPr>
                <w:sz w:val="18"/>
              </w:rPr>
              <w:t>2013</w:t>
            </w:r>
          </w:p>
        </w:tc>
        <w:tc>
          <w:tcPr>
            <w:tcW w:w="1081" w:type="dxa"/>
            <w:shd w:val="clear" w:color="auto" w:fill="auto"/>
            <w:vAlign w:val="bottom"/>
          </w:tcPr>
          <w:p w:rsidR="002246AD" w:rsidRPr="003D1522" w:rsidRDefault="002246AD" w:rsidP="00F95285">
            <w:pPr>
              <w:pStyle w:val="SingleTxtG"/>
              <w:spacing w:before="40" w:after="40" w:line="220" w:lineRule="exact"/>
              <w:ind w:left="0" w:right="113"/>
              <w:jc w:val="right"/>
              <w:rPr>
                <w:sz w:val="18"/>
              </w:rPr>
            </w:pPr>
            <w:r w:rsidRPr="003D1522">
              <w:rPr>
                <w:sz w:val="18"/>
              </w:rPr>
              <w:t>57</w:t>
            </w:r>
          </w:p>
        </w:tc>
        <w:tc>
          <w:tcPr>
            <w:tcW w:w="1302" w:type="dxa"/>
            <w:shd w:val="clear" w:color="auto" w:fill="auto"/>
            <w:vAlign w:val="bottom"/>
          </w:tcPr>
          <w:p w:rsidR="002246AD" w:rsidRPr="003D1522" w:rsidRDefault="002246AD" w:rsidP="00F95285">
            <w:pPr>
              <w:pStyle w:val="SingleTxtG"/>
              <w:spacing w:before="40" w:after="40" w:line="220" w:lineRule="exact"/>
              <w:ind w:left="0" w:right="113"/>
              <w:jc w:val="right"/>
              <w:rPr>
                <w:sz w:val="18"/>
              </w:rPr>
            </w:pPr>
            <w:r w:rsidRPr="003D1522">
              <w:rPr>
                <w:sz w:val="18"/>
              </w:rPr>
              <w:t>4</w:t>
            </w:r>
          </w:p>
        </w:tc>
        <w:tc>
          <w:tcPr>
            <w:tcW w:w="1289" w:type="dxa"/>
            <w:shd w:val="clear" w:color="auto" w:fill="auto"/>
            <w:vAlign w:val="bottom"/>
          </w:tcPr>
          <w:p w:rsidR="002246AD" w:rsidRPr="003D1522" w:rsidRDefault="002246AD" w:rsidP="00F95285">
            <w:pPr>
              <w:pStyle w:val="SingleTxtG"/>
              <w:spacing w:before="40" w:after="40" w:line="220" w:lineRule="exact"/>
              <w:ind w:left="0" w:right="113"/>
              <w:jc w:val="right"/>
              <w:rPr>
                <w:sz w:val="18"/>
              </w:rPr>
            </w:pPr>
            <w:r w:rsidRPr="003D1522">
              <w:rPr>
                <w:sz w:val="18"/>
              </w:rPr>
              <w:t>12</w:t>
            </w:r>
          </w:p>
        </w:tc>
        <w:tc>
          <w:tcPr>
            <w:tcW w:w="1334" w:type="dxa"/>
            <w:shd w:val="clear" w:color="auto" w:fill="auto"/>
            <w:vAlign w:val="bottom"/>
          </w:tcPr>
          <w:p w:rsidR="002246AD" w:rsidRPr="003D1522" w:rsidRDefault="002246AD" w:rsidP="00F95285">
            <w:pPr>
              <w:pStyle w:val="SingleTxtG"/>
              <w:spacing w:before="40" w:after="40" w:line="220" w:lineRule="exact"/>
              <w:ind w:left="0" w:right="113"/>
              <w:jc w:val="right"/>
              <w:rPr>
                <w:sz w:val="18"/>
              </w:rPr>
            </w:pPr>
            <w:r w:rsidRPr="003D1522">
              <w:rPr>
                <w:sz w:val="18"/>
              </w:rPr>
              <w:t>5</w:t>
            </w:r>
          </w:p>
        </w:tc>
        <w:tc>
          <w:tcPr>
            <w:tcW w:w="1088" w:type="dxa"/>
            <w:shd w:val="clear" w:color="auto" w:fill="auto"/>
            <w:vAlign w:val="bottom"/>
          </w:tcPr>
          <w:p w:rsidR="002246AD" w:rsidRPr="003D1522" w:rsidRDefault="002246AD" w:rsidP="00F95285">
            <w:pPr>
              <w:pStyle w:val="SingleTxtG"/>
              <w:spacing w:before="40" w:after="40" w:line="220" w:lineRule="exact"/>
              <w:ind w:left="0" w:right="113"/>
              <w:jc w:val="right"/>
              <w:rPr>
                <w:sz w:val="18"/>
              </w:rPr>
            </w:pPr>
            <w:r w:rsidRPr="003D1522">
              <w:rPr>
                <w:sz w:val="18"/>
              </w:rPr>
              <w:t>-</w:t>
            </w:r>
          </w:p>
        </w:tc>
      </w:tr>
      <w:tr w:rsidR="002246AD" w:rsidRPr="003D1522" w:rsidTr="00F95285">
        <w:tc>
          <w:tcPr>
            <w:tcW w:w="1276" w:type="dxa"/>
            <w:shd w:val="clear" w:color="auto" w:fill="auto"/>
          </w:tcPr>
          <w:p w:rsidR="002246AD" w:rsidRPr="003D1522" w:rsidRDefault="002246AD" w:rsidP="00F95285">
            <w:pPr>
              <w:pStyle w:val="SingleTxtG"/>
              <w:spacing w:before="40" w:after="40" w:line="220" w:lineRule="exact"/>
              <w:ind w:left="0" w:right="113"/>
              <w:jc w:val="left"/>
              <w:rPr>
                <w:sz w:val="18"/>
              </w:rPr>
            </w:pPr>
            <w:r w:rsidRPr="003D1522">
              <w:rPr>
                <w:sz w:val="18"/>
              </w:rPr>
              <w:t>2014</w:t>
            </w:r>
          </w:p>
        </w:tc>
        <w:tc>
          <w:tcPr>
            <w:tcW w:w="1081" w:type="dxa"/>
            <w:shd w:val="clear" w:color="auto" w:fill="auto"/>
            <w:vAlign w:val="bottom"/>
          </w:tcPr>
          <w:p w:rsidR="002246AD" w:rsidRPr="003D1522" w:rsidRDefault="002246AD" w:rsidP="00F95285">
            <w:pPr>
              <w:pStyle w:val="SingleTxtG"/>
              <w:spacing w:before="40" w:after="40" w:line="220" w:lineRule="exact"/>
              <w:ind w:left="0" w:right="113"/>
              <w:jc w:val="right"/>
              <w:rPr>
                <w:sz w:val="18"/>
              </w:rPr>
            </w:pPr>
            <w:r w:rsidRPr="003D1522">
              <w:rPr>
                <w:sz w:val="18"/>
              </w:rPr>
              <w:t>91</w:t>
            </w:r>
          </w:p>
        </w:tc>
        <w:tc>
          <w:tcPr>
            <w:tcW w:w="1302" w:type="dxa"/>
            <w:shd w:val="clear" w:color="auto" w:fill="auto"/>
            <w:vAlign w:val="bottom"/>
          </w:tcPr>
          <w:p w:rsidR="002246AD" w:rsidRPr="003D1522" w:rsidRDefault="002246AD" w:rsidP="00F95285">
            <w:pPr>
              <w:pStyle w:val="SingleTxtG"/>
              <w:spacing w:before="40" w:after="40" w:line="220" w:lineRule="exact"/>
              <w:ind w:left="0" w:right="113"/>
              <w:jc w:val="right"/>
              <w:rPr>
                <w:sz w:val="18"/>
              </w:rPr>
            </w:pPr>
            <w:r w:rsidRPr="003D1522">
              <w:rPr>
                <w:sz w:val="18"/>
              </w:rPr>
              <w:t>6</w:t>
            </w:r>
          </w:p>
        </w:tc>
        <w:tc>
          <w:tcPr>
            <w:tcW w:w="1289" w:type="dxa"/>
            <w:shd w:val="clear" w:color="auto" w:fill="auto"/>
            <w:vAlign w:val="bottom"/>
          </w:tcPr>
          <w:p w:rsidR="002246AD" w:rsidRPr="003D1522" w:rsidRDefault="002246AD" w:rsidP="00F95285">
            <w:pPr>
              <w:pStyle w:val="SingleTxtG"/>
              <w:spacing w:before="40" w:after="40" w:line="220" w:lineRule="exact"/>
              <w:ind w:left="0" w:right="113"/>
              <w:jc w:val="right"/>
              <w:rPr>
                <w:sz w:val="18"/>
              </w:rPr>
            </w:pPr>
            <w:r w:rsidRPr="003D1522">
              <w:rPr>
                <w:sz w:val="18"/>
              </w:rPr>
              <w:t>8</w:t>
            </w:r>
          </w:p>
        </w:tc>
        <w:tc>
          <w:tcPr>
            <w:tcW w:w="1334" w:type="dxa"/>
            <w:shd w:val="clear" w:color="auto" w:fill="auto"/>
            <w:vAlign w:val="bottom"/>
          </w:tcPr>
          <w:p w:rsidR="002246AD" w:rsidRPr="003D1522" w:rsidRDefault="002246AD" w:rsidP="00F95285">
            <w:pPr>
              <w:pStyle w:val="SingleTxtG"/>
              <w:spacing w:before="40" w:after="40" w:line="220" w:lineRule="exact"/>
              <w:ind w:left="0" w:right="113"/>
              <w:jc w:val="right"/>
              <w:rPr>
                <w:sz w:val="18"/>
              </w:rPr>
            </w:pPr>
            <w:r w:rsidRPr="003D1522">
              <w:rPr>
                <w:sz w:val="18"/>
              </w:rPr>
              <w:t>1</w:t>
            </w:r>
          </w:p>
        </w:tc>
        <w:tc>
          <w:tcPr>
            <w:tcW w:w="1088" w:type="dxa"/>
            <w:shd w:val="clear" w:color="auto" w:fill="auto"/>
            <w:vAlign w:val="bottom"/>
          </w:tcPr>
          <w:p w:rsidR="002246AD" w:rsidRPr="003D1522" w:rsidRDefault="002246AD" w:rsidP="00F95285">
            <w:pPr>
              <w:pStyle w:val="SingleTxtG"/>
              <w:spacing w:before="40" w:after="40" w:line="220" w:lineRule="exact"/>
              <w:ind w:left="0" w:right="113"/>
              <w:jc w:val="right"/>
              <w:rPr>
                <w:sz w:val="18"/>
              </w:rPr>
            </w:pPr>
            <w:r w:rsidRPr="003D1522">
              <w:rPr>
                <w:sz w:val="18"/>
              </w:rPr>
              <w:t>14</w:t>
            </w:r>
          </w:p>
        </w:tc>
      </w:tr>
      <w:tr w:rsidR="002246AD" w:rsidRPr="003D1522" w:rsidTr="00F95285">
        <w:tc>
          <w:tcPr>
            <w:tcW w:w="1276" w:type="dxa"/>
            <w:shd w:val="clear" w:color="auto" w:fill="auto"/>
          </w:tcPr>
          <w:p w:rsidR="002246AD" w:rsidRPr="003D1522" w:rsidRDefault="002246AD" w:rsidP="00F95285">
            <w:pPr>
              <w:pStyle w:val="SingleTxtG"/>
              <w:spacing w:before="40" w:after="40" w:line="220" w:lineRule="exact"/>
              <w:ind w:left="0" w:right="113"/>
              <w:jc w:val="left"/>
              <w:rPr>
                <w:sz w:val="18"/>
              </w:rPr>
            </w:pPr>
            <w:r w:rsidRPr="003D1522">
              <w:rPr>
                <w:sz w:val="18"/>
              </w:rPr>
              <w:t>2015</w:t>
            </w:r>
          </w:p>
        </w:tc>
        <w:tc>
          <w:tcPr>
            <w:tcW w:w="1081" w:type="dxa"/>
            <w:shd w:val="clear" w:color="auto" w:fill="auto"/>
            <w:vAlign w:val="bottom"/>
          </w:tcPr>
          <w:p w:rsidR="002246AD" w:rsidRPr="003D1522" w:rsidRDefault="002246AD" w:rsidP="00F95285">
            <w:pPr>
              <w:pStyle w:val="SingleTxtG"/>
              <w:spacing w:before="40" w:after="40" w:line="220" w:lineRule="exact"/>
              <w:ind w:left="0" w:right="113"/>
              <w:jc w:val="right"/>
              <w:rPr>
                <w:sz w:val="18"/>
              </w:rPr>
            </w:pPr>
            <w:r w:rsidRPr="003D1522">
              <w:rPr>
                <w:sz w:val="18"/>
              </w:rPr>
              <w:t>70</w:t>
            </w:r>
          </w:p>
        </w:tc>
        <w:tc>
          <w:tcPr>
            <w:tcW w:w="1302" w:type="dxa"/>
            <w:shd w:val="clear" w:color="auto" w:fill="auto"/>
            <w:vAlign w:val="bottom"/>
          </w:tcPr>
          <w:p w:rsidR="002246AD" w:rsidRPr="003D1522" w:rsidRDefault="002246AD" w:rsidP="00F95285">
            <w:pPr>
              <w:pStyle w:val="SingleTxtG"/>
              <w:spacing w:before="40" w:after="40" w:line="220" w:lineRule="exact"/>
              <w:ind w:left="0" w:right="113"/>
              <w:jc w:val="right"/>
              <w:rPr>
                <w:sz w:val="18"/>
              </w:rPr>
            </w:pPr>
            <w:r w:rsidRPr="003D1522">
              <w:rPr>
                <w:sz w:val="18"/>
              </w:rPr>
              <w:t>13</w:t>
            </w:r>
          </w:p>
        </w:tc>
        <w:tc>
          <w:tcPr>
            <w:tcW w:w="1289" w:type="dxa"/>
            <w:shd w:val="clear" w:color="auto" w:fill="auto"/>
            <w:vAlign w:val="bottom"/>
          </w:tcPr>
          <w:p w:rsidR="002246AD" w:rsidRPr="003D1522" w:rsidRDefault="002246AD" w:rsidP="00F95285">
            <w:pPr>
              <w:pStyle w:val="SingleTxtG"/>
              <w:spacing w:before="40" w:after="40" w:line="220" w:lineRule="exact"/>
              <w:ind w:left="0" w:right="113"/>
              <w:jc w:val="right"/>
              <w:rPr>
                <w:sz w:val="18"/>
              </w:rPr>
            </w:pPr>
            <w:r w:rsidRPr="003D1522">
              <w:rPr>
                <w:sz w:val="18"/>
              </w:rPr>
              <w:t>35</w:t>
            </w:r>
          </w:p>
        </w:tc>
        <w:tc>
          <w:tcPr>
            <w:tcW w:w="1334" w:type="dxa"/>
            <w:shd w:val="clear" w:color="auto" w:fill="auto"/>
            <w:vAlign w:val="bottom"/>
          </w:tcPr>
          <w:p w:rsidR="002246AD" w:rsidRPr="003D1522" w:rsidRDefault="002246AD" w:rsidP="00F95285">
            <w:pPr>
              <w:pStyle w:val="SingleTxtG"/>
              <w:spacing w:before="40" w:after="40" w:line="220" w:lineRule="exact"/>
              <w:ind w:left="0" w:right="113"/>
              <w:jc w:val="right"/>
              <w:rPr>
                <w:sz w:val="18"/>
              </w:rPr>
            </w:pPr>
            <w:r w:rsidRPr="003D1522">
              <w:rPr>
                <w:sz w:val="18"/>
              </w:rPr>
              <w:t>8</w:t>
            </w:r>
          </w:p>
        </w:tc>
        <w:tc>
          <w:tcPr>
            <w:tcW w:w="1088" w:type="dxa"/>
            <w:shd w:val="clear" w:color="auto" w:fill="auto"/>
            <w:vAlign w:val="bottom"/>
          </w:tcPr>
          <w:p w:rsidR="002246AD" w:rsidRPr="003D1522" w:rsidRDefault="002246AD" w:rsidP="00F95285">
            <w:pPr>
              <w:pStyle w:val="SingleTxtG"/>
              <w:spacing w:before="40" w:after="40" w:line="220" w:lineRule="exact"/>
              <w:ind w:left="0" w:right="113"/>
              <w:jc w:val="right"/>
              <w:rPr>
                <w:sz w:val="18"/>
              </w:rPr>
            </w:pPr>
            <w:r w:rsidRPr="003D1522">
              <w:rPr>
                <w:sz w:val="18"/>
              </w:rPr>
              <w:t>16</w:t>
            </w:r>
          </w:p>
        </w:tc>
      </w:tr>
      <w:tr w:rsidR="002246AD" w:rsidRPr="003D1522" w:rsidTr="00F95285">
        <w:tc>
          <w:tcPr>
            <w:tcW w:w="1276" w:type="dxa"/>
            <w:shd w:val="clear" w:color="auto" w:fill="auto"/>
          </w:tcPr>
          <w:p w:rsidR="002246AD" w:rsidRPr="003D1522" w:rsidRDefault="002246AD" w:rsidP="00F95285">
            <w:pPr>
              <w:pStyle w:val="SingleTxtG"/>
              <w:spacing w:before="40" w:after="40" w:line="220" w:lineRule="exact"/>
              <w:ind w:left="0" w:right="113"/>
              <w:jc w:val="left"/>
              <w:rPr>
                <w:sz w:val="18"/>
              </w:rPr>
            </w:pPr>
            <w:r w:rsidRPr="003D1522">
              <w:rPr>
                <w:sz w:val="18"/>
              </w:rPr>
              <w:t>2016</w:t>
            </w:r>
          </w:p>
        </w:tc>
        <w:tc>
          <w:tcPr>
            <w:tcW w:w="1081" w:type="dxa"/>
            <w:shd w:val="clear" w:color="auto" w:fill="auto"/>
            <w:vAlign w:val="bottom"/>
          </w:tcPr>
          <w:p w:rsidR="002246AD" w:rsidRPr="003D1522" w:rsidRDefault="002246AD" w:rsidP="00F95285">
            <w:pPr>
              <w:pStyle w:val="SingleTxtG"/>
              <w:spacing w:before="40" w:after="40" w:line="220" w:lineRule="exact"/>
              <w:ind w:left="0" w:right="113"/>
              <w:jc w:val="right"/>
              <w:rPr>
                <w:sz w:val="18"/>
              </w:rPr>
            </w:pPr>
            <w:r w:rsidRPr="003D1522">
              <w:rPr>
                <w:sz w:val="18"/>
              </w:rPr>
              <w:t>158</w:t>
            </w:r>
          </w:p>
        </w:tc>
        <w:tc>
          <w:tcPr>
            <w:tcW w:w="1302" w:type="dxa"/>
            <w:shd w:val="clear" w:color="auto" w:fill="auto"/>
            <w:vAlign w:val="bottom"/>
          </w:tcPr>
          <w:p w:rsidR="002246AD" w:rsidRPr="003D1522" w:rsidRDefault="002246AD" w:rsidP="00F95285">
            <w:pPr>
              <w:pStyle w:val="SingleTxtG"/>
              <w:spacing w:before="40" w:after="40" w:line="220" w:lineRule="exact"/>
              <w:ind w:left="0" w:right="113"/>
              <w:jc w:val="right"/>
              <w:rPr>
                <w:sz w:val="18"/>
              </w:rPr>
            </w:pPr>
            <w:r w:rsidRPr="003D1522">
              <w:rPr>
                <w:sz w:val="18"/>
              </w:rPr>
              <w:t>22</w:t>
            </w:r>
          </w:p>
        </w:tc>
        <w:tc>
          <w:tcPr>
            <w:tcW w:w="1289" w:type="dxa"/>
            <w:shd w:val="clear" w:color="auto" w:fill="auto"/>
            <w:vAlign w:val="bottom"/>
          </w:tcPr>
          <w:p w:rsidR="002246AD" w:rsidRPr="003D1522" w:rsidRDefault="002246AD" w:rsidP="00F95285">
            <w:pPr>
              <w:pStyle w:val="SingleTxtG"/>
              <w:spacing w:before="40" w:after="40" w:line="220" w:lineRule="exact"/>
              <w:ind w:left="0" w:right="113"/>
              <w:jc w:val="right"/>
              <w:rPr>
                <w:sz w:val="18"/>
              </w:rPr>
            </w:pPr>
            <w:r w:rsidRPr="003D1522">
              <w:rPr>
                <w:sz w:val="18"/>
              </w:rPr>
              <w:t>55</w:t>
            </w:r>
          </w:p>
        </w:tc>
        <w:tc>
          <w:tcPr>
            <w:tcW w:w="1334" w:type="dxa"/>
            <w:shd w:val="clear" w:color="auto" w:fill="auto"/>
            <w:vAlign w:val="bottom"/>
          </w:tcPr>
          <w:p w:rsidR="002246AD" w:rsidRPr="003D1522" w:rsidRDefault="002246AD" w:rsidP="00F95285">
            <w:pPr>
              <w:pStyle w:val="SingleTxtG"/>
              <w:spacing w:before="40" w:after="40" w:line="220" w:lineRule="exact"/>
              <w:ind w:left="0" w:right="113"/>
              <w:jc w:val="right"/>
              <w:rPr>
                <w:sz w:val="18"/>
              </w:rPr>
            </w:pPr>
            <w:r w:rsidRPr="003D1522">
              <w:rPr>
                <w:sz w:val="18"/>
              </w:rPr>
              <w:t>7</w:t>
            </w:r>
          </w:p>
        </w:tc>
        <w:tc>
          <w:tcPr>
            <w:tcW w:w="1088" w:type="dxa"/>
            <w:shd w:val="clear" w:color="auto" w:fill="auto"/>
            <w:vAlign w:val="bottom"/>
          </w:tcPr>
          <w:p w:rsidR="002246AD" w:rsidRPr="003D1522" w:rsidRDefault="002246AD" w:rsidP="00F95285">
            <w:pPr>
              <w:pStyle w:val="SingleTxtG"/>
              <w:spacing w:before="40" w:after="40" w:line="220" w:lineRule="exact"/>
              <w:ind w:left="0" w:right="113"/>
              <w:jc w:val="right"/>
              <w:rPr>
                <w:sz w:val="18"/>
              </w:rPr>
            </w:pPr>
            <w:r w:rsidRPr="003D1522">
              <w:rPr>
                <w:sz w:val="18"/>
              </w:rPr>
              <w:t>31</w:t>
            </w:r>
          </w:p>
        </w:tc>
      </w:tr>
      <w:tr w:rsidR="002246AD" w:rsidRPr="003D1522" w:rsidTr="00F95285">
        <w:tc>
          <w:tcPr>
            <w:tcW w:w="1276" w:type="dxa"/>
            <w:shd w:val="clear" w:color="auto" w:fill="auto"/>
          </w:tcPr>
          <w:p w:rsidR="002246AD" w:rsidRPr="003D1522" w:rsidRDefault="002246AD" w:rsidP="00F95285">
            <w:pPr>
              <w:pStyle w:val="SingleTxtG"/>
              <w:spacing w:before="40" w:after="40" w:line="220" w:lineRule="exact"/>
              <w:ind w:left="0" w:right="113"/>
              <w:jc w:val="left"/>
              <w:rPr>
                <w:sz w:val="18"/>
              </w:rPr>
            </w:pPr>
            <w:r w:rsidRPr="003D1522">
              <w:rPr>
                <w:sz w:val="18"/>
              </w:rPr>
              <w:t>2017</w:t>
            </w:r>
          </w:p>
        </w:tc>
        <w:tc>
          <w:tcPr>
            <w:tcW w:w="1081" w:type="dxa"/>
            <w:shd w:val="clear" w:color="auto" w:fill="auto"/>
            <w:vAlign w:val="bottom"/>
          </w:tcPr>
          <w:p w:rsidR="002246AD" w:rsidRPr="003D1522" w:rsidRDefault="002246AD" w:rsidP="00F95285">
            <w:pPr>
              <w:pStyle w:val="SingleTxtG"/>
              <w:spacing w:before="40" w:after="40" w:line="220" w:lineRule="exact"/>
              <w:ind w:left="0" w:right="113"/>
              <w:jc w:val="right"/>
              <w:rPr>
                <w:sz w:val="18"/>
              </w:rPr>
            </w:pPr>
            <w:r w:rsidRPr="003D1522">
              <w:rPr>
                <w:sz w:val="18"/>
              </w:rPr>
              <w:t>213</w:t>
            </w:r>
          </w:p>
        </w:tc>
        <w:tc>
          <w:tcPr>
            <w:tcW w:w="1302" w:type="dxa"/>
            <w:shd w:val="clear" w:color="auto" w:fill="auto"/>
            <w:vAlign w:val="bottom"/>
          </w:tcPr>
          <w:p w:rsidR="002246AD" w:rsidRPr="003D1522" w:rsidRDefault="002246AD" w:rsidP="00F95285">
            <w:pPr>
              <w:pStyle w:val="SingleTxtG"/>
              <w:spacing w:before="40" w:after="40" w:line="220" w:lineRule="exact"/>
              <w:ind w:left="0" w:right="113"/>
              <w:jc w:val="right"/>
              <w:rPr>
                <w:sz w:val="18"/>
              </w:rPr>
            </w:pPr>
            <w:r w:rsidRPr="003D1522">
              <w:rPr>
                <w:sz w:val="18"/>
              </w:rPr>
              <w:t>18</w:t>
            </w:r>
          </w:p>
        </w:tc>
        <w:tc>
          <w:tcPr>
            <w:tcW w:w="1289" w:type="dxa"/>
            <w:shd w:val="clear" w:color="auto" w:fill="auto"/>
            <w:vAlign w:val="bottom"/>
          </w:tcPr>
          <w:p w:rsidR="002246AD" w:rsidRPr="003D1522" w:rsidRDefault="002246AD" w:rsidP="00F95285">
            <w:pPr>
              <w:pStyle w:val="SingleTxtG"/>
              <w:spacing w:before="40" w:after="40" w:line="220" w:lineRule="exact"/>
              <w:ind w:left="0" w:right="113"/>
              <w:jc w:val="right"/>
              <w:rPr>
                <w:sz w:val="18"/>
              </w:rPr>
            </w:pPr>
            <w:r w:rsidRPr="003D1522">
              <w:rPr>
                <w:sz w:val="18"/>
              </w:rPr>
              <w:t>87</w:t>
            </w:r>
          </w:p>
        </w:tc>
        <w:tc>
          <w:tcPr>
            <w:tcW w:w="1334" w:type="dxa"/>
            <w:shd w:val="clear" w:color="auto" w:fill="auto"/>
            <w:vAlign w:val="bottom"/>
          </w:tcPr>
          <w:p w:rsidR="002246AD" w:rsidRPr="003D1522" w:rsidRDefault="002246AD" w:rsidP="00F95285">
            <w:pPr>
              <w:pStyle w:val="SingleTxtG"/>
              <w:spacing w:before="40" w:after="40" w:line="220" w:lineRule="exact"/>
              <w:ind w:left="0" w:right="113"/>
              <w:jc w:val="right"/>
              <w:rPr>
                <w:sz w:val="18"/>
              </w:rPr>
            </w:pPr>
            <w:r w:rsidRPr="003D1522">
              <w:rPr>
                <w:sz w:val="18"/>
              </w:rPr>
              <w:t>0</w:t>
            </w:r>
          </w:p>
        </w:tc>
        <w:tc>
          <w:tcPr>
            <w:tcW w:w="1088" w:type="dxa"/>
            <w:shd w:val="clear" w:color="auto" w:fill="auto"/>
            <w:vAlign w:val="bottom"/>
          </w:tcPr>
          <w:p w:rsidR="002246AD" w:rsidRPr="003D1522" w:rsidRDefault="002246AD" w:rsidP="00F95285">
            <w:pPr>
              <w:pStyle w:val="SingleTxtG"/>
              <w:spacing w:before="40" w:after="40" w:line="220" w:lineRule="exact"/>
              <w:ind w:left="0" w:right="113"/>
              <w:jc w:val="right"/>
              <w:rPr>
                <w:sz w:val="18"/>
              </w:rPr>
            </w:pPr>
            <w:r w:rsidRPr="003D1522">
              <w:rPr>
                <w:sz w:val="18"/>
              </w:rPr>
              <w:t>22</w:t>
            </w:r>
          </w:p>
        </w:tc>
      </w:tr>
    </w:tbl>
    <w:p w:rsidR="002246AD" w:rsidRPr="003D1522" w:rsidRDefault="002246AD" w:rsidP="00551955">
      <w:pPr>
        <w:pStyle w:val="SingleTxtG"/>
        <w:spacing w:before="240"/>
      </w:pPr>
      <w:r w:rsidRPr="003D1522">
        <w:t>11.</w:t>
      </w:r>
      <w:r w:rsidRPr="003D1522">
        <w:tab/>
        <w:t>Many of the strategic litigation cases have included cases connected to the status of being or becoming a parent. For example, discharging the employee after learning about her pregnancy or after the end of parental leave. The cases also include unequal treatment regarding one</w:t>
      </w:r>
      <w:r w:rsidR="00C62389" w:rsidRPr="003D1522">
        <w:t>’</w:t>
      </w:r>
      <w:r w:rsidRPr="003D1522">
        <w:t>s pay when returning to work after parental leave. There have also been cases of sexual harassment at work place and cases concerning equal treatment of transgender persons.</w:t>
      </w:r>
    </w:p>
    <w:p w:rsidR="002246AD" w:rsidRPr="003D1522" w:rsidRDefault="002246AD" w:rsidP="007566D9">
      <w:pPr>
        <w:pStyle w:val="SingleTxtG"/>
      </w:pPr>
      <w:r w:rsidRPr="003D1522">
        <w:lastRenderedPageBreak/>
        <w:t>12.</w:t>
      </w:r>
      <w:r w:rsidRPr="003D1522">
        <w:tab/>
        <w:t>Please see also point 1.</w:t>
      </w:r>
    </w:p>
    <w:p w:rsidR="002246AD" w:rsidRPr="003D1522" w:rsidRDefault="002246AD" w:rsidP="009336A6">
      <w:pPr>
        <w:pStyle w:val="H23G"/>
      </w:pPr>
      <w:r w:rsidRPr="003D1522">
        <w:tab/>
      </w:r>
      <w:r w:rsidRPr="003D1522">
        <w:tab/>
        <w:t>The draft bill 472 SE. Refugees and asylum seekers</w:t>
      </w:r>
    </w:p>
    <w:p w:rsidR="002246AD" w:rsidRPr="003D1522" w:rsidRDefault="002246AD" w:rsidP="007566D9">
      <w:pPr>
        <w:pStyle w:val="SingleTxtG"/>
      </w:pPr>
      <w:r w:rsidRPr="003D1522">
        <w:t>13.</w:t>
      </w:r>
      <w:r w:rsidRPr="003D1522">
        <w:tab/>
        <w:t xml:space="preserve">The draft bill 472 is being processed in the parliament. The EU Reception Conditions Directive has been fully incorporated into the national law and its principles concerning the detention are being implemented accordingly. Access to healthcare and other basic services is guaranteed. </w:t>
      </w:r>
    </w:p>
    <w:p w:rsidR="002246AD" w:rsidRPr="003D1522" w:rsidRDefault="002246AD" w:rsidP="007566D9">
      <w:pPr>
        <w:pStyle w:val="SingleTxtG"/>
      </w:pPr>
      <w:r w:rsidRPr="003D1522">
        <w:t>14.</w:t>
      </w:r>
      <w:r w:rsidRPr="003D1522">
        <w:tab/>
        <w:t>Free information on the rights and obligations and the legal counseling is provided for all applicants. The counselors (2 full time counselors) work in the detention center and in the reception centers. Free legal aid and representation is provided for all applicants who have received a negative decision and wish to submit an appeal to the court. During 2015</w:t>
      </w:r>
      <w:r w:rsidR="00C6515E" w:rsidRPr="003D1522">
        <w:t>–</w:t>
      </w:r>
      <w:r w:rsidRPr="003D1522">
        <w:t xml:space="preserve"> 2017 the State Legal Aid was applied and provided for on 118 times (for 94 persons). </w:t>
      </w:r>
    </w:p>
    <w:p w:rsidR="002246AD" w:rsidRPr="003D1522" w:rsidRDefault="009336A6" w:rsidP="009336A6">
      <w:pPr>
        <w:pStyle w:val="H23G"/>
      </w:pPr>
      <w:r w:rsidRPr="003D1522">
        <w:tab/>
      </w:r>
      <w:r w:rsidR="002246AD" w:rsidRPr="003D1522">
        <w:tab/>
        <w:t>Statistics of granting Estonian citizenship to minors</w:t>
      </w:r>
    </w:p>
    <w:p w:rsidR="002246AD" w:rsidRPr="003D1522" w:rsidRDefault="002246AD" w:rsidP="007566D9">
      <w:pPr>
        <w:pStyle w:val="SingleTxtG"/>
      </w:pPr>
      <w:r w:rsidRPr="003D1522">
        <w:t>15.</w:t>
      </w:r>
      <w:r w:rsidRPr="003D1522">
        <w:tab/>
        <w:t>Estonian citizenship is not granted automatically. According to the Citizenship Act, minors between the age of 15</w:t>
      </w:r>
      <w:r w:rsidR="00C6515E" w:rsidRPr="003D1522">
        <w:t>–</w:t>
      </w:r>
      <w:r w:rsidRPr="003D1522">
        <w:t xml:space="preserve">17 are able to apply for Estonian citizenship themselves. </w:t>
      </w:r>
    </w:p>
    <w:p w:rsidR="002246AD" w:rsidRPr="003D1522" w:rsidRDefault="002246AD" w:rsidP="000C7CEB">
      <w:pPr>
        <w:pStyle w:val="Heading1"/>
        <w:spacing w:after="120"/>
        <w:rPr>
          <w:rStyle w:val="SingleTxtGChar"/>
          <w:b/>
          <w:bCs/>
        </w:rPr>
      </w:pPr>
      <w:r w:rsidRPr="003D1522">
        <w:t>Table 1</w:t>
      </w:r>
      <w:r w:rsidRPr="003D1522">
        <w:br/>
      </w:r>
      <w:r w:rsidRPr="003D1522">
        <w:rPr>
          <w:rStyle w:val="SingleTxtGChar"/>
          <w:b/>
          <w:bCs/>
        </w:rPr>
        <w:t>Persons with undetermined citizenship in 2016–2018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26"/>
        <w:gridCol w:w="850"/>
        <w:gridCol w:w="993"/>
        <w:gridCol w:w="992"/>
        <w:gridCol w:w="992"/>
        <w:gridCol w:w="945"/>
        <w:gridCol w:w="1072"/>
      </w:tblGrid>
      <w:tr w:rsidR="009336A6" w:rsidRPr="003D1522" w:rsidTr="00154917">
        <w:trPr>
          <w:tblHeader/>
        </w:trPr>
        <w:tc>
          <w:tcPr>
            <w:tcW w:w="1526" w:type="dxa"/>
            <w:vMerge w:val="restart"/>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2246AD" w:rsidRPr="003D1522" w:rsidRDefault="002246AD" w:rsidP="00100ACD">
            <w:pPr>
              <w:pStyle w:val="SingleTxtG"/>
              <w:spacing w:before="80" w:after="80" w:line="200" w:lineRule="exact"/>
              <w:ind w:left="0" w:right="113"/>
              <w:jc w:val="left"/>
              <w:rPr>
                <w:i/>
                <w:sz w:val="16"/>
              </w:rPr>
            </w:pPr>
            <w:r w:rsidRPr="003D1522">
              <w:rPr>
                <w:i/>
                <w:sz w:val="16"/>
              </w:rPr>
              <w:t>Age</w:t>
            </w:r>
          </w:p>
        </w:tc>
        <w:tc>
          <w:tcPr>
            <w:tcW w:w="1843" w:type="dxa"/>
            <w:gridSpan w:val="2"/>
            <w:tcBorders>
              <w:top w:val="single" w:sz="4" w:space="0" w:color="auto"/>
              <w:bottom w:val="single" w:sz="4" w:space="0" w:color="auto"/>
            </w:tcBorders>
            <w:shd w:val="clear" w:color="auto" w:fill="auto"/>
            <w:tcMar>
              <w:top w:w="0" w:type="dxa"/>
              <w:left w:w="108" w:type="dxa"/>
              <w:bottom w:w="0" w:type="dxa"/>
              <w:right w:w="108" w:type="dxa"/>
            </w:tcMar>
            <w:vAlign w:val="bottom"/>
            <w:hideMark/>
          </w:tcPr>
          <w:p w:rsidR="002246AD" w:rsidRPr="003D1522" w:rsidRDefault="002246AD" w:rsidP="009336A6">
            <w:pPr>
              <w:pStyle w:val="SingleTxtG"/>
              <w:spacing w:before="80" w:after="80" w:line="200" w:lineRule="exact"/>
              <w:ind w:left="0" w:right="113"/>
              <w:jc w:val="center"/>
              <w:rPr>
                <w:i/>
                <w:sz w:val="16"/>
              </w:rPr>
            </w:pPr>
            <w:r w:rsidRPr="003D1522">
              <w:rPr>
                <w:i/>
                <w:sz w:val="16"/>
              </w:rPr>
              <w:t>1 January 2016</w:t>
            </w:r>
          </w:p>
        </w:tc>
        <w:tc>
          <w:tcPr>
            <w:tcW w:w="1984" w:type="dxa"/>
            <w:gridSpan w:val="2"/>
            <w:tcBorders>
              <w:top w:val="single" w:sz="4" w:space="0" w:color="auto"/>
              <w:bottom w:val="single" w:sz="4" w:space="0" w:color="auto"/>
            </w:tcBorders>
            <w:shd w:val="clear" w:color="auto" w:fill="auto"/>
            <w:tcMar>
              <w:top w:w="0" w:type="dxa"/>
              <w:left w:w="108" w:type="dxa"/>
              <w:bottom w:w="0" w:type="dxa"/>
              <w:right w:w="108" w:type="dxa"/>
            </w:tcMar>
            <w:vAlign w:val="bottom"/>
            <w:hideMark/>
          </w:tcPr>
          <w:p w:rsidR="002246AD" w:rsidRPr="003D1522" w:rsidRDefault="002246AD" w:rsidP="009336A6">
            <w:pPr>
              <w:pStyle w:val="SingleTxtG"/>
              <w:spacing w:before="80" w:after="80" w:line="200" w:lineRule="exact"/>
              <w:ind w:left="0" w:right="113"/>
              <w:jc w:val="center"/>
              <w:rPr>
                <w:i/>
                <w:sz w:val="16"/>
              </w:rPr>
            </w:pPr>
            <w:r w:rsidRPr="003D1522">
              <w:rPr>
                <w:i/>
                <w:sz w:val="16"/>
              </w:rPr>
              <w:t>1 January 2017</w:t>
            </w:r>
          </w:p>
        </w:tc>
        <w:tc>
          <w:tcPr>
            <w:tcW w:w="2017" w:type="dxa"/>
            <w:gridSpan w:val="2"/>
            <w:tcBorders>
              <w:top w:val="single" w:sz="4" w:space="0" w:color="auto"/>
              <w:bottom w:val="single" w:sz="4" w:space="0" w:color="auto"/>
            </w:tcBorders>
            <w:shd w:val="clear" w:color="auto" w:fill="auto"/>
            <w:tcMar>
              <w:top w:w="0" w:type="dxa"/>
              <w:left w:w="108" w:type="dxa"/>
              <w:bottom w:w="0" w:type="dxa"/>
              <w:right w:w="108" w:type="dxa"/>
            </w:tcMar>
            <w:vAlign w:val="bottom"/>
          </w:tcPr>
          <w:p w:rsidR="002246AD" w:rsidRPr="003D1522" w:rsidRDefault="002246AD" w:rsidP="009336A6">
            <w:pPr>
              <w:pStyle w:val="SingleTxtG"/>
              <w:spacing w:before="80" w:after="80" w:line="200" w:lineRule="exact"/>
              <w:ind w:left="0" w:right="113"/>
              <w:jc w:val="center"/>
              <w:rPr>
                <w:i/>
                <w:sz w:val="16"/>
              </w:rPr>
            </w:pPr>
            <w:r w:rsidRPr="003D1522">
              <w:rPr>
                <w:i/>
                <w:sz w:val="16"/>
              </w:rPr>
              <w:t>1 January 2018</w:t>
            </w:r>
          </w:p>
        </w:tc>
      </w:tr>
      <w:tr w:rsidR="009336A6" w:rsidRPr="003D1522" w:rsidTr="00154917">
        <w:trPr>
          <w:tblHeader/>
        </w:trPr>
        <w:tc>
          <w:tcPr>
            <w:tcW w:w="1526" w:type="dxa"/>
            <w:vMerge/>
            <w:tcBorders>
              <w:top w:val="single" w:sz="12" w:space="0" w:color="auto"/>
              <w:bottom w:val="single" w:sz="12" w:space="0" w:color="auto"/>
            </w:tcBorders>
            <w:shd w:val="clear" w:color="auto" w:fill="auto"/>
            <w:vAlign w:val="bottom"/>
            <w:hideMark/>
          </w:tcPr>
          <w:p w:rsidR="002246AD" w:rsidRPr="003D1522" w:rsidRDefault="002246AD" w:rsidP="009336A6">
            <w:pPr>
              <w:pStyle w:val="SingleTxtG"/>
              <w:spacing w:before="40" w:after="40" w:line="220" w:lineRule="exact"/>
              <w:ind w:left="0" w:right="113"/>
              <w:jc w:val="center"/>
              <w:rPr>
                <w:sz w:val="18"/>
              </w:rPr>
            </w:pPr>
          </w:p>
        </w:tc>
        <w:tc>
          <w:tcPr>
            <w:tcW w:w="850"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2246AD" w:rsidRPr="003D1522" w:rsidRDefault="002246AD" w:rsidP="00100ACD">
            <w:pPr>
              <w:pStyle w:val="SingleTxtG"/>
              <w:spacing w:before="40" w:after="40" w:line="220" w:lineRule="exact"/>
              <w:ind w:left="0" w:right="113"/>
              <w:jc w:val="right"/>
              <w:rPr>
                <w:i/>
                <w:iCs/>
                <w:sz w:val="18"/>
              </w:rPr>
            </w:pPr>
            <w:r w:rsidRPr="003D1522">
              <w:rPr>
                <w:i/>
                <w:iCs/>
                <w:sz w:val="18"/>
              </w:rPr>
              <w:t>Male</w:t>
            </w:r>
          </w:p>
        </w:tc>
        <w:tc>
          <w:tcPr>
            <w:tcW w:w="993"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2246AD" w:rsidRPr="003D1522" w:rsidRDefault="002246AD" w:rsidP="00100ACD">
            <w:pPr>
              <w:pStyle w:val="SingleTxtG"/>
              <w:spacing w:before="40" w:after="40" w:line="220" w:lineRule="exact"/>
              <w:ind w:left="0" w:right="113"/>
              <w:jc w:val="right"/>
              <w:rPr>
                <w:i/>
                <w:iCs/>
                <w:sz w:val="18"/>
              </w:rPr>
            </w:pPr>
            <w:r w:rsidRPr="003D1522">
              <w:rPr>
                <w:i/>
                <w:iCs/>
                <w:sz w:val="18"/>
              </w:rPr>
              <w:t>Female</w:t>
            </w:r>
          </w:p>
        </w:tc>
        <w:tc>
          <w:tcPr>
            <w:tcW w:w="992"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2246AD" w:rsidRPr="003D1522" w:rsidRDefault="002246AD" w:rsidP="00100ACD">
            <w:pPr>
              <w:pStyle w:val="SingleTxtG"/>
              <w:spacing w:before="40" w:after="40" w:line="220" w:lineRule="exact"/>
              <w:ind w:left="0" w:right="113"/>
              <w:jc w:val="right"/>
              <w:rPr>
                <w:i/>
                <w:iCs/>
                <w:sz w:val="18"/>
              </w:rPr>
            </w:pPr>
            <w:r w:rsidRPr="003D1522">
              <w:rPr>
                <w:i/>
                <w:iCs/>
                <w:sz w:val="18"/>
              </w:rPr>
              <w:t>Male</w:t>
            </w:r>
          </w:p>
        </w:tc>
        <w:tc>
          <w:tcPr>
            <w:tcW w:w="992"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2246AD" w:rsidRPr="003D1522" w:rsidRDefault="002246AD" w:rsidP="00100ACD">
            <w:pPr>
              <w:pStyle w:val="SingleTxtG"/>
              <w:spacing w:before="40" w:after="40" w:line="220" w:lineRule="exact"/>
              <w:ind w:left="0" w:right="113"/>
              <w:jc w:val="right"/>
              <w:rPr>
                <w:i/>
                <w:iCs/>
                <w:sz w:val="18"/>
              </w:rPr>
            </w:pPr>
            <w:r w:rsidRPr="003D1522">
              <w:rPr>
                <w:i/>
                <w:iCs/>
                <w:sz w:val="18"/>
              </w:rPr>
              <w:t>Female</w:t>
            </w:r>
          </w:p>
        </w:tc>
        <w:tc>
          <w:tcPr>
            <w:tcW w:w="945"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2246AD" w:rsidRPr="003D1522" w:rsidRDefault="002246AD" w:rsidP="00100ACD">
            <w:pPr>
              <w:pStyle w:val="SingleTxtG"/>
              <w:spacing w:before="40" w:after="40" w:line="220" w:lineRule="exact"/>
              <w:ind w:left="0" w:right="113"/>
              <w:jc w:val="right"/>
              <w:rPr>
                <w:i/>
                <w:iCs/>
                <w:sz w:val="18"/>
              </w:rPr>
            </w:pPr>
            <w:r w:rsidRPr="003D1522">
              <w:rPr>
                <w:i/>
                <w:iCs/>
                <w:sz w:val="18"/>
              </w:rPr>
              <w:t>Male</w:t>
            </w:r>
          </w:p>
        </w:tc>
        <w:tc>
          <w:tcPr>
            <w:tcW w:w="1072"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2246AD" w:rsidRPr="003D1522" w:rsidRDefault="002246AD" w:rsidP="00100ACD">
            <w:pPr>
              <w:pStyle w:val="SingleTxtG"/>
              <w:spacing w:before="40" w:after="40" w:line="220" w:lineRule="exact"/>
              <w:ind w:left="0" w:right="113"/>
              <w:jc w:val="right"/>
              <w:rPr>
                <w:i/>
                <w:iCs/>
                <w:sz w:val="18"/>
              </w:rPr>
            </w:pPr>
            <w:r w:rsidRPr="003D1522">
              <w:rPr>
                <w:i/>
                <w:iCs/>
                <w:sz w:val="18"/>
              </w:rPr>
              <w:t>Female</w:t>
            </w:r>
          </w:p>
        </w:tc>
      </w:tr>
      <w:tr w:rsidR="009336A6" w:rsidRPr="003D1522" w:rsidTr="00154917">
        <w:tc>
          <w:tcPr>
            <w:tcW w:w="1526" w:type="dxa"/>
            <w:tcBorders>
              <w:top w:val="single" w:sz="12" w:space="0" w:color="auto"/>
            </w:tcBorders>
            <w:shd w:val="clear" w:color="auto" w:fill="auto"/>
            <w:tcMar>
              <w:top w:w="0" w:type="dxa"/>
              <w:left w:w="108" w:type="dxa"/>
              <w:bottom w:w="0" w:type="dxa"/>
              <w:right w:w="108" w:type="dxa"/>
            </w:tcMar>
            <w:hideMark/>
          </w:tcPr>
          <w:p w:rsidR="002246AD" w:rsidRPr="003D1522" w:rsidRDefault="002246AD" w:rsidP="009336A6">
            <w:pPr>
              <w:pStyle w:val="SingleTxtG"/>
              <w:spacing w:before="40" w:after="40" w:line="220" w:lineRule="exact"/>
              <w:ind w:left="0" w:right="113"/>
              <w:jc w:val="left"/>
              <w:rPr>
                <w:sz w:val="18"/>
              </w:rPr>
            </w:pPr>
            <w:r w:rsidRPr="003D1522">
              <w:rPr>
                <w:sz w:val="18"/>
              </w:rPr>
              <w:t>Below 15 years</w:t>
            </w:r>
          </w:p>
        </w:tc>
        <w:tc>
          <w:tcPr>
            <w:tcW w:w="850" w:type="dxa"/>
            <w:tcBorders>
              <w:top w:val="single" w:sz="12" w:space="0" w:color="auto"/>
            </w:tcBorders>
            <w:shd w:val="clear" w:color="auto" w:fill="auto"/>
            <w:tcMar>
              <w:top w:w="0" w:type="dxa"/>
              <w:left w:w="108" w:type="dxa"/>
              <w:bottom w:w="0" w:type="dxa"/>
              <w:right w:w="108" w:type="dxa"/>
            </w:tcMar>
            <w:vAlign w:val="bottom"/>
            <w:hideMark/>
          </w:tcPr>
          <w:p w:rsidR="002246AD" w:rsidRPr="003D1522" w:rsidRDefault="002246AD" w:rsidP="009336A6">
            <w:pPr>
              <w:pStyle w:val="SingleTxtG"/>
              <w:spacing w:before="40" w:after="40" w:line="220" w:lineRule="exact"/>
              <w:ind w:left="0" w:right="113"/>
              <w:jc w:val="right"/>
              <w:rPr>
                <w:sz w:val="18"/>
              </w:rPr>
            </w:pPr>
            <w:r w:rsidRPr="003D1522">
              <w:rPr>
                <w:sz w:val="18"/>
              </w:rPr>
              <w:t>391</w:t>
            </w:r>
          </w:p>
        </w:tc>
        <w:tc>
          <w:tcPr>
            <w:tcW w:w="993" w:type="dxa"/>
            <w:tcBorders>
              <w:top w:val="single" w:sz="12" w:space="0" w:color="auto"/>
            </w:tcBorders>
            <w:shd w:val="clear" w:color="auto" w:fill="auto"/>
            <w:tcMar>
              <w:top w:w="0" w:type="dxa"/>
              <w:left w:w="108" w:type="dxa"/>
              <w:bottom w:w="0" w:type="dxa"/>
              <w:right w:w="108" w:type="dxa"/>
            </w:tcMar>
            <w:vAlign w:val="bottom"/>
            <w:hideMark/>
          </w:tcPr>
          <w:p w:rsidR="002246AD" w:rsidRPr="003D1522" w:rsidRDefault="002246AD" w:rsidP="009336A6">
            <w:pPr>
              <w:pStyle w:val="SingleTxtG"/>
              <w:spacing w:before="40" w:after="40" w:line="220" w:lineRule="exact"/>
              <w:ind w:left="0" w:right="113"/>
              <w:jc w:val="right"/>
              <w:rPr>
                <w:sz w:val="18"/>
              </w:rPr>
            </w:pPr>
            <w:r w:rsidRPr="003D1522">
              <w:rPr>
                <w:sz w:val="18"/>
              </w:rPr>
              <w:t>320</w:t>
            </w:r>
          </w:p>
        </w:tc>
        <w:tc>
          <w:tcPr>
            <w:tcW w:w="992" w:type="dxa"/>
            <w:tcBorders>
              <w:top w:val="single" w:sz="12" w:space="0" w:color="auto"/>
            </w:tcBorders>
            <w:shd w:val="clear" w:color="auto" w:fill="auto"/>
            <w:tcMar>
              <w:top w:w="0" w:type="dxa"/>
              <w:left w:w="108" w:type="dxa"/>
              <w:bottom w:w="0" w:type="dxa"/>
              <w:right w:w="108" w:type="dxa"/>
            </w:tcMar>
            <w:vAlign w:val="bottom"/>
            <w:hideMark/>
          </w:tcPr>
          <w:p w:rsidR="002246AD" w:rsidRPr="003D1522" w:rsidRDefault="002246AD" w:rsidP="009336A6">
            <w:pPr>
              <w:pStyle w:val="SingleTxtG"/>
              <w:spacing w:before="40" w:after="40" w:line="220" w:lineRule="exact"/>
              <w:ind w:left="0" w:right="113"/>
              <w:jc w:val="right"/>
              <w:rPr>
                <w:sz w:val="18"/>
              </w:rPr>
            </w:pPr>
            <w:r w:rsidRPr="003D1522">
              <w:rPr>
                <w:sz w:val="18"/>
              </w:rPr>
              <w:t>94</w:t>
            </w:r>
          </w:p>
        </w:tc>
        <w:tc>
          <w:tcPr>
            <w:tcW w:w="992" w:type="dxa"/>
            <w:tcBorders>
              <w:top w:val="single" w:sz="12" w:space="0" w:color="auto"/>
            </w:tcBorders>
            <w:shd w:val="clear" w:color="auto" w:fill="auto"/>
            <w:tcMar>
              <w:top w:w="0" w:type="dxa"/>
              <w:left w:w="108" w:type="dxa"/>
              <w:bottom w:w="0" w:type="dxa"/>
              <w:right w:w="108" w:type="dxa"/>
            </w:tcMar>
            <w:vAlign w:val="bottom"/>
            <w:hideMark/>
          </w:tcPr>
          <w:p w:rsidR="002246AD" w:rsidRPr="003D1522" w:rsidRDefault="002246AD" w:rsidP="009336A6">
            <w:pPr>
              <w:pStyle w:val="SingleTxtG"/>
              <w:spacing w:before="40" w:after="40" w:line="220" w:lineRule="exact"/>
              <w:ind w:left="0" w:right="113"/>
              <w:jc w:val="right"/>
              <w:rPr>
                <w:sz w:val="18"/>
              </w:rPr>
            </w:pPr>
            <w:r w:rsidRPr="003D1522">
              <w:rPr>
                <w:sz w:val="18"/>
              </w:rPr>
              <w:t>66</w:t>
            </w:r>
          </w:p>
        </w:tc>
        <w:tc>
          <w:tcPr>
            <w:tcW w:w="945" w:type="dxa"/>
            <w:tcBorders>
              <w:top w:val="single" w:sz="12" w:space="0" w:color="auto"/>
            </w:tcBorders>
            <w:shd w:val="clear" w:color="auto" w:fill="auto"/>
            <w:tcMar>
              <w:top w:w="0" w:type="dxa"/>
              <w:left w:w="108" w:type="dxa"/>
              <w:bottom w:w="0" w:type="dxa"/>
              <w:right w:w="108" w:type="dxa"/>
            </w:tcMar>
            <w:vAlign w:val="bottom"/>
            <w:hideMark/>
          </w:tcPr>
          <w:p w:rsidR="002246AD" w:rsidRPr="003D1522" w:rsidRDefault="002246AD" w:rsidP="009336A6">
            <w:pPr>
              <w:pStyle w:val="SingleTxtG"/>
              <w:spacing w:before="40" w:after="40" w:line="220" w:lineRule="exact"/>
              <w:ind w:left="0" w:right="113"/>
              <w:jc w:val="right"/>
              <w:rPr>
                <w:sz w:val="18"/>
              </w:rPr>
            </w:pPr>
            <w:r w:rsidRPr="003D1522">
              <w:rPr>
                <w:sz w:val="18"/>
              </w:rPr>
              <w:t>68</w:t>
            </w:r>
          </w:p>
        </w:tc>
        <w:tc>
          <w:tcPr>
            <w:tcW w:w="1072" w:type="dxa"/>
            <w:tcBorders>
              <w:top w:val="single" w:sz="12" w:space="0" w:color="auto"/>
            </w:tcBorders>
            <w:shd w:val="clear" w:color="auto" w:fill="auto"/>
            <w:tcMar>
              <w:top w:w="0" w:type="dxa"/>
              <w:left w:w="108" w:type="dxa"/>
              <w:bottom w:w="0" w:type="dxa"/>
              <w:right w:w="108" w:type="dxa"/>
            </w:tcMar>
            <w:vAlign w:val="bottom"/>
            <w:hideMark/>
          </w:tcPr>
          <w:p w:rsidR="002246AD" w:rsidRPr="003D1522" w:rsidRDefault="002246AD" w:rsidP="009336A6">
            <w:pPr>
              <w:pStyle w:val="SingleTxtG"/>
              <w:spacing w:before="40" w:after="40" w:line="220" w:lineRule="exact"/>
              <w:ind w:left="0" w:right="113"/>
              <w:jc w:val="right"/>
              <w:rPr>
                <w:sz w:val="18"/>
              </w:rPr>
            </w:pPr>
            <w:r w:rsidRPr="003D1522">
              <w:rPr>
                <w:sz w:val="18"/>
              </w:rPr>
              <w:t>49</w:t>
            </w:r>
          </w:p>
        </w:tc>
      </w:tr>
      <w:tr w:rsidR="002246AD" w:rsidRPr="003D1522" w:rsidTr="00154917">
        <w:tc>
          <w:tcPr>
            <w:tcW w:w="1526" w:type="dxa"/>
            <w:shd w:val="clear" w:color="auto" w:fill="auto"/>
            <w:tcMar>
              <w:top w:w="0" w:type="dxa"/>
              <w:left w:w="108" w:type="dxa"/>
              <w:bottom w:w="0" w:type="dxa"/>
              <w:right w:w="108" w:type="dxa"/>
            </w:tcMar>
            <w:hideMark/>
          </w:tcPr>
          <w:p w:rsidR="002246AD" w:rsidRPr="003D1522" w:rsidRDefault="002246AD" w:rsidP="009336A6">
            <w:pPr>
              <w:pStyle w:val="SingleTxtG"/>
              <w:spacing w:before="40" w:after="40" w:line="220" w:lineRule="exact"/>
              <w:ind w:left="0" w:right="113"/>
              <w:jc w:val="left"/>
              <w:rPr>
                <w:sz w:val="18"/>
              </w:rPr>
            </w:pPr>
            <w:r w:rsidRPr="003D1522">
              <w:rPr>
                <w:sz w:val="18"/>
              </w:rPr>
              <w:t>15</w:t>
            </w:r>
            <w:r w:rsidR="005A6EC3" w:rsidRPr="003D1522">
              <w:rPr>
                <w:sz w:val="18"/>
              </w:rPr>
              <w:t>–</w:t>
            </w:r>
            <w:r w:rsidRPr="003D1522">
              <w:rPr>
                <w:sz w:val="18"/>
              </w:rPr>
              <w:t>18 years</w:t>
            </w:r>
          </w:p>
        </w:tc>
        <w:tc>
          <w:tcPr>
            <w:tcW w:w="850" w:type="dxa"/>
            <w:shd w:val="clear" w:color="auto" w:fill="auto"/>
            <w:tcMar>
              <w:top w:w="0" w:type="dxa"/>
              <w:left w:w="108" w:type="dxa"/>
              <w:bottom w:w="0" w:type="dxa"/>
              <w:right w:w="108" w:type="dxa"/>
            </w:tcMar>
            <w:vAlign w:val="bottom"/>
            <w:hideMark/>
          </w:tcPr>
          <w:p w:rsidR="002246AD" w:rsidRPr="003D1522" w:rsidRDefault="002246AD" w:rsidP="009336A6">
            <w:pPr>
              <w:pStyle w:val="SingleTxtG"/>
              <w:spacing w:before="40" w:after="40" w:line="220" w:lineRule="exact"/>
              <w:ind w:left="0" w:right="113"/>
              <w:jc w:val="right"/>
              <w:rPr>
                <w:sz w:val="18"/>
              </w:rPr>
            </w:pPr>
            <w:r w:rsidRPr="003D1522">
              <w:rPr>
                <w:sz w:val="18"/>
              </w:rPr>
              <w:t>187</w:t>
            </w:r>
          </w:p>
        </w:tc>
        <w:tc>
          <w:tcPr>
            <w:tcW w:w="993" w:type="dxa"/>
            <w:shd w:val="clear" w:color="auto" w:fill="auto"/>
            <w:tcMar>
              <w:top w:w="0" w:type="dxa"/>
              <w:left w:w="108" w:type="dxa"/>
              <w:bottom w:w="0" w:type="dxa"/>
              <w:right w:w="108" w:type="dxa"/>
            </w:tcMar>
            <w:vAlign w:val="bottom"/>
            <w:hideMark/>
          </w:tcPr>
          <w:p w:rsidR="002246AD" w:rsidRPr="003D1522" w:rsidRDefault="002246AD" w:rsidP="009336A6">
            <w:pPr>
              <w:pStyle w:val="SingleTxtG"/>
              <w:spacing w:before="40" w:after="40" w:line="220" w:lineRule="exact"/>
              <w:ind w:left="0" w:right="113"/>
              <w:jc w:val="right"/>
              <w:rPr>
                <w:sz w:val="18"/>
              </w:rPr>
            </w:pPr>
            <w:r w:rsidRPr="003D1522">
              <w:rPr>
                <w:sz w:val="18"/>
              </w:rPr>
              <w:t>184</w:t>
            </w:r>
          </w:p>
        </w:tc>
        <w:tc>
          <w:tcPr>
            <w:tcW w:w="992" w:type="dxa"/>
            <w:shd w:val="clear" w:color="auto" w:fill="auto"/>
            <w:tcMar>
              <w:top w:w="0" w:type="dxa"/>
              <w:left w:w="108" w:type="dxa"/>
              <w:bottom w:w="0" w:type="dxa"/>
              <w:right w:w="108" w:type="dxa"/>
            </w:tcMar>
            <w:vAlign w:val="bottom"/>
            <w:hideMark/>
          </w:tcPr>
          <w:p w:rsidR="002246AD" w:rsidRPr="003D1522" w:rsidRDefault="002246AD" w:rsidP="009336A6">
            <w:pPr>
              <w:pStyle w:val="SingleTxtG"/>
              <w:spacing w:before="40" w:after="40" w:line="220" w:lineRule="exact"/>
              <w:ind w:left="0" w:right="113"/>
              <w:jc w:val="right"/>
              <w:rPr>
                <w:sz w:val="18"/>
              </w:rPr>
            </w:pPr>
            <w:r w:rsidRPr="003D1522">
              <w:rPr>
                <w:sz w:val="18"/>
              </w:rPr>
              <w:t>170</w:t>
            </w:r>
          </w:p>
        </w:tc>
        <w:tc>
          <w:tcPr>
            <w:tcW w:w="992" w:type="dxa"/>
            <w:shd w:val="clear" w:color="auto" w:fill="auto"/>
            <w:tcMar>
              <w:top w:w="0" w:type="dxa"/>
              <w:left w:w="108" w:type="dxa"/>
              <w:bottom w:w="0" w:type="dxa"/>
              <w:right w:w="108" w:type="dxa"/>
            </w:tcMar>
            <w:vAlign w:val="bottom"/>
            <w:hideMark/>
          </w:tcPr>
          <w:p w:rsidR="002246AD" w:rsidRPr="003D1522" w:rsidRDefault="002246AD" w:rsidP="009336A6">
            <w:pPr>
              <w:pStyle w:val="SingleTxtG"/>
              <w:spacing w:before="40" w:after="40" w:line="220" w:lineRule="exact"/>
              <w:ind w:left="0" w:right="113"/>
              <w:jc w:val="right"/>
              <w:rPr>
                <w:sz w:val="18"/>
              </w:rPr>
            </w:pPr>
            <w:r w:rsidRPr="003D1522">
              <w:rPr>
                <w:sz w:val="18"/>
              </w:rPr>
              <w:t>151</w:t>
            </w:r>
          </w:p>
        </w:tc>
        <w:tc>
          <w:tcPr>
            <w:tcW w:w="945" w:type="dxa"/>
            <w:shd w:val="clear" w:color="auto" w:fill="auto"/>
            <w:tcMar>
              <w:top w:w="0" w:type="dxa"/>
              <w:left w:w="108" w:type="dxa"/>
              <w:bottom w:w="0" w:type="dxa"/>
              <w:right w:w="108" w:type="dxa"/>
            </w:tcMar>
            <w:vAlign w:val="bottom"/>
            <w:hideMark/>
          </w:tcPr>
          <w:p w:rsidR="002246AD" w:rsidRPr="003D1522" w:rsidRDefault="002246AD" w:rsidP="009336A6">
            <w:pPr>
              <w:pStyle w:val="SingleTxtG"/>
              <w:spacing w:before="40" w:after="40" w:line="220" w:lineRule="exact"/>
              <w:ind w:left="0" w:right="113"/>
              <w:jc w:val="right"/>
              <w:rPr>
                <w:sz w:val="18"/>
              </w:rPr>
            </w:pPr>
            <w:r w:rsidRPr="003D1522">
              <w:rPr>
                <w:sz w:val="18"/>
              </w:rPr>
              <w:t>144</w:t>
            </w:r>
          </w:p>
        </w:tc>
        <w:tc>
          <w:tcPr>
            <w:tcW w:w="1072" w:type="dxa"/>
            <w:shd w:val="clear" w:color="auto" w:fill="auto"/>
            <w:tcMar>
              <w:top w:w="0" w:type="dxa"/>
              <w:left w:w="108" w:type="dxa"/>
              <w:bottom w:w="0" w:type="dxa"/>
              <w:right w:w="108" w:type="dxa"/>
            </w:tcMar>
            <w:vAlign w:val="bottom"/>
            <w:hideMark/>
          </w:tcPr>
          <w:p w:rsidR="002246AD" w:rsidRPr="003D1522" w:rsidRDefault="002246AD" w:rsidP="009336A6">
            <w:pPr>
              <w:pStyle w:val="SingleTxtG"/>
              <w:spacing w:before="40" w:after="40" w:line="220" w:lineRule="exact"/>
              <w:ind w:left="0" w:right="113"/>
              <w:jc w:val="right"/>
              <w:rPr>
                <w:sz w:val="18"/>
              </w:rPr>
            </w:pPr>
            <w:r w:rsidRPr="003D1522">
              <w:rPr>
                <w:sz w:val="18"/>
              </w:rPr>
              <w:t>135</w:t>
            </w:r>
          </w:p>
        </w:tc>
      </w:tr>
      <w:tr w:rsidR="002246AD" w:rsidRPr="003D1522" w:rsidTr="00154917">
        <w:tc>
          <w:tcPr>
            <w:tcW w:w="1526" w:type="dxa"/>
            <w:shd w:val="clear" w:color="auto" w:fill="auto"/>
            <w:tcMar>
              <w:top w:w="0" w:type="dxa"/>
              <w:left w:w="108" w:type="dxa"/>
              <w:bottom w:w="0" w:type="dxa"/>
              <w:right w:w="108" w:type="dxa"/>
            </w:tcMar>
            <w:hideMark/>
          </w:tcPr>
          <w:p w:rsidR="002246AD" w:rsidRPr="003D1522" w:rsidRDefault="005A6EC3" w:rsidP="009336A6">
            <w:pPr>
              <w:pStyle w:val="SingleTxtG"/>
              <w:spacing w:before="40" w:after="40" w:line="220" w:lineRule="exact"/>
              <w:ind w:left="0" w:right="113"/>
              <w:jc w:val="left"/>
              <w:rPr>
                <w:sz w:val="18"/>
              </w:rPr>
            </w:pPr>
            <w:r w:rsidRPr="003D1522">
              <w:rPr>
                <w:sz w:val="18"/>
              </w:rPr>
              <w:t>19–</w:t>
            </w:r>
            <w:r w:rsidR="002246AD" w:rsidRPr="003D1522">
              <w:rPr>
                <w:sz w:val="18"/>
              </w:rPr>
              <w:t>65 years</w:t>
            </w:r>
          </w:p>
        </w:tc>
        <w:tc>
          <w:tcPr>
            <w:tcW w:w="850" w:type="dxa"/>
            <w:shd w:val="clear" w:color="auto" w:fill="auto"/>
            <w:tcMar>
              <w:top w:w="0" w:type="dxa"/>
              <w:left w:w="108" w:type="dxa"/>
              <w:bottom w:w="0" w:type="dxa"/>
              <w:right w:w="108" w:type="dxa"/>
            </w:tcMar>
            <w:vAlign w:val="bottom"/>
            <w:hideMark/>
          </w:tcPr>
          <w:p w:rsidR="002246AD" w:rsidRPr="003D1522" w:rsidRDefault="002246AD" w:rsidP="009336A6">
            <w:pPr>
              <w:pStyle w:val="SingleTxtG"/>
              <w:spacing w:before="40" w:after="40" w:line="220" w:lineRule="exact"/>
              <w:ind w:left="0" w:right="113"/>
              <w:jc w:val="right"/>
              <w:rPr>
                <w:sz w:val="18"/>
              </w:rPr>
            </w:pPr>
            <w:r w:rsidRPr="003D1522">
              <w:rPr>
                <w:sz w:val="18"/>
              </w:rPr>
              <w:t>39</w:t>
            </w:r>
            <w:r w:rsidR="0038707E" w:rsidRPr="003D1522">
              <w:rPr>
                <w:sz w:val="18"/>
              </w:rPr>
              <w:t xml:space="preserve"> </w:t>
            </w:r>
            <w:r w:rsidRPr="003D1522">
              <w:rPr>
                <w:sz w:val="18"/>
              </w:rPr>
              <w:t>344</w:t>
            </w:r>
          </w:p>
        </w:tc>
        <w:tc>
          <w:tcPr>
            <w:tcW w:w="993" w:type="dxa"/>
            <w:shd w:val="clear" w:color="auto" w:fill="auto"/>
            <w:tcMar>
              <w:top w:w="0" w:type="dxa"/>
              <w:left w:w="108" w:type="dxa"/>
              <w:bottom w:w="0" w:type="dxa"/>
              <w:right w:w="108" w:type="dxa"/>
            </w:tcMar>
            <w:vAlign w:val="bottom"/>
            <w:hideMark/>
          </w:tcPr>
          <w:p w:rsidR="002246AD" w:rsidRPr="003D1522" w:rsidRDefault="002246AD" w:rsidP="009336A6">
            <w:pPr>
              <w:pStyle w:val="SingleTxtG"/>
              <w:spacing w:before="40" w:after="40" w:line="220" w:lineRule="exact"/>
              <w:ind w:left="0" w:right="113"/>
              <w:jc w:val="right"/>
              <w:rPr>
                <w:sz w:val="18"/>
              </w:rPr>
            </w:pPr>
            <w:r w:rsidRPr="003D1522">
              <w:rPr>
                <w:sz w:val="18"/>
              </w:rPr>
              <w:t>29</w:t>
            </w:r>
            <w:r w:rsidR="0038707E" w:rsidRPr="003D1522">
              <w:rPr>
                <w:sz w:val="18"/>
              </w:rPr>
              <w:t xml:space="preserve"> </w:t>
            </w:r>
            <w:r w:rsidRPr="003D1522">
              <w:rPr>
                <w:sz w:val="18"/>
              </w:rPr>
              <w:t>546</w:t>
            </w:r>
          </w:p>
        </w:tc>
        <w:tc>
          <w:tcPr>
            <w:tcW w:w="992" w:type="dxa"/>
            <w:shd w:val="clear" w:color="auto" w:fill="auto"/>
            <w:tcMar>
              <w:top w:w="0" w:type="dxa"/>
              <w:left w:w="108" w:type="dxa"/>
              <w:bottom w:w="0" w:type="dxa"/>
              <w:right w:w="108" w:type="dxa"/>
            </w:tcMar>
            <w:vAlign w:val="bottom"/>
            <w:hideMark/>
          </w:tcPr>
          <w:p w:rsidR="002246AD" w:rsidRPr="003D1522" w:rsidRDefault="002246AD" w:rsidP="009336A6">
            <w:pPr>
              <w:pStyle w:val="SingleTxtG"/>
              <w:spacing w:before="40" w:after="40" w:line="220" w:lineRule="exact"/>
              <w:ind w:left="0" w:right="113"/>
              <w:jc w:val="right"/>
              <w:rPr>
                <w:sz w:val="18"/>
              </w:rPr>
            </w:pPr>
            <w:r w:rsidRPr="003D1522">
              <w:rPr>
                <w:sz w:val="18"/>
              </w:rPr>
              <w:t>37</w:t>
            </w:r>
            <w:r w:rsidR="0038707E" w:rsidRPr="003D1522">
              <w:rPr>
                <w:sz w:val="18"/>
              </w:rPr>
              <w:t xml:space="preserve"> </w:t>
            </w:r>
            <w:r w:rsidRPr="003D1522">
              <w:rPr>
                <w:sz w:val="18"/>
              </w:rPr>
              <w:t>822</w:t>
            </w:r>
          </w:p>
        </w:tc>
        <w:tc>
          <w:tcPr>
            <w:tcW w:w="992" w:type="dxa"/>
            <w:shd w:val="clear" w:color="auto" w:fill="auto"/>
            <w:tcMar>
              <w:top w:w="0" w:type="dxa"/>
              <w:left w:w="108" w:type="dxa"/>
              <w:bottom w:w="0" w:type="dxa"/>
              <w:right w:w="108" w:type="dxa"/>
            </w:tcMar>
            <w:vAlign w:val="bottom"/>
            <w:hideMark/>
          </w:tcPr>
          <w:p w:rsidR="002246AD" w:rsidRPr="003D1522" w:rsidRDefault="002246AD" w:rsidP="009336A6">
            <w:pPr>
              <w:pStyle w:val="SingleTxtG"/>
              <w:spacing w:before="40" w:after="40" w:line="220" w:lineRule="exact"/>
              <w:ind w:left="0" w:right="113"/>
              <w:jc w:val="right"/>
              <w:rPr>
                <w:sz w:val="18"/>
              </w:rPr>
            </w:pPr>
            <w:r w:rsidRPr="003D1522">
              <w:rPr>
                <w:sz w:val="18"/>
              </w:rPr>
              <w:t>28</w:t>
            </w:r>
            <w:r w:rsidR="0038707E" w:rsidRPr="003D1522">
              <w:rPr>
                <w:sz w:val="18"/>
              </w:rPr>
              <w:t xml:space="preserve"> </w:t>
            </w:r>
            <w:r w:rsidRPr="003D1522">
              <w:rPr>
                <w:sz w:val="18"/>
              </w:rPr>
              <w:t>213</w:t>
            </w:r>
          </w:p>
        </w:tc>
        <w:tc>
          <w:tcPr>
            <w:tcW w:w="945" w:type="dxa"/>
            <w:shd w:val="clear" w:color="auto" w:fill="auto"/>
            <w:tcMar>
              <w:top w:w="0" w:type="dxa"/>
              <w:left w:w="108" w:type="dxa"/>
              <w:bottom w:w="0" w:type="dxa"/>
              <w:right w:w="108" w:type="dxa"/>
            </w:tcMar>
            <w:vAlign w:val="bottom"/>
            <w:hideMark/>
          </w:tcPr>
          <w:p w:rsidR="002246AD" w:rsidRPr="003D1522" w:rsidRDefault="002246AD" w:rsidP="009336A6">
            <w:pPr>
              <w:pStyle w:val="SingleTxtG"/>
              <w:spacing w:before="40" w:after="40" w:line="220" w:lineRule="exact"/>
              <w:ind w:left="0" w:right="113"/>
              <w:jc w:val="right"/>
              <w:rPr>
                <w:sz w:val="18"/>
              </w:rPr>
            </w:pPr>
            <w:r w:rsidRPr="003D1522">
              <w:rPr>
                <w:sz w:val="18"/>
              </w:rPr>
              <w:t>36</w:t>
            </w:r>
            <w:r w:rsidR="0038707E" w:rsidRPr="003D1522">
              <w:rPr>
                <w:sz w:val="18"/>
              </w:rPr>
              <w:t xml:space="preserve"> </w:t>
            </w:r>
            <w:r w:rsidRPr="003D1522">
              <w:rPr>
                <w:sz w:val="18"/>
              </w:rPr>
              <w:t>505</w:t>
            </w:r>
          </w:p>
        </w:tc>
        <w:tc>
          <w:tcPr>
            <w:tcW w:w="1072" w:type="dxa"/>
            <w:shd w:val="clear" w:color="auto" w:fill="auto"/>
            <w:tcMar>
              <w:top w:w="0" w:type="dxa"/>
              <w:left w:w="108" w:type="dxa"/>
              <w:bottom w:w="0" w:type="dxa"/>
              <w:right w:w="108" w:type="dxa"/>
            </w:tcMar>
            <w:vAlign w:val="bottom"/>
            <w:hideMark/>
          </w:tcPr>
          <w:p w:rsidR="002246AD" w:rsidRPr="003D1522" w:rsidRDefault="002246AD" w:rsidP="009336A6">
            <w:pPr>
              <w:pStyle w:val="SingleTxtG"/>
              <w:spacing w:before="40" w:after="40" w:line="220" w:lineRule="exact"/>
              <w:ind w:left="0" w:right="113"/>
              <w:jc w:val="right"/>
              <w:rPr>
                <w:sz w:val="18"/>
              </w:rPr>
            </w:pPr>
            <w:r w:rsidRPr="003D1522">
              <w:rPr>
                <w:sz w:val="18"/>
              </w:rPr>
              <w:t>26</w:t>
            </w:r>
            <w:r w:rsidR="001A5BF8" w:rsidRPr="003D1522">
              <w:rPr>
                <w:sz w:val="18"/>
              </w:rPr>
              <w:t xml:space="preserve"> </w:t>
            </w:r>
            <w:r w:rsidRPr="003D1522">
              <w:rPr>
                <w:sz w:val="18"/>
              </w:rPr>
              <w:t>285</w:t>
            </w:r>
          </w:p>
        </w:tc>
      </w:tr>
      <w:tr w:rsidR="009336A6" w:rsidRPr="003D1522" w:rsidTr="00154917">
        <w:tc>
          <w:tcPr>
            <w:tcW w:w="1526" w:type="dxa"/>
            <w:shd w:val="clear" w:color="auto" w:fill="auto"/>
            <w:tcMar>
              <w:top w:w="0" w:type="dxa"/>
              <w:left w:w="108" w:type="dxa"/>
              <w:bottom w:w="0" w:type="dxa"/>
              <w:right w:w="108" w:type="dxa"/>
            </w:tcMar>
            <w:hideMark/>
          </w:tcPr>
          <w:p w:rsidR="002246AD" w:rsidRPr="003D1522" w:rsidRDefault="002246AD" w:rsidP="009336A6">
            <w:pPr>
              <w:pStyle w:val="SingleTxtG"/>
              <w:spacing w:before="40" w:after="40" w:line="220" w:lineRule="exact"/>
              <w:ind w:left="0" w:right="113"/>
              <w:jc w:val="left"/>
              <w:rPr>
                <w:sz w:val="18"/>
              </w:rPr>
            </w:pPr>
            <w:r w:rsidRPr="003D1522">
              <w:rPr>
                <w:sz w:val="18"/>
              </w:rPr>
              <w:t>66+</w:t>
            </w:r>
          </w:p>
        </w:tc>
        <w:tc>
          <w:tcPr>
            <w:tcW w:w="850" w:type="dxa"/>
            <w:shd w:val="clear" w:color="auto" w:fill="auto"/>
            <w:tcMar>
              <w:top w:w="0" w:type="dxa"/>
              <w:left w:w="108" w:type="dxa"/>
              <w:bottom w:w="0" w:type="dxa"/>
              <w:right w:w="108" w:type="dxa"/>
            </w:tcMar>
            <w:vAlign w:val="bottom"/>
            <w:hideMark/>
          </w:tcPr>
          <w:p w:rsidR="002246AD" w:rsidRPr="003D1522" w:rsidRDefault="002246AD" w:rsidP="009336A6">
            <w:pPr>
              <w:pStyle w:val="SingleTxtG"/>
              <w:spacing w:before="40" w:after="40" w:line="220" w:lineRule="exact"/>
              <w:ind w:left="0" w:right="113"/>
              <w:jc w:val="right"/>
              <w:rPr>
                <w:sz w:val="18"/>
              </w:rPr>
            </w:pPr>
            <w:r w:rsidRPr="003D1522">
              <w:rPr>
                <w:sz w:val="18"/>
              </w:rPr>
              <w:t>5</w:t>
            </w:r>
            <w:r w:rsidR="0038707E" w:rsidRPr="003D1522">
              <w:rPr>
                <w:sz w:val="18"/>
              </w:rPr>
              <w:t xml:space="preserve"> </w:t>
            </w:r>
            <w:r w:rsidRPr="003D1522">
              <w:rPr>
                <w:sz w:val="18"/>
              </w:rPr>
              <w:t>487</w:t>
            </w:r>
          </w:p>
        </w:tc>
        <w:tc>
          <w:tcPr>
            <w:tcW w:w="993" w:type="dxa"/>
            <w:shd w:val="clear" w:color="auto" w:fill="auto"/>
            <w:tcMar>
              <w:top w:w="0" w:type="dxa"/>
              <w:left w:w="108" w:type="dxa"/>
              <w:bottom w:w="0" w:type="dxa"/>
              <w:right w:w="108" w:type="dxa"/>
            </w:tcMar>
            <w:vAlign w:val="bottom"/>
            <w:hideMark/>
          </w:tcPr>
          <w:p w:rsidR="002246AD" w:rsidRPr="003D1522" w:rsidRDefault="002246AD" w:rsidP="009336A6">
            <w:pPr>
              <w:pStyle w:val="SingleTxtG"/>
              <w:spacing w:before="40" w:after="40" w:line="220" w:lineRule="exact"/>
              <w:ind w:left="0" w:right="113"/>
              <w:jc w:val="right"/>
              <w:rPr>
                <w:sz w:val="18"/>
              </w:rPr>
            </w:pPr>
            <w:r w:rsidRPr="003D1522">
              <w:rPr>
                <w:sz w:val="18"/>
              </w:rPr>
              <w:t>9</w:t>
            </w:r>
            <w:r w:rsidR="0038707E" w:rsidRPr="003D1522">
              <w:rPr>
                <w:sz w:val="18"/>
              </w:rPr>
              <w:t xml:space="preserve"> </w:t>
            </w:r>
            <w:r w:rsidRPr="003D1522">
              <w:rPr>
                <w:sz w:val="18"/>
              </w:rPr>
              <w:t>839</w:t>
            </w:r>
          </w:p>
        </w:tc>
        <w:tc>
          <w:tcPr>
            <w:tcW w:w="992" w:type="dxa"/>
            <w:shd w:val="clear" w:color="auto" w:fill="auto"/>
            <w:tcMar>
              <w:top w:w="0" w:type="dxa"/>
              <w:left w:w="108" w:type="dxa"/>
              <w:bottom w:w="0" w:type="dxa"/>
              <w:right w:w="108" w:type="dxa"/>
            </w:tcMar>
            <w:vAlign w:val="bottom"/>
            <w:hideMark/>
          </w:tcPr>
          <w:p w:rsidR="002246AD" w:rsidRPr="003D1522" w:rsidRDefault="002246AD" w:rsidP="009336A6">
            <w:pPr>
              <w:pStyle w:val="SingleTxtG"/>
              <w:spacing w:before="40" w:after="40" w:line="220" w:lineRule="exact"/>
              <w:ind w:left="0" w:right="113"/>
              <w:jc w:val="right"/>
              <w:rPr>
                <w:sz w:val="18"/>
              </w:rPr>
            </w:pPr>
            <w:r w:rsidRPr="003D1522">
              <w:rPr>
                <w:sz w:val="18"/>
              </w:rPr>
              <w:t>5</w:t>
            </w:r>
            <w:r w:rsidR="0038707E" w:rsidRPr="003D1522">
              <w:rPr>
                <w:sz w:val="18"/>
              </w:rPr>
              <w:t xml:space="preserve"> </w:t>
            </w:r>
            <w:r w:rsidRPr="003D1522">
              <w:rPr>
                <w:sz w:val="18"/>
              </w:rPr>
              <w:t>695</w:t>
            </w:r>
          </w:p>
        </w:tc>
        <w:tc>
          <w:tcPr>
            <w:tcW w:w="992" w:type="dxa"/>
            <w:shd w:val="clear" w:color="auto" w:fill="auto"/>
            <w:tcMar>
              <w:top w:w="0" w:type="dxa"/>
              <w:left w:w="108" w:type="dxa"/>
              <w:bottom w:w="0" w:type="dxa"/>
              <w:right w:w="108" w:type="dxa"/>
            </w:tcMar>
            <w:vAlign w:val="bottom"/>
            <w:hideMark/>
          </w:tcPr>
          <w:p w:rsidR="002246AD" w:rsidRPr="003D1522" w:rsidRDefault="002246AD" w:rsidP="009336A6">
            <w:pPr>
              <w:pStyle w:val="SingleTxtG"/>
              <w:spacing w:before="40" w:after="40" w:line="220" w:lineRule="exact"/>
              <w:ind w:left="0" w:right="113"/>
              <w:jc w:val="right"/>
              <w:rPr>
                <w:sz w:val="18"/>
              </w:rPr>
            </w:pPr>
            <w:r w:rsidRPr="003D1522">
              <w:rPr>
                <w:sz w:val="18"/>
              </w:rPr>
              <w:t>10</w:t>
            </w:r>
            <w:r w:rsidR="0038707E" w:rsidRPr="003D1522">
              <w:rPr>
                <w:sz w:val="18"/>
              </w:rPr>
              <w:t xml:space="preserve"> </w:t>
            </w:r>
            <w:r w:rsidRPr="003D1522">
              <w:rPr>
                <w:sz w:val="18"/>
              </w:rPr>
              <w:t>054</w:t>
            </w:r>
          </w:p>
        </w:tc>
        <w:tc>
          <w:tcPr>
            <w:tcW w:w="945" w:type="dxa"/>
            <w:shd w:val="clear" w:color="auto" w:fill="auto"/>
            <w:tcMar>
              <w:top w:w="0" w:type="dxa"/>
              <w:left w:w="108" w:type="dxa"/>
              <w:bottom w:w="0" w:type="dxa"/>
              <w:right w:w="108" w:type="dxa"/>
            </w:tcMar>
            <w:vAlign w:val="bottom"/>
            <w:hideMark/>
          </w:tcPr>
          <w:p w:rsidR="002246AD" w:rsidRPr="003D1522" w:rsidRDefault="002246AD" w:rsidP="009336A6">
            <w:pPr>
              <w:pStyle w:val="SingleTxtG"/>
              <w:spacing w:before="40" w:after="40" w:line="220" w:lineRule="exact"/>
              <w:ind w:left="0" w:right="113"/>
              <w:jc w:val="right"/>
              <w:rPr>
                <w:sz w:val="18"/>
              </w:rPr>
            </w:pPr>
            <w:r w:rsidRPr="003D1522">
              <w:rPr>
                <w:sz w:val="18"/>
              </w:rPr>
              <w:t>5</w:t>
            </w:r>
            <w:r w:rsidR="0038707E" w:rsidRPr="003D1522">
              <w:rPr>
                <w:sz w:val="18"/>
              </w:rPr>
              <w:t xml:space="preserve"> </w:t>
            </w:r>
            <w:r w:rsidRPr="003D1522">
              <w:rPr>
                <w:sz w:val="18"/>
              </w:rPr>
              <w:t>927</w:t>
            </w:r>
          </w:p>
        </w:tc>
        <w:tc>
          <w:tcPr>
            <w:tcW w:w="1072" w:type="dxa"/>
            <w:shd w:val="clear" w:color="auto" w:fill="auto"/>
            <w:tcMar>
              <w:top w:w="0" w:type="dxa"/>
              <w:left w:w="108" w:type="dxa"/>
              <w:bottom w:w="0" w:type="dxa"/>
              <w:right w:w="108" w:type="dxa"/>
            </w:tcMar>
            <w:vAlign w:val="bottom"/>
            <w:hideMark/>
          </w:tcPr>
          <w:p w:rsidR="002246AD" w:rsidRPr="003D1522" w:rsidRDefault="002246AD" w:rsidP="009336A6">
            <w:pPr>
              <w:pStyle w:val="SingleTxtG"/>
              <w:spacing w:before="40" w:after="40" w:line="220" w:lineRule="exact"/>
              <w:ind w:left="0" w:right="113"/>
              <w:jc w:val="right"/>
              <w:rPr>
                <w:sz w:val="18"/>
              </w:rPr>
            </w:pPr>
            <w:r w:rsidRPr="003D1522">
              <w:rPr>
                <w:sz w:val="18"/>
              </w:rPr>
              <w:t>10</w:t>
            </w:r>
            <w:r w:rsidR="0038707E" w:rsidRPr="003D1522">
              <w:rPr>
                <w:sz w:val="18"/>
              </w:rPr>
              <w:t xml:space="preserve"> </w:t>
            </w:r>
            <w:r w:rsidRPr="003D1522">
              <w:rPr>
                <w:sz w:val="18"/>
              </w:rPr>
              <w:t>274</w:t>
            </w:r>
          </w:p>
        </w:tc>
      </w:tr>
    </w:tbl>
    <w:p w:rsidR="002246AD" w:rsidRPr="003D1522" w:rsidRDefault="002246AD" w:rsidP="000C7CEB">
      <w:pPr>
        <w:pStyle w:val="Heading1"/>
        <w:spacing w:before="240" w:after="120"/>
        <w:rPr>
          <w:rStyle w:val="SingleTxtGChar"/>
          <w:b/>
          <w:bCs/>
        </w:rPr>
      </w:pPr>
      <w:r w:rsidRPr="003D1522">
        <w:t>Table 2</w:t>
      </w:r>
      <w:r w:rsidRPr="003D1522">
        <w:br/>
      </w:r>
      <w:r w:rsidRPr="003D1522">
        <w:rPr>
          <w:rStyle w:val="SingleTxtGChar"/>
          <w:b/>
          <w:bCs/>
        </w:rPr>
        <w:t>Persons with undetermined citizenship, who have been granted Estonian</w:t>
      </w:r>
      <w:r w:rsidRPr="003D1522">
        <w:rPr>
          <w:rStyle w:val="SingleTxtGChar"/>
          <w:b/>
          <w:bCs/>
        </w:rPr>
        <w:br/>
        <w:t>citizenship in 2016</w:t>
      </w:r>
      <w:r w:rsidR="001A5BF8" w:rsidRPr="003D1522">
        <w:rPr>
          <w:rStyle w:val="SingleTxtGChar"/>
          <w:b/>
          <w:bCs/>
        </w:rPr>
        <w:t>–</w:t>
      </w:r>
      <w:r w:rsidRPr="003D1522">
        <w:rPr>
          <w:rStyle w:val="SingleTxtGChar"/>
          <w:b/>
          <w:bCs/>
        </w:rPr>
        <w:t>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26"/>
        <w:gridCol w:w="850"/>
        <w:gridCol w:w="993"/>
        <w:gridCol w:w="992"/>
        <w:gridCol w:w="992"/>
        <w:gridCol w:w="936"/>
        <w:gridCol w:w="1081"/>
      </w:tblGrid>
      <w:tr w:rsidR="001A5BF8" w:rsidRPr="003D1522" w:rsidTr="00E71A86">
        <w:trPr>
          <w:tblHeader/>
        </w:trPr>
        <w:tc>
          <w:tcPr>
            <w:tcW w:w="1526" w:type="dxa"/>
            <w:vMerge w:val="restart"/>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2246AD" w:rsidRPr="003D1522" w:rsidRDefault="002246AD" w:rsidP="00100ACD">
            <w:pPr>
              <w:pStyle w:val="SingleTxtG"/>
              <w:spacing w:before="80" w:after="80" w:line="200" w:lineRule="exact"/>
              <w:ind w:left="0" w:right="113"/>
              <w:jc w:val="left"/>
              <w:rPr>
                <w:i/>
                <w:sz w:val="16"/>
              </w:rPr>
            </w:pPr>
            <w:r w:rsidRPr="003D1522">
              <w:rPr>
                <w:i/>
                <w:sz w:val="16"/>
              </w:rPr>
              <w:t>Age</w:t>
            </w:r>
          </w:p>
        </w:tc>
        <w:tc>
          <w:tcPr>
            <w:tcW w:w="1843" w:type="dxa"/>
            <w:gridSpan w:val="2"/>
            <w:tcBorders>
              <w:top w:val="single" w:sz="4" w:space="0" w:color="auto"/>
              <w:bottom w:val="single" w:sz="4" w:space="0" w:color="auto"/>
            </w:tcBorders>
            <w:shd w:val="clear" w:color="auto" w:fill="auto"/>
            <w:tcMar>
              <w:top w:w="0" w:type="dxa"/>
              <w:left w:w="108" w:type="dxa"/>
              <w:bottom w:w="0" w:type="dxa"/>
              <w:right w:w="108" w:type="dxa"/>
            </w:tcMar>
            <w:vAlign w:val="bottom"/>
            <w:hideMark/>
          </w:tcPr>
          <w:p w:rsidR="002246AD" w:rsidRPr="003D1522" w:rsidRDefault="002246AD" w:rsidP="001A5BF8">
            <w:pPr>
              <w:pStyle w:val="SingleTxtG"/>
              <w:spacing w:before="80" w:after="80" w:line="200" w:lineRule="exact"/>
              <w:ind w:left="0" w:right="113"/>
              <w:jc w:val="center"/>
              <w:rPr>
                <w:i/>
                <w:sz w:val="16"/>
              </w:rPr>
            </w:pPr>
            <w:r w:rsidRPr="003D1522">
              <w:rPr>
                <w:i/>
                <w:sz w:val="16"/>
              </w:rPr>
              <w:t>2016</w:t>
            </w:r>
          </w:p>
        </w:tc>
        <w:tc>
          <w:tcPr>
            <w:tcW w:w="1984" w:type="dxa"/>
            <w:gridSpan w:val="2"/>
            <w:tcBorders>
              <w:top w:val="single" w:sz="4" w:space="0" w:color="auto"/>
              <w:bottom w:val="single" w:sz="4" w:space="0" w:color="auto"/>
            </w:tcBorders>
            <w:shd w:val="clear" w:color="auto" w:fill="auto"/>
            <w:tcMar>
              <w:top w:w="0" w:type="dxa"/>
              <w:left w:w="108" w:type="dxa"/>
              <w:bottom w:w="0" w:type="dxa"/>
              <w:right w:w="108" w:type="dxa"/>
            </w:tcMar>
            <w:vAlign w:val="bottom"/>
            <w:hideMark/>
          </w:tcPr>
          <w:p w:rsidR="002246AD" w:rsidRPr="003D1522" w:rsidRDefault="002246AD" w:rsidP="001A5BF8">
            <w:pPr>
              <w:pStyle w:val="SingleTxtG"/>
              <w:spacing w:before="80" w:after="80" w:line="200" w:lineRule="exact"/>
              <w:ind w:left="0" w:right="113"/>
              <w:jc w:val="center"/>
              <w:rPr>
                <w:i/>
                <w:sz w:val="16"/>
              </w:rPr>
            </w:pPr>
            <w:r w:rsidRPr="003D1522">
              <w:rPr>
                <w:i/>
                <w:sz w:val="16"/>
              </w:rPr>
              <w:t>2017</w:t>
            </w:r>
          </w:p>
        </w:tc>
        <w:tc>
          <w:tcPr>
            <w:tcW w:w="2017" w:type="dxa"/>
            <w:gridSpan w:val="2"/>
            <w:tcBorders>
              <w:top w:val="single" w:sz="4" w:space="0" w:color="auto"/>
              <w:bottom w:val="single" w:sz="4" w:space="0" w:color="auto"/>
            </w:tcBorders>
            <w:shd w:val="clear" w:color="auto" w:fill="auto"/>
            <w:tcMar>
              <w:top w:w="0" w:type="dxa"/>
              <w:left w:w="108" w:type="dxa"/>
              <w:bottom w:w="0" w:type="dxa"/>
              <w:right w:w="108" w:type="dxa"/>
            </w:tcMar>
            <w:vAlign w:val="bottom"/>
          </w:tcPr>
          <w:p w:rsidR="002246AD" w:rsidRPr="003D1522" w:rsidRDefault="002246AD" w:rsidP="001A5BF8">
            <w:pPr>
              <w:pStyle w:val="SingleTxtG"/>
              <w:spacing w:before="80" w:after="80" w:line="200" w:lineRule="exact"/>
              <w:ind w:left="0" w:right="113"/>
              <w:jc w:val="center"/>
              <w:rPr>
                <w:i/>
                <w:sz w:val="16"/>
              </w:rPr>
            </w:pPr>
            <w:r w:rsidRPr="003D1522">
              <w:rPr>
                <w:i/>
                <w:sz w:val="16"/>
              </w:rPr>
              <w:t>6 November 2018</w:t>
            </w:r>
          </w:p>
        </w:tc>
      </w:tr>
      <w:tr w:rsidR="001A5BF8" w:rsidRPr="003D1522" w:rsidTr="00E71A86">
        <w:trPr>
          <w:tblHeader/>
        </w:trPr>
        <w:tc>
          <w:tcPr>
            <w:tcW w:w="1526" w:type="dxa"/>
            <w:vMerge/>
            <w:tcBorders>
              <w:top w:val="single" w:sz="12" w:space="0" w:color="auto"/>
              <w:bottom w:val="single" w:sz="12" w:space="0" w:color="auto"/>
            </w:tcBorders>
            <w:shd w:val="clear" w:color="auto" w:fill="auto"/>
            <w:vAlign w:val="bottom"/>
            <w:hideMark/>
          </w:tcPr>
          <w:p w:rsidR="002246AD" w:rsidRPr="003D1522" w:rsidRDefault="002246AD" w:rsidP="001A5BF8">
            <w:pPr>
              <w:pStyle w:val="SingleTxtG"/>
              <w:spacing w:before="40" w:after="40" w:line="220" w:lineRule="exact"/>
              <w:ind w:left="0" w:right="113"/>
              <w:jc w:val="center"/>
              <w:rPr>
                <w:i/>
                <w:sz w:val="18"/>
              </w:rPr>
            </w:pPr>
          </w:p>
        </w:tc>
        <w:tc>
          <w:tcPr>
            <w:tcW w:w="850"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2246AD" w:rsidRPr="003D1522" w:rsidRDefault="002246AD" w:rsidP="00100ACD">
            <w:pPr>
              <w:pStyle w:val="SingleTxtG"/>
              <w:spacing w:before="40" w:after="40" w:line="220" w:lineRule="exact"/>
              <w:ind w:left="0" w:right="113"/>
              <w:jc w:val="right"/>
              <w:rPr>
                <w:i/>
                <w:sz w:val="18"/>
              </w:rPr>
            </w:pPr>
            <w:r w:rsidRPr="003D1522">
              <w:rPr>
                <w:i/>
                <w:sz w:val="18"/>
              </w:rPr>
              <w:t>Male</w:t>
            </w:r>
          </w:p>
        </w:tc>
        <w:tc>
          <w:tcPr>
            <w:tcW w:w="993"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2246AD" w:rsidRPr="003D1522" w:rsidRDefault="002246AD" w:rsidP="00100ACD">
            <w:pPr>
              <w:pStyle w:val="SingleTxtG"/>
              <w:spacing w:before="40" w:after="40" w:line="220" w:lineRule="exact"/>
              <w:ind w:left="0" w:right="113"/>
              <w:jc w:val="right"/>
              <w:rPr>
                <w:i/>
                <w:sz w:val="18"/>
              </w:rPr>
            </w:pPr>
            <w:r w:rsidRPr="003D1522">
              <w:rPr>
                <w:i/>
                <w:sz w:val="18"/>
              </w:rPr>
              <w:t>Female</w:t>
            </w:r>
          </w:p>
        </w:tc>
        <w:tc>
          <w:tcPr>
            <w:tcW w:w="992"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2246AD" w:rsidRPr="003D1522" w:rsidRDefault="002246AD" w:rsidP="00100ACD">
            <w:pPr>
              <w:pStyle w:val="SingleTxtG"/>
              <w:spacing w:before="40" w:after="40" w:line="220" w:lineRule="exact"/>
              <w:ind w:left="0" w:right="113"/>
              <w:jc w:val="right"/>
              <w:rPr>
                <w:i/>
                <w:sz w:val="18"/>
              </w:rPr>
            </w:pPr>
            <w:r w:rsidRPr="003D1522">
              <w:rPr>
                <w:i/>
                <w:sz w:val="18"/>
              </w:rPr>
              <w:t>Male</w:t>
            </w:r>
          </w:p>
        </w:tc>
        <w:tc>
          <w:tcPr>
            <w:tcW w:w="992"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2246AD" w:rsidRPr="003D1522" w:rsidRDefault="002246AD" w:rsidP="00100ACD">
            <w:pPr>
              <w:pStyle w:val="SingleTxtG"/>
              <w:spacing w:before="40" w:after="40" w:line="220" w:lineRule="exact"/>
              <w:ind w:left="0" w:right="113"/>
              <w:jc w:val="right"/>
              <w:rPr>
                <w:i/>
                <w:sz w:val="18"/>
              </w:rPr>
            </w:pPr>
            <w:r w:rsidRPr="003D1522">
              <w:rPr>
                <w:i/>
                <w:sz w:val="18"/>
              </w:rPr>
              <w:t>Female</w:t>
            </w:r>
          </w:p>
        </w:tc>
        <w:tc>
          <w:tcPr>
            <w:tcW w:w="936"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2246AD" w:rsidRPr="003D1522" w:rsidRDefault="002246AD" w:rsidP="00100ACD">
            <w:pPr>
              <w:pStyle w:val="SingleTxtG"/>
              <w:spacing w:before="40" w:after="40" w:line="220" w:lineRule="exact"/>
              <w:ind w:left="0" w:right="113"/>
              <w:jc w:val="right"/>
              <w:rPr>
                <w:i/>
                <w:sz w:val="18"/>
              </w:rPr>
            </w:pPr>
            <w:r w:rsidRPr="003D1522">
              <w:rPr>
                <w:i/>
                <w:sz w:val="18"/>
              </w:rPr>
              <w:t>Male</w:t>
            </w:r>
          </w:p>
        </w:tc>
        <w:tc>
          <w:tcPr>
            <w:tcW w:w="1081"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2246AD" w:rsidRPr="003D1522" w:rsidRDefault="002246AD" w:rsidP="00100ACD">
            <w:pPr>
              <w:pStyle w:val="SingleTxtG"/>
              <w:spacing w:before="40" w:after="40" w:line="220" w:lineRule="exact"/>
              <w:ind w:left="0" w:right="113"/>
              <w:jc w:val="right"/>
              <w:rPr>
                <w:i/>
                <w:sz w:val="18"/>
              </w:rPr>
            </w:pPr>
            <w:r w:rsidRPr="003D1522">
              <w:rPr>
                <w:i/>
                <w:sz w:val="18"/>
              </w:rPr>
              <w:t>Female</w:t>
            </w:r>
          </w:p>
        </w:tc>
      </w:tr>
      <w:tr w:rsidR="001A5BF8" w:rsidRPr="003D1522" w:rsidTr="00E71A86">
        <w:tc>
          <w:tcPr>
            <w:tcW w:w="1526" w:type="dxa"/>
            <w:tcBorders>
              <w:top w:val="single" w:sz="12" w:space="0" w:color="auto"/>
            </w:tcBorders>
            <w:shd w:val="clear" w:color="auto" w:fill="auto"/>
            <w:tcMar>
              <w:top w:w="0" w:type="dxa"/>
              <w:left w:w="108" w:type="dxa"/>
              <w:bottom w:w="0" w:type="dxa"/>
              <w:right w:w="108" w:type="dxa"/>
            </w:tcMar>
            <w:hideMark/>
          </w:tcPr>
          <w:p w:rsidR="002246AD" w:rsidRPr="003D1522" w:rsidRDefault="002246AD" w:rsidP="001A5BF8">
            <w:pPr>
              <w:pStyle w:val="SingleTxtG"/>
              <w:spacing w:before="40" w:after="40" w:line="220" w:lineRule="exact"/>
              <w:ind w:left="0" w:right="113"/>
              <w:jc w:val="left"/>
              <w:rPr>
                <w:sz w:val="18"/>
              </w:rPr>
            </w:pPr>
            <w:r w:rsidRPr="003D1522">
              <w:rPr>
                <w:sz w:val="18"/>
              </w:rPr>
              <w:t>Below 15 years</w:t>
            </w:r>
          </w:p>
        </w:tc>
        <w:tc>
          <w:tcPr>
            <w:tcW w:w="850" w:type="dxa"/>
            <w:tcBorders>
              <w:top w:val="single" w:sz="12" w:space="0" w:color="auto"/>
            </w:tcBorders>
            <w:shd w:val="clear" w:color="auto" w:fill="auto"/>
            <w:tcMar>
              <w:top w:w="0" w:type="dxa"/>
              <w:left w:w="108" w:type="dxa"/>
              <w:bottom w:w="0" w:type="dxa"/>
              <w:right w:w="108" w:type="dxa"/>
            </w:tcMar>
            <w:vAlign w:val="bottom"/>
            <w:hideMark/>
          </w:tcPr>
          <w:p w:rsidR="002246AD" w:rsidRPr="003D1522" w:rsidRDefault="002246AD" w:rsidP="001A5BF8">
            <w:pPr>
              <w:pStyle w:val="SingleTxtG"/>
              <w:spacing w:before="40" w:after="40" w:line="220" w:lineRule="exact"/>
              <w:ind w:left="0" w:right="113"/>
              <w:jc w:val="right"/>
              <w:rPr>
                <w:sz w:val="18"/>
              </w:rPr>
            </w:pPr>
            <w:r w:rsidRPr="003D1522">
              <w:rPr>
                <w:sz w:val="18"/>
              </w:rPr>
              <w:t>10</w:t>
            </w:r>
          </w:p>
        </w:tc>
        <w:tc>
          <w:tcPr>
            <w:tcW w:w="993" w:type="dxa"/>
            <w:tcBorders>
              <w:top w:val="single" w:sz="12" w:space="0" w:color="auto"/>
            </w:tcBorders>
            <w:shd w:val="clear" w:color="auto" w:fill="auto"/>
            <w:tcMar>
              <w:top w:w="0" w:type="dxa"/>
              <w:left w:w="108" w:type="dxa"/>
              <w:bottom w:w="0" w:type="dxa"/>
              <w:right w:w="108" w:type="dxa"/>
            </w:tcMar>
            <w:vAlign w:val="bottom"/>
            <w:hideMark/>
          </w:tcPr>
          <w:p w:rsidR="002246AD" w:rsidRPr="003D1522" w:rsidRDefault="002246AD" w:rsidP="001A5BF8">
            <w:pPr>
              <w:pStyle w:val="SingleTxtG"/>
              <w:spacing w:before="40" w:after="40" w:line="220" w:lineRule="exact"/>
              <w:ind w:left="0" w:right="113"/>
              <w:jc w:val="right"/>
              <w:rPr>
                <w:sz w:val="18"/>
              </w:rPr>
            </w:pPr>
            <w:r w:rsidRPr="003D1522">
              <w:rPr>
                <w:sz w:val="18"/>
              </w:rPr>
              <w:t>4</w:t>
            </w:r>
          </w:p>
        </w:tc>
        <w:tc>
          <w:tcPr>
            <w:tcW w:w="992" w:type="dxa"/>
            <w:tcBorders>
              <w:top w:val="single" w:sz="12" w:space="0" w:color="auto"/>
            </w:tcBorders>
            <w:shd w:val="clear" w:color="auto" w:fill="auto"/>
            <w:tcMar>
              <w:top w:w="0" w:type="dxa"/>
              <w:left w:w="108" w:type="dxa"/>
              <w:bottom w:w="0" w:type="dxa"/>
              <w:right w:w="108" w:type="dxa"/>
            </w:tcMar>
            <w:vAlign w:val="bottom"/>
            <w:hideMark/>
          </w:tcPr>
          <w:p w:rsidR="002246AD" w:rsidRPr="003D1522" w:rsidRDefault="002246AD" w:rsidP="001A5BF8">
            <w:pPr>
              <w:pStyle w:val="SingleTxtG"/>
              <w:spacing w:before="40" w:after="40" w:line="220" w:lineRule="exact"/>
              <w:ind w:left="0" w:right="113"/>
              <w:jc w:val="right"/>
              <w:rPr>
                <w:sz w:val="18"/>
              </w:rPr>
            </w:pPr>
            <w:r w:rsidRPr="003D1522">
              <w:rPr>
                <w:sz w:val="18"/>
              </w:rPr>
              <w:t>3</w:t>
            </w:r>
          </w:p>
        </w:tc>
        <w:tc>
          <w:tcPr>
            <w:tcW w:w="992" w:type="dxa"/>
            <w:tcBorders>
              <w:top w:val="single" w:sz="12" w:space="0" w:color="auto"/>
            </w:tcBorders>
            <w:shd w:val="clear" w:color="auto" w:fill="auto"/>
            <w:tcMar>
              <w:top w:w="0" w:type="dxa"/>
              <w:left w:w="108" w:type="dxa"/>
              <w:bottom w:w="0" w:type="dxa"/>
              <w:right w:w="108" w:type="dxa"/>
            </w:tcMar>
            <w:vAlign w:val="bottom"/>
            <w:hideMark/>
          </w:tcPr>
          <w:p w:rsidR="002246AD" w:rsidRPr="003D1522" w:rsidRDefault="002246AD" w:rsidP="001A5BF8">
            <w:pPr>
              <w:pStyle w:val="SingleTxtG"/>
              <w:spacing w:before="40" w:after="40" w:line="220" w:lineRule="exact"/>
              <w:ind w:left="0" w:right="113"/>
              <w:jc w:val="right"/>
              <w:rPr>
                <w:sz w:val="18"/>
              </w:rPr>
            </w:pPr>
            <w:r w:rsidRPr="003D1522">
              <w:rPr>
                <w:sz w:val="18"/>
              </w:rPr>
              <w:t>7</w:t>
            </w:r>
          </w:p>
        </w:tc>
        <w:tc>
          <w:tcPr>
            <w:tcW w:w="936" w:type="dxa"/>
            <w:tcBorders>
              <w:top w:val="single" w:sz="12" w:space="0" w:color="auto"/>
            </w:tcBorders>
            <w:shd w:val="clear" w:color="auto" w:fill="auto"/>
            <w:tcMar>
              <w:top w:w="0" w:type="dxa"/>
              <w:left w:w="108" w:type="dxa"/>
              <w:bottom w:w="0" w:type="dxa"/>
              <w:right w:w="108" w:type="dxa"/>
            </w:tcMar>
            <w:vAlign w:val="bottom"/>
            <w:hideMark/>
          </w:tcPr>
          <w:p w:rsidR="002246AD" w:rsidRPr="003D1522" w:rsidRDefault="002246AD" w:rsidP="001A5BF8">
            <w:pPr>
              <w:pStyle w:val="SingleTxtG"/>
              <w:spacing w:before="40" w:after="40" w:line="220" w:lineRule="exact"/>
              <w:ind w:left="0" w:right="113"/>
              <w:jc w:val="right"/>
              <w:rPr>
                <w:sz w:val="18"/>
              </w:rPr>
            </w:pPr>
            <w:r w:rsidRPr="003D1522">
              <w:rPr>
                <w:sz w:val="18"/>
              </w:rPr>
              <w:t>1</w:t>
            </w:r>
          </w:p>
        </w:tc>
        <w:tc>
          <w:tcPr>
            <w:tcW w:w="1081" w:type="dxa"/>
            <w:tcBorders>
              <w:top w:val="single" w:sz="12" w:space="0" w:color="auto"/>
            </w:tcBorders>
            <w:shd w:val="clear" w:color="auto" w:fill="auto"/>
            <w:tcMar>
              <w:top w:w="0" w:type="dxa"/>
              <w:left w:w="108" w:type="dxa"/>
              <w:bottom w:w="0" w:type="dxa"/>
              <w:right w:w="108" w:type="dxa"/>
            </w:tcMar>
            <w:vAlign w:val="bottom"/>
            <w:hideMark/>
          </w:tcPr>
          <w:p w:rsidR="002246AD" w:rsidRPr="003D1522" w:rsidRDefault="002246AD" w:rsidP="001A5BF8">
            <w:pPr>
              <w:pStyle w:val="SingleTxtG"/>
              <w:spacing w:before="40" w:after="40" w:line="220" w:lineRule="exact"/>
              <w:ind w:left="0" w:right="113"/>
              <w:jc w:val="right"/>
              <w:rPr>
                <w:sz w:val="18"/>
              </w:rPr>
            </w:pPr>
            <w:r w:rsidRPr="003D1522">
              <w:rPr>
                <w:sz w:val="18"/>
              </w:rPr>
              <w:t>1</w:t>
            </w:r>
          </w:p>
        </w:tc>
      </w:tr>
      <w:tr w:rsidR="002246AD" w:rsidRPr="003D1522" w:rsidTr="00E71A86">
        <w:tc>
          <w:tcPr>
            <w:tcW w:w="1526" w:type="dxa"/>
            <w:shd w:val="clear" w:color="auto" w:fill="auto"/>
            <w:tcMar>
              <w:top w:w="0" w:type="dxa"/>
              <w:left w:w="108" w:type="dxa"/>
              <w:bottom w:w="0" w:type="dxa"/>
              <w:right w:w="108" w:type="dxa"/>
            </w:tcMar>
            <w:hideMark/>
          </w:tcPr>
          <w:p w:rsidR="002246AD" w:rsidRPr="003D1522" w:rsidRDefault="002246AD" w:rsidP="001A5BF8">
            <w:pPr>
              <w:pStyle w:val="SingleTxtG"/>
              <w:spacing w:before="40" w:after="40" w:line="220" w:lineRule="exact"/>
              <w:ind w:left="0" w:right="113"/>
              <w:jc w:val="left"/>
              <w:rPr>
                <w:sz w:val="18"/>
              </w:rPr>
            </w:pPr>
            <w:r w:rsidRPr="003D1522">
              <w:rPr>
                <w:sz w:val="18"/>
              </w:rPr>
              <w:t>15</w:t>
            </w:r>
            <w:r w:rsidR="005A6EC3" w:rsidRPr="003D1522">
              <w:rPr>
                <w:sz w:val="18"/>
              </w:rPr>
              <w:t>–</w:t>
            </w:r>
            <w:r w:rsidRPr="003D1522">
              <w:rPr>
                <w:sz w:val="18"/>
              </w:rPr>
              <w:t>18 years</w:t>
            </w:r>
          </w:p>
        </w:tc>
        <w:tc>
          <w:tcPr>
            <w:tcW w:w="850" w:type="dxa"/>
            <w:shd w:val="clear" w:color="auto" w:fill="auto"/>
            <w:tcMar>
              <w:top w:w="0" w:type="dxa"/>
              <w:left w:w="108" w:type="dxa"/>
              <w:bottom w:w="0" w:type="dxa"/>
              <w:right w:w="108" w:type="dxa"/>
            </w:tcMar>
            <w:vAlign w:val="bottom"/>
            <w:hideMark/>
          </w:tcPr>
          <w:p w:rsidR="002246AD" w:rsidRPr="003D1522" w:rsidRDefault="002246AD" w:rsidP="001A5BF8">
            <w:pPr>
              <w:pStyle w:val="SingleTxtG"/>
              <w:spacing w:before="40" w:after="40" w:line="220" w:lineRule="exact"/>
              <w:ind w:left="0" w:right="113"/>
              <w:jc w:val="right"/>
              <w:rPr>
                <w:sz w:val="18"/>
              </w:rPr>
            </w:pPr>
            <w:r w:rsidRPr="003D1522">
              <w:rPr>
                <w:sz w:val="18"/>
              </w:rPr>
              <w:t>4</w:t>
            </w:r>
          </w:p>
        </w:tc>
        <w:tc>
          <w:tcPr>
            <w:tcW w:w="993" w:type="dxa"/>
            <w:shd w:val="clear" w:color="auto" w:fill="auto"/>
            <w:tcMar>
              <w:top w:w="0" w:type="dxa"/>
              <w:left w:w="108" w:type="dxa"/>
              <w:bottom w:w="0" w:type="dxa"/>
              <w:right w:w="108" w:type="dxa"/>
            </w:tcMar>
            <w:vAlign w:val="bottom"/>
            <w:hideMark/>
          </w:tcPr>
          <w:p w:rsidR="002246AD" w:rsidRPr="003D1522" w:rsidRDefault="002246AD" w:rsidP="001A5BF8">
            <w:pPr>
              <w:pStyle w:val="SingleTxtG"/>
              <w:spacing w:before="40" w:after="40" w:line="220" w:lineRule="exact"/>
              <w:ind w:left="0" w:right="113"/>
              <w:jc w:val="right"/>
              <w:rPr>
                <w:sz w:val="18"/>
              </w:rPr>
            </w:pPr>
            <w:r w:rsidRPr="003D1522">
              <w:rPr>
                <w:sz w:val="18"/>
              </w:rPr>
              <w:t>12</w:t>
            </w:r>
          </w:p>
        </w:tc>
        <w:tc>
          <w:tcPr>
            <w:tcW w:w="992" w:type="dxa"/>
            <w:shd w:val="clear" w:color="auto" w:fill="auto"/>
            <w:tcMar>
              <w:top w:w="0" w:type="dxa"/>
              <w:left w:w="108" w:type="dxa"/>
              <w:bottom w:w="0" w:type="dxa"/>
              <w:right w:w="108" w:type="dxa"/>
            </w:tcMar>
            <w:vAlign w:val="bottom"/>
            <w:hideMark/>
          </w:tcPr>
          <w:p w:rsidR="002246AD" w:rsidRPr="003D1522" w:rsidRDefault="002246AD" w:rsidP="001A5BF8">
            <w:pPr>
              <w:pStyle w:val="SingleTxtG"/>
              <w:spacing w:before="40" w:after="40" w:line="220" w:lineRule="exact"/>
              <w:ind w:left="0" w:right="113"/>
              <w:jc w:val="right"/>
              <w:rPr>
                <w:sz w:val="18"/>
              </w:rPr>
            </w:pPr>
            <w:r w:rsidRPr="003D1522">
              <w:rPr>
                <w:sz w:val="18"/>
              </w:rPr>
              <w:t>2</w:t>
            </w:r>
          </w:p>
        </w:tc>
        <w:tc>
          <w:tcPr>
            <w:tcW w:w="992" w:type="dxa"/>
            <w:shd w:val="clear" w:color="auto" w:fill="auto"/>
            <w:tcMar>
              <w:top w:w="0" w:type="dxa"/>
              <w:left w:w="108" w:type="dxa"/>
              <w:bottom w:w="0" w:type="dxa"/>
              <w:right w:w="108" w:type="dxa"/>
            </w:tcMar>
            <w:vAlign w:val="bottom"/>
            <w:hideMark/>
          </w:tcPr>
          <w:p w:rsidR="002246AD" w:rsidRPr="003D1522" w:rsidRDefault="002246AD" w:rsidP="001A5BF8">
            <w:pPr>
              <w:pStyle w:val="SingleTxtG"/>
              <w:spacing w:before="40" w:after="40" w:line="220" w:lineRule="exact"/>
              <w:ind w:left="0" w:right="113"/>
              <w:jc w:val="right"/>
              <w:rPr>
                <w:sz w:val="18"/>
              </w:rPr>
            </w:pPr>
            <w:r w:rsidRPr="003D1522">
              <w:rPr>
                <w:sz w:val="18"/>
              </w:rPr>
              <w:t>6</w:t>
            </w:r>
          </w:p>
        </w:tc>
        <w:tc>
          <w:tcPr>
            <w:tcW w:w="936" w:type="dxa"/>
            <w:shd w:val="clear" w:color="auto" w:fill="auto"/>
            <w:tcMar>
              <w:top w:w="0" w:type="dxa"/>
              <w:left w:w="108" w:type="dxa"/>
              <w:bottom w:w="0" w:type="dxa"/>
              <w:right w:w="108" w:type="dxa"/>
            </w:tcMar>
            <w:vAlign w:val="bottom"/>
            <w:hideMark/>
          </w:tcPr>
          <w:p w:rsidR="002246AD" w:rsidRPr="003D1522" w:rsidRDefault="002246AD" w:rsidP="001A5BF8">
            <w:pPr>
              <w:pStyle w:val="SingleTxtG"/>
              <w:spacing w:before="40" w:after="40" w:line="220" w:lineRule="exact"/>
              <w:ind w:left="0" w:right="113"/>
              <w:jc w:val="right"/>
              <w:rPr>
                <w:sz w:val="18"/>
              </w:rPr>
            </w:pPr>
            <w:r w:rsidRPr="003D1522">
              <w:rPr>
                <w:sz w:val="18"/>
              </w:rPr>
              <w:t>0</w:t>
            </w:r>
          </w:p>
        </w:tc>
        <w:tc>
          <w:tcPr>
            <w:tcW w:w="1081" w:type="dxa"/>
            <w:shd w:val="clear" w:color="auto" w:fill="auto"/>
            <w:tcMar>
              <w:top w:w="0" w:type="dxa"/>
              <w:left w:w="108" w:type="dxa"/>
              <w:bottom w:w="0" w:type="dxa"/>
              <w:right w:w="108" w:type="dxa"/>
            </w:tcMar>
            <w:vAlign w:val="bottom"/>
            <w:hideMark/>
          </w:tcPr>
          <w:p w:rsidR="002246AD" w:rsidRPr="003D1522" w:rsidRDefault="002246AD" w:rsidP="001A5BF8">
            <w:pPr>
              <w:pStyle w:val="SingleTxtG"/>
              <w:spacing w:before="40" w:after="40" w:line="220" w:lineRule="exact"/>
              <w:ind w:left="0" w:right="113"/>
              <w:jc w:val="right"/>
              <w:rPr>
                <w:sz w:val="18"/>
              </w:rPr>
            </w:pPr>
            <w:r w:rsidRPr="003D1522">
              <w:rPr>
                <w:sz w:val="18"/>
              </w:rPr>
              <w:t>2</w:t>
            </w:r>
          </w:p>
        </w:tc>
      </w:tr>
      <w:tr w:rsidR="002246AD" w:rsidRPr="003D1522" w:rsidTr="00E71A86">
        <w:tc>
          <w:tcPr>
            <w:tcW w:w="1526" w:type="dxa"/>
            <w:shd w:val="clear" w:color="auto" w:fill="auto"/>
            <w:tcMar>
              <w:top w:w="0" w:type="dxa"/>
              <w:left w:w="108" w:type="dxa"/>
              <w:bottom w:w="0" w:type="dxa"/>
              <w:right w:w="108" w:type="dxa"/>
            </w:tcMar>
            <w:hideMark/>
          </w:tcPr>
          <w:p w:rsidR="002246AD" w:rsidRPr="003D1522" w:rsidRDefault="005A6EC3" w:rsidP="001A5BF8">
            <w:pPr>
              <w:pStyle w:val="SingleTxtG"/>
              <w:spacing w:before="40" w:after="40" w:line="220" w:lineRule="exact"/>
              <w:ind w:left="0" w:right="113"/>
              <w:jc w:val="left"/>
              <w:rPr>
                <w:sz w:val="18"/>
              </w:rPr>
            </w:pPr>
            <w:r w:rsidRPr="003D1522">
              <w:rPr>
                <w:sz w:val="18"/>
              </w:rPr>
              <w:t>19–</w:t>
            </w:r>
            <w:r w:rsidR="002246AD" w:rsidRPr="003D1522">
              <w:rPr>
                <w:sz w:val="18"/>
              </w:rPr>
              <w:t>64 years</w:t>
            </w:r>
          </w:p>
        </w:tc>
        <w:tc>
          <w:tcPr>
            <w:tcW w:w="850" w:type="dxa"/>
            <w:shd w:val="clear" w:color="auto" w:fill="auto"/>
            <w:tcMar>
              <w:top w:w="0" w:type="dxa"/>
              <w:left w:w="108" w:type="dxa"/>
              <w:bottom w:w="0" w:type="dxa"/>
              <w:right w:w="108" w:type="dxa"/>
            </w:tcMar>
            <w:vAlign w:val="bottom"/>
            <w:hideMark/>
          </w:tcPr>
          <w:p w:rsidR="002246AD" w:rsidRPr="003D1522" w:rsidRDefault="002246AD" w:rsidP="001A5BF8">
            <w:pPr>
              <w:pStyle w:val="SingleTxtG"/>
              <w:spacing w:before="40" w:after="40" w:line="220" w:lineRule="exact"/>
              <w:ind w:left="0" w:right="113"/>
              <w:jc w:val="right"/>
              <w:rPr>
                <w:sz w:val="18"/>
              </w:rPr>
            </w:pPr>
            <w:r w:rsidRPr="003D1522">
              <w:rPr>
                <w:sz w:val="18"/>
              </w:rPr>
              <w:t>203</w:t>
            </w:r>
          </w:p>
        </w:tc>
        <w:tc>
          <w:tcPr>
            <w:tcW w:w="993" w:type="dxa"/>
            <w:shd w:val="clear" w:color="auto" w:fill="auto"/>
            <w:tcMar>
              <w:top w:w="0" w:type="dxa"/>
              <w:left w:w="108" w:type="dxa"/>
              <w:bottom w:w="0" w:type="dxa"/>
              <w:right w:w="108" w:type="dxa"/>
            </w:tcMar>
            <w:vAlign w:val="bottom"/>
            <w:hideMark/>
          </w:tcPr>
          <w:p w:rsidR="002246AD" w:rsidRPr="003D1522" w:rsidRDefault="002246AD" w:rsidP="001A5BF8">
            <w:pPr>
              <w:pStyle w:val="SingleTxtG"/>
              <w:spacing w:before="40" w:after="40" w:line="220" w:lineRule="exact"/>
              <w:ind w:left="0" w:right="113"/>
              <w:jc w:val="right"/>
              <w:rPr>
                <w:sz w:val="18"/>
              </w:rPr>
            </w:pPr>
            <w:r w:rsidRPr="003D1522">
              <w:rPr>
                <w:sz w:val="18"/>
              </w:rPr>
              <w:t>245</w:t>
            </w:r>
          </w:p>
        </w:tc>
        <w:tc>
          <w:tcPr>
            <w:tcW w:w="992" w:type="dxa"/>
            <w:shd w:val="clear" w:color="auto" w:fill="auto"/>
            <w:tcMar>
              <w:top w:w="0" w:type="dxa"/>
              <w:left w:w="108" w:type="dxa"/>
              <w:bottom w:w="0" w:type="dxa"/>
              <w:right w:w="108" w:type="dxa"/>
            </w:tcMar>
            <w:vAlign w:val="bottom"/>
            <w:hideMark/>
          </w:tcPr>
          <w:p w:rsidR="002246AD" w:rsidRPr="003D1522" w:rsidRDefault="002246AD" w:rsidP="001A5BF8">
            <w:pPr>
              <w:pStyle w:val="SingleTxtG"/>
              <w:spacing w:before="40" w:after="40" w:line="220" w:lineRule="exact"/>
              <w:ind w:left="0" w:right="113"/>
              <w:jc w:val="right"/>
              <w:rPr>
                <w:sz w:val="18"/>
              </w:rPr>
            </w:pPr>
            <w:r w:rsidRPr="003D1522">
              <w:rPr>
                <w:sz w:val="18"/>
              </w:rPr>
              <w:t>187</w:t>
            </w:r>
          </w:p>
        </w:tc>
        <w:tc>
          <w:tcPr>
            <w:tcW w:w="992" w:type="dxa"/>
            <w:shd w:val="clear" w:color="auto" w:fill="auto"/>
            <w:tcMar>
              <w:top w:w="0" w:type="dxa"/>
              <w:left w:w="108" w:type="dxa"/>
              <w:bottom w:w="0" w:type="dxa"/>
              <w:right w:w="108" w:type="dxa"/>
            </w:tcMar>
            <w:vAlign w:val="bottom"/>
            <w:hideMark/>
          </w:tcPr>
          <w:p w:rsidR="002246AD" w:rsidRPr="003D1522" w:rsidRDefault="002246AD" w:rsidP="001A5BF8">
            <w:pPr>
              <w:pStyle w:val="SingleTxtG"/>
              <w:spacing w:before="40" w:after="40" w:line="220" w:lineRule="exact"/>
              <w:ind w:left="0" w:right="113"/>
              <w:jc w:val="right"/>
              <w:rPr>
                <w:sz w:val="18"/>
              </w:rPr>
            </w:pPr>
            <w:r w:rsidRPr="003D1522">
              <w:rPr>
                <w:sz w:val="18"/>
              </w:rPr>
              <w:t>202</w:t>
            </w:r>
          </w:p>
        </w:tc>
        <w:tc>
          <w:tcPr>
            <w:tcW w:w="936" w:type="dxa"/>
            <w:shd w:val="clear" w:color="auto" w:fill="auto"/>
            <w:tcMar>
              <w:top w:w="0" w:type="dxa"/>
              <w:left w:w="108" w:type="dxa"/>
              <w:bottom w:w="0" w:type="dxa"/>
              <w:right w:w="108" w:type="dxa"/>
            </w:tcMar>
            <w:vAlign w:val="bottom"/>
            <w:hideMark/>
          </w:tcPr>
          <w:p w:rsidR="002246AD" w:rsidRPr="003D1522" w:rsidRDefault="002246AD" w:rsidP="001A5BF8">
            <w:pPr>
              <w:pStyle w:val="SingleTxtG"/>
              <w:spacing w:before="40" w:after="40" w:line="220" w:lineRule="exact"/>
              <w:ind w:left="0" w:right="113"/>
              <w:jc w:val="right"/>
              <w:rPr>
                <w:sz w:val="18"/>
              </w:rPr>
            </w:pPr>
            <w:r w:rsidRPr="003D1522">
              <w:rPr>
                <w:sz w:val="18"/>
              </w:rPr>
              <w:t>119</w:t>
            </w:r>
          </w:p>
        </w:tc>
        <w:tc>
          <w:tcPr>
            <w:tcW w:w="1081" w:type="dxa"/>
            <w:shd w:val="clear" w:color="auto" w:fill="auto"/>
            <w:tcMar>
              <w:top w:w="0" w:type="dxa"/>
              <w:left w:w="108" w:type="dxa"/>
              <w:bottom w:w="0" w:type="dxa"/>
              <w:right w:w="108" w:type="dxa"/>
            </w:tcMar>
            <w:vAlign w:val="bottom"/>
            <w:hideMark/>
          </w:tcPr>
          <w:p w:rsidR="002246AD" w:rsidRPr="003D1522" w:rsidRDefault="002246AD" w:rsidP="001A5BF8">
            <w:pPr>
              <w:pStyle w:val="SingleTxtG"/>
              <w:spacing w:before="40" w:after="40" w:line="220" w:lineRule="exact"/>
              <w:ind w:left="0" w:right="113"/>
              <w:jc w:val="right"/>
              <w:rPr>
                <w:sz w:val="18"/>
              </w:rPr>
            </w:pPr>
            <w:r w:rsidRPr="003D1522">
              <w:rPr>
                <w:sz w:val="18"/>
              </w:rPr>
              <w:t>128</w:t>
            </w:r>
          </w:p>
        </w:tc>
      </w:tr>
      <w:tr w:rsidR="001A5BF8" w:rsidRPr="003D1522" w:rsidTr="00E71A86">
        <w:tc>
          <w:tcPr>
            <w:tcW w:w="1526" w:type="dxa"/>
            <w:shd w:val="clear" w:color="auto" w:fill="auto"/>
            <w:tcMar>
              <w:top w:w="0" w:type="dxa"/>
              <w:left w:w="108" w:type="dxa"/>
              <w:bottom w:w="0" w:type="dxa"/>
              <w:right w:w="108" w:type="dxa"/>
            </w:tcMar>
            <w:hideMark/>
          </w:tcPr>
          <w:p w:rsidR="002246AD" w:rsidRPr="003D1522" w:rsidRDefault="002246AD" w:rsidP="001A5BF8">
            <w:pPr>
              <w:pStyle w:val="SingleTxtG"/>
              <w:spacing w:before="40" w:after="40" w:line="220" w:lineRule="exact"/>
              <w:ind w:left="0" w:right="113"/>
              <w:jc w:val="left"/>
              <w:rPr>
                <w:sz w:val="18"/>
              </w:rPr>
            </w:pPr>
            <w:r w:rsidRPr="003D1522">
              <w:rPr>
                <w:sz w:val="18"/>
              </w:rPr>
              <w:t>65+</w:t>
            </w:r>
          </w:p>
        </w:tc>
        <w:tc>
          <w:tcPr>
            <w:tcW w:w="850" w:type="dxa"/>
            <w:shd w:val="clear" w:color="auto" w:fill="auto"/>
            <w:tcMar>
              <w:top w:w="0" w:type="dxa"/>
              <w:left w:w="108" w:type="dxa"/>
              <w:bottom w:w="0" w:type="dxa"/>
              <w:right w:w="108" w:type="dxa"/>
            </w:tcMar>
            <w:vAlign w:val="bottom"/>
            <w:hideMark/>
          </w:tcPr>
          <w:p w:rsidR="002246AD" w:rsidRPr="003D1522" w:rsidRDefault="002246AD" w:rsidP="001A5BF8">
            <w:pPr>
              <w:pStyle w:val="SingleTxtG"/>
              <w:spacing w:before="40" w:after="40" w:line="220" w:lineRule="exact"/>
              <w:ind w:left="0" w:right="113"/>
              <w:jc w:val="right"/>
              <w:rPr>
                <w:sz w:val="18"/>
              </w:rPr>
            </w:pPr>
            <w:r w:rsidRPr="003D1522">
              <w:rPr>
                <w:sz w:val="18"/>
              </w:rPr>
              <w:t>4</w:t>
            </w:r>
          </w:p>
        </w:tc>
        <w:tc>
          <w:tcPr>
            <w:tcW w:w="993" w:type="dxa"/>
            <w:shd w:val="clear" w:color="auto" w:fill="auto"/>
            <w:tcMar>
              <w:top w:w="0" w:type="dxa"/>
              <w:left w:w="108" w:type="dxa"/>
              <w:bottom w:w="0" w:type="dxa"/>
              <w:right w:w="108" w:type="dxa"/>
            </w:tcMar>
            <w:vAlign w:val="bottom"/>
            <w:hideMark/>
          </w:tcPr>
          <w:p w:rsidR="002246AD" w:rsidRPr="003D1522" w:rsidRDefault="002246AD" w:rsidP="001A5BF8">
            <w:pPr>
              <w:pStyle w:val="SingleTxtG"/>
              <w:spacing w:before="40" w:after="40" w:line="220" w:lineRule="exact"/>
              <w:ind w:left="0" w:right="113"/>
              <w:jc w:val="right"/>
              <w:rPr>
                <w:sz w:val="18"/>
              </w:rPr>
            </w:pPr>
            <w:r w:rsidRPr="003D1522">
              <w:rPr>
                <w:sz w:val="18"/>
              </w:rPr>
              <w:t>6</w:t>
            </w:r>
          </w:p>
        </w:tc>
        <w:tc>
          <w:tcPr>
            <w:tcW w:w="992" w:type="dxa"/>
            <w:shd w:val="clear" w:color="auto" w:fill="auto"/>
            <w:tcMar>
              <w:top w:w="0" w:type="dxa"/>
              <w:left w:w="108" w:type="dxa"/>
              <w:bottom w:w="0" w:type="dxa"/>
              <w:right w:w="108" w:type="dxa"/>
            </w:tcMar>
            <w:vAlign w:val="bottom"/>
            <w:hideMark/>
          </w:tcPr>
          <w:p w:rsidR="002246AD" w:rsidRPr="003D1522" w:rsidRDefault="002246AD" w:rsidP="001A5BF8">
            <w:pPr>
              <w:pStyle w:val="SingleTxtG"/>
              <w:spacing w:before="40" w:after="40" w:line="220" w:lineRule="exact"/>
              <w:ind w:left="0" w:right="113"/>
              <w:jc w:val="right"/>
              <w:rPr>
                <w:sz w:val="18"/>
              </w:rPr>
            </w:pPr>
            <w:r w:rsidRPr="003D1522">
              <w:rPr>
                <w:sz w:val="18"/>
              </w:rPr>
              <w:t>2</w:t>
            </w:r>
          </w:p>
        </w:tc>
        <w:tc>
          <w:tcPr>
            <w:tcW w:w="992" w:type="dxa"/>
            <w:shd w:val="clear" w:color="auto" w:fill="auto"/>
            <w:tcMar>
              <w:top w:w="0" w:type="dxa"/>
              <w:left w:w="108" w:type="dxa"/>
              <w:bottom w:w="0" w:type="dxa"/>
              <w:right w:w="108" w:type="dxa"/>
            </w:tcMar>
            <w:vAlign w:val="bottom"/>
            <w:hideMark/>
          </w:tcPr>
          <w:p w:rsidR="002246AD" w:rsidRPr="003D1522" w:rsidRDefault="002246AD" w:rsidP="001A5BF8">
            <w:pPr>
              <w:pStyle w:val="SingleTxtG"/>
              <w:spacing w:before="40" w:after="40" w:line="220" w:lineRule="exact"/>
              <w:ind w:left="0" w:right="113"/>
              <w:jc w:val="right"/>
              <w:rPr>
                <w:sz w:val="18"/>
              </w:rPr>
            </w:pPr>
            <w:r w:rsidRPr="003D1522">
              <w:rPr>
                <w:sz w:val="18"/>
              </w:rPr>
              <w:t>5</w:t>
            </w:r>
          </w:p>
        </w:tc>
        <w:tc>
          <w:tcPr>
            <w:tcW w:w="936" w:type="dxa"/>
            <w:shd w:val="clear" w:color="auto" w:fill="auto"/>
            <w:tcMar>
              <w:top w:w="0" w:type="dxa"/>
              <w:left w:w="108" w:type="dxa"/>
              <w:bottom w:w="0" w:type="dxa"/>
              <w:right w:w="108" w:type="dxa"/>
            </w:tcMar>
            <w:vAlign w:val="bottom"/>
            <w:hideMark/>
          </w:tcPr>
          <w:p w:rsidR="002246AD" w:rsidRPr="003D1522" w:rsidRDefault="002246AD" w:rsidP="001A5BF8">
            <w:pPr>
              <w:pStyle w:val="SingleTxtG"/>
              <w:spacing w:before="40" w:after="40" w:line="220" w:lineRule="exact"/>
              <w:ind w:left="0" w:right="113"/>
              <w:jc w:val="right"/>
              <w:rPr>
                <w:sz w:val="18"/>
              </w:rPr>
            </w:pPr>
            <w:r w:rsidRPr="003D1522">
              <w:rPr>
                <w:sz w:val="18"/>
              </w:rPr>
              <w:t>0</w:t>
            </w:r>
          </w:p>
        </w:tc>
        <w:tc>
          <w:tcPr>
            <w:tcW w:w="1081" w:type="dxa"/>
            <w:shd w:val="clear" w:color="auto" w:fill="auto"/>
            <w:tcMar>
              <w:top w:w="0" w:type="dxa"/>
              <w:left w:w="108" w:type="dxa"/>
              <w:bottom w:w="0" w:type="dxa"/>
              <w:right w:w="108" w:type="dxa"/>
            </w:tcMar>
            <w:vAlign w:val="bottom"/>
            <w:hideMark/>
          </w:tcPr>
          <w:p w:rsidR="002246AD" w:rsidRPr="003D1522" w:rsidRDefault="002246AD" w:rsidP="001A5BF8">
            <w:pPr>
              <w:pStyle w:val="SingleTxtG"/>
              <w:spacing w:before="40" w:after="40" w:line="220" w:lineRule="exact"/>
              <w:ind w:left="0" w:right="113"/>
              <w:jc w:val="right"/>
              <w:rPr>
                <w:sz w:val="18"/>
              </w:rPr>
            </w:pPr>
            <w:r w:rsidRPr="003D1522">
              <w:rPr>
                <w:sz w:val="18"/>
              </w:rPr>
              <w:t>4</w:t>
            </w:r>
          </w:p>
        </w:tc>
      </w:tr>
    </w:tbl>
    <w:p w:rsidR="002246AD" w:rsidRPr="003D1522" w:rsidRDefault="002246AD" w:rsidP="00543E87">
      <w:pPr>
        <w:pStyle w:val="Heading1"/>
        <w:spacing w:before="240" w:after="120"/>
        <w:rPr>
          <w:rStyle w:val="SingleTxtGChar"/>
          <w:b/>
          <w:bCs/>
        </w:rPr>
      </w:pPr>
      <w:r w:rsidRPr="003D1522">
        <w:t>Table 3</w:t>
      </w:r>
      <w:r w:rsidRPr="003D1522">
        <w:br/>
      </w:r>
      <w:r w:rsidRPr="003D1522">
        <w:rPr>
          <w:rStyle w:val="SingleTxtGChar"/>
          <w:b/>
          <w:bCs/>
        </w:rPr>
        <w:t>Persons with undetermined citizenship, who applied for Estonian</w:t>
      </w:r>
      <w:r w:rsidRPr="003D1522">
        <w:rPr>
          <w:rStyle w:val="SingleTxtGChar"/>
          <w:b/>
          <w:bCs/>
        </w:rPr>
        <w:br/>
        <w:t>citizenship in 2016–2018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26"/>
        <w:gridCol w:w="850"/>
        <w:gridCol w:w="993"/>
        <w:gridCol w:w="992"/>
        <w:gridCol w:w="992"/>
        <w:gridCol w:w="936"/>
        <w:gridCol w:w="1081"/>
      </w:tblGrid>
      <w:tr w:rsidR="0031712B" w:rsidRPr="003D1522" w:rsidTr="00100ACD">
        <w:trPr>
          <w:tblHeader/>
        </w:trPr>
        <w:tc>
          <w:tcPr>
            <w:tcW w:w="1526" w:type="dxa"/>
            <w:vMerge w:val="restart"/>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2246AD" w:rsidRPr="003D1522" w:rsidRDefault="002246AD" w:rsidP="00100ACD">
            <w:pPr>
              <w:pStyle w:val="SingleTxtG"/>
              <w:spacing w:before="80" w:after="80" w:line="200" w:lineRule="exact"/>
              <w:ind w:left="0" w:right="113"/>
              <w:jc w:val="left"/>
              <w:rPr>
                <w:i/>
                <w:sz w:val="16"/>
              </w:rPr>
            </w:pPr>
            <w:r w:rsidRPr="003D1522">
              <w:rPr>
                <w:i/>
                <w:sz w:val="16"/>
              </w:rPr>
              <w:t>Age</w:t>
            </w:r>
          </w:p>
        </w:tc>
        <w:tc>
          <w:tcPr>
            <w:tcW w:w="1843" w:type="dxa"/>
            <w:gridSpan w:val="2"/>
            <w:tcBorders>
              <w:top w:val="single" w:sz="4" w:space="0" w:color="auto"/>
              <w:bottom w:val="single" w:sz="4" w:space="0" w:color="auto"/>
            </w:tcBorders>
            <w:shd w:val="clear" w:color="auto" w:fill="auto"/>
            <w:tcMar>
              <w:top w:w="0" w:type="dxa"/>
              <w:left w:w="108" w:type="dxa"/>
              <w:bottom w:w="0" w:type="dxa"/>
              <w:right w:w="108" w:type="dxa"/>
            </w:tcMar>
            <w:vAlign w:val="bottom"/>
            <w:hideMark/>
          </w:tcPr>
          <w:p w:rsidR="002246AD" w:rsidRPr="003D1522" w:rsidRDefault="002246AD" w:rsidP="0031712B">
            <w:pPr>
              <w:pStyle w:val="SingleTxtG"/>
              <w:spacing w:before="80" w:after="80" w:line="200" w:lineRule="exact"/>
              <w:ind w:left="0" w:right="113"/>
              <w:jc w:val="center"/>
              <w:rPr>
                <w:i/>
                <w:sz w:val="16"/>
              </w:rPr>
            </w:pPr>
            <w:r w:rsidRPr="003D1522">
              <w:rPr>
                <w:i/>
                <w:sz w:val="16"/>
              </w:rPr>
              <w:t>1 January 2016</w:t>
            </w:r>
          </w:p>
        </w:tc>
        <w:tc>
          <w:tcPr>
            <w:tcW w:w="1984" w:type="dxa"/>
            <w:gridSpan w:val="2"/>
            <w:tcBorders>
              <w:top w:val="single" w:sz="4" w:space="0" w:color="auto"/>
              <w:bottom w:val="single" w:sz="4" w:space="0" w:color="auto"/>
            </w:tcBorders>
            <w:shd w:val="clear" w:color="auto" w:fill="auto"/>
            <w:tcMar>
              <w:top w:w="0" w:type="dxa"/>
              <w:left w:w="108" w:type="dxa"/>
              <w:bottom w:w="0" w:type="dxa"/>
              <w:right w:w="108" w:type="dxa"/>
            </w:tcMar>
            <w:vAlign w:val="bottom"/>
            <w:hideMark/>
          </w:tcPr>
          <w:p w:rsidR="002246AD" w:rsidRPr="003D1522" w:rsidRDefault="002246AD" w:rsidP="0031712B">
            <w:pPr>
              <w:pStyle w:val="SingleTxtG"/>
              <w:spacing w:before="80" w:after="80" w:line="200" w:lineRule="exact"/>
              <w:ind w:left="0" w:right="113"/>
              <w:jc w:val="center"/>
              <w:rPr>
                <w:i/>
                <w:sz w:val="16"/>
              </w:rPr>
            </w:pPr>
            <w:r w:rsidRPr="003D1522">
              <w:rPr>
                <w:i/>
                <w:sz w:val="16"/>
              </w:rPr>
              <w:t>1 January 2017</w:t>
            </w:r>
          </w:p>
        </w:tc>
        <w:tc>
          <w:tcPr>
            <w:tcW w:w="2017" w:type="dxa"/>
            <w:gridSpan w:val="2"/>
            <w:tcBorders>
              <w:top w:val="single" w:sz="4" w:space="0" w:color="auto"/>
              <w:bottom w:val="single" w:sz="4" w:space="0" w:color="auto"/>
            </w:tcBorders>
            <w:shd w:val="clear" w:color="auto" w:fill="auto"/>
            <w:tcMar>
              <w:top w:w="0" w:type="dxa"/>
              <w:left w:w="108" w:type="dxa"/>
              <w:bottom w:w="0" w:type="dxa"/>
              <w:right w:w="108" w:type="dxa"/>
            </w:tcMar>
            <w:vAlign w:val="bottom"/>
            <w:hideMark/>
          </w:tcPr>
          <w:p w:rsidR="002246AD" w:rsidRPr="003D1522" w:rsidRDefault="002246AD" w:rsidP="0031712B">
            <w:pPr>
              <w:pStyle w:val="SingleTxtG"/>
              <w:spacing w:before="80" w:after="80" w:line="200" w:lineRule="exact"/>
              <w:ind w:left="0" w:right="113"/>
              <w:jc w:val="center"/>
              <w:rPr>
                <w:i/>
                <w:sz w:val="16"/>
              </w:rPr>
            </w:pPr>
            <w:r w:rsidRPr="003D1522">
              <w:rPr>
                <w:i/>
                <w:sz w:val="16"/>
              </w:rPr>
              <w:t>6 November 2018</w:t>
            </w:r>
          </w:p>
        </w:tc>
      </w:tr>
      <w:tr w:rsidR="0031712B" w:rsidRPr="003D1522" w:rsidTr="00E71A86">
        <w:trPr>
          <w:tblHeader/>
        </w:trPr>
        <w:tc>
          <w:tcPr>
            <w:tcW w:w="1526" w:type="dxa"/>
            <w:vMerge/>
            <w:tcBorders>
              <w:top w:val="single" w:sz="12" w:space="0" w:color="auto"/>
              <w:bottom w:val="single" w:sz="12" w:space="0" w:color="auto"/>
            </w:tcBorders>
            <w:shd w:val="clear" w:color="auto" w:fill="auto"/>
            <w:vAlign w:val="bottom"/>
            <w:hideMark/>
          </w:tcPr>
          <w:p w:rsidR="002246AD" w:rsidRPr="003D1522" w:rsidRDefault="002246AD" w:rsidP="0031712B">
            <w:pPr>
              <w:pStyle w:val="SingleTxtG"/>
              <w:spacing w:before="40" w:after="40" w:line="220" w:lineRule="exact"/>
              <w:ind w:left="0" w:right="113"/>
              <w:jc w:val="center"/>
              <w:rPr>
                <w:i/>
                <w:sz w:val="18"/>
              </w:rPr>
            </w:pPr>
          </w:p>
        </w:tc>
        <w:tc>
          <w:tcPr>
            <w:tcW w:w="850"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2246AD" w:rsidRPr="003D1522" w:rsidRDefault="002246AD" w:rsidP="00100ACD">
            <w:pPr>
              <w:pStyle w:val="SingleTxtG"/>
              <w:spacing w:before="40" w:after="40" w:line="220" w:lineRule="exact"/>
              <w:ind w:left="0" w:right="113"/>
              <w:jc w:val="right"/>
              <w:rPr>
                <w:i/>
                <w:sz w:val="18"/>
              </w:rPr>
            </w:pPr>
            <w:r w:rsidRPr="003D1522">
              <w:rPr>
                <w:i/>
                <w:sz w:val="18"/>
              </w:rPr>
              <w:t>Male</w:t>
            </w:r>
          </w:p>
        </w:tc>
        <w:tc>
          <w:tcPr>
            <w:tcW w:w="993"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2246AD" w:rsidRPr="003D1522" w:rsidRDefault="002246AD" w:rsidP="00100ACD">
            <w:pPr>
              <w:pStyle w:val="SingleTxtG"/>
              <w:spacing w:before="40" w:after="40" w:line="220" w:lineRule="exact"/>
              <w:ind w:left="0" w:right="113"/>
              <w:jc w:val="right"/>
              <w:rPr>
                <w:i/>
                <w:sz w:val="18"/>
              </w:rPr>
            </w:pPr>
            <w:r w:rsidRPr="003D1522">
              <w:rPr>
                <w:i/>
                <w:sz w:val="18"/>
              </w:rPr>
              <w:t>Female</w:t>
            </w:r>
          </w:p>
        </w:tc>
        <w:tc>
          <w:tcPr>
            <w:tcW w:w="992"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2246AD" w:rsidRPr="003D1522" w:rsidRDefault="002246AD" w:rsidP="00100ACD">
            <w:pPr>
              <w:pStyle w:val="SingleTxtG"/>
              <w:spacing w:before="40" w:after="40" w:line="220" w:lineRule="exact"/>
              <w:ind w:left="0" w:right="113"/>
              <w:jc w:val="right"/>
              <w:rPr>
                <w:i/>
                <w:sz w:val="18"/>
              </w:rPr>
            </w:pPr>
            <w:r w:rsidRPr="003D1522">
              <w:rPr>
                <w:i/>
                <w:sz w:val="18"/>
              </w:rPr>
              <w:t>Male</w:t>
            </w:r>
          </w:p>
        </w:tc>
        <w:tc>
          <w:tcPr>
            <w:tcW w:w="992"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2246AD" w:rsidRPr="003D1522" w:rsidRDefault="002246AD" w:rsidP="00100ACD">
            <w:pPr>
              <w:pStyle w:val="SingleTxtG"/>
              <w:spacing w:before="40" w:after="40" w:line="220" w:lineRule="exact"/>
              <w:ind w:left="0" w:right="113"/>
              <w:jc w:val="right"/>
              <w:rPr>
                <w:i/>
                <w:sz w:val="18"/>
              </w:rPr>
            </w:pPr>
            <w:r w:rsidRPr="003D1522">
              <w:rPr>
                <w:i/>
                <w:sz w:val="18"/>
              </w:rPr>
              <w:t>Female</w:t>
            </w:r>
          </w:p>
        </w:tc>
        <w:tc>
          <w:tcPr>
            <w:tcW w:w="936"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2246AD" w:rsidRPr="003D1522" w:rsidRDefault="002246AD" w:rsidP="00100ACD">
            <w:pPr>
              <w:pStyle w:val="SingleTxtG"/>
              <w:spacing w:before="40" w:after="40" w:line="220" w:lineRule="exact"/>
              <w:ind w:left="0" w:right="113"/>
              <w:jc w:val="right"/>
              <w:rPr>
                <w:i/>
                <w:sz w:val="18"/>
              </w:rPr>
            </w:pPr>
            <w:r w:rsidRPr="003D1522">
              <w:rPr>
                <w:i/>
                <w:sz w:val="18"/>
              </w:rPr>
              <w:t>Male</w:t>
            </w:r>
          </w:p>
        </w:tc>
        <w:tc>
          <w:tcPr>
            <w:tcW w:w="1081"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2246AD" w:rsidRPr="003D1522" w:rsidRDefault="002246AD" w:rsidP="00100ACD">
            <w:pPr>
              <w:pStyle w:val="SingleTxtG"/>
              <w:spacing w:before="40" w:after="40" w:line="220" w:lineRule="exact"/>
              <w:ind w:left="0" w:right="113"/>
              <w:jc w:val="right"/>
              <w:rPr>
                <w:i/>
                <w:sz w:val="18"/>
              </w:rPr>
            </w:pPr>
            <w:r w:rsidRPr="003D1522">
              <w:rPr>
                <w:i/>
                <w:sz w:val="18"/>
              </w:rPr>
              <w:t>Female</w:t>
            </w:r>
          </w:p>
        </w:tc>
      </w:tr>
      <w:tr w:rsidR="00A34F9E" w:rsidRPr="003D1522" w:rsidTr="00E71A86">
        <w:tc>
          <w:tcPr>
            <w:tcW w:w="1526" w:type="dxa"/>
            <w:tcBorders>
              <w:top w:val="single" w:sz="12" w:space="0" w:color="auto"/>
              <w:bottom w:val="nil"/>
            </w:tcBorders>
            <w:shd w:val="clear" w:color="auto" w:fill="auto"/>
            <w:tcMar>
              <w:top w:w="0" w:type="dxa"/>
              <w:left w:w="108" w:type="dxa"/>
              <w:bottom w:w="0" w:type="dxa"/>
              <w:right w:w="108" w:type="dxa"/>
            </w:tcMar>
            <w:hideMark/>
          </w:tcPr>
          <w:p w:rsidR="002246AD" w:rsidRPr="003D1522" w:rsidRDefault="002246AD" w:rsidP="0031712B">
            <w:pPr>
              <w:pStyle w:val="SingleTxtG"/>
              <w:spacing w:before="40" w:after="40" w:line="220" w:lineRule="exact"/>
              <w:ind w:left="0" w:right="113"/>
              <w:jc w:val="left"/>
              <w:rPr>
                <w:sz w:val="18"/>
              </w:rPr>
            </w:pPr>
            <w:r w:rsidRPr="003D1522">
              <w:rPr>
                <w:sz w:val="18"/>
              </w:rPr>
              <w:t>Below 15 years</w:t>
            </w:r>
          </w:p>
        </w:tc>
        <w:tc>
          <w:tcPr>
            <w:tcW w:w="850" w:type="dxa"/>
            <w:tcBorders>
              <w:top w:val="single" w:sz="12" w:space="0" w:color="auto"/>
              <w:bottom w:val="nil"/>
            </w:tcBorders>
            <w:shd w:val="clear" w:color="auto" w:fill="auto"/>
            <w:tcMar>
              <w:top w:w="0" w:type="dxa"/>
              <w:left w:w="108" w:type="dxa"/>
              <w:bottom w:w="0" w:type="dxa"/>
              <w:right w:w="108" w:type="dxa"/>
            </w:tcMar>
            <w:vAlign w:val="bottom"/>
            <w:hideMark/>
          </w:tcPr>
          <w:p w:rsidR="002246AD" w:rsidRPr="003D1522" w:rsidRDefault="002246AD" w:rsidP="0031712B">
            <w:pPr>
              <w:pStyle w:val="SingleTxtG"/>
              <w:spacing w:before="40" w:after="40" w:line="220" w:lineRule="exact"/>
              <w:ind w:left="0" w:right="113"/>
              <w:jc w:val="right"/>
              <w:rPr>
                <w:sz w:val="18"/>
              </w:rPr>
            </w:pPr>
            <w:r w:rsidRPr="003D1522">
              <w:rPr>
                <w:sz w:val="18"/>
              </w:rPr>
              <w:t>5</w:t>
            </w:r>
          </w:p>
        </w:tc>
        <w:tc>
          <w:tcPr>
            <w:tcW w:w="993" w:type="dxa"/>
            <w:tcBorders>
              <w:top w:val="single" w:sz="12" w:space="0" w:color="auto"/>
              <w:bottom w:val="nil"/>
            </w:tcBorders>
            <w:shd w:val="clear" w:color="auto" w:fill="auto"/>
            <w:tcMar>
              <w:top w:w="0" w:type="dxa"/>
              <w:left w:w="108" w:type="dxa"/>
              <w:bottom w:w="0" w:type="dxa"/>
              <w:right w:w="108" w:type="dxa"/>
            </w:tcMar>
            <w:vAlign w:val="bottom"/>
            <w:hideMark/>
          </w:tcPr>
          <w:p w:rsidR="002246AD" w:rsidRPr="003D1522" w:rsidRDefault="002246AD" w:rsidP="0031712B">
            <w:pPr>
              <w:pStyle w:val="SingleTxtG"/>
              <w:spacing w:before="40" w:after="40" w:line="220" w:lineRule="exact"/>
              <w:ind w:left="0" w:right="113"/>
              <w:jc w:val="right"/>
              <w:rPr>
                <w:sz w:val="18"/>
              </w:rPr>
            </w:pPr>
            <w:r w:rsidRPr="003D1522">
              <w:rPr>
                <w:sz w:val="18"/>
              </w:rPr>
              <w:t>6</w:t>
            </w:r>
          </w:p>
        </w:tc>
        <w:tc>
          <w:tcPr>
            <w:tcW w:w="992" w:type="dxa"/>
            <w:tcBorders>
              <w:top w:val="single" w:sz="12" w:space="0" w:color="auto"/>
              <w:bottom w:val="nil"/>
            </w:tcBorders>
            <w:shd w:val="clear" w:color="auto" w:fill="auto"/>
            <w:tcMar>
              <w:top w:w="0" w:type="dxa"/>
              <w:left w:w="108" w:type="dxa"/>
              <w:bottom w:w="0" w:type="dxa"/>
              <w:right w:w="108" w:type="dxa"/>
            </w:tcMar>
            <w:vAlign w:val="bottom"/>
            <w:hideMark/>
          </w:tcPr>
          <w:p w:rsidR="002246AD" w:rsidRPr="003D1522" w:rsidRDefault="002246AD" w:rsidP="0031712B">
            <w:pPr>
              <w:pStyle w:val="SingleTxtG"/>
              <w:spacing w:before="40" w:after="40" w:line="220" w:lineRule="exact"/>
              <w:ind w:left="0" w:right="113"/>
              <w:jc w:val="right"/>
              <w:rPr>
                <w:sz w:val="18"/>
              </w:rPr>
            </w:pPr>
            <w:r w:rsidRPr="003D1522">
              <w:rPr>
                <w:sz w:val="18"/>
              </w:rPr>
              <w:t>4</w:t>
            </w:r>
          </w:p>
        </w:tc>
        <w:tc>
          <w:tcPr>
            <w:tcW w:w="992" w:type="dxa"/>
            <w:tcBorders>
              <w:top w:val="single" w:sz="12" w:space="0" w:color="auto"/>
              <w:bottom w:val="nil"/>
            </w:tcBorders>
            <w:shd w:val="clear" w:color="auto" w:fill="auto"/>
            <w:tcMar>
              <w:top w:w="0" w:type="dxa"/>
              <w:left w:w="108" w:type="dxa"/>
              <w:bottom w:w="0" w:type="dxa"/>
              <w:right w:w="108" w:type="dxa"/>
            </w:tcMar>
            <w:vAlign w:val="bottom"/>
            <w:hideMark/>
          </w:tcPr>
          <w:p w:rsidR="002246AD" w:rsidRPr="003D1522" w:rsidRDefault="002246AD" w:rsidP="0031712B">
            <w:pPr>
              <w:pStyle w:val="SingleTxtG"/>
              <w:spacing w:before="40" w:after="40" w:line="220" w:lineRule="exact"/>
              <w:ind w:left="0" w:right="113"/>
              <w:jc w:val="right"/>
              <w:rPr>
                <w:sz w:val="18"/>
              </w:rPr>
            </w:pPr>
            <w:r w:rsidRPr="003D1522">
              <w:rPr>
                <w:sz w:val="18"/>
              </w:rPr>
              <w:t>4</w:t>
            </w:r>
          </w:p>
        </w:tc>
        <w:tc>
          <w:tcPr>
            <w:tcW w:w="936" w:type="dxa"/>
            <w:tcBorders>
              <w:top w:val="single" w:sz="12" w:space="0" w:color="auto"/>
              <w:bottom w:val="nil"/>
            </w:tcBorders>
            <w:shd w:val="clear" w:color="auto" w:fill="auto"/>
            <w:tcMar>
              <w:top w:w="0" w:type="dxa"/>
              <w:left w:w="108" w:type="dxa"/>
              <w:bottom w:w="0" w:type="dxa"/>
              <w:right w:w="108" w:type="dxa"/>
            </w:tcMar>
            <w:vAlign w:val="bottom"/>
            <w:hideMark/>
          </w:tcPr>
          <w:p w:rsidR="002246AD" w:rsidRPr="003D1522" w:rsidRDefault="002246AD" w:rsidP="0031712B">
            <w:pPr>
              <w:pStyle w:val="SingleTxtG"/>
              <w:spacing w:before="40" w:after="40" w:line="220" w:lineRule="exact"/>
              <w:ind w:left="0" w:right="113"/>
              <w:jc w:val="right"/>
              <w:rPr>
                <w:sz w:val="18"/>
              </w:rPr>
            </w:pPr>
            <w:r w:rsidRPr="003D1522">
              <w:rPr>
                <w:sz w:val="18"/>
              </w:rPr>
              <w:t>0</w:t>
            </w:r>
          </w:p>
        </w:tc>
        <w:tc>
          <w:tcPr>
            <w:tcW w:w="1081" w:type="dxa"/>
            <w:tcBorders>
              <w:top w:val="single" w:sz="12" w:space="0" w:color="auto"/>
              <w:bottom w:val="nil"/>
            </w:tcBorders>
            <w:shd w:val="clear" w:color="auto" w:fill="auto"/>
            <w:tcMar>
              <w:top w:w="0" w:type="dxa"/>
              <w:left w:w="108" w:type="dxa"/>
              <w:bottom w:w="0" w:type="dxa"/>
              <w:right w:w="108" w:type="dxa"/>
            </w:tcMar>
            <w:vAlign w:val="bottom"/>
            <w:hideMark/>
          </w:tcPr>
          <w:p w:rsidR="002246AD" w:rsidRPr="003D1522" w:rsidRDefault="002246AD" w:rsidP="0031712B">
            <w:pPr>
              <w:pStyle w:val="SingleTxtG"/>
              <w:spacing w:before="40" w:after="40" w:line="220" w:lineRule="exact"/>
              <w:ind w:left="0" w:right="113"/>
              <w:jc w:val="right"/>
              <w:rPr>
                <w:sz w:val="18"/>
              </w:rPr>
            </w:pPr>
            <w:r w:rsidRPr="003D1522">
              <w:rPr>
                <w:sz w:val="18"/>
              </w:rPr>
              <w:t>1</w:t>
            </w:r>
          </w:p>
        </w:tc>
      </w:tr>
      <w:tr w:rsidR="00A34F9E" w:rsidRPr="003D1522" w:rsidTr="00E71A86">
        <w:tc>
          <w:tcPr>
            <w:tcW w:w="1526" w:type="dxa"/>
            <w:tcBorders>
              <w:top w:val="nil"/>
              <w:bottom w:val="nil"/>
            </w:tcBorders>
            <w:shd w:val="clear" w:color="auto" w:fill="auto"/>
            <w:tcMar>
              <w:top w:w="0" w:type="dxa"/>
              <w:left w:w="108" w:type="dxa"/>
              <w:bottom w:w="0" w:type="dxa"/>
              <w:right w:w="108" w:type="dxa"/>
            </w:tcMar>
            <w:hideMark/>
          </w:tcPr>
          <w:p w:rsidR="002246AD" w:rsidRPr="003D1522" w:rsidRDefault="002246AD" w:rsidP="0031712B">
            <w:pPr>
              <w:pStyle w:val="SingleTxtG"/>
              <w:spacing w:before="40" w:after="40" w:line="220" w:lineRule="exact"/>
              <w:ind w:left="0" w:right="113"/>
              <w:jc w:val="left"/>
              <w:rPr>
                <w:sz w:val="18"/>
              </w:rPr>
            </w:pPr>
            <w:r w:rsidRPr="003D1522">
              <w:rPr>
                <w:sz w:val="18"/>
              </w:rPr>
              <w:t>15</w:t>
            </w:r>
            <w:r w:rsidR="00951FE4" w:rsidRPr="003D1522">
              <w:rPr>
                <w:sz w:val="18"/>
              </w:rPr>
              <w:t>–</w:t>
            </w:r>
            <w:r w:rsidRPr="003D1522">
              <w:rPr>
                <w:sz w:val="18"/>
              </w:rPr>
              <w:t>18 years</w:t>
            </w:r>
          </w:p>
        </w:tc>
        <w:tc>
          <w:tcPr>
            <w:tcW w:w="850" w:type="dxa"/>
            <w:tcBorders>
              <w:top w:val="nil"/>
              <w:bottom w:val="nil"/>
            </w:tcBorders>
            <w:shd w:val="clear" w:color="auto" w:fill="auto"/>
            <w:tcMar>
              <w:top w:w="0" w:type="dxa"/>
              <w:left w:w="108" w:type="dxa"/>
              <w:bottom w:w="0" w:type="dxa"/>
              <w:right w:w="108" w:type="dxa"/>
            </w:tcMar>
            <w:vAlign w:val="bottom"/>
            <w:hideMark/>
          </w:tcPr>
          <w:p w:rsidR="002246AD" w:rsidRPr="003D1522" w:rsidRDefault="002246AD" w:rsidP="0031712B">
            <w:pPr>
              <w:pStyle w:val="SingleTxtG"/>
              <w:spacing w:before="40" w:after="40" w:line="220" w:lineRule="exact"/>
              <w:ind w:left="0" w:right="113"/>
              <w:jc w:val="right"/>
              <w:rPr>
                <w:sz w:val="18"/>
              </w:rPr>
            </w:pPr>
            <w:r w:rsidRPr="003D1522">
              <w:rPr>
                <w:sz w:val="18"/>
              </w:rPr>
              <w:t>3</w:t>
            </w:r>
          </w:p>
        </w:tc>
        <w:tc>
          <w:tcPr>
            <w:tcW w:w="993" w:type="dxa"/>
            <w:tcBorders>
              <w:top w:val="nil"/>
              <w:bottom w:val="nil"/>
            </w:tcBorders>
            <w:shd w:val="clear" w:color="auto" w:fill="auto"/>
            <w:tcMar>
              <w:top w:w="0" w:type="dxa"/>
              <w:left w:w="108" w:type="dxa"/>
              <w:bottom w:w="0" w:type="dxa"/>
              <w:right w:w="108" w:type="dxa"/>
            </w:tcMar>
            <w:vAlign w:val="bottom"/>
            <w:hideMark/>
          </w:tcPr>
          <w:p w:rsidR="002246AD" w:rsidRPr="003D1522" w:rsidRDefault="002246AD" w:rsidP="0031712B">
            <w:pPr>
              <w:pStyle w:val="SingleTxtG"/>
              <w:spacing w:before="40" w:after="40" w:line="220" w:lineRule="exact"/>
              <w:ind w:left="0" w:right="113"/>
              <w:jc w:val="right"/>
              <w:rPr>
                <w:sz w:val="18"/>
              </w:rPr>
            </w:pPr>
            <w:r w:rsidRPr="003D1522">
              <w:rPr>
                <w:sz w:val="18"/>
              </w:rPr>
              <w:t>10</w:t>
            </w:r>
          </w:p>
        </w:tc>
        <w:tc>
          <w:tcPr>
            <w:tcW w:w="992" w:type="dxa"/>
            <w:tcBorders>
              <w:top w:val="nil"/>
              <w:bottom w:val="nil"/>
            </w:tcBorders>
            <w:shd w:val="clear" w:color="auto" w:fill="auto"/>
            <w:tcMar>
              <w:top w:w="0" w:type="dxa"/>
              <w:left w:w="108" w:type="dxa"/>
              <w:bottom w:w="0" w:type="dxa"/>
              <w:right w:w="108" w:type="dxa"/>
            </w:tcMar>
            <w:vAlign w:val="bottom"/>
            <w:hideMark/>
          </w:tcPr>
          <w:p w:rsidR="002246AD" w:rsidRPr="003D1522" w:rsidRDefault="002246AD" w:rsidP="0031712B">
            <w:pPr>
              <w:pStyle w:val="SingleTxtG"/>
              <w:spacing w:before="40" w:after="40" w:line="220" w:lineRule="exact"/>
              <w:ind w:left="0" w:right="113"/>
              <w:jc w:val="right"/>
              <w:rPr>
                <w:sz w:val="18"/>
              </w:rPr>
            </w:pPr>
            <w:r w:rsidRPr="003D1522">
              <w:rPr>
                <w:sz w:val="18"/>
              </w:rPr>
              <w:t>1</w:t>
            </w:r>
          </w:p>
        </w:tc>
        <w:tc>
          <w:tcPr>
            <w:tcW w:w="992" w:type="dxa"/>
            <w:tcBorders>
              <w:top w:val="nil"/>
              <w:bottom w:val="nil"/>
            </w:tcBorders>
            <w:shd w:val="clear" w:color="auto" w:fill="auto"/>
            <w:tcMar>
              <w:top w:w="0" w:type="dxa"/>
              <w:left w:w="108" w:type="dxa"/>
              <w:bottom w:w="0" w:type="dxa"/>
              <w:right w:w="108" w:type="dxa"/>
            </w:tcMar>
            <w:vAlign w:val="bottom"/>
            <w:hideMark/>
          </w:tcPr>
          <w:p w:rsidR="002246AD" w:rsidRPr="003D1522" w:rsidRDefault="002246AD" w:rsidP="0031712B">
            <w:pPr>
              <w:pStyle w:val="SingleTxtG"/>
              <w:spacing w:before="40" w:after="40" w:line="220" w:lineRule="exact"/>
              <w:ind w:left="0" w:right="113"/>
              <w:jc w:val="right"/>
              <w:rPr>
                <w:sz w:val="18"/>
              </w:rPr>
            </w:pPr>
            <w:r w:rsidRPr="003D1522">
              <w:rPr>
                <w:sz w:val="18"/>
              </w:rPr>
              <w:t>1</w:t>
            </w:r>
          </w:p>
        </w:tc>
        <w:tc>
          <w:tcPr>
            <w:tcW w:w="936" w:type="dxa"/>
            <w:tcBorders>
              <w:top w:val="nil"/>
              <w:bottom w:val="nil"/>
            </w:tcBorders>
            <w:shd w:val="clear" w:color="auto" w:fill="auto"/>
            <w:tcMar>
              <w:top w:w="0" w:type="dxa"/>
              <w:left w:w="108" w:type="dxa"/>
              <w:bottom w:w="0" w:type="dxa"/>
              <w:right w:w="108" w:type="dxa"/>
            </w:tcMar>
            <w:vAlign w:val="bottom"/>
            <w:hideMark/>
          </w:tcPr>
          <w:p w:rsidR="002246AD" w:rsidRPr="003D1522" w:rsidRDefault="002246AD" w:rsidP="0031712B">
            <w:pPr>
              <w:pStyle w:val="SingleTxtG"/>
              <w:spacing w:before="40" w:after="40" w:line="220" w:lineRule="exact"/>
              <w:ind w:left="0" w:right="113"/>
              <w:jc w:val="right"/>
              <w:rPr>
                <w:sz w:val="18"/>
              </w:rPr>
            </w:pPr>
            <w:r w:rsidRPr="003D1522">
              <w:rPr>
                <w:sz w:val="18"/>
              </w:rPr>
              <w:t>1</w:t>
            </w:r>
          </w:p>
        </w:tc>
        <w:tc>
          <w:tcPr>
            <w:tcW w:w="1081" w:type="dxa"/>
            <w:tcBorders>
              <w:top w:val="nil"/>
              <w:bottom w:val="nil"/>
            </w:tcBorders>
            <w:shd w:val="clear" w:color="auto" w:fill="auto"/>
            <w:tcMar>
              <w:top w:w="0" w:type="dxa"/>
              <w:left w:w="108" w:type="dxa"/>
              <w:bottom w:w="0" w:type="dxa"/>
              <w:right w:w="108" w:type="dxa"/>
            </w:tcMar>
            <w:vAlign w:val="bottom"/>
            <w:hideMark/>
          </w:tcPr>
          <w:p w:rsidR="002246AD" w:rsidRPr="003D1522" w:rsidRDefault="002246AD" w:rsidP="0031712B">
            <w:pPr>
              <w:pStyle w:val="SingleTxtG"/>
              <w:spacing w:before="40" w:after="40" w:line="220" w:lineRule="exact"/>
              <w:ind w:left="0" w:right="113"/>
              <w:jc w:val="right"/>
              <w:rPr>
                <w:sz w:val="18"/>
              </w:rPr>
            </w:pPr>
            <w:r w:rsidRPr="003D1522">
              <w:rPr>
                <w:sz w:val="18"/>
              </w:rPr>
              <w:t>4</w:t>
            </w:r>
          </w:p>
        </w:tc>
      </w:tr>
      <w:tr w:rsidR="00A34F9E" w:rsidRPr="003D1522" w:rsidTr="00E71A86">
        <w:tc>
          <w:tcPr>
            <w:tcW w:w="1526" w:type="dxa"/>
            <w:tcBorders>
              <w:top w:val="nil"/>
              <w:bottom w:val="nil"/>
            </w:tcBorders>
            <w:shd w:val="clear" w:color="auto" w:fill="auto"/>
            <w:tcMar>
              <w:top w:w="0" w:type="dxa"/>
              <w:left w:w="108" w:type="dxa"/>
              <w:bottom w:w="0" w:type="dxa"/>
              <w:right w:w="108" w:type="dxa"/>
            </w:tcMar>
            <w:hideMark/>
          </w:tcPr>
          <w:p w:rsidR="002246AD" w:rsidRPr="003D1522" w:rsidRDefault="00951FE4" w:rsidP="0031712B">
            <w:pPr>
              <w:pStyle w:val="SingleTxtG"/>
              <w:spacing w:before="40" w:after="40" w:line="220" w:lineRule="exact"/>
              <w:ind w:left="0" w:right="113"/>
              <w:jc w:val="left"/>
              <w:rPr>
                <w:sz w:val="18"/>
              </w:rPr>
            </w:pPr>
            <w:r w:rsidRPr="003D1522">
              <w:rPr>
                <w:sz w:val="18"/>
              </w:rPr>
              <w:t>19–</w:t>
            </w:r>
            <w:r w:rsidR="002246AD" w:rsidRPr="003D1522">
              <w:rPr>
                <w:sz w:val="18"/>
              </w:rPr>
              <w:t>65 years</w:t>
            </w:r>
          </w:p>
        </w:tc>
        <w:tc>
          <w:tcPr>
            <w:tcW w:w="850" w:type="dxa"/>
            <w:tcBorders>
              <w:top w:val="nil"/>
              <w:bottom w:val="nil"/>
            </w:tcBorders>
            <w:shd w:val="clear" w:color="auto" w:fill="auto"/>
            <w:tcMar>
              <w:top w:w="0" w:type="dxa"/>
              <w:left w:w="108" w:type="dxa"/>
              <w:bottom w:w="0" w:type="dxa"/>
              <w:right w:w="108" w:type="dxa"/>
            </w:tcMar>
            <w:vAlign w:val="bottom"/>
            <w:hideMark/>
          </w:tcPr>
          <w:p w:rsidR="002246AD" w:rsidRPr="003D1522" w:rsidRDefault="002246AD" w:rsidP="0031712B">
            <w:pPr>
              <w:pStyle w:val="SingleTxtG"/>
              <w:spacing w:before="40" w:after="40" w:line="220" w:lineRule="exact"/>
              <w:ind w:left="0" w:right="113"/>
              <w:jc w:val="right"/>
              <w:rPr>
                <w:sz w:val="18"/>
              </w:rPr>
            </w:pPr>
            <w:r w:rsidRPr="003D1522">
              <w:rPr>
                <w:sz w:val="18"/>
              </w:rPr>
              <w:t>217</w:t>
            </w:r>
          </w:p>
        </w:tc>
        <w:tc>
          <w:tcPr>
            <w:tcW w:w="993" w:type="dxa"/>
            <w:tcBorders>
              <w:top w:val="nil"/>
              <w:bottom w:val="nil"/>
            </w:tcBorders>
            <w:shd w:val="clear" w:color="auto" w:fill="auto"/>
            <w:tcMar>
              <w:top w:w="0" w:type="dxa"/>
              <w:left w:w="108" w:type="dxa"/>
              <w:bottom w:w="0" w:type="dxa"/>
              <w:right w:w="108" w:type="dxa"/>
            </w:tcMar>
            <w:vAlign w:val="bottom"/>
            <w:hideMark/>
          </w:tcPr>
          <w:p w:rsidR="002246AD" w:rsidRPr="003D1522" w:rsidRDefault="002246AD" w:rsidP="0031712B">
            <w:pPr>
              <w:pStyle w:val="SingleTxtG"/>
              <w:spacing w:before="40" w:after="40" w:line="220" w:lineRule="exact"/>
              <w:ind w:left="0" w:right="113"/>
              <w:jc w:val="right"/>
              <w:rPr>
                <w:sz w:val="18"/>
              </w:rPr>
            </w:pPr>
            <w:r w:rsidRPr="003D1522">
              <w:rPr>
                <w:sz w:val="18"/>
              </w:rPr>
              <w:t>197</w:t>
            </w:r>
          </w:p>
        </w:tc>
        <w:tc>
          <w:tcPr>
            <w:tcW w:w="992" w:type="dxa"/>
            <w:tcBorders>
              <w:top w:val="nil"/>
              <w:bottom w:val="nil"/>
            </w:tcBorders>
            <w:shd w:val="clear" w:color="auto" w:fill="auto"/>
            <w:tcMar>
              <w:top w:w="0" w:type="dxa"/>
              <w:left w:w="108" w:type="dxa"/>
              <w:bottom w:w="0" w:type="dxa"/>
              <w:right w:w="108" w:type="dxa"/>
            </w:tcMar>
            <w:vAlign w:val="bottom"/>
            <w:hideMark/>
          </w:tcPr>
          <w:p w:rsidR="002246AD" w:rsidRPr="003D1522" w:rsidRDefault="002246AD" w:rsidP="0031712B">
            <w:pPr>
              <w:pStyle w:val="SingleTxtG"/>
              <w:spacing w:before="40" w:after="40" w:line="220" w:lineRule="exact"/>
              <w:ind w:left="0" w:right="113"/>
              <w:jc w:val="right"/>
              <w:rPr>
                <w:sz w:val="18"/>
              </w:rPr>
            </w:pPr>
            <w:r w:rsidRPr="003D1522">
              <w:rPr>
                <w:sz w:val="18"/>
              </w:rPr>
              <w:t>197</w:t>
            </w:r>
          </w:p>
        </w:tc>
        <w:tc>
          <w:tcPr>
            <w:tcW w:w="992" w:type="dxa"/>
            <w:tcBorders>
              <w:top w:val="nil"/>
              <w:bottom w:val="nil"/>
            </w:tcBorders>
            <w:shd w:val="clear" w:color="auto" w:fill="auto"/>
            <w:tcMar>
              <w:top w:w="0" w:type="dxa"/>
              <w:left w:w="108" w:type="dxa"/>
              <w:bottom w:w="0" w:type="dxa"/>
              <w:right w:w="108" w:type="dxa"/>
            </w:tcMar>
            <w:vAlign w:val="bottom"/>
            <w:hideMark/>
          </w:tcPr>
          <w:p w:rsidR="002246AD" w:rsidRPr="003D1522" w:rsidRDefault="002246AD" w:rsidP="0031712B">
            <w:pPr>
              <w:pStyle w:val="SingleTxtG"/>
              <w:spacing w:before="40" w:after="40" w:line="220" w:lineRule="exact"/>
              <w:ind w:left="0" w:right="113"/>
              <w:jc w:val="right"/>
              <w:rPr>
                <w:sz w:val="18"/>
              </w:rPr>
            </w:pPr>
            <w:r w:rsidRPr="003D1522">
              <w:rPr>
                <w:sz w:val="18"/>
              </w:rPr>
              <w:t>175</w:t>
            </w:r>
          </w:p>
        </w:tc>
        <w:tc>
          <w:tcPr>
            <w:tcW w:w="936" w:type="dxa"/>
            <w:tcBorders>
              <w:top w:val="nil"/>
              <w:bottom w:val="nil"/>
            </w:tcBorders>
            <w:shd w:val="clear" w:color="auto" w:fill="auto"/>
            <w:tcMar>
              <w:top w:w="0" w:type="dxa"/>
              <w:left w:w="108" w:type="dxa"/>
              <w:bottom w:w="0" w:type="dxa"/>
              <w:right w:w="108" w:type="dxa"/>
            </w:tcMar>
            <w:vAlign w:val="bottom"/>
            <w:hideMark/>
          </w:tcPr>
          <w:p w:rsidR="002246AD" w:rsidRPr="003D1522" w:rsidRDefault="002246AD" w:rsidP="0031712B">
            <w:pPr>
              <w:pStyle w:val="SingleTxtG"/>
              <w:spacing w:before="40" w:after="40" w:line="220" w:lineRule="exact"/>
              <w:ind w:left="0" w:right="113"/>
              <w:jc w:val="right"/>
              <w:rPr>
                <w:sz w:val="18"/>
              </w:rPr>
            </w:pPr>
            <w:r w:rsidRPr="003D1522">
              <w:rPr>
                <w:sz w:val="18"/>
              </w:rPr>
              <w:t>162</w:t>
            </w:r>
          </w:p>
        </w:tc>
        <w:tc>
          <w:tcPr>
            <w:tcW w:w="1081" w:type="dxa"/>
            <w:tcBorders>
              <w:top w:val="nil"/>
              <w:bottom w:val="nil"/>
            </w:tcBorders>
            <w:shd w:val="clear" w:color="auto" w:fill="auto"/>
            <w:tcMar>
              <w:top w:w="0" w:type="dxa"/>
              <w:left w:w="108" w:type="dxa"/>
              <w:bottom w:w="0" w:type="dxa"/>
              <w:right w:w="108" w:type="dxa"/>
            </w:tcMar>
            <w:vAlign w:val="bottom"/>
            <w:hideMark/>
          </w:tcPr>
          <w:p w:rsidR="002246AD" w:rsidRPr="003D1522" w:rsidRDefault="002246AD" w:rsidP="0031712B">
            <w:pPr>
              <w:pStyle w:val="SingleTxtG"/>
              <w:spacing w:before="40" w:after="40" w:line="220" w:lineRule="exact"/>
              <w:ind w:left="0" w:right="113"/>
              <w:jc w:val="right"/>
              <w:rPr>
                <w:sz w:val="18"/>
              </w:rPr>
            </w:pPr>
            <w:r w:rsidRPr="003D1522">
              <w:rPr>
                <w:sz w:val="18"/>
              </w:rPr>
              <w:t>154</w:t>
            </w:r>
          </w:p>
        </w:tc>
      </w:tr>
      <w:tr w:rsidR="00A34F9E" w:rsidRPr="003D1522" w:rsidTr="00E71A86">
        <w:tc>
          <w:tcPr>
            <w:tcW w:w="1526" w:type="dxa"/>
            <w:tcBorders>
              <w:top w:val="nil"/>
            </w:tcBorders>
            <w:shd w:val="clear" w:color="auto" w:fill="auto"/>
            <w:tcMar>
              <w:top w:w="0" w:type="dxa"/>
              <w:left w:w="108" w:type="dxa"/>
              <w:bottom w:w="0" w:type="dxa"/>
              <w:right w:w="108" w:type="dxa"/>
            </w:tcMar>
            <w:hideMark/>
          </w:tcPr>
          <w:p w:rsidR="002246AD" w:rsidRPr="003D1522" w:rsidRDefault="002246AD" w:rsidP="0031712B">
            <w:pPr>
              <w:pStyle w:val="SingleTxtG"/>
              <w:spacing w:before="40" w:after="40" w:line="220" w:lineRule="exact"/>
              <w:ind w:left="0" w:right="113"/>
              <w:jc w:val="left"/>
              <w:rPr>
                <w:sz w:val="18"/>
              </w:rPr>
            </w:pPr>
            <w:r w:rsidRPr="003D1522">
              <w:rPr>
                <w:sz w:val="18"/>
              </w:rPr>
              <w:t>66+</w:t>
            </w:r>
          </w:p>
        </w:tc>
        <w:tc>
          <w:tcPr>
            <w:tcW w:w="850" w:type="dxa"/>
            <w:tcBorders>
              <w:top w:val="nil"/>
            </w:tcBorders>
            <w:shd w:val="clear" w:color="auto" w:fill="auto"/>
            <w:tcMar>
              <w:top w:w="0" w:type="dxa"/>
              <w:left w:w="108" w:type="dxa"/>
              <w:bottom w:w="0" w:type="dxa"/>
              <w:right w:w="108" w:type="dxa"/>
            </w:tcMar>
            <w:vAlign w:val="bottom"/>
            <w:hideMark/>
          </w:tcPr>
          <w:p w:rsidR="002246AD" w:rsidRPr="003D1522" w:rsidRDefault="002246AD" w:rsidP="0031712B">
            <w:pPr>
              <w:pStyle w:val="SingleTxtG"/>
              <w:spacing w:before="40" w:after="40" w:line="220" w:lineRule="exact"/>
              <w:ind w:left="0" w:right="113"/>
              <w:jc w:val="right"/>
              <w:rPr>
                <w:sz w:val="18"/>
              </w:rPr>
            </w:pPr>
            <w:r w:rsidRPr="003D1522">
              <w:rPr>
                <w:sz w:val="18"/>
              </w:rPr>
              <w:t>4</w:t>
            </w:r>
          </w:p>
        </w:tc>
        <w:tc>
          <w:tcPr>
            <w:tcW w:w="993" w:type="dxa"/>
            <w:tcBorders>
              <w:top w:val="nil"/>
            </w:tcBorders>
            <w:shd w:val="clear" w:color="auto" w:fill="auto"/>
            <w:tcMar>
              <w:top w:w="0" w:type="dxa"/>
              <w:left w:w="108" w:type="dxa"/>
              <w:bottom w:w="0" w:type="dxa"/>
              <w:right w:w="108" w:type="dxa"/>
            </w:tcMar>
            <w:vAlign w:val="bottom"/>
            <w:hideMark/>
          </w:tcPr>
          <w:p w:rsidR="002246AD" w:rsidRPr="003D1522" w:rsidRDefault="002246AD" w:rsidP="0031712B">
            <w:pPr>
              <w:pStyle w:val="SingleTxtG"/>
              <w:spacing w:before="40" w:after="40" w:line="220" w:lineRule="exact"/>
              <w:ind w:left="0" w:right="113"/>
              <w:jc w:val="right"/>
              <w:rPr>
                <w:sz w:val="18"/>
              </w:rPr>
            </w:pPr>
            <w:r w:rsidRPr="003D1522">
              <w:rPr>
                <w:sz w:val="18"/>
              </w:rPr>
              <w:t>3</w:t>
            </w:r>
          </w:p>
        </w:tc>
        <w:tc>
          <w:tcPr>
            <w:tcW w:w="992" w:type="dxa"/>
            <w:tcBorders>
              <w:top w:val="nil"/>
            </w:tcBorders>
            <w:shd w:val="clear" w:color="auto" w:fill="auto"/>
            <w:tcMar>
              <w:top w:w="0" w:type="dxa"/>
              <w:left w:w="108" w:type="dxa"/>
              <w:bottom w:w="0" w:type="dxa"/>
              <w:right w:w="108" w:type="dxa"/>
            </w:tcMar>
            <w:vAlign w:val="bottom"/>
            <w:hideMark/>
          </w:tcPr>
          <w:p w:rsidR="002246AD" w:rsidRPr="003D1522" w:rsidRDefault="002246AD" w:rsidP="0031712B">
            <w:pPr>
              <w:pStyle w:val="SingleTxtG"/>
              <w:spacing w:before="40" w:after="40" w:line="220" w:lineRule="exact"/>
              <w:ind w:left="0" w:right="113"/>
              <w:jc w:val="right"/>
              <w:rPr>
                <w:sz w:val="18"/>
              </w:rPr>
            </w:pPr>
            <w:r w:rsidRPr="003D1522">
              <w:rPr>
                <w:sz w:val="18"/>
              </w:rPr>
              <w:t>2</w:t>
            </w:r>
          </w:p>
        </w:tc>
        <w:tc>
          <w:tcPr>
            <w:tcW w:w="992" w:type="dxa"/>
            <w:tcBorders>
              <w:top w:val="nil"/>
            </w:tcBorders>
            <w:shd w:val="clear" w:color="auto" w:fill="auto"/>
            <w:tcMar>
              <w:top w:w="0" w:type="dxa"/>
              <w:left w:w="108" w:type="dxa"/>
              <w:bottom w:w="0" w:type="dxa"/>
              <w:right w:w="108" w:type="dxa"/>
            </w:tcMar>
            <w:vAlign w:val="bottom"/>
            <w:hideMark/>
          </w:tcPr>
          <w:p w:rsidR="002246AD" w:rsidRPr="003D1522" w:rsidRDefault="002246AD" w:rsidP="0031712B">
            <w:pPr>
              <w:pStyle w:val="SingleTxtG"/>
              <w:spacing w:before="40" w:after="40" w:line="220" w:lineRule="exact"/>
              <w:ind w:left="0" w:right="113"/>
              <w:jc w:val="right"/>
              <w:rPr>
                <w:sz w:val="18"/>
              </w:rPr>
            </w:pPr>
            <w:r w:rsidRPr="003D1522">
              <w:rPr>
                <w:sz w:val="18"/>
              </w:rPr>
              <w:t>5</w:t>
            </w:r>
          </w:p>
        </w:tc>
        <w:tc>
          <w:tcPr>
            <w:tcW w:w="936" w:type="dxa"/>
            <w:tcBorders>
              <w:top w:val="nil"/>
            </w:tcBorders>
            <w:shd w:val="clear" w:color="auto" w:fill="auto"/>
            <w:tcMar>
              <w:top w:w="0" w:type="dxa"/>
              <w:left w:w="108" w:type="dxa"/>
              <w:bottom w:w="0" w:type="dxa"/>
              <w:right w:w="108" w:type="dxa"/>
            </w:tcMar>
            <w:vAlign w:val="bottom"/>
            <w:hideMark/>
          </w:tcPr>
          <w:p w:rsidR="002246AD" w:rsidRPr="003D1522" w:rsidRDefault="002246AD" w:rsidP="0031712B">
            <w:pPr>
              <w:pStyle w:val="SingleTxtG"/>
              <w:spacing w:before="40" w:after="40" w:line="220" w:lineRule="exact"/>
              <w:ind w:left="0" w:right="113"/>
              <w:jc w:val="right"/>
              <w:rPr>
                <w:sz w:val="18"/>
              </w:rPr>
            </w:pPr>
            <w:r w:rsidRPr="003D1522">
              <w:rPr>
                <w:sz w:val="18"/>
              </w:rPr>
              <w:t>0</w:t>
            </w:r>
          </w:p>
        </w:tc>
        <w:tc>
          <w:tcPr>
            <w:tcW w:w="1081" w:type="dxa"/>
            <w:tcBorders>
              <w:top w:val="nil"/>
            </w:tcBorders>
            <w:shd w:val="clear" w:color="auto" w:fill="auto"/>
            <w:tcMar>
              <w:top w:w="0" w:type="dxa"/>
              <w:left w:w="108" w:type="dxa"/>
              <w:bottom w:w="0" w:type="dxa"/>
              <w:right w:w="108" w:type="dxa"/>
            </w:tcMar>
            <w:vAlign w:val="bottom"/>
            <w:hideMark/>
          </w:tcPr>
          <w:p w:rsidR="002246AD" w:rsidRPr="003D1522" w:rsidRDefault="002246AD" w:rsidP="0031712B">
            <w:pPr>
              <w:pStyle w:val="SingleTxtG"/>
              <w:spacing w:before="40" w:after="40" w:line="220" w:lineRule="exact"/>
              <w:ind w:left="0" w:right="113"/>
              <w:jc w:val="right"/>
              <w:rPr>
                <w:sz w:val="18"/>
              </w:rPr>
            </w:pPr>
            <w:r w:rsidRPr="003D1522">
              <w:rPr>
                <w:sz w:val="18"/>
              </w:rPr>
              <w:t>5</w:t>
            </w:r>
          </w:p>
        </w:tc>
      </w:tr>
    </w:tbl>
    <w:p w:rsidR="002246AD" w:rsidRPr="003D1522" w:rsidRDefault="002246AD" w:rsidP="00C608D3">
      <w:pPr>
        <w:pStyle w:val="H1G"/>
      </w:pPr>
      <w:r w:rsidRPr="003D1522">
        <w:lastRenderedPageBreak/>
        <w:tab/>
      </w:r>
      <w:r w:rsidRPr="003D1522">
        <w:tab/>
        <w:t xml:space="preserve">Equal rights of men and women (art. 3) </w:t>
      </w:r>
    </w:p>
    <w:p w:rsidR="002246AD" w:rsidRPr="003D1522" w:rsidRDefault="002246AD" w:rsidP="00C608D3">
      <w:pPr>
        <w:pStyle w:val="H23G"/>
      </w:pPr>
      <w:r w:rsidRPr="003D1522">
        <w:tab/>
      </w:r>
      <w:r w:rsidRPr="003D1522">
        <w:tab/>
        <w:t xml:space="preserve">Implementation of the Gender Equality Act </w:t>
      </w:r>
    </w:p>
    <w:p w:rsidR="002246AD" w:rsidRPr="003D1522" w:rsidRDefault="002246AD" w:rsidP="007566D9">
      <w:pPr>
        <w:pStyle w:val="SingleTxtG"/>
      </w:pPr>
      <w:r w:rsidRPr="003D1522">
        <w:t>16.</w:t>
      </w:r>
      <w:r w:rsidRPr="003D1522">
        <w:tab/>
        <w:t>An analysis of the implementation of the Gender Equality Act (GEA) was carried out in 2015.</w:t>
      </w:r>
      <w:r w:rsidRPr="003D1522">
        <w:rPr>
          <w:rStyle w:val="FootnoteReference"/>
        </w:rPr>
        <w:footnoteReference w:id="6"/>
      </w:r>
      <w:r w:rsidRPr="003D1522">
        <w:t xml:space="preserve"> In addition to an overview of the implementation of GEA among private, public and non-profit sector employers, the study developed indicators which assess the implementation of the GEA in human resource practices and which could be used for regular monitoring of the subject. The study used combined research methods, i.e. qualitative and quantitative methods.</w:t>
      </w:r>
    </w:p>
    <w:p w:rsidR="002246AD" w:rsidRPr="003D1522" w:rsidRDefault="002246AD" w:rsidP="007566D9">
      <w:pPr>
        <w:pStyle w:val="SingleTxtG"/>
      </w:pPr>
      <w:r w:rsidRPr="003D1522">
        <w:t>17.</w:t>
      </w:r>
      <w:r w:rsidRPr="003D1522">
        <w:tab/>
        <w:t>The overall conclusion of the study is that the awareness of GEA among employers is low, only 4% claimed that they are well aware of this law. Most of the respondents (46%) had heard about GEA, but did not know its content. The study also showed that the awareness of the employers of legislation prohibiting gender discrimination in recruitment process was low and discrimination in recruitment based on gender was widespread. On the positive side, the awareness of employers of their responsibility in solving the situation where gender-based harassment or sexual harassment has occurred in the workplace was relatively good.</w:t>
      </w:r>
    </w:p>
    <w:p w:rsidR="002246AD" w:rsidRPr="003D1522" w:rsidRDefault="002246AD" w:rsidP="007566D9">
      <w:pPr>
        <w:pStyle w:val="SingleTxtG"/>
      </w:pPr>
      <w:r w:rsidRPr="003D1522">
        <w:t>18.</w:t>
      </w:r>
      <w:r w:rsidRPr="003D1522">
        <w:tab/>
        <w:t xml:space="preserve">The study showed that most of the employers (90%) have job descriptions and 64% of the organizations have regulated the wage principles (82% of them with 50 or more employees). In the documents regulating working relations and conditions, the gender equality principles and/or goals are the least stipulated (4%). In 33% of organisations wage is completely negotiable, 19% have a fixed wage. </w:t>
      </w:r>
    </w:p>
    <w:p w:rsidR="002246AD" w:rsidRPr="003D1522" w:rsidRDefault="002246AD" w:rsidP="007566D9">
      <w:pPr>
        <w:pStyle w:val="SingleTxtG"/>
      </w:pPr>
      <w:r w:rsidRPr="003D1522">
        <w:t>19.</w:t>
      </w:r>
      <w:r w:rsidRPr="003D1522">
        <w:tab/>
        <w:t>All measures on governmental level targeted to promote gender equality are assembled in the Welfare Development Plan 2016</w:t>
      </w:r>
      <w:r w:rsidR="0057307D" w:rsidRPr="003D1522">
        <w:t>–</w:t>
      </w:r>
      <w:r w:rsidRPr="003D1522">
        <w:t>2023.</w:t>
      </w:r>
      <w:r w:rsidRPr="003D1522">
        <w:rPr>
          <w:rStyle w:val="FootnoteReference"/>
        </w:rPr>
        <w:footnoteReference w:id="7"/>
      </w:r>
      <w:r w:rsidRPr="003D1522">
        <w:t xml:space="preserve"> </w:t>
      </w:r>
    </w:p>
    <w:p w:rsidR="002246AD" w:rsidRPr="003D1522" w:rsidRDefault="002246AD" w:rsidP="007566D9">
      <w:pPr>
        <w:pStyle w:val="SingleTxtG"/>
      </w:pPr>
      <w:r w:rsidRPr="003D1522">
        <w:t>20.</w:t>
      </w:r>
      <w:r w:rsidRPr="003D1522">
        <w:tab/>
        <w:t>Until recently, funding for gender equality issues have mostly relied on foreign funding such as European Social Fund and Norwegian Finance Mechanism. The base funding of 500</w:t>
      </w:r>
      <w:r w:rsidR="000732E4" w:rsidRPr="003D1522">
        <w:t xml:space="preserve"> </w:t>
      </w:r>
      <w:r w:rsidRPr="003D1522">
        <w:t xml:space="preserve">000 euros per year for gender equality has been granted by the Government starting from 2019.This shows, that gender equality is given more priority on governmental level. </w:t>
      </w:r>
    </w:p>
    <w:p w:rsidR="002246AD" w:rsidRPr="003D1522" w:rsidRDefault="0057307D" w:rsidP="0057307D">
      <w:pPr>
        <w:pStyle w:val="H23G"/>
      </w:pPr>
      <w:r w:rsidRPr="003D1522">
        <w:tab/>
      </w:r>
      <w:r w:rsidR="002246AD" w:rsidRPr="003D1522">
        <w:tab/>
        <w:t>Women</w:t>
      </w:r>
      <w:r w:rsidR="00C62389" w:rsidRPr="003D1522">
        <w:t>’</w:t>
      </w:r>
      <w:r w:rsidR="002246AD" w:rsidRPr="003D1522">
        <w:t xml:space="preserve">s representation </w:t>
      </w:r>
    </w:p>
    <w:p w:rsidR="00C62389" w:rsidRPr="003D1522" w:rsidRDefault="002246AD" w:rsidP="007566D9">
      <w:pPr>
        <w:pStyle w:val="SingleTxtG"/>
      </w:pPr>
      <w:r w:rsidRPr="003D1522">
        <w:t>21.</w:t>
      </w:r>
      <w:r w:rsidRPr="003D1522">
        <w:tab/>
        <w:t xml:space="preserve">Under the gender equality sub-objective of the </w:t>
      </w:r>
      <w:r w:rsidR="00C62389" w:rsidRPr="003D1522">
        <w:t>“</w:t>
      </w:r>
      <w:r w:rsidRPr="003D1522">
        <w:t>Welfare Development Plan 2016</w:t>
      </w:r>
      <w:r w:rsidR="0057307D" w:rsidRPr="003D1522">
        <w:t>–</w:t>
      </w:r>
      <w:r w:rsidRPr="003D1522">
        <w:t>2023</w:t>
      </w:r>
      <w:r w:rsidR="00C62389" w:rsidRPr="003D1522">
        <w:t>”</w:t>
      </w:r>
      <w:r w:rsidRPr="003D1522">
        <w:t xml:space="preserve"> and its action plan, one of the focus areas is a balanced participation of women and men on all levels of decision-making in politics. Awareness-raising measures will be implemented in the coming years to raise awareness of entrepreneurs about a need and possibilities to improve gender balance in a management level of organisations. Activities will be planned to support possible use of a zipper-method in electoral lists. </w:t>
      </w:r>
    </w:p>
    <w:p w:rsidR="002246AD" w:rsidRPr="003D1522" w:rsidRDefault="002246AD" w:rsidP="00ED0063">
      <w:pPr>
        <w:pStyle w:val="H23G"/>
      </w:pPr>
      <w:bookmarkStart w:id="2" w:name="bookmark0"/>
      <w:bookmarkStart w:id="3" w:name="bookmark1"/>
      <w:r w:rsidRPr="003D1522">
        <w:tab/>
      </w:r>
      <w:r w:rsidRPr="003D1522">
        <w:tab/>
        <w:t xml:space="preserve">Share of executives and entrepreneurs by gender in public and private sectors, </w:t>
      </w:r>
      <w:r w:rsidRPr="003D1522">
        <w:br/>
        <w:t>2006</w:t>
      </w:r>
      <w:r w:rsidR="0057307D" w:rsidRPr="003D1522">
        <w:t>–</w:t>
      </w:r>
      <w:r w:rsidRPr="003D1522">
        <w:t>2017</w:t>
      </w:r>
      <w:bookmarkEnd w:id="2"/>
      <w:bookmarkEnd w:id="3"/>
    </w:p>
    <w:tbl>
      <w:tblPr>
        <w:tblOverlap w:val="neve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65"/>
        <w:gridCol w:w="1286"/>
        <w:gridCol w:w="615"/>
        <w:gridCol w:w="615"/>
        <w:gridCol w:w="617"/>
        <w:gridCol w:w="615"/>
        <w:gridCol w:w="615"/>
        <w:gridCol w:w="617"/>
        <w:gridCol w:w="615"/>
        <w:gridCol w:w="615"/>
        <w:gridCol w:w="617"/>
        <w:gridCol w:w="615"/>
        <w:gridCol w:w="615"/>
        <w:gridCol w:w="617"/>
      </w:tblGrid>
      <w:tr w:rsidR="0057307D" w:rsidRPr="003D1522" w:rsidTr="00543E87">
        <w:trPr>
          <w:tblHeader/>
        </w:trPr>
        <w:tc>
          <w:tcPr>
            <w:tcW w:w="851" w:type="dxa"/>
            <w:tcBorders>
              <w:top w:val="single" w:sz="4" w:space="0" w:color="auto"/>
              <w:bottom w:val="nil"/>
            </w:tcBorders>
            <w:shd w:val="clear" w:color="auto" w:fill="auto"/>
            <w:vAlign w:val="bottom"/>
          </w:tcPr>
          <w:p w:rsidR="002246AD" w:rsidRPr="003D1522" w:rsidRDefault="002246AD" w:rsidP="0057307D">
            <w:pPr>
              <w:pStyle w:val="SingleTxtG"/>
              <w:spacing w:before="80" w:after="80" w:line="200" w:lineRule="exact"/>
              <w:ind w:left="0" w:right="113"/>
              <w:jc w:val="left"/>
              <w:rPr>
                <w:i/>
                <w:sz w:val="16"/>
              </w:rPr>
            </w:pPr>
          </w:p>
        </w:tc>
        <w:tc>
          <w:tcPr>
            <w:tcW w:w="1134" w:type="dxa"/>
            <w:tcBorders>
              <w:top w:val="single" w:sz="4" w:space="0" w:color="auto"/>
              <w:bottom w:val="single" w:sz="4" w:space="0" w:color="auto"/>
            </w:tcBorders>
            <w:shd w:val="clear" w:color="auto" w:fill="auto"/>
            <w:vAlign w:val="bottom"/>
          </w:tcPr>
          <w:p w:rsidR="002246AD" w:rsidRPr="003D1522" w:rsidRDefault="002246AD" w:rsidP="0057307D">
            <w:pPr>
              <w:pStyle w:val="SingleTxtG"/>
              <w:spacing w:before="80" w:after="80" w:line="200" w:lineRule="exact"/>
              <w:ind w:left="0" w:right="113"/>
              <w:jc w:val="right"/>
              <w:rPr>
                <w:i/>
                <w:sz w:val="16"/>
              </w:rPr>
            </w:pPr>
            <w:r w:rsidRPr="003D1522">
              <w:rPr>
                <w:i/>
                <w:sz w:val="16"/>
              </w:rPr>
              <w:t>Year</w:t>
            </w:r>
          </w:p>
        </w:tc>
        <w:tc>
          <w:tcPr>
            <w:tcW w:w="543" w:type="dxa"/>
            <w:tcBorders>
              <w:top w:val="single" w:sz="4" w:space="0" w:color="auto"/>
              <w:bottom w:val="single" w:sz="4" w:space="0" w:color="auto"/>
            </w:tcBorders>
            <w:shd w:val="clear" w:color="auto" w:fill="auto"/>
            <w:vAlign w:val="bottom"/>
          </w:tcPr>
          <w:p w:rsidR="002246AD" w:rsidRPr="003D1522" w:rsidRDefault="002246AD" w:rsidP="0057307D">
            <w:pPr>
              <w:pStyle w:val="SingleTxtG"/>
              <w:spacing w:before="80" w:after="80" w:line="200" w:lineRule="exact"/>
              <w:ind w:left="0" w:right="113"/>
              <w:jc w:val="right"/>
              <w:rPr>
                <w:i/>
                <w:sz w:val="16"/>
              </w:rPr>
            </w:pPr>
            <w:r w:rsidRPr="003D1522">
              <w:rPr>
                <w:i/>
                <w:sz w:val="16"/>
              </w:rPr>
              <w:t>2006</w:t>
            </w:r>
          </w:p>
        </w:tc>
        <w:tc>
          <w:tcPr>
            <w:tcW w:w="543" w:type="dxa"/>
            <w:tcBorders>
              <w:top w:val="single" w:sz="4" w:space="0" w:color="auto"/>
              <w:bottom w:val="single" w:sz="4" w:space="0" w:color="auto"/>
            </w:tcBorders>
            <w:shd w:val="clear" w:color="auto" w:fill="auto"/>
            <w:vAlign w:val="bottom"/>
          </w:tcPr>
          <w:p w:rsidR="002246AD" w:rsidRPr="003D1522" w:rsidRDefault="002246AD" w:rsidP="0057307D">
            <w:pPr>
              <w:pStyle w:val="SingleTxtG"/>
              <w:spacing w:before="80" w:after="80" w:line="200" w:lineRule="exact"/>
              <w:ind w:left="0" w:right="113"/>
              <w:jc w:val="right"/>
              <w:rPr>
                <w:i/>
                <w:sz w:val="16"/>
              </w:rPr>
            </w:pPr>
            <w:r w:rsidRPr="003D1522">
              <w:rPr>
                <w:i/>
                <w:sz w:val="16"/>
              </w:rPr>
              <w:t>2007</w:t>
            </w:r>
          </w:p>
        </w:tc>
        <w:tc>
          <w:tcPr>
            <w:tcW w:w="544" w:type="dxa"/>
            <w:tcBorders>
              <w:top w:val="single" w:sz="4" w:space="0" w:color="auto"/>
              <w:bottom w:val="single" w:sz="4" w:space="0" w:color="auto"/>
            </w:tcBorders>
            <w:shd w:val="clear" w:color="auto" w:fill="auto"/>
            <w:vAlign w:val="bottom"/>
          </w:tcPr>
          <w:p w:rsidR="002246AD" w:rsidRPr="003D1522" w:rsidRDefault="002246AD" w:rsidP="0057307D">
            <w:pPr>
              <w:pStyle w:val="SingleTxtG"/>
              <w:spacing w:before="80" w:after="80" w:line="200" w:lineRule="exact"/>
              <w:ind w:left="0" w:right="113"/>
              <w:jc w:val="right"/>
              <w:rPr>
                <w:i/>
                <w:sz w:val="16"/>
              </w:rPr>
            </w:pPr>
            <w:r w:rsidRPr="003D1522">
              <w:rPr>
                <w:i/>
                <w:sz w:val="16"/>
              </w:rPr>
              <w:t>2008</w:t>
            </w:r>
          </w:p>
        </w:tc>
        <w:tc>
          <w:tcPr>
            <w:tcW w:w="543" w:type="dxa"/>
            <w:tcBorders>
              <w:top w:val="single" w:sz="4" w:space="0" w:color="auto"/>
              <w:bottom w:val="single" w:sz="4" w:space="0" w:color="auto"/>
            </w:tcBorders>
            <w:shd w:val="clear" w:color="auto" w:fill="auto"/>
            <w:vAlign w:val="bottom"/>
          </w:tcPr>
          <w:p w:rsidR="002246AD" w:rsidRPr="003D1522" w:rsidRDefault="002246AD" w:rsidP="0057307D">
            <w:pPr>
              <w:pStyle w:val="SingleTxtG"/>
              <w:spacing w:before="80" w:after="80" w:line="200" w:lineRule="exact"/>
              <w:ind w:left="0" w:right="113"/>
              <w:jc w:val="right"/>
              <w:rPr>
                <w:i/>
                <w:sz w:val="16"/>
              </w:rPr>
            </w:pPr>
            <w:r w:rsidRPr="003D1522">
              <w:rPr>
                <w:i/>
                <w:sz w:val="16"/>
              </w:rPr>
              <w:t>2009</w:t>
            </w:r>
          </w:p>
        </w:tc>
        <w:tc>
          <w:tcPr>
            <w:tcW w:w="543" w:type="dxa"/>
            <w:tcBorders>
              <w:top w:val="single" w:sz="4" w:space="0" w:color="auto"/>
              <w:bottom w:val="single" w:sz="4" w:space="0" w:color="auto"/>
            </w:tcBorders>
            <w:shd w:val="clear" w:color="auto" w:fill="auto"/>
            <w:vAlign w:val="bottom"/>
          </w:tcPr>
          <w:p w:rsidR="002246AD" w:rsidRPr="003D1522" w:rsidRDefault="002246AD" w:rsidP="0057307D">
            <w:pPr>
              <w:pStyle w:val="SingleTxtG"/>
              <w:spacing w:before="80" w:after="80" w:line="200" w:lineRule="exact"/>
              <w:ind w:left="0" w:right="113"/>
              <w:jc w:val="right"/>
              <w:rPr>
                <w:i/>
                <w:sz w:val="16"/>
              </w:rPr>
            </w:pPr>
            <w:r w:rsidRPr="003D1522">
              <w:rPr>
                <w:i/>
                <w:sz w:val="16"/>
              </w:rPr>
              <w:t>2010</w:t>
            </w:r>
          </w:p>
        </w:tc>
        <w:tc>
          <w:tcPr>
            <w:tcW w:w="544" w:type="dxa"/>
            <w:tcBorders>
              <w:top w:val="single" w:sz="4" w:space="0" w:color="auto"/>
              <w:bottom w:val="single" w:sz="4" w:space="0" w:color="auto"/>
            </w:tcBorders>
            <w:shd w:val="clear" w:color="auto" w:fill="auto"/>
            <w:vAlign w:val="bottom"/>
          </w:tcPr>
          <w:p w:rsidR="002246AD" w:rsidRPr="003D1522" w:rsidRDefault="002246AD" w:rsidP="0057307D">
            <w:pPr>
              <w:pStyle w:val="SingleTxtG"/>
              <w:spacing w:before="80" w:after="80" w:line="200" w:lineRule="exact"/>
              <w:ind w:left="0" w:right="113"/>
              <w:jc w:val="right"/>
              <w:rPr>
                <w:i/>
                <w:sz w:val="16"/>
              </w:rPr>
            </w:pPr>
            <w:r w:rsidRPr="003D1522">
              <w:rPr>
                <w:i/>
                <w:sz w:val="16"/>
              </w:rPr>
              <w:t>2011</w:t>
            </w:r>
          </w:p>
        </w:tc>
        <w:tc>
          <w:tcPr>
            <w:tcW w:w="543" w:type="dxa"/>
            <w:tcBorders>
              <w:top w:val="single" w:sz="4" w:space="0" w:color="auto"/>
              <w:bottom w:val="single" w:sz="4" w:space="0" w:color="auto"/>
            </w:tcBorders>
            <w:shd w:val="clear" w:color="auto" w:fill="auto"/>
            <w:vAlign w:val="bottom"/>
          </w:tcPr>
          <w:p w:rsidR="002246AD" w:rsidRPr="003D1522" w:rsidRDefault="002246AD" w:rsidP="0057307D">
            <w:pPr>
              <w:pStyle w:val="SingleTxtG"/>
              <w:spacing w:before="80" w:after="80" w:line="200" w:lineRule="exact"/>
              <w:ind w:left="0" w:right="113"/>
              <w:jc w:val="right"/>
              <w:rPr>
                <w:i/>
                <w:sz w:val="16"/>
              </w:rPr>
            </w:pPr>
            <w:r w:rsidRPr="003D1522">
              <w:rPr>
                <w:i/>
                <w:sz w:val="16"/>
              </w:rPr>
              <w:t>2012</w:t>
            </w:r>
          </w:p>
        </w:tc>
        <w:tc>
          <w:tcPr>
            <w:tcW w:w="543" w:type="dxa"/>
            <w:tcBorders>
              <w:top w:val="single" w:sz="4" w:space="0" w:color="auto"/>
              <w:bottom w:val="single" w:sz="4" w:space="0" w:color="auto"/>
            </w:tcBorders>
            <w:shd w:val="clear" w:color="auto" w:fill="auto"/>
            <w:vAlign w:val="bottom"/>
          </w:tcPr>
          <w:p w:rsidR="002246AD" w:rsidRPr="003D1522" w:rsidRDefault="002246AD" w:rsidP="0057307D">
            <w:pPr>
              <w:pStyle w:val="SingleTxtG"/>
              <w:spacing w:before="80" w:after="80" w:line="200" w:lineRule="exact"/>
              <w:ind w:left="0" w:right="113"/>
              <w:jc w:val="right"/>
              <w:rPr>
                <w:i/>
                <w:sz w:val="16"/>
              </w:rPr>
            </w:pPr>
            <w:r w:rsidRPr="003D1522">
              <w:rPr>
                <w:i/>
                <w:sz w:val="16"/>
              </w:rPr>
              <w:t>2013</w:t>
            </w:r>
          </w:p>
        </w:tc>
        <w:tc>
          <w:tcPr>
            <w:tcW w:w="544" w:type="dxa"/>
            <w:tcBorders>
              <w:top w:val="single" w:sz="4" w:space="0" w:color="auto"/>
              <w:bottom w:val="single" w:sz="4" w:space="0" w:color="auto"/>
            </w:tcBorders>
            <w:shd w:val="clear" w:color="auto" w:fill="auto"/>
            <w:vAlign w:val="bottom"/>
          </w:tcPr>
          <w:p w:rsidR="002246AD" w:rsidRPr="003D1522" w:rsidRDefault="002246AD" w:rsidP="0057307D">
            <w:pPr>
              <w:pStyle w:val="SingleTxtG"/>
              <w:spacing w:before="80" w:after="80" w:line="200" w:lineRule="exact"/>
              <w:ind w:left="0" w:right="113"/>
              <w:jc w:val="right"/>
              <w:rPr>
                <w:i/>
                <w:sz w:val="16"/>
              </w:rPr>
            </w:pPr>
            <w:r w:rsidRPr="003D1522">
              <w:rPr>
                <w:i/>
                <w:sz w:val="16"/>
              </w:rPr>
              <w:t>2014</w:t>
            </w:r>
          </w:p>
        </w:tc>
        <w:tc>
          <w:tcPr>
            <w:tcW w:w="543" w:type="dxa"/>
            <w:tcBorders>
              <w:top w:val="single" w:sz="4" w:space="0" w:color="auto"/>
              <w:bottom w:val="single" w:sz="4" w:space="0" w:color="auto"/>
            </w:tcBorders>
            <w:shd w:val="clear" w:color="auto" w:fill="auto"/>
            <w:vAlign w:val="bottom"/>
          </w:tcPr>
          <w:p w:rsidR="002246AD" w:rsidRPr="003D1522" w:rsidRDefault="002246AD" w:rsidP="0057307D">
            <w:pPr>
              <w:pStyle w:val="SingleTxtG"/>
              <w:spacing w:before="80" w:after="80" w:line="200" w:lineRule="exact"/>
              <w:ind w:left="0" w:right="113"/>
              <w:jc w:val="right"/>
              <w:rPr>
                <w:i/>
                <w:sz w:val="16"/>
              </w:rPr>
            </w:pPr>
            <w:r w:rsidRPr="003D1522">
              <w:rPr>
                <w:i/>
                <w:sz w:val="16"/>
              </w:rPr>
              <w:t>2015</w:t>
            </w:r>
          </w:p>
        </w:tc>
        <w:tc>
          <w:tcPr>
            <w:tcW w:w="543" w:type="dxa"/>
            <w:tcBorders>
              <w:top w:val="single" w:sz="4" w:space="0" w:color="auto"/>
              <w:bottom w:val="single" w:sz="4" w:space="0" w:color="auto"/>
            </w:tcBorders>
            <w:shd w:val="clear" w:color="auto" w:fill="auto"/>
            <w:vAlign w:val="bottom"/>
          </w:tcPr>
          <w:p w:rsidR="002246AD" w:rsidRPr="003D1522" w:rsidRDefault="002246AD" w:rsidP="0057307D">
            <w:pPr>
              <w:pStyle w:val="SingleTxtG"/>
              <w:spacing w:before="80" w:after="80" w:line="200" w:lineRule="exact"/>
              <w:ind w:left="0" w:right="113"/>
              <w:jc w:val="right"/>
              <w:rPr>
                <w:i/>
                <w:sz w:val="16"/>
              </w:rPr>
            </w:pPr>
            <w:r w:rsidRPr="003D1522">
              <w:rPr>
                <w:i/>
                <w:sz w:val="16"/>
              </w:rPr>
              <w:t>2016</w:t>
            </w:r>
          </w:p>
        </w:tc>
        <w:tc>
          <w:tcPr>
            <w:tcW w:w="544" w:type="dxa"/>
            <w:tcBorders>
              <w:top w:val="single" w:sz="4" w:space="0" w:color="auto"/>
              <w:bottom w:val="single" w:sz="4" w:space="0" w:color="auto"/>
            </w:tcBorders>
            <w:shd w:val="clear" w:color="auto" w:fill="auto"/>
            <w:vAlign w:val="bottom"/>
          </w:tcPr>
          <w:p w:rsidR="002246AD" w:rsidRPr="003D1522" w:rsidRDefault="002246AD" w:rsidP="0057307D">
            <w:pPr>
              <w:pStyle w:val="SingleTxtG"/>
              <w:spacing w:before="80" w:after="80" w:line="200" w:lineRule="exact"/>
              <w:ind w:left="0" w:right="113"/>
              <w:jc w:val="right"/>
              <w:rPr>
                <w:i/>
                <w:sz w:val="16"/>
              </w:rPr>
            </w:pPr>
            <w:r w:rsidRPr="003D1522">
              <w:rPr>
                <w:i/>
                <w:sz w:val="16"/>
              </w:rPr>
              <w:t>2017</w:t>
            </w:r>
          </w:p>
        </w:tc>
      </w:tr>
      <w:tr w:rsidR="0057307D" w:rsidRPr="003D1522" w:rsidTr="00543E87">
        <w:tc>
          <w:tcPr>
            <w:tcW w:w="851" w:type="dxa"/>
            <w:tcBorders>
              <w:top w:val="nil"/>
              <w:bottom w:val="single" w:sz="12" w:space="0" w:color="auto"/>
            </w:tcBorders>
            <w:shd w:val="clear" w:color="auto" w:fill="auto"/>
          </w:tcPr>
          <w:p w:rsidR="002246AD" w:rsidRPr="003D1522" w:rsidRDefault="002246AD" w:rsidP="0057307D">
            <w:pPr>
              <w:pStyle w:val="SingleTxtG"/>
              <w:spacing w:before="40" w:after="40" w:line="220" w:lineRule="exact"/>
              <w:ind w:left="0" w:right="113"/>
              <w:jc w:val="left"/>
              <w:rPr>
                <w:i/>
                <w:iCs/>
                <w:sz w:val="18"/>
              </w:rPr>
            </w:pPr>
            <w:r w:rsidRPr="003D1522">
              <w:rPr>
                <w:i/>
                <w:iCs/>
                <w:sz w:val="18"/>
              </w:rPr>
              <w:t>Gender</w:t>
            </w:r>
          </w:p>
        </w:tc>
        <w:tc>
          <w:tcPr>
            <w:tcW w:w="1134" w:type="dxa"/>
            <w:tcBorders>
              <w:top w:val="single" w:sz="4" w:space="0" w:color="auto"/>
              <w:bottom w:val="single" w:sz="12" w:space="0" w:color="auto"/>
            </w:tcBorders>
            <w:shd w:val="clear" w:color="auto" w:fill="auto"/>
            <w:vAlign w:val="bottom"/>
          </w:tcPr>
          <w:p w:rsidR="002246AD" w:rsidRPr="003D1522" w:rsidRDefault="002246AD" w:rsidP="0057307D">
            <w:pPr>
              <w:pStyle w:val="SingleTxtG"/>
              <w:spacing w:before="40" w:after="40" w:line="220" w:lineRule="exact"/>
              <w:ind w:left="0" w:right="113"/>
              <w:jc w:val="right"/>
              <w:rPr>
                <w:i/>
                <w:iCs/>
                <w:sz w:val="18"/>
              </w:rPr>
            </w:pPr>
            <w:r w:rsidRPr="003D1522">
              <w:rPr>
                <w:i/>
                <w:iCs/>
                <w:sz w:val="18"/>
              </w:rPr>
              <w:t>Indicator</w:t>
            </w:r>
          </w:p>
        </w:tc>
        <w:tc>
          <w:tcPr>
            <w:tcW w:w="543" w:type="dxa"/>
            <w:tcBorders>
              <w:top w:val="single" w:sz="4" w:space="0" w:color="auto"/>
              <w:bottom w:val="single" w:sz="12" w:space="0" w:color="auto"/>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p>
        </w:tc>
        <w:tc>
          <w:tcPr>
            <w:tcW w:w="543" w:type="dxa"/>
            <w:tcBorders>
              <w:top w:val="single" w:sz="4" w:space="0" w:color="auto"/>
              <w:bottom w:val="single" w:sz="12" w:space="0" w:color="auto"/>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p>
        </w:tc>
        <w:tc>
          <w:tcPr>
            <w:tcW w:w="544" w:type="dxa"/>
            <w:tcBorders>
              <w:top w:val="single" w:sz="4" w:space="0" w:color="auto"/>
              <w:bottom w:val="single" w:sz="12" w:space="0" w:color="auto"/>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p>
        </w:tc>
        <w:tc>
          <w:tcPr>
            <w:tcW w:w="543" w:type="dxa"/>
            <w:tcBorders>
              <w:top w:val="single" w:sz="4" w:space="0" w:color="auto"/>
              <w:bottom w:val="single" w:sz="12" w:space="0" w:color="auto"/>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p>
        </w:tc>
        <w:tc>
          <w:tcPr>
            <w:tcW w:w="543" w:type="dxa"/>
            <w:tcBorders>
              <w:top w:val="single" w:sz="4" w:space="0" w:color="auto"/>
              <w:bottom w:val="single" w:sz="12" w:space="0" w:color="auto"/>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p>
        </w:tc>
        <w:tc>
          <w:tcPr>
            <w:tcW w:w="544" w:type="dxa"/>
            <w:tcBorders>
              <w:top w:val="single" w:sz="4" w:space="0" w:color="auto"/>
              <w:bottom w:val="single" w:sz="12" w:space="0" w:color="auto"/>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p>
        </w:tc>
        <w:tc>
          <w:tcPr>
            <w:tcW w:w="543" w:type="dxa"/>
            <w:tcBorders>
              <w:top w:val="single" w:sz="4" w:space="0" w:color="auto"/>
              <w:bottom w:val="single" w:sz="12" w:space="0" w:color="auto"/>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p>
        </w:tc>
        <w:tc>
          <w:tcPr>
            <w:tcW w:w="543" w:type="dxa"/>
            <w:tcBorders>
              <w:top w:val="single" w:sz="4" w:space="0" w:color="auto"/>
              <w:bottom w:val="single" w:sz="12" w:space="0" w:color="auto"/>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p>
        </w:tc>
        <w:tc>
          <w:tcPr>
            <w:tcW w:w="544" w:type="dxa"/>
            <w:tcBorders>
              <w:top w:val="single" w:sz="4" w:space="0" w:color="auto"/>
              <w:bottom w:val="single" w:sz="12" w:space="0" w:color="auto"/>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p>
        </w:tc>
        <w:tc>
          <w:tcPr>
            <w:tcW w:w="543" w:type="dxa"/>
            <w:tcBorders>
              <w:top w:val="single" w:sz="4" w:space="0" w:color="auto"/>
              <w:bottom w:val="single" w:sz="12" w:space="0" w:color="auto"/>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p>
        </w:tc>
        <w:tc>
          <w:tcPr>
            <w:tcW w:w="543" w:type="dxa"/>
            <w:tcBorders>
              <w:top w:val="single" w:sz="4" w:space="0" w:color="auto"/>
              <w:bottom w:val="single" w:sz="12" w:space="0" w:color="auto"/>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p>
        </w:tc>
        <w:tc>
          <w:tcPr>
            <w:tcW w:w="544" w:type="dxa"/>
            <w:tcBorders>
              <w:top w:val="single" w:sz="4" w:space="0" w:color="auto"/>
              <w:bottom w:val="single" w:sz="12" w:space="0" w:color="auto"/>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p>
        </w:tc>
      </w:tr>
      <w:tr w:rsidR="0057307D" w:rsidRPr="003D1522" w:rsidTr="0003192F">
        <w:tc>
          <w:tcPr>
            <w:tcW w:w="851" w:type="dxa"/>
            <w:tcBorders>
              <w:top w:val="single" w:sz="12" w:space="0" w:color="auto"/>
            </w:tcBorders>
            <w:shd w:val="clear" w:color="auto" w:fill="auto"/>
          </w:tcPr>
          <w:p w:rsidR="002246AD" w:rsidRPr="003D1522" w:rsidRDefault="002246AD" w:rsidP="0057307D">
            <w:pPr>
              <w:pStyle w:val="SingleTxtG"/>
              <w:spacing w:before="40" w:after="40" w:line="220" w:lineRule="exact"/>
              <w:ind w:left="0" w:right="113"/>
              <w:jc w:val="left"/>
              <w:rPr>
                <w:sz w:val="18"/>
              </w:rPr>
            </w:pPr>
            <w:r w:rsidRPr="003D1522">
              <w:rPr>
                <w:sz w:val="18"/>
              </w:rPr>
              <w:t>Men and women</w:t>
            </w:r>
          </w:p>
        </w:tc>
        <w:tc>
          <w:tcPr>
            <w:tcW w:w="1134" w:type="dxa"/>
            <w:vMerge w:val="restart"/>
            <w:tcBorders>
              <w:top w:val="single" w:sz="12" w:space="0" w:color="auto"/>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Share among executives</w:t>
            </w:r>
          </w:p>
        </w:tc>
        <w:tc>
          <w:tcPr>
            <w:tcW w:w="543" w:type="dxa"/>
            <w:tcBorders>
              <w:top w:val="single" w:sz="12" w:space="0" w:color="auto"/>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100.0</w:t>
            </w:r>
          </w:p>
        </w:tc>
        <w:tc>
          <w:tcPr>
            <w:tcW w:w="543" w:type="dxa"/>
            <w:tcBorders>
              <w:top w:val="single" w:sz="12" w:space="0" w:color="auto"/>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100.0</w:t>
            </w:r>
          </w:p>
        </w:tc>
        <w:tc>
          <w:tcPr>
            <w:tcW w:w="544" w:type="dxa"/>
            <w:tcBorders>
              <w:top w:val="single" w:sz="12" w:space="0" w:color="auto"/>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100.0</w:t>
            </w:r>
          </w:p>
        </w:tc>
        <w:tc>
          <w:tcPr>
            <w:tcW w:w="543" w:type="dxa"/>
            <w:tcBorders>
              <w:top w:val="single" w:sz="12" w:space="0" w:color="auto"/>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100.0</w:t>
            </w:r>
          </w:p>
        </w:tc>
        <w:tc>
          <w:tcPr>
            <w:tcW w:w="543" w:type="dxa"/>
            <w:tcBorders>
              <w:top w:val="single" w:sz="12" w:space="0" w:color="auto"/>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100.0</w:t>
            </w:r>
          </w:p>
        </w:tc>
        <w:tc>
          <w:tcPr>
            <w:tcW w:w="544" w:type="dxa"/>
            <w:tcBorders>
              <w:top w:val="single" w:sz="12" w:space="0" w:color="auto"/>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100.0</w:t>
            </w:r>
          </w:p>
        </w:tc>
        <w:tc>
          <w:tcPr>
            <w:tcW w:w="543" w:type="dxa"/>
            <w:tcBorders>
              <w:top w:val="single" w:sz="12" w:space="0" w:color="auto"/>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100.0</w:t>
            </w:r>
          </w:p>
        </w:tc>
        <w:tc>
          <w:tcPr>
            <w:tcW w:w="543" w:type="dxa"/>
            <w:tcBorders>
              <w:top w:val="single" w:sz="12" w:space="0" w:color="auto"/>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100.0</w:t>
            </w:r>
          </w:p>
        </w:tc>
        <w:tc>
          <w:tcPr>
            <w:tcW w:w="544" w:type="dxa"/>
            <w:tcBorders>
              <w:top w:val="single" w:sz="12" w:space="0" w:color="auto"/>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100.0</w:t>
            </w:r>
          </w:p>
        </w:tc>
        <w:tc>
          <w:tcPr>
            <w:tcW w:w="543" w:type="dxa"/>
            <w:tcBorders>
              <w:top w:val="single" w:sz="12" w:space="0" w:color="auto"/>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100.0</w:t>
            </w:r>
          </w:p>
        </w:tc>
        <w:tc>
          <w:tcPr>
            <w:tcW w:w="543" w:type="dxa"/>
            <w:tcBorders>
              <w:top w:val="single" w:sz="12" w:space="0" w:color="auto"/>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100.0</w:t>
            </w:r>
          </w:p>
        </w:tc>
        <w:tc>
          <w:tcPr>
            <w:tcW w:w="544" w:type="dxa"/>
            <w:tcBorders>
              <w:top w:val="single" w:sz="12" w:space="0" w:color="auto"/>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100.0</w:t>
            </w:r>
          </w:p>
        </w:tc>
      </w:tr>
      <w:tr w:rsidR="0057307D" w:rsidRPr="003D1522" w:rsidTr="00E87279">
        <w:tc>
          <w:tcPr>
            <w:tcW w:w="851" w:type="dxa"/>
            <w:tcBorders>
              <w:bottom w:val="nil"/>
            </w:tcBorders>
            <w:shd w:val="clear" w:color="auto" w:fill="auto"/>
          </w:tcPr>
          <w:p w:rsidR="002246AD" w:rsidRPr="003D1522" w:rsidRDefault="002246AD" w:rsidP="0057307D">
            <w:pPr>
              <w:pStyle w:val="SingleTxtG"/>
              <w:spacing w:before="40" w:after="40" w:line="220" w:lineRule="exact"/>
              <w:ind w:left="0" w:right="113"/>
              <w:jc w:val="left"/>
              <w:rPr>
                <w:sz w:val="18"/>
              </w:rPr>
            </w:pPr>
            <w:r w:rsidRPr="003D1522">
              <w:rPr>
                <w:sz w:val="18"/>
              </w:rPr>
              <w:t>Men</w:t>
            </w:r>
          </w:p>
        </w:tc>
        <w:tc>
          <w:tcPr>
            <w:tcW w:w="1134" w:type="dxa"/>
            <w:vMerge/>
            <w:tcBorders>
              <w:bottom w:val="nil"/>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p>
        </w:tc>
        <w:tc>
          <w:tcPr>
            <w:tcW w:w="543" w:type="dxa"/>
            <w:tcBorders>
              <w:bottom w:val="nil"/>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62.9</w:t>
            </w:r>
          </w:p>
        </w:tc>
        <w:tc>
          <w:tcPr>
            <w:tcW w:w="543" w:type="dxa"/>
            <w:tcBorders>
              <w:bottom w:val="nil"/>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60.8</w:t>
            </w:r>
          </w:p>
        </w:tc>
        <w:tc>
          <w:tcPr>
            <w:tcW w:w="544" w:type="dxa"/>
            <w:tcBorders>
              <w:bottom w:val="nil"/>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59.1</w:t>
            </w:r>
          </w:p>
        </w:tc>
        <w:tc>
          <w:tcPr>
            <w:tcW w:w="543" w:type="dxa"/>
            <w:tcBorders>
              <w:bottom w:val="nil"/>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59.3</w:t>
            </w:r>
          </w:p>
        </w:tc>
        <w:tc>
          <w:tcPr>
            <w:tcW w:w="543" w:type="dxa"/>
            <w:tcBorders>
              <w:bottom w:val="nil"/>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61.9</w:t>
            </w:r>
          </w:p>
        </w:tc>
        <w:tc>
          <w:tcPr>
            <w:tcW w:w="544" w:type="dxa"/>
            <w:tcBorders>
              <w:bottom w:val="nil"/>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57.3</w:t>
            </w:r>
          </w:p>
        </w:tc>
        <w:tc>
          <w:tcPr>
            <w:tcW w:w="543" w:type="dxa"/>
            <w:tcBorders>
              <w:bottom w:val="nil"/>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57.6</w:t>
            </w:r>
          </w:p>
        </w:tc>
        <w:tc>
          <w:tcPr>
            <w:tcW w:w="543" w:type="dxa"/>
            <w:tcBorders>
              <w:bottom w:val="nil"/>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58.2</w:t>
            </w:r>
          </w:p>
        </w:tc>
        <w:tc>
          <w:tcPr>
            <w:tcW w:w="544" w:type="dxa"/>
            <w:tcBorders>
              <w:bottom w:val="nil"/>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66.2</w:t>
            </w:r>
          </w:p>
        </w:tc>
        <w:tc>
          <w:tcPr>
            <w:tcW w:w="543" w:type="dxa"/>
            <w:tcBorders>
              <w:bottom w:val="nil"/>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69.5</w:t>
            </w:r>
          </w:p>
        </w:tc>
        <w:tc>
          <w:tcPr>
            <w:tcW w:w="543" w:type="dxa"/>
            <w:tcBorders>
              <w:bottom w:val="nil"/>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64.0</w:t>
            </w:r>
          </w:p>
        </w:tc>
        <w:tc>
          <w:tcPr>
            <w:tcW w:w="544" w:type="dxa"/>
            <w:tcBorders>
              <w:bottom w:val="nil"/>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63.2</w:t>
            </w:r>
          </w:p>
        </w:tc>
      </w:tr>
      <w:tr w:rsidR="0057307D" w:rsidRPr="003D1522" w:rsidTr="00E87279">
        <w:tc>
          <w:tcPr>
            <w:tcW w:w="851" w:type="dxa"/>
            <w:tcBorders>
              <w:top w:val="nil"/>
              <w:bottom w:val="nil"/>
            </w:tcBorders>
            <w:shd w:val="clear" w:color="auto" w:fill="auto"/>
          </w:tcPr>
          <w:p w:rsidR="002246AD" w:rsidRPr="003D1522" w:rsidRDefault="002246AD" w:rsidP="0057307D">
            <w:pPr>
              <w:pStyle w:val="SingleTxtG"/>
              <w:spacing w:before="40" w:after="40" w:line="220" w:lineRule="exact"/>
              <w:ind w:left="0" w:right="113"/>
              <w:jc w:val="left"/>
              <w:rPr>
                <w:sz w:val="18"/>
              </w:rPr>
            </w:pPr>
            <w:r w:rsidRPr="003D1522">
              <w:rPr>
                <w:sz w:val="18"/>
              </w:rPr>
              <w:t>Women</w:t>
            </w:r>
          </w:p>
        </w:tc>
        <w:tc>
          <w:tcPr>
            <w:tcW w:w="1134" w:type="dxa"/>
            <w:vMerge/>
            <w:tcBorders>
              <w:top w:val="nil"/>
              <w:bottom w:val="nil"/>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p>
        </w:tc>
        <w:tc>
          <w:tcPr>
            <w:tcW w:w="543" w:type="dxa"/>
            <w:tcBorders>
              <w:top w:val="nil"/>
              <w:bottom w:val="nil"/>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37.1</w:t>
            </w:r>
          </w:p>
        </w:tc>
        <w:tc>
          <w:tcPr>
            <w:tcW w:w="543" w:type="dxa"/>
            <w:tcBorders>
              <w:top w:val="nil"/>
              <w:bottom w:val="nil"/>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39.2</w:t>
            </w:r>
          </w:p>
        </w:tc>
        <w:tc>
          <w:tcPr>
            <w:tcW w:w="544" w:type="dxa"/>
            <w:tcBorders>
              <w:top w:val="nil"/>
              <w:bottom w:val="nil"/>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40.9</w:t>
            </w:r>
          </w:p>
        </w:tc>
        <w:tc>
          <w:tcPr>
            <w:tcW w:w="543" w:type="dxa"/>
            <w:tcBorders>
              <w:top w:val="nil"/>
              <w:bottom w:val="nil"/>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40.7</w:t>
            </w:r>
          </w:p>
        </w:tc>
        <w:tc>
          <w:tcPr>
            <w:tcW w:w="543" w:type="dxa"/>
            <w:tcBorders>
              <w:top w:val="nil"/>
              <w:bottom w:val="nil"/>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38.1</w:t>
            </w:r>
          </w:p>
        </w:tc>
        <w:tc>
          <w:tcPr>
            <w:tcW w:w="544" w:type="dxa"/>
            <w:tcBorders>
              <w:top w:val="nil"/>
              <w:bottom w:val="nil"/>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42.7</w:t>
            </w:r>
          </w:p>
        </w:tc>
        <w:tc>
          <w:tcPr>
            <w:tcW w:w="543" w:type="dxa"/>
            <w:tcBorders>
              <w:top w:val="nil"/>
              <w:bottom w:val="nil"/>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42.4</w:t>
            </w:r>
          </w:p>
        </w:tc>
        <w:tc>
          <w:tcPr>
            <w:tcW w:w="543" w:type="dxa"/>
            <w:tcBorders>
              <w:top w:val="nil"/>
              <w:bottom w:val="nil"/>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41.8</w:t>
            </w:r>
          </w:p>
        </w:tc>
        <w:tc>
          <w:tcPr>
            <w:tcW w:w="544" w:type="dxa"/>
            <w:tcBorders>
              <w:top w:val="nil"/>
              <w:bottom w:val="nil"/>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33.8</w:t>
            </w:r>
          </w:p>
        </w:tc>
        <w:tc>
          <w:tcPr>
            <w:tcW w:w="543" w:type="dxa"/>
            <w:tcBorders>
              <w:top w:val="nil"/>
              <w:bottom w:val="nil"/>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30.5</w:t>
            </w:r>
          </w:p>
        </w:tc>
        <w:tc>
          <w:tcPr>
            <w:tcW w:w="543" w:type="dxa"/>
            <w:tcBorders>
              <w:top w:val="nil"/>
              <w:bottom w:val="nil"/>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36.0</w:t>
            </w:r>
          </w:p>
        </w:tc>
        <w:tc>
          <w:tcPr>
            <w:tcW w:w="544" w:type="dxa"/>
            <w:tcBorders>
              <w:top w:val="nil"/>
              <w:bottom w:val="nil"/>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36.8</w:t>
            </w:r>
          </w:p>
        </w:tc>
      </w:tr>
      <w:tr w:rsidR="0057307D" w:rsidRPr="003D1522" w:rsidTr="00E87279">
        <w:tc>
          <w:tcPr>
            <w:tcW w:w="851" w:type="dxa"/>
            <w:tcBorders>
              <w:top w:val="nil"/>
            </w:tcBorders>
            <w:shd w:val="clear" w:color="auto" w:fill="auto"/>
          </w:tcPr>
          <w:p w:rsidR="002246AD" w:rsidRPr="003D1522" w:rsidRDefault="002246AD" w:rsidP="0057307D">
            <w:pPr>
              <w:pStyle w:val="SingleTxtG"/>
              <w:spacing w:before="40" w:after="40" w:line="220" w:lineRule="exact"/>
              <w:ind w:left="0" w:right="113"/>
              <w:jc w:val="left"/>
              <w:rPr>
                <w:sz w:val="18"/>
              </w:rPr>
            </w:pPr>
            <w:r w:rsidRPr="003D1522">
              <w:rPr>
                <w:sz w:val="18"/>
              </w:rPr>
              <w:lastRenderedPageBreak/>
              <w:t>Men and women</w:t>
            </w:r>
          </w:p>
        </w:tc>
        <w:tc>
          <w:tcPr>
            <w:tcW w:w="1134" w:type="dxa"/>
            <w:vMerge w:val="restart"/>
            <w:tcBorders>
              <w:top w:val="nil"/>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Share among entrepreneurs</w:t>
            </w:r>
          </w:p>
        </w:tc>
        <w:tc>
          <w:tcPr>
            <w:tcW w:w="543" w:type="dxa"/>
            <w:tcBorders>
              <w:top w:val="nil"/>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100.0</w:t>
            </w:r>
          </w:p>
        </w:tc>
        <w:tc>
          <w:tcPr>
            <w:tcW w:w="543" w:type="dxa"/>
            <w:tcBorders>
              <w:top w:val="nil"/>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100.0</w:t>
            </w:r>
          </w:p>
        </w:tc>
        <w:tc>
          <w:tcPr>
            <w:tcW w:w="544" w:type="dxa"/>
            <w:tcBorders>
              <w:top w:val="nil"/>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100.0</w:t>
            </w:r>
          </w:p>
        </w:tc>
        <w:tc>
          <w:tcPr>
            <w:tcW w:w="543" w:type="dxa"/>
            <w:tcBorders>
              <w:top w:val="nil"/>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100.0</w:t>
            </w:r>
          </w:p>
        </w:tc>
        <w:tc>
          <w:tcPr>
            <w:tcW w:w="543" w:type="dxa"/>
            <w:tcBorders>
              <w:top w:val="nil"/>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100.0</w:t>
            </w:r>
          </w:p>
        </w:tc>
        <w:tc>
          <w:tcPr>
            <w:tcW w:w="544" w:type="dxa"/>
            <w:tcBorders>
              <w:top w:val="nil"/>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100.0</w:t>
            </w:r>
          </w:p>
        </w:tc>
        <w:tc>
          <w:tcPr>
            <w:tcW w:w="543" w:type="dxa"/>
            <w:tcBorders>
              <w:top w:val="nil"/>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100.0</w:t>
            </w:r>
          </w:p>
        </w:tc>
        <w:tc>
          <w:tcPr>
            <w:tcW w:w="543" w:type="dxa"/>
            <w:tcBorders>
              <w:top w:val="nil"/>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100.0</w:t>
            </w:r>
          </w:p>
        </w:tc>
        <w:tc>
          <w:tcPr>
            <w:tcW w:w="544" w:type="dxa"/>
            <w:tcBorders>
              <w:top w:val="nil"/>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100.0</w:t>
            </w:r>
          </w:p>
        </w:tc>
        <w:tc>
          <w:tcPr>
            <w:tcW w:w="543" w:type="dxa"/>
            <w:tcBorders>
              <w:top w:val="nil"/>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100.0</w:t>
            </w:r>
          </w:p>
        </w:tc>
        <w:tc>
          <w:tcPr>
            <w:tcW w:w="543" w:type="dxa"/>
            <w:tcBorders>
              <w:top w:val="nil"/>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100.0</w:t>
            </w:r>
          </w:p>
        </w:tc>
        <w:tc>
          <w:tcPr>
            <w:tcW w:w="544" w:type="dxa"/>
            <w:tcBorders>
              <w:top w:val="nil"/>
            </w:tcBorders>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100.0</w:t>
            </w:r>
          </w:p>
        </w:tc>
      </w:tr>
      <w:tr w:rsidR="0057307D" w:rsidRPr="003D1522" w:rsidTr="0003192F">
        <w:tc>
          <w:tcPr>
            <w:tcW w:w="851" w:type="dxa"/>
            <w:shd w:val="clear" w:color="auto" w:fill="auto"/>
          </w:tcPr>
          <w:p w:rsidR="002246AD" w:rsidRPr="003D1522" w:rsidRDefault="002246AD" w:rsidP="0057307D">
            <w:pPr>
              <w:pStyle w:val="SingleTxtG"/>
              <w:spacing w:before="40" w:after="40" w:line="220" w:lineRule="exact"/>
              <w:ind w:left="0" w:right="113"/>
              <w:jc w:val="left"/>
              <w:rPr>
                <w:sz w:val="18"/>
              </w:rPr>
            </w:pPr>
            <w:r w:rsidRPr="003D1522">
              <w:rPr>
                <w:sz w:val="18"/>
              </w:rPr>
              <w:t>Men</w:t>
            </w:r>
          </w:p>
        </w:tc>
        <w:tc>
          <w:tcPr>
            <w:tcW w:w="1134" w:type="dxa"/>
            <w:vMerge/>
            <w:shd w:val="clear" w:color="auto" w:fill="auto"/>
            <w:vAlign w:val="bottom"/>
          </w:tcPr>
          <w:p w:rsidR="002246AD" w:rsidRPr="003D1522" w:rsidRDefault="002246AD" w:rsidP="0057307D">
            <w:pPr>
              <w:pStyle w:val="SingleTxtG"/>
              <w:spacing w:before="40" w:after="40" w:line="220" w:lineRule="exact"/>
              <w:ind w:left="0" w:right="113"/>
              <w:jc w:val="right"/>
              <w:rPr>
                <w:sz w:val="18"/>
              </w:rPr>
            </w:pPr>
          </w:p>
        </w:tc>
        <w:tc>
          <w:tcPr>
            <w:tcW w:w="543" w:type="dxa"/>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68.8</w:t>
            </w:r>
          </w:p>
        </w:tc>
        <w:tc>
          <w:tcPr>
            <w:tcW w:w="543" w:type="dxa"/>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68.6</w:t>
            </w:r>
          </w:p>
        </w:tc>
        <w:tc>
          <w:tcPr>
            <w:tcW w:w="544" w:type="dxa"/>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69.4</w:t>
            </w:r>
          </w:p>
        </w:tc>
        <w:tc>
          <w:tcPr>
            <w:tcW w:w="543" w:type="dxa"/>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67.2</w:t>
            </w:r>
          </w:p>
        </w:tc>
        <w:tc>
          <w:tcPr>
            <w:tcW w:w="543" w:type="dxa"/>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68.4</w:t>
            </w:r>
          </w:p>
        </w:tc>
        <w:tc>
          <w:tcPr>
            <w:tcW w:w="544" w:type="dxa"/>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67.3</w:t>
            </w:r>
          </w:p>
        </w:tc>
        <w:tc>
          <w:tcPr>
            <w:tcW w:w="543" w:type="dxa"/>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69.1</w:t>
            </w:r>
          </w:p>
        </w:tc>
        <w:tc>
          <w:tcPr>
            <w:tcW w:w="543" w:type="dxa"/>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68.1</w:t>
            </w:r>
          </w:p>
        </w:tc>
        <w:tc>
          <w:tcPr>
            <w:tcW w:w="544" w:type="dxa"/>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69.7</w:t>
            </w:r>
          </w:p>
        </w:tc>
        <w:tc>
          <w:tcPr>
            <w:tcW w:w="543" w:type="dxa"/>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65.5</w:t>
            </w:r>
          </w:p>
        </w:tc>
        <w:tc>
          <w:tcPr>
            <w:tcW w:w="543" w:type="dxa"/>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65.8</w:t>
            </w:r>
          </w:p>
        </w:tc>
        <w:tc>
          <w:tcPr>
            <w:tcW w:w="544" w:type="dxa"/>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69.2</w:t>
            </w:r>
          </w:p>
        </w:tc>
      </w:tr>
      <w:tr w:rsidR="0057307D" w:rsidRPr="003D1522" w:rsidTr="0003192F">
        <w:tc>
          <w:tcPr>
            <w:tcW w:w="851" w:type="dxa"/>
            <w:shd w:val="clear" w:color="auto" w:fill="auto"/>
          </w:tcPr>
          <w:p w:rsidR="002246AD" w:rsidRPr="003D1522" w:rsidRDefault="002246AD" w:rsidP="0057307D">
            <w:pPr>
              <w:pStyle w:val="SingleTxtG"/>
              <w:spacing w:before="40" w:after="40" w:line="220" w:lineRule="exact"/>
              <w:ind w:left="0" w:right="113"/>
              <w:jc w:val="left"/>
              <w:rPr>
                <w:sz w:val="18"/>
              </w:rPr>
            </w:pPr>
            <w:r w:rsidRPr="003D1522">
              <w:rPr>
                <w:sz w:val="18"/>
              </w:rPr>
              <w:t>Women</w:t>
            </w:r>
          </w:p>
        </w:tc>
        <w:tc>
          <w:tcPr>
            <w:tcW w:w="1134" w:type="dxa"/>
            <w:vMerge/>
            <w:shd w:val="clear" w:color="auto" w:fill="auto"/>
            <w:vAlign w:val="bottom"/>
          </w:tcPr>
          <w:p w:rsidR="002246AD" w:rsidRPr="003D1522" w:rsidRDefault="002246AD" w:rsidP="0057307D">
            <w:pPr>
              <w:pStyle w:val="SingleTxtG"/>
              <w:spacing w:before="40" w:after="40" w:line="220" w:lineRule="exact"/>
              <w:ind w:left="0" w:right="113"/>
              <w:jc w:val="right"/>
              <w:rPr>
                <w:sz w:val="18"/>
              </w:rPr>
            </w:pPr>
          </w:p>
        </w:tc>
        <w:tc>
          <w:tcPr>
            <w:tcW w:w="543" w:type="dxa"/>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31.2</w:t>
            </w:r>
          </w:p>
        </w:tc>
        <w:tc>
          <w:tcPr>
            <w:tcW w:w="543" w:type="dxa"/>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31.4</w:t>
            </w:r>
          </w:p>
        </w:tc>
        <w:tc>
          <w:tcPr>
            <w:tcW w:w="544" w:type="dxa"/>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30.6</w:t>
            </w:r>
          </w:p>
        </w:tc>
        <w:tc>
          <w:tcPr>
            <w:tcW w:w="543" w:type="dxa"/>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32.8</w:t>
            </w:r>
          </w:p>
        </w:tc>
        <w:tc>
          <w:tcPr>
            <w:tcW w:w="543" w:type="dxa"/>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31.6</w:t>
            </w:r>
          </w:p>
        </w:tc>
        <w:tc>
          <w:tcPr>
            <w:tcW w:w="544" w:type="dxa"/>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32.7</w:t>
            </w:r>
          </w:p>
        </w:tc>
        <w:tc>
          <w:tcPr>
            <w:tcW w:w="543" w:type="dxa"/>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30.9</w:t>
            </w:r>
          </w:p>
        </w:tc>
        <w:tc>
          <w:tcPr>
            <w:tcW w:w="543" w:type="dxa"/>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31.9</w:t>
            </w:r>
          </w:p>
        </w:tc>
        <w:tc>
          <w:tcPr>
            <w:tcW w:w="544" w:type="dxa"/>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30.3</w:t>
            </w:r>
          </w:p>
        </w:tc>
        <w:tc>
          <w:tcPr>
            <w:tcW w:w="543" w:type="dxa"/>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34.5</w:t>
            </w:r>
          </w:p>
        </w:tc>
        <w:tc>
          <w:tcPr>
            <w:tcW w:w="543" w:type="dxa"/>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34.2</w:t>
            </w:r>
          </w:p>
        </w:tc>
        <w:tc>
          <w:tcPr>
            <w:tcW w:w="544" w:type="dxa"/>
            <w:shd w:val="clear" w:color="auto" w:fill="auto"/>
            <w:vAlign w:val="bottom"/>
          </w:tcPr>
          <w:p w:rsidR="002246AD" w:rsidRPr="003D1522" w:rsidRDefault="002246AD" w:rsidP="0057307D">
            <w:pPr>
              <w:pStyle w:val="SingleTxtG"/>
              <w:spacing w:before="40" w:after="40" w:line="220" w:lineRule="exact"/>
              <w:ind w:left="0" w:right="113"/>
              <w:jc w:val="right"/>
              <w:rPr>
                <w:sz w:val="18"/>
              </w:rPr>
            </w:pPr>
            <w:r w:rsidRPr="003D1522">
              <w:rPr>
                <w:sz w:val="18"/>
              </w:rPr>
              <w:t>30.8</w:t>
            </w:r>
          </w:p>
        </w:tc>
      </w:tr>
    </w:tbl>
    <w:p w:rsidR="002246AD" w:rsidRPr="003D1522" w:rsidRDefault="002246AD" w:rsidP="004D3813">
      <w:pPr>
        <w:spacing w:before="120" w:after="240"/>
        <w:ind w:left="1134" w:right="1134" w:firstLine="170"/>
        <w:rPr>
          <w:i/>
          <w:iCs/>
          <w:sz w:val="18"/>
        </w:rPr>
      </w:pPr>
      <w:bookmarkStart w:id="4" w:name="bookmark2"/>
      <w:bookmarkStart w:id="5" w:name="bookmark3"/>
      <w:r w:rsidRPr="003D1522">
        <w:rPr>
          <w:i/>
          <w:iCs/>
          <w:sz w:val="18"/>
        </w:rPr>
        <w:t>Shares are shown in percentages.</w:t>
      </w:r>
      <w:bookmarkEnd w:id="4"/>
      <w:bookmarkEnd w:id="5"/>
    </w:p>
    <w:p w:rsidR="002246AD" w:rsidRPr="003D1522" w:rsidRDefault="002246AD" w:rsidP="007566D9">
      <w:pPr>
        <w:pStyle w:val="SingleTxtG"/>
      </w:pPr>
      <w:r w:rsidRPr="003D1522">
        <w:t>22.</w:t>
      </w:r>
      <w:r w:rsidRPr="003D1522">
        <w:tab/>
        <w:t>The share of men and women at different levels is regularly assessed in the public and private sectors alike. Gender inequality on the decision-making levels of society is reflected by the representation of men and women in politics and other decision-making levels in the public and private sector. 30 of 101 members of the Estonian parliament are women. Of 15 members of the Government 5 are women. Women hold several high positions in the public sector: the President of the Republic, the Chancellor of Justice and the Prosecutor General. The number of female judges at the Supreme Court has risen from 2 to 4 (of 19).</w:t>
      </w:r>
    </w:p>
    <w:p w:rsidR="002246AD" w:rsidRPr="003D1522" w:rsidRDefault="002246AD" w:rsidP="007566D9">
      <w:pPr>
        <w:pStyle w:val="SingleTxtG"/>
      </w:pPr>
      <w:r w:rsidRPr="003D1522">
        <w:t>23.</w:t>
      </w:r>
      <w:r w:rsidRPr="003D1522">
        <w:tab/>
        <w:t xml:space="preserve">The division of genders in the public service (state authorities and municipality, town and city governments) as at 1 January 2018: 49% of managers were women and 51% were men. </w:t>
      </w:r>
    </w:p>
    <w:p w:rsidR="002246AD" w:rsidRPr="003D1522" w:rsidRDefault="002246AD" w:rsidP="007566D9">
      <w:pPr>
        <w:pStyle w:val="SingleTxtG"/>
      </w:pPr>
      <w:r w:rsidRPr="003D1522">
        <w:t>24.</w:t>
      </w:r>
      <w:r w:rsidRPr="003D1522">
        <w:tab/>
        <w:t xml:space="preserve">In 2017, 55% of mid-level managers or heads of departments in Estonian ministries were women and 45% were men. 21% of senior managers, i.e. secretaries general and deputy secretaries general, were women and 79% were men. Internationally, the EIGE (European Institute for Gender Equality) publishes statistics about the share of men and women in ministries (https://eige.europa.eu/gender-statistics/dgs/browse/wmidm). </w:t>
      </w:r>
    </w:p>
    <w:p w:rsidR="002246AD" w:rsidRPr="003D1522" w:rsidRDefault="002246AD" w:rsidP="007566D9">
      <w:pPr>
        <w:pStyle w:val="SingleTxtG"/>
      </w:pPr>
      <w:r w:rsidRPr="003D1522">
        <w:t>25.</w:t>
      </w:r>
      <w:r w:rsidRPr="003D1522">
        <w:tab/>
        <w:t>There are also less women than men on the management level of organisations. All though risen on recent years, the share of women among managers was 39% in 2017.</w:t>
      </w:r>
      <w:r w:rsidRPr="003D1522">
        <w:rPr>
          <w:rStyle w:val="FootnoteReference"/>
        </w:rPr>
        <w:footnoteReference w:id="8"/>
      </w:r>
      <w:r w:rsidRPr="003D1522">
        <w:t xml:space="preserve"> </w:t>
      </w:r>
    </w:p>
    <w:p w:rsidR="002246AD" w:rsidRPr="003D1522" w:rsidRDefault="002246AD" w:rsidP="007566D9">
      <w:pPr>
        <w:pStyle w:val="SingleTxtG"/>
      </w:pPr>
      <w:r w:rsidRPr="003D1522">
        <w:t>26.</w:t>
      </w:r>
      <w:r w:rsidRPr="003D1522">
        <w:tab/>
        <w:t xml:space="preserve">The programme </w:t>
      </w:r>
      <w:r w:rsidR="00C62389" w:rsidRPr="003D1522">
        <w:t>“</w:t>
      </w:r>
      <w:r w:rsidRPr="003D1522">
        <w:t>Everything Is Possible!</w:t>
      </w:r>
      <w:r w:rsidR="00C62389" w:rsidRPr="003D1522">
        <w:t>”</w:t>
      </w:r>
      <w:r w:rsidRPr="003D1522">
        <w:t xml:space="preserve"> aimed at female entrepreneurs is being implemented by the Estonian Association of Business and Professional Women (BPW Estonia) in cooperation with partners with an aim to give 100 new female entrepreneurs to Estonia as a gift on its 100th anniversary. Aim of the programme is to increase the share of female entrepreneurs and to give knowledge, inspiration and courage to 400 women who are interested in starting a business or developing an existing one. The objective of the activities of BPW is to create and maintain social values by contributing to the development of entrepreneurial women, acknowledging and promoting the equality and employment of women and men, and the protection of children. </w:t>
      </w:r>
    </w:p>
    <w:p w:rsidR="002246AD" w:rsidRPr="003D1522" w:rsidRDefault="002246AD" w:rsidP="007F2C5C">
      <w:pPr>
        <w:pStyle w:val="HChG"/>
      </w:pPr>
      <w:r w:rsidRPr="003D1522">
        <w:tab/>
        <w:t>III.</w:t>
      </w:r>
      <w:r w:rsidRPr="003D1522">
        <w:tab/>
        <w:t xml:space="preserve">Issues relating to the specific provisions of the Covenant </w:t>
      </w:r>
      <w:r w:rsidR="007F2C5C" w:rsidRPr="003D1522">
        <w:br/>
      </w:r>
      <w:r w:rsidRPr="003D1522">
        <w:t xml:space="preserve">(arts. 6–15) </w:t>
      </w:r>
    </w:p>
    <w:p w:rsidR="002246AD" w:rsidRPr="003D1522" w:rsidRDefault="002246AD" w:rsidP="007F2C5C">
      <w:pPr>
        <w:pStyle w:val="H1G"/>
      </w:pPr>
      <w:r w:rsidRPr="003D1522">
        <w:tab/>
      </w:r>
      <w:r w:rsidRPr="003D1522">
        <w:tab/>
        <w:t xml:space="preserve">Right to work (art. 6) </w:t>
      </w:r>
    </w:p>
    <w:p w:rsidR="002246AD" w:rsidRPr="003D1522" w:rsidRDefault="002246AD" w:rsidP="007F2C5C">
      <w:pPr>
        <w:pStyle w:val="H23G"/>
      </w:pPr>
      <w:r w:rsidRPr="003D1522">
        <w:tab/>
      </w:r>
      <w:r w:rsidRPr="003D1522">
        <w:tab/>
        <w:t>Vocational education and training (VET)</w:t>
      </w:r>
    </w:p>
    <w:p w:rsidR="002246AD" w:rsidRPr="003D1522" w:rsidRDefault="002246AD" w:rsidP="007566D9">
      <w:pPr>
        <w:pStyle w:val="SingleTxtG"/>
      </w:pPr>
      <w:r w:rsidRPr="003D1522">
        <w:t>27.</w:t>
      </w:r>
      <w:r w:rsidRPr="003D1522">
        <w:tab/>
        <w:t>Promoting apprenticeships and work-based learning and encouraging employers and VET institutions to work together is one of the key objectives set out in Estonia</w:t>
      </w:r>
      <w:r w:rsidR="00C62389" w:rsidRPr="003D1522">
        <w:t>’</w:t>
      </w:r>
      <w:r w:rsidRPr="003D1522">
        <w:t xml:space="preserve">s lifelong learning strategy for 2020. </w:t>
      </w:r>
    </w:p>
    <w:p w:rsidR="002246AD" w:rsidRPr="003D1522" w:rsidRDefault="002246AD" w:rsidP="007566D9">
      <w:pPr>
        <w:pStyle w:val="SingleTxtG"/>
      </w:pPr>
      <w:r w:rsidRPr="003D1522">
        <w:t>28.</w:t>
      </w:r>
      <w:r w:rsidRPr="003D1522">
        <w:tab/>
        <w:t xml:space="preserve">The </w:t>
      </w:r>
      <w:r w:rsidR="00C62389" w:rsidRPr="003D1522">
        <w:t>‘</w:t>
      </w:r>
      <w:r w:rsidRPr="003D1522">
        <w:t>Labour Market and Education Cooperation Programme</w:t>
      </w:r>
      <w:r w:rsidR="00C62389" w:rsidRPr="003D1522">
        <w:t>’</w:t>
      </w:r>
      <w:r w:rsidRPr="003D1522">
        <w:t xml:space="preserve"> of 2015 sets up a roadmap and offers a framework for increasing the qualification level of the labour force, decreasing the structural labour shortage and enhancing the employability of graduates by responding better to changes in labour demand. Its focus is on increasing the quality and attractiveness of VET as well as of apprenticeship and work-based learning. </w:t>
      </w:r>
    </w:p>
    <w:p w:rsidR="002246AD" w:rsidRPr="003D1522" w:rsidRDefault="002246AD" w:rsidP="007566D9">
      <w:pPr>
        <w:pStyle w:val="SingleTxtG"/>
      </w:pPr>
      <w:r w:rsidRPr="003D1522">
        <w:lastRenderedPageBreak/>
        <w:t>29.</w:t>
      </w:r>
      <w:r w:rsidRPr="003D1522">
        <w:tab/>
        <w:t xml:space="preserve">The PRÕM programme </w:t>
      </w:r>
      <w:r w:rsidR="002C3F8E" w:rsidRPr="003D1522">
        <w:t>—</w:t>
      </w:r>
      <w:r w:rsidRPr="003D1522">
        <w:t xml:space="preserve"> conditions for the provision of European Social Fund support under the Labour Market and Education Cooperation Programme </w:t>
      </w:r>
      <w:r w:rsidR="002C3F8E" w:rsidRPr="003D1522">
        <w:t>—</w:t>
      </w:r>
      <w:r w:rsidRPr="003D1522">
        <w:t xml:space="preserve"> has a major impact on the development of quality of work-based learning, expanding of the apprenticeships programmes, training of teachers and trainers and piloting different models of apprenticeship training in Estonia. 22 VET schools have received support to strengthen cooperation between employers and education institutions in developing work-based learning.</w:t>
      </w:r>
    </w:p>
    <w:p w:rsidR="002246AD" w:rsidRPr="003D1522" w:rsidRDefault="002246AD" w:rsidP="007566D9">
      <w:pPr>
        <w:pStyle w:val="SingleTxtG"/>
      </w:pPr>
      <w:r w:rsidRPr="003D1522">
        <w:t>30.</w:t>
      </w:r>
      <w:r w:rsidRPr="003D1522">
        <w:tab/>
        <w:t>The Ministry of Education and Research has created a labour and skills prognosis system OSKA (implemented by the Estonian Qualifications Authority). OSKA analyses the needs for labour and skills necessary for Estonia</w:t>
      </w:r>
      <w:r w:rsidR="00C62389" w:rsidRPr="003D1522">
        <w:t>’</w:t>
      </w:r>
      <w:r w:rsidRPr="003D1522">
        <w:t>s economic development over the next 10 years. The aim of highlighting future labour market trends is to encourage debates in all parts of society on factors affecting changes in working life, to create the context for and open new lines of thought in relation to forecasting labour requirements in different industries and to provide input to discussions on future training needs.</w:t>
      </w:r>
    </w:p>
    <w:p w:rsidR="002246AD" w:rsidRPr="003D1522" w:rsidRDefault="002246AD" w:rsidP="007566D9">
      <w:pPr>
        <w:pStyle w:val="SingleTxtG"/>
      </w:pPr>
      <w:r w:rsidRPr="003D1522">
        <w:t>31.</w:t>
      </w:r>
      <w:r w:rsidRPr="003D1522">
        <w:tab/>
        <w:t>Analysis of social and economic needs is carried out prior to formulating the state commissioned education request for vocational training. The analysis considers the number of individuals in need of vocational training and their preferences with regard to specific subjects taught. Making forecasts with regard to societal needs will take into account demographic factors by measuring the size of youth groups, projecting the number of graduates (the division of basic school and upper secondary school graduates) and making allowances for regional distribution of populations and educational migration.</w:t>
      </w:r>
    </w:p>
    <w:p w:rsidR="002246AD" w:rsidRPr="003D1522" w:rsidRDefault="002246AD" w:rsidP="007566D9">
      <w:pPr>
        <w:pStyle w:val="SingleTxtG"/>
      </w:pPr>
      <w:r w:rsidRPr="003D1522">
        <w:t>32.</w:t>
      </w:r>
      <w:r w:rsidRPr="003D1522">
        <w:tab/>
        <w:t>Language skills also have an effect on persons</w:t>
      </w:r>
      <w:r w:rsidR="00C62389" w:rsidRPr="003D1522">
        <w:t>’</w:t>
      </w:r>
      <w:r w:rsidRPr="003D1522">
        <w:t xml:space="preserve"> labour market position </w:t>
      </w:r>
      <w:r w:rsidR="002C3F8E" w:rsidRPr="003D1522">
        <w:t>—</w:t>
      </w:r>
      <w:r w:rsidRPr="003D1522">
        <w:t xml:space="preserve"> in 2017 unemployment rate of non-Estonians with proficiency in Estonian was 7,3%, while of those with no proficiency the unemployment rate was almost twice as high at 13%. In 2018, The Board of Estonian Unemployment Insurance Fund (national PES) adopted the new principles of developing skills of the workforce. Individuals with insufficient Estonian language skills can obtain at least B2 level through the PES. The package of preventive measures adopted in</w:t>
      </w:r>
      <w:r w:rsidR="000732E4" w:rsidRPr="003D1522">
        <w:t xml:space="preserve"> </w:t>
      </w:r>
      <w:r w:rsidRPr="003D1522">
        <w:t>2017 includes Estonian language courses for employed persons who have insufficient Estonian language skills. There are two new possibilities for Estonian language learning through the PES: for employees whose yearly income is under certain limit can use a training voucher for Estonian language courses and for employers who want to increase their employees</w:t>
      </w:r>
      <w:r w:rsidR="00C62389" w:rsidRPr="003D1522">
        <w:t>’</w:t>
      </w:r>
      <w:r w:rsidRPr="003D1522">
        <w:t xml:space="preserve"> Estonian language proficiency. </w:t>
      </w:r>
    </w:p>
    <w:p w:rsidR="002246AD" w:rsidRPr="003D1522" w:rsidRDefault="002246AD" w:rsidP="002C3F8E">
      <w:pPr>
        <w:pStyle w:val="H1G"/>
      </w:pPr>
      <w:r w:rsidRPr="003D1522">
        <w:tab/>
      </w:r>
      <w:r w:rsidRPr="003D1522">
        <w:tab/>
        <w:t xml:space="preserve">Right to just and favourable conditions of work (art. 7) </w:t>
      </w:r>
    </w:p>
    <w:p w:rsidR="002246AD" w:rsidRPr="003D1522" w:rsidRDefault="002246AD" w:rsidP="002C3F8E">
      <w:pPr>
        <w:pStyle w:val="H23G"/>
      </w:pPr>
      <w:r w:rsidRPr="003D1522">
        <w:tab/>
      </w:r>
      <w:r w:rsidRPr="003D1522">
        <w:tab/>
        <w:t>Minimum wage. Labour inspections</w:t>
      </w:r>
    </w:p>
    <w:p w:rsidR="005122E3" w:rsidRPr="003D1522" w:rsidRDefault="002246AD" w:rsidP="007566D9">
      <w:pPr>
        <w:pStyle w:val="SingleTxtG"/>
      </w:pPr>
      <w:r w:rsidRPr="003D1522">
        <w:t>33.</w:t>
      </w:r>
      <w:r w:rsidRPr="003D1522">
        <w:tab/>
        <w:t>Minimum wage is agreed by the social partners to be established by the Government in the same amount. In 2017, the minimum wage was 470 euros, in 2018 the minimum wage is 500 euros. The minimum wage for year 2019 will be 540 euros. In 2017, Estonian Employers</w:t>
      </w:r>
      <w:r w:rsidR="00C62389" w:rsidRPr="003D1522">
        <w:t>’</w:t>
      </w:r>
      <w:r w:rsidRPr="003D1522">
        <w:t xml:space="preserve"> Association and Estonian Trade Union Association concluded an agreement, according to which, in the future, establishing minimum wage is based on the principles that the basis for raising the minimum wage is the estimated double productivity growth in the year that the minimum wage is agreed for. The upper limit of the minimum wage is twice the predicted real economic growth, the lower limit is at least 40% of the predicted average gross wage, and the basis is the data of the Eesti Pank</w:t>
      </w:r>
      <w:r w:rsidR="00C62389" w:rsidRPr="003D1522">
        <w:t>’</w:t>
      </w:r>
      <w:r w:rsidRPr="003D1522">
        <w:t xml:space="preserve">s summer prediction. From 1 January 2018 the overall tax-free amount (basic exemption) of up to 6000 euros per year or up to 500 euros per month is </w:t>
      </w:r>
      <w:r w:rsidR="005122E3" w:rsidRPr="003D1522">
        <w:t>applied on all types of income.</w:t>
      </w:r>
    </w:p>
    <w:p w:rsidR="002246AD" w:rsidRPr="003D1522" w:rsidRDefault="002246AD" w:rsidP="00E87279">
      <w:pPr>
        <w:pStyle w:val="Heading1"/>
        <w:spacing w:after="120"/>
        <w:rPr>
          <w:rStyle w:val="SingleTxtGChar"/>
          <w:b/>
          <w:bCs/>
        </w:rPr>
      </w:pPr>
      <w:r w:rsidRPr="003D1522">
        <w:t>Table 1</w:t>
      </w:r>
      <w:r w:rsidRPr="003D1522">
        <w:br/>
      </w:r>
      <w:r w:rsidRPr="003D1522">
        <w:rPr>
          <w:rStyle w:val="SingleTxtGChar"/>
          <w:b/>
          <w:bCs/>
        </w:rPr>
        <w:t xml:space="preserve">Violations concerning minimum wage </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9"/>
        <w:gridCol w:w="851"/>
        <w:gridCol w:w="851"/>
        <w:gridCol w:w="850"/>
        <w:gridCol w:w="850"/>
        <w:gridCol w:w="850"/>
        <w:gridCol w:w="849"/>
      </w:tblGrid>
      <w:tr w:rsidR="005122E3" w:rsidRPr="003D1522" w:rsidTr="003E638F">
        <w:trPr>
          <w:tblHeader/>
        </w:trPr>
        <w:tc>
          <w:tcPr>
            <w:tcW w:w="1539" w:type="pct"/>
            <w:tcBorders>
              <w:top w:val="single" w:sz="4" w:space="0" w:color="auto"/>
              <w:bottom w:val="single" w:sz="12" w:space="0" w:color="auto"/>
            </w:tcBorders>
            <w:shd w:val="clear" w:color="auto" w:fill="auto"/>
            <w:noWrap/>
            <w:vAlign w:val="bottom"/>
            <w:hideMark/>
          </w:tcPr>
          <w:p w:rsidR="002246AD" w:rsidRPr="003D1522" w:rsidRDefault="002246AD" w:rsidP="005122E3">
            <w:pPr>
              <w:pStyle w:val="SingleTxtG"/>
              <w:spacing w:before="80" w:after="80" w:line="200" w:lineRule="exact"/>
              <w:ind w:left="0" w:right="113"/>
              <w:jc w:val="left"/>
              <w:rPr>
                <w:i/>
                <w:sz w:val="16"/>
              </w:rPr>
            </w:pPr>
          </w:p>
        </w:tc>
        <w:tc>
          <w:tcPr>
            <w:tcW w:w="577" w:type="pct"/>
            <w:tcBorders>
              <w:top w:val="single" w:sz="4" w:space="0" w:color="auto"/>
              <w:bottom w:val="single" w:sz="12" w:space="0" w:color="auto"/>
            </w:tcBorders>
            <w:shd w:val="clear" w:color="auto" w:fill="auto"/>
            <w:noWrap/>
            <w:vAlign w:val="bottom"/>
            <w:hideMark/>
          </w:tcPr>
          <w:p w:rsidR="002246AD" w:rsidRPr="003D1522" w:rsidRDefault="002246AD" w:rsidP="005122E3">
            <w:pPr>
              <w:pStyle w:val="SingleTxtG"/>
              <w:spacing w:before="80" w:after="80" w:line="200" w:lineRule="exact"/>
              <w:ind w:left="0" w:right="113"/>
              <w:jc w:val="right"/>
              <w:rPr>
                <w:i/>
                <w:sz w:val="16"/>
              </w:rPr>
            </w:pPr>
            <w:r w:rsidRPr="003D1522">
              <w:rPr>
                <w:i/>
                <w:sz w:val="16"/>
              </w:rPr>
              <w:t>2012</w:t>
            </w:r>
          </w:p>
        </w:tc>
        <w:tc>
          <w:tcPr>
            <w:tcW w:w="577" w:type="pct"/>
            <w:tcBorders>
              <w:top w:val="single" w:sz="4" w:space="0" w:color="auto"/>
              <w:bottom w:val="single" w:sz="12" w:space="0" w:color="auto"/>
            </w:tcBorders>
            <w:shd w:val="clear" w:color="auto" w:fill="auto"/>
            <w:noWrap/>
            <w:vAlign w:val="bottom"/>
            <w:hideMark/>
          </w:tcPr>
          <w:p w:rsidR="002246AD" w:rsidRPr="003D1522" w:rsidRDefault="002246AD" w:rsidP="005122E3">
            <w:pPr>
              <w:pStyle w:val="SingleTxtG"/>
              <w:spacing w:before="80" w:after="80" w:line="200" w:lineRule="exact"/>
              <w:ind w:left="0" w:right="113"/>
              <w:jc w:val="right"/>
              <w:rPr>
                <w:i/>
                <w:sz w:val="16"/>
              </w:rPr>
            </w:pPr>
            <w:r w:rsidRPr="003D1522">
              <w:rPr>
                <w:i/>
                <w:sz w:val="16"/>
              </w:rPr>
              <w:t>2013</w:t>
            </w:r>
          </w:p>
        </w:tc>
        <w:tc>
          <w:tcPr>
            <w:tcW w:w="577" w:type="pct"/>
            <w:tcBorders>
              <w:top w:val="single" w:sz="4" w:space="0" w:color="auto"/>
              <w:bottom w:val="single" w:sz="12" w:space="0" w:color="auto"/>
            </w:tcBorders>
            <w:shd w:val="clear" w:color="auto" w:fill="auto"/>
            <w:noWrap/>
            <w:vAlign w:val="bottom"/>
            <w:hideMark/>
          </w:tcPr>
          <w:p w:rsidR="002246AD" w:rsidRPr="003D1522" w:rsidRDefault="002246AD" w:rsidP="005122E3">
            <w:pPr>
              <w:pStyle w:val="SingleTxtG"/>
              <w:spacing w:before="80" w:after="80" w:line="200" w:lineRule="exact"/>
              <w:ind w:left="0" w:right="113"/>
              <w:jc w:val="right"/>
              <w:rPr>
                <w:i/>
                <w:sz w:val="16"/>
              </w:rPr>
            </w:pPr>
            <w:r w:rsidRPr="003D1522">
              <w:rPr>
                <w:i/>
                <w:sz w:val="16"/>
              </w:rPr>
              <w:t>2014</w:t>
            </w:r>
          </w:p>
        </w:tc>
        <w:tc>
          <w:tcPr>
            <w:tcW w:w="577" w:type="pct"/>
            <w:tcBorders>
              <w:top w:val="single" w:sz="4" w:space="0" w:color="auto"/>
              <w:bottom w:val="single" w:sz="12" w:space="0" w:color="auto"/>
            </w:tcBorders>
            <w:shd w:val="clear" w:color="auto" w:fill="auto"/>
            <w:noWrap/>
            <w:vAlign w:val="bottom"/>
            <w:hideMark/>
          </w:tcPr>
          <w:p w:rsidR="002246AD" w:rsidRPr="003D1522" w:rsidRDefault="002246AD" w:rsidP="005122E3">
            <w:pPr>
              <w:pStyle w:val="SingleTxtG"/>
              <w:spacing w:before="80" w:after="80" w:line="200" w:lineRule="exact"/>
              <w:ind w:left="0" w:right="113"/>
              <w:jc w:val="right"/>
              <w:rPr>
                <w:i/>
                <w:sz w:val="16"/>
              </w:rPr>
            </w:pPr>
            <w:r w:rsidRPr="003D1522">
              <w:rPr>
                <w:i/>
                <w:sz w:val="16"/>
              </w:rPr>
              <w:t>2015</w:t>
            </w:r>
          </w:p>
        </w:tc>
        <w:tc>
          <w:tcPr>
            <w:tcW w:w="577" w:type="pct"/>
            <w:tcBorders>
              <w:top w:val="single" w:sz="4" w:space="0" w:color="auto"/>
              <w:bottom w:val="single" w:sz="12" w:space="0" w:color="auto"/>
            </w:tcBorders>
            <w:shd w:val="clear" w:color="auto" w:fill="auto"/>
            <w:noWrap/>
            <w:vAlign w:val="bottom"/>
            <w:hideMark/>
          </w:tcPr>
          <w:p w:rsidR="002246AD" w:rsidRPr="003D1522" w:rsidRDefault="002246AD" w:rsidP="005122E3">
            <w:pPr>
              <w:pStyle w:val="SingleTxtG"/>
              <w:spacing w:before="80" w:after="80" w:line="200" w:lineRule="exact"/>
              <w:ind w:left="0" w:right="113"/>
              <w:jc w:val="right"/>
              <w:rPr>
                <w:i/>
                <w:sz w:val="16"/>
              </w:rPr>
            </w:pPr>
            <w:r w:rsidRPr="003D1522">
              <w:rPr>
                <w:i/>
                <w:sz w:val="16"/>
              </w:rPr>
              <w:t>2016</w:t>
            </w:r>
          </w:p>
        </w:tc>
        <w:tc>
          <w:tcPr>
            <w:tcW w:w="577" w:type="pct"/>
            <w:tcBorders>
              <w:top w:val="single" w:sz="4" w:space="0" w:color="auto"/>
              <w:bottom w:val="single" w:sz="12" w:space="0" w:color="auto"/>
            </w:tcBorders>
            <w:shd w:val="clear" w:color="auto" w:fill="auto"/>
            <w:noWrap/>
            <w:vAlign w:val="bottom"/>
            <w:hideMark/>
          </w:tcPr>
          <w:p w:rsidR="002246AD" w:rsidRPr="003D1522" w:rsidRDefault="002246AD" w:rsidP="005122E3">
            <w:pPr>
              <w:pStyle w:val="SingleTxtG"/>
              <w:spacing w:before="80" w:after="80" w:line="200" w:lineRule="exact"/>
              <w:ind w:left="0" w:right="113"/>
              <w:jc w:val="right"/>
              <w:rPr>
                <w:i/>
                <w:sz w:val="16"/>
              </w:rPr>
            </w:pPr>
            <w:r w:rsidRPr="003D1522">
              <w:rPr>
                <w:i/>
                <w:sz w:val="16"/>
              </w:rPr>
              <w:t>2017</w:t>
            </w:r>
          </w:p>
        </w:tc>
      </w:tr>
      <w:tr w:rsidR="002246AD" w:rsidRPr="003D1522" w:rsidTr="003E638F">
        <w:tc>
          <w:tcPr>
            <w:tcW w:w="1539" w:type="pct"/>
            <w:tcBorders>
              <w:top w:val="single" w:sz="12" w:space="0" w:color="auto"/>
            </w:tcBorders>
            <w:shd w:val="clear" w:color="auto" w:fill="auto"/>
            <w:noWrap/>
            <w:hideMark/>
          </w:tcPr>
          <w:p w:rsidR="002246AD" w:rsidRPr="003D1522" w:rsidRDefault="002246AD" w:rsidP="005122E3">
            <w:pPr>
              <w:pStyle w:val="SingleTxtG"/>
              <w:spacing w:before="40" w:after="40" w:line="220" w:lineRule="exact"/>
              <w:ind w:left="0" w:right="113"/>
              <w:jc w:val="left"/>
              <w:rPr>
                <w:sz w:val="18"/>
              </w:rPr>
            </w:pPr>
            <w:r w:rsidRPr="003D1522">
              <w:rPr>
                <w:sz w:val="18"/>
              </w:rPr>
              <w:t>Wages lower than the minimum wage</w:t>
            </w:r>
          </w:p>
        </w:tc>
        <w:tc>
          <w:tcPr>
            <w:tcW w:w="577" w:type="pct"/>
            <w:tcBorders>
              <w:top w:val="single" w:sz="12" w:space="0" w:color="auto"/>
            </w:tcBorders>
            <w:shd w:val="clear" w:color="auto" w:fill="auto"/>
            <w:noWrap/>
            <w:vAlign w:val="bottom"/>
            <w:hideMark/>
          </w:tcPr>
          <w:p w:rsidR="002246AD" w:rsidRPr="003D1522" w:rsidRDefault="002246AD" w:rsidP="005122E3">
            <w:pPr>
              <w:pStyle w:val="SingleTxtG"/>
              <w:spacing w:before="40" w:after="40" w:line="220" w:lineRule="exact"/>
              <w:ind w:left="0" w:right="113"/>
              <w:jc w:val="right"/>
              <w:rPr>
                <w:sz w:val="18"/>
              </w:rPr>
            </w:pPr>
            <w:r w:rsidRPr="003D1522">
              <w:rPr>
                <w:sz w:val="18"/>
              </w:rPr>
              <w:t>9</w:t>
            </w:r>
          </w:p>
        </w:tc>
        <w:tc>
          <w:tcPr>
            <w:tcW w:w="577" w:type="pct"/>
            <w:tcBorders>
              <w:top w:val="single" w:sz="12" w:space="0" w:color="auto"/>
            </w:tcBorders>
            <w:shd w:val="clear" w:color="auto" w:fill="auto"/>
            <w:noWrap/>
            <w:vAlign w:val="bottom"/>
            <w:hideMark/>
          </w:tcPr>
          <w:p w:rsidR="002246AD" w:rsidRPr="003D1522" w:rsidRDefault="002246AD" w:rsidP="005122E3">
            <w:pPr>
              <w:pStyle w:val="SingleTxtG"/>
              <w:spacing w:before="40" w:after="40" w:line="220" w:lineRule="exact"/>
              <w:ind w:left="0" w:right="113"/>
              <w:jc w:val="right"/>
              <w:rPr>
                <w:sz w:val="18"/>
              </w:rPr>
            </w:pPr>
            <w:r w:rsidRPr="003D1522">
              <w:rPr>
                <w:sz w:val="18"/>
              </w:rPr>
              <w:t>12</w:t>
            </w:r>
          </w:p>
        </w:tc>
        <w:tc>
          <w:tcPr>
            <w:tcW w:w="577" w:type="pct"/>
            <w:tcBorders>
              <w:top w:val="single" w:sz="12" w:space="0" w:color="auto"/>
            </w:tcBorders>
            <w:shd w:val="clear" w:color="auto" w:fill="auto"/>
            <w:noWrap/>
            <w:vAlign w:val="bottom"/>
            <w:hideMark/>
          </w:tcPr>
          <w:p w:rsidR="002246AD" w:rsidRPr="003D1522" w:rsidRDefault="002246AD" w:rsidP="005122E3">
            <w:pPr>
              <w:pStyle w:val="SingleTxtG"/>
              <w:spacing w:before="40" w:after="40" w:line="220" w:lineRule="exact"/>
              <w:ind w:left="0" w:right="113"/>
              <w:jc w:val="right"/>
              <w:rPr>
                <w:sz w:val="18"/>
              </w:rPr>
            </w:pPr>
            <w:r w:rsidRPr="003D1522">
              <w:rPr>
                <w:sz w:val="18"/>
              </w:rPr>
              <w:t>19</w:t>
            </w:r>
          </w:p>
        </w:tc>
        <w:tc>
          <w:tcPr>
            <w:tcW w:w="577" w:type="pct"/>
            <w:tcBorders>
              <w:top w:val="single" w:sz="12" w:space="0" w:color="auto"/>
            </w:tcBorders>
            <w:shd w:val="clear" w:color="auto" w:fill="auto"/>
            <w:noWrap/>
            <w:vAlign w:val="bottom"/>
            <w:hideMark/>
          </w:tcPr>
          <w:p w:rsidR="002246AD" w:rsidRPr="003D1522" w:rsidRDefault="002246AD" w:rsidP="005122E3">
            <w:pPr>
              <w:pStyle w:val="SingleTxtG"/>
              <w:spacing w:before="40" w:after="40" w:line="220" w:lineRule="exact"/>
              <w:ind w:left="0" w:right="113"/>
              <w:jc w:val="right"/>
              <w:rPr>
                <w:sz w:val="18"/>
              </w:rPr>
            </w:pPr>
            <w:r w:rsidRPr="003D1522">
              <w:rPr>
                <w:sz w:val="18"/>
              </w:rPr>
              <w:t>24</w:t>
            </w:r>
          </w:p>
        </w:tc>
        <w:tc>
          <w:tcPr>
            <w:tcW w:w="577" w:type="pct"/>
            <w:tcBorders>
              <w:top w:val="single" w:sz="12" w:space="0" w:color="auto"/>
            </w:tcBorders>
            <w:shd w:val="clear" w:color="auto" w:fill="auto"/>
            <w:noWrap/>
            <w:vAlign w:val="bottom"/>
            <w:hideMark/>
          </w:tcPr>
          <w:p w:rsidR="002246AD" w:rsidRPr="003D1522" w:rsidRDefault="002246AD" w:rsidP="005122E3">
            <w:pPr>
              <w:pStyle w:val="SingleTxtG"/>
              <w:spacing w:before="40" w:after="40" w:line="220" w:lineRule="exact"/>
              <w:ind w:left="0" w:right="113"/>
              <w:jc w:val="right"/>
              <w:rPr>
                <w:sz w:val="18"/>
              </w:rPr>
            </w:pPr>
            <w:r w:rsidRPr="003D1522">
              <w:rPr>
                <w:sz w:val="18"/>
              </w:rPr>
              <w:t>46</w:t>
            </w:r>
          </w:p>
        </w:tc>
        <w:tc>
          <w:tcPr>
            <w:tcW w:w="577" w:type="pct"/>
            <w:tcBorders>
              <w:top w:val="single" w:sz="12" w:space="0" w:color="auto"/>
            </w:tcBorders>
            <w:shd w:val="clear" w:color="auto" w:fill="auto"/>
            <w:noWrap/>
            <w:vAlign w:val="bottom"/>
            <w:hideMark/>
          </w:tcPr>
          <w:p w:rsidR="002246AD" w:rsidRPr="003D1522" w:rsidRDefault="002246AD" w:rsidP="005122E3">
            <w:pPr>
              <w:pStyle w:val="SingleTxtG"/>
              <w:spacing w:before="40" w:after="40" w:line="220" w:lineRule="exact"/>
              <w:ind w:left="0" w:right="113"/>
              <w:jc w:val="right"/>
              <w:rPr>
                <w:sz w:val="18"/>
              </w:rPr>
            </w:pPr>
            <w:r w:rsidRPr="003D1522">
              <w:rPr>
                <w:sz w:val="18"/>
              </w:rPr>
              <w:t>35</w:t>
            </w:r>
          </w:p>
        </w:tc>
      </w:tr>
    </w:tbl>
    <w:p w:rsidR="002246AD" w:rsidRPr="003D1522" w:rsidRDefault="002246AD" w:rsidP="005122E3">
      <w:pPr>
        <w:spacing w:before="120" w:after="240"/>
        <w:ind w:left="1134" w:right="1134" w:firstLine="170"/>
        <w:rPr>
          <w:sz w:val="18"/>
        </w:rPr>
      </w:pPr>
      <w:r w:rsidRPr="003D1522">
        <w:rPr>
          <w:i/>
          <w:iCs/>
          <w:sz w:val="18"/>
        </w:rPr>
        <w:t>Source:</w:t>
      </w:r>
      <w:r w:rsidRPr="003D1522">
        <w:rPr>
          <w:sz w:val="18"/>
        </w:rPr>
        <w:t xml:space="preserve"> Labour Inspectorate</w:t>
      </w:r>
      <w:r w:rsidR="00E87279" w:rsidRPr="003D1522">
        <w:rPr>
          <w:sz w:val="18"/>
        </w:rPr>
        <w:t>.</w:t>
      </w:r>
    </w:p>
    <w:p w:rsidR="002246AD" w:rsidRPr="003D1522" w:rsidRDefault="002246AD" w:rsidP="00E87279">
      <w:pPr>
        <w:pStyle w:val="Heading1"/>
        <w:spacing w:after="120"/>
      </w:pPr>
      <w:r w:rsidRPr="003D1522">
        <w:lastRenderedPageBreak/>
        <w:t>Table 2</w:t>
      </w:r>
      <w:r w:rsidRPr="003D1522">
        <w:br/>
      </w:r>
      <w:r w:rsidRPr="003D1522">
        <w:rPr>
          <w:rStyle w:val="SingleTxtGChar"/>
          <w:b/>
          <w:bCs/>
        </w:rPr>
        <w:t>Number of inspections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9"/>
        <w:gridCol w:w="1051"/>
        <w:gridCol w:w="1052"/>
        <w:gridCol w:w="1052"/>
        <w:gridCol w:w="1052"/>
        <w:gridCol w:w="1052"/>
        <w:gridCol w:w="1052"/>
      </w:tblGrid>
      <w:tr w:rsidR="0003192F" w:rsidRPr="003D1522" w:rsidTr="0003192F">
        <w:trPr>
          <w:tblHeader/>
        </w:trPr>
        <w:tc>
          <w:tcPr>
            <w:tcW w:w="1385" w:type="dxa"/>
            <w:tcBorders>
              <w:top w:val="single" w:sz="4" w:space="0" w:color="auto"/>
              <w:bottom w:val="single" w:sz="12" w:space="0" w:color="auto"/>
            </w:tcBorders>
            <w:shd w:val="clear" w:color="auto" w:fill="auto"/>
            <w:noWrap/>
            <w:vAlign w:val="bottom"/>
            <w:hideMark/>
          </w:tcPr>
          <w:p w:rsidR="002246AD" w:rsidRPr="003D1522" w:rsidRDefault="000732E4" w:rsidP="0003192F">
            <w:pPr>
              <w:pStyle w:val="SingleTxtG"/>
              <w:spacing w:before="80" w:after="80" w:line="200" w:lineRule="exact"/>
              <w:ind w:left="0" w:right="113"/>
              <w:jc w:val="left"/>
              <w:rPr>
                <w:i/>
                <w:sz w:val="16"/>
              </w:rPr>
            </w:pPr>
            <w:r w:rsidRPr="003D1522">
              <w:rPr>
                <w:i/>
                <w:sz w:val="16"/>
              </w:rPr>
              <w:t xml:space="preserve"> </w:t>
            </w:r>
          </w:p>
        </w:tc>
        <w:tc>
          <w:tcPr>
            <w:tcW w:w="1374" w:type="dxa"/>
            <w:tcBorders>
              <w:top w:val="single" w:sz="4" w:space="0" w:color="auto"/>
              <w:bottom w:val="single" w:sz="12" w:space="0" w:color="auto"/>
            </w:tcBorders>
            <w:shd w:val="clear" w:color="auto" w:fill="auto"/>
            <w:noWrap/>
            <w:vAlign w:val="bottom"/>
            <w:hideMark/>
          </w:tcPr>
          <w:p w:rsidR="002246AD" w:rsidRPr="003D1522" w:rsidRDefault="002246AD" w:rsidP="0003192F">
            <w:pPr>
              <w:pStyle w:val="SingleTxtG"/>
              <w:spacing w:before="80" w:after="80" w:line="200" w:lineRule="exact"/>
              <w:ind w:left="0" w:right="113"/>
              <w:jc w:val="right"/>
              <w:rPr>
                <w:i/>
                <w:sz w:val="16"/>
              </w:rPr>
            </w:pPr>
            <w:r w:rsidRPr="003D1522">
              <w:rPr>
                <w:i/>
                <w:sz w:val="16"/>
              </w:rPr>
              <w:t>2012</w:t>
            </w:r>
          </w:p>
        </w:tc>
        <w:tc>
          <w:tcPr>
            <w:tcW w:w="1374" w:type="dxa"/>
            <w:tcBorders>
              <w:top w:val="single" w:sz="4" w:space="0" w:color="auto"/>
              <w:bottom w:val="single" w:sz="12" w:space="0" w:color="auto"/>
            </w:tcBorders>
            <w:shd w:val="clear" w:color="auto" w:fill="auto"/>
            <w:noWrap/>
            <w:vAlign w:val="bottom"/>
            <w:hideMark/>
          </w:tcPr>
          <w:p w:rsidR="002246AD" w:rsidRPr="003D1522" w:rsidRDefault="002246AD" w:rsidP="0003192F">
            <w:pPr>
              <w:pStyle w:val="SingleTxtG"/>
              <w:spacing w:before="80" w:after="80" w:line="200" w:lineRule="exact"/>
              <w:ind w:left="0" w:right="113"/>
              <w:jc w:val="right"/>
              <w:rPr>
                <w:i/>
                <w:sz w:val="16"/>
              </w:rPr>
            </w:pPr>
            <w:r w:rsidRPr="003D1522">
              <w:rPr>
                <w:i/>
                <w:sz w:val="16"/>
              </w:rPr>
              <w:t>2013</w:t>
            </w:r>
          </w:p>
        </w:tc>
        <w:tc>
          <w:tcPr>
            <w:tcW w:w="1374" w:type="dxa"/>
            <w:tcBorders>
              <w:top w:val="single" w:sz="4" w:space="0" w:color="auto"/>
              <w:bottom w:val="single" w:sz="12" w:space="0" w:color="auto"/>
            </w:tcBorders>
            <w:shd w:val="clear" w:color="auto" w:fill="auto"/>
            <w:noWrap/>
            <w:vAlign w:val="bottom"/>
            <w:hideMark/>
          </w:tcPr>
          <w:p w:rsidR="002246AD" w:rsidRPr="003D1522" w:rsidRDefault="002246AD" w:rsidP="0003192F">
            <w:pPr>
              <w:pStyle w:val="SingleTxtG"/>
              <w:spacing w:before="80" w:after="80" w:line="200" w:lineRule="exact"/>
              <w:ind w:left="0" w:right="113"/>
              <w:jc w:val="right"/>
              <w:rPr>
                <w:i/>
                <w:sz w:val="16"/>
              </w:rPr>
            </w:pPr>
            <w:r w:rsidRPr="003D1522">
              <w:rPr>
                <w:i/>
                <w:sz w:val="16"/>
              </w:rPr>
              <w:t>2014</w:t>
            </w:r>
          </w:p>
        </w:tc>
        <w:tc>
          <w:tcPr>
            <w:tcW w:w="1374" w:type="dxa"/>
            <w:tcBorders>
              <w:top w:val="single" w:sz="4" w:space="0" w:color="auto"/>
              <w:bottom w:val="single" w:sz="12" w:space="0" w:color="auto"/>
            </w:tcBorders>
            <w:shd w:val="clear" w:color="auto" w:fill="auto"/>
            <w:noWrap/>
            <w:vAlign w:val="bottom"/>
            <w:hideMark/>
          </w:tcPr>
          <w:p w:rsidR="002246AD" w:rsidRPr="003D1522" w:rsidRDefault="002246AD" w:rsidP="0003192F">
            <w:pPr>
              <w:pStyle w:val="SingleTxtG"/>
              <w:spacing w:before="80" w:after="80" w:line="200" w:lineRule="exact"/>
              <w:ind w:left="0" w:right="113"/>
              <w:jc w:val="right"/>
              <w:rPr>
                <w:i/>
                <w:sz w:val="16"/>
              </w:rPr>
            </w:pPr>
            <w:r w:rsidRPr="003D1522">
              <w:rPr>
                <w:i/>
                <w:sz w:val="16"/>
              </w:rPr>
              <w:t>2015</w:t>
            </w:r>
          </w:p>
        </w:tc>
        <w:tc>
          <w:tcPr>
            <w:tcW w:w="1374" w:type="dxa"/>
            <w:tcBorders>
              <w:top w:val="single" w:sz="4" w:space="0" w:color="auto"/>
              <w:bottom w:val="single" w:sz="12" w:space="0" w:color="auto"/>
            </w:tcBorders>
            <w:shd w:val="clear" w:color="auto" w:fill="auto"/>
            <w:noWrap/>
            <w:vAlign w:val="bottom"/>
            <w:hideMark/>
          </w:tcPr>
          <w:p w:rsidR="002246AD" w:rsidRPr="003D1522" w:rsidRDefault="002246AD" w:rsidP="0003192F">
            <w:pPr>
              <w:pStyle w:val="SingleTxtG"/>
              <w:spacing w:before="80" w:after="80" w:line="200" w:lineRule="exact"/>
              <w:ind w:left="0" w:right="113"/>
              <w:jc w:val="right"/>
              <w:rPr>
                <w:i/>
                <w:sz w:val="16"/>
              </w:rPr>
            </w:pPr>
            <w:r w:rsidRPr="003D1522">
              <w:rPr>
                <w:i/>
                <w:sz w:val="16"/>
              </w:rPr>
              <w:t>2016</w:t>
            </w:r>
          </w:p>
        </w:tc>
        <w:tc>
          <w:tcPr>
            <w:tcW w:w="1374" w:type="dxa"/>
            <w:tcBorders>
              <w:top w:val="single" w:sz="4" w:space="0" w:color="auto"/>
              <w:bottom w:val="single" w:sz="12" w:space="0" w:color="auto"/>
            </w:tcBorders>
            <w:shd w:val="clear" w:color="auto" w:fill="auto"/>
            <w:noWrap/>
            <w:vAlign w:val="bottom"/>
            <w:hideMark/>
          </w:tcPr>
          <w:p w:rsidR="002246AD" w:rsidRPr="003D1522" w:rsidRDefault="002246AD" w:rsidP="0003192F">
            <w:pPr>
              <w:pStyle w:val="SingleTxtG"/>
              <w:spacing w:before="80" w:after="80" w:line="200" w:lineRule="exact"/>
              <w:ind w:left="0" w:right="113"/>
              <w:jc w:val="right"/>
              <w:rPr>
                <w:i/>
                <w:sz w:val="16"/>
              </w:rPr>
            </w:pPr>
            <w:r w:rsidRPr="003D1522">
              <w:rPr>
                <w:i/>
                <w:sz w:val="16"/>
              </w:rPr>
              <w:t>2017</w:t>
            </w:r>
          </w:p>
        </w:tc>
      </w:tr>
      <w:tr w:rsidR="002246AD" w:rsidRPr="003D1522" w:rsidTr="0003192F">
        <w:tc>
          <w:tcPr>
            <w:tcW w:w="1385" w:type="dxa"/>
            <w:tcBorders>
              <w:top w:val="single" w:sz="12" w:space="0" w:color="auto"/>
            </w:tcBorders>
            <w:shd w:val="clear" w:color="auto" w:fill="auto"/>
            <w:noWrap/>
            <w:hideMark/>
          </w:tcPr>
          <w:p w:rsidR="002246AD" w:rsidRPr="003D1522" w:rsidRDefault="002246AD" w:rsidP="00E45464">
            <w:pPr>
              <w:pStyle w:val="SingleTxtG"/>
              <w:spacing w:before="80" w:after="80" w:line="220" w:lineRule="exact"/>
              <w:ind w:left="283" w:right="0"/>
              <w:jc w:val="left"/>
              <w:rPr>
                <w:b/>
                <w:sz w:val="18"/>
              </w:rPr>
            </w:pPr>
            <w:r w:rsidRPr="003D1522">
              <w:rPr>
                <w:b/>
                <w:sz w:val="18"/>
              </w:rPr>
              <w:t>Total</w:t>
            </w:r>
          </w:p>
        </w:tc>
        <w:tc>
          <w:tcPr>
            <w:tcW w:w="1374" w:type="dxa"/>
            <w:tcBorders>
              <w:top w:val="single" w:sz="12" w:space="0" w:color="auto"/>
            </w:tcBorders>
            <w:shd w:val="clear" w:color="auto" w:fill="auto"/>
            <w:noWrap/>
            <w:vAlign w:val="bottom"/>
            <w:hideMark/>
          </w:tcPr>
          <w:p w:rsidR="002246AD" w:rsidRPr="003D1522" w:rsidRDefault="002246AD" w:rsidP="0003192F">
            <w:pPr>
              <w:pStyle w:val="SingleTxtG"/>
              <w:spacing w:before="40" w:after="40" w:line="220" w:lineRule="exact"/>
              <w:ind w:left="0" w:right="113"/>
              <w:jc w:val="right"/>
              <w:rPr>
                <w:b/>
                <w:bCs/>
                <w:sz w:val="18"/>
              </w:rPr>
            </w:pPr>
            <w:r w:rsidRPr="003D1522">
              <w:rPr>
                <w:b/>
                <w:bCs/>
                <w:sz w:val="18"/>
              </w:rPr>
              <w:t>4</w:t>
            </w:r>
            <w:r w:rsidR="0003192F" w:rsidRPr="003D1522">
              <w:rPr>
                <w:b/>
                <w:bCs/>
                <w:sz w:val="18"/>
              </w:rPr>
              <w:t xml:space="preserve"> </w:t>
            </w:r>
            <w:r w:rsidRPr="003D1522">
              <w:rPr>
                <w:b/>
                <w:bCs/>
                <w:sz w:val="18"/>
              </w:rPr>
              <w:t>051</w:t>
            </w:r>
          </w:p>
        </w:tc>
        <w:tc>
          <w:tcPr>
            <w:tcW w:w="1374" w:type="dxa"/>
            <w:tcBorders>
              <w:top w:val="single" w:sz="12" w:space="0" w:color="auto"/>
            </w:tcBorders>
            <w:shd w:val="clear" w:color="auto" w:fill="auto"/>
            <w:noWrap/>
            <w:vAlign w:val="bottom"/>
            <w:hideMark/>
          </w:tcPr>
          <w:p w:rsidR="002246AD" w:rsidRPr="003D1522" w:rsidRDefault="002246AD" w:rsidP="0003192F">
            <w:pPr>
              <w:pStyle w:val="SingleTxtG"/>
              <w:spacing w:before="40" w:after="40" w:line="220" w:lineRule="exact"/>
              <w:ind w:left="0" w:right="113"/>
              <w:jc w:val="right"/>
              <w:rPr>
                <w:b/>
                <w:bCs/>
                <w:sz w:val="18"/>
              </w:rPr>
            </w:pPr>
            <w:r w:rsidRPr="003D1522">
              <w:rPr>
                <w:b/>
                <w:bCs/>
                <w:sz w:val="18"/>
              </w:rPr>
              <w:t>3</w:t>
            </w:r>
            <w:r w:rsidR="0003192F" w:rsidRPr="003D1522">
              <w:rPr>
                <w:b/>
                <w:bCs/>
                <w:sz w:val="18"/>
              </w:rPr>
              <w:t xml:space="preserve"> </w:t>
            </w:r>
            <w:r w:rsidRPr="003D1522">
              <w:rPr>
                <w:b/>
                <w:bCs/>
                <w:sz w:val="18"/>
              </w:rPr>
              <w:t>787</w:t>
            </w:r>
          </w:p>
        </w:tc>
        <w:tc>
          <w:tcPr>
            <w:tcW w:w="1374" w:type="dxa"/>
            <w:tcBorders>
              <w:top w:val="single" w:sz="12" w:space="0" w:color="auto"/>
            </w:tcBorders>
            <w:shd w:val="clear" w:color="auto" w:fill="auto"/>
            <w:noWrap/>
            <w:vAlign w:val="bottom"/>
            <w:hideMark/>
          </w:tcPr>
          <w:p w:rsidR="002246AD" w:rsidRPr="003D1522" w:rsidRDefault="002246AD" w:rsidP="0003192F">
            <w:pPr>
              <w:pStyle w:val="SingleTxtG"/>
              <w:spacing w:before="40" w:after="40" w:line="220" w:lineRule="exact"/>
              <w:ind w:left="0" w:right="113"/>
              <w:jc w:val="right"/>
              <w:rPr>
                <w:b/>
                <w:bCs/>
                <w:sz w:val="18"/>
              </w:rPr>
            </w:pPr>
            <w:r w:rsidRPr="003D1522">
              <w:rPr>
                <w:b/>
                <w:bCs/>
                <w:sz w:val="18"/>
              </w:rPr>
              <w:t>4</w:t>
            </w:r>
            <w:r w:rsidR="0003192F" w:rsidRPr="003D1522">
              <w:rPr>
                <w:b/>
                <w:bCs/>
                <w:sz w:val="18"/>
              </w:rPr>
              <w:t xml:space="preserve"> </w:t>
            </w:r>
            <w:r w:rsidRPr="003D1522">
              <w:rPr>
                <w:b/>
                <w:bCs/>
                <w:sz w:val="18"/>
              </w:rPr>
              <w:t>268</w:t>
            </w:r>
          </w:p>
        </w:tc>
        <w:tc>
          <w:tcPr>
            <w:tcW w:w="1374" w:type="dxa"/>
            <w:tcBorders>
              <w:top w:val="single" w:sz="12" w:space="0" w:color="auto"/>
            </w:tcBorders>
            <w:shd w:val="clear" w:color="auto" w:fill="auto"/>
            <w:noWrap/>
            <w:vAlign w:val="bottom"/>
            <w:hideMark/>
          </w:tcPr>
          <w:p w:rsidR="002246AD" w:rsidRPr="003D1522" w:rsidRDefault="002246AD" w:rsidP="0003192F">
            <w:pPr>
              <w:pStyle w:val="SingleTxtG"/>
              <w:spacing w:before="40" w:after="40" w:line="220" w:lineRule="exact"/>
              <w:ind w:left="0" w:right="113"/>
              <w:jc w:val="right"/>
              <w:rPr>
                <w:b/>
                <w:bCs/>
                <w:sz w:val="18"/>
              </w:rPr>
            </w:pPr>
            <w:r w:rsidRPr="003D1522">
              <w:rPr>
                <w:b/>
                <w:bCs/>
                <w:sz w:val="18"/>
              </w:rPr>
              <w:t>4</w:t>
            </w:r>
            <w:r w:rsidR="0003192F" w:rsidRPr="003D1522">
              <w:rPr>
                <w:b/>
                <w:bCs/>
                <w:sz w:val="18"/>
              </w:rPr>
              <w:t xml:space="preserve"> </w:t>
            </w:r>
            <w:r w:rsidRPr="003D1522">
              <w:rPr>
                <w:b/>
                <w:bCs/>
                <w:sz w:val="18"/>
              </w:rPr>
              <w:t>752</w:t>
            </w:r>
          </w:p>
        </w:tc>
        <w:tc>
          <w:tcPr>
            <w:tcW w:w="1374" w:type="dxa"/>
            <w:tcBorders>
              <w:top w:val="single" w:sz="12" w:space="0" w:color="auto"/>
            </w:tcBorders>
            <w:shd w:val="clear" w:color="auto" w:fill="auto"/>
            <w:noWrap/>
            <w:vAlign w:val="bottom"/>
            <w:hideMark/>
          </w:tcPr>
          <w:p w:rsidR="002246AD" w:rsidRPr="003D1522" w:rsidRDefault="002246AD" w:rsidP="0003192F">
            <w:pPr>
              <w:pStyle w:val="SingleTxtG"/>
              <w:spacing w:before="40" w:after="40" w:line="220" w:lineRule="exact"/>
              <w:ind w:left="0" w:right="113"/>
              <w:jc w:val="right"/>
              <w:rPr>
                <w:b/>
                <w:bCs/>
                <w:sz w:val="18"/>
              </w:rPr>
            </w:pPr>
            <w:r w:rsidRPr="003D1522">
              <w:rPr>
                <w:b/>
                <w:bCs/>
                <w:sz w:val="18"/>
              </w:rPr>
              <w:t>5</w:t>
            </w:r>
            <w:r w:rsidR="0003192F" w:rsidRPr="003D1522">
              <w:rPr>
                <w:b/>
                <w:bCs/>
                <w:sz w:val="18"/>
              </w:rPr>
              <w:t xml:space="preserve"> </w:t>
            </w:r>
            <w:r w:rsidRPr="003D1522">
              <w:rPr>
                <w:b/>
                <w:bCs/>
                <w:sz w:val="18"/>
              </w:rPr>
              <w:t>282</w:t>
            </w:r>
          </w:p>
        </w:tc>
        <w:tc>
          <w:tcPr>
            <w:tcW w:w="1374" w:type="dxa"/>
            <w:tcBorders>
              <w:top w:val="single" w:sz="12" w:space="0" w:color="auto"/>
            </w:tcBorders>
            <w:shd w:val="clear" w:color="auto" w:fill="auto"/>
            <w:noWrap/>
            <w:vAlign w:val="bottom"/>
            <w:hideMark/>
          </w:tcPr>
          <w:p w:rsidR="002246AD" w:rsidRPr="003D1522" w:rsidRDefault="002246AD" w:rsidP="0003192F">
            <w:pPr>
              <w:pStyle w:val="SingleTxtG"/>
              <w:spacing w:before="40" w:after="40" w:line="220" w:lineRule="exact"/>
              <w:ind w:left="0" w:right="113"/>
              <w:jc w:val="right"/>
              <w:rPr>
                <w:b/>
                <w:bCs/>
                <w:sz w:val="18"/>
              </w:rPr>
            </w:pPr>
            <w:r w:rsidRPr="003D1522">
              <w:rPr>
                <w:b/>
                <w:bCs/>
                <w:sz w:val="18"/>
              </w:rPr>
              <w:t>4</w:t>
            </w:r>
            <w:r w:rsidR="0003192F" w:rsidRPr="003D1522">
              <w:rPr>
                <w:b/>
                <w:bCs/>
                <w:sz w:val="18"/>
              </w:rPr>
              <w:t xml:space="preserve"> </w:t>
            </w:r>
            <w:r w:rsidRPr="003D1522">
              <w:rPr>
                <w:b/>
                <w:bCs/>
                <w:sz w:val="18"/>
              </w:rPr>
              <w:t>640</w:t>
            </w:r>
          </w:p>
        </w:tc>
      </w:tr>
    </w:tbl>
    <w:p w:rsidR="002246AD" w:rsidRPr="003D1522" w:rsidRDefault="002246AD" w:rsidP="001E40E4">
      <w:pPr>
        <w:spacing w:before="120" w:after="240"/>
        <w:ind w:left="1134" w:right="1134" w:firstLine="170"/>
        <w:rPr>
          <w:sz w:val="18"/>
        </w:rPr>
      </w:pPr>
      <w:r w:rsidRPr="003D1522">
        <w:rPr>
          <w:i/>
          <w:iCs/>
          <w:sz w:val="18"/>
        </w:rPr>
        <w:t>Source</w:t>
      </w:r>
      <w:r w:rsidRPr="003D1522">
        <w:rPr>
          <w:sz w:val="18"/>
        </w:rPr>
        <w:t>: Labour Inspectorate</w:t>
      </w:r>
      <w:r w:rsidR="00E87279" w:rsidRPr="003D1522">
        <w:rPr>
          <w:sz w:val="18"/>
        </w:rPr>
        <w:t>.</w:t>
      </w:r>
    </w:p>
    <w:p w:rsidR="002246AD" w:rsidRPr="003D1522" w:rsidRDefault="002246AD" w:rsidP="007566D9">
      <w:pPr>
        <w:pStyle w:val="SingleTxtG"/>
      </w:pPr>
      <w:r w:rsidRPr="003D1522">
        <w:t>34.</w:t>
      </w:r>
      <w:r w:rsidRPr="003D1522">
        <w:tab/>
        <w:t>Comparing the numbers of visits and of violations, the number of violations is relatively marginal. If the employer has not notified the employee about wages in the written employment contract or that the wage agreed in the contract is less than the minimum wage, the labour inspector has a right to issue a precept to ask to stop the violation. Penalty payment may be imposed to enforce the precept. In 2010</w:t>
      </w:r>
      <w:r w:rsidR="001E40E4" w:rsidRPr="003D1522">
        <w:t>–</w:t>
      </w:r>
      <w:r w:rsidRPr="003D1522">
        <w:t xml:space="preserve">2017 the Labour Inspectorate identified 39 violations concerning minimum wage. However, penalty payments have not been imposed. </w:t>
      </w:r>
    </w:p>
    <w:p w:rsidR="002246AD" w:rsidRPr="003D1522" w:rsidRDefault="002246AD" w:rsidP="008362FD">
      <w:pPr>
        <w:pStyle w:val="H23G"/>
      </w:pPr>
      <w:r w:rsidRPr="003D1522">
        <w:tab/>
      </w:r>
      <w:r w:rsidRPr="003D1522">
        <w:tab/>
        <w:t xml:space="preserve">Gender pay gap </w:t>
      </w:r>
    </w:p>
    <w:p w:rsidR="002246AD" w:rsidRPr="003D1522" w:rsidRDefault="002246AD" w:rsidP="007566D9">
      <w:pPr>
        <w:pStyle w:val="SingleTxtG"/>
      </w:pPr>
      <w:r w:rsidRPr="003D1522">
        <w:t>35.</w:t>
      </w:r>
      <w:r w:rsidRPr="003D1522">
        <w:tab/>
        <w:t xml:space="preserve">The gender pay gap in Estonia has slowly but steadily decreased, dropping from 29,9% in 2012 to 25,3% in 2016. One of the key measures to decrease gender pay gap and enhance institutional arrangements in the coming years is through the amendments of the Gender Equality Act. </w:t>
      </w:r>
    </w:p>
    <w:p w:rsidR="002246AD" w:rsidRPr="003D1522" w:rsidRDefault="002246AD" w:rsidP="007566D9">
      <w:pPr>
        <w:pStyle w:val="SingleTxtG"/>
      </w:pPr>
      <w:r w:rsidRPr="003D1522">
        <w:t>36.</w:t>
      </w:r>
      <w:r w:rsidRPr="003D1522">
        <w:tab/>
        <w:t>Amendments will provide the Labour Inspectorate with the right to exercise state supervision over implementation of the requirement of equal pay for women and men and the right to precept employers to conduct equal pay audits if the Labour Inspectorate suspects that their activities may be discriminatory in the public sector. A new IT tool together with guidelines will be developed. Guidelines will provide know-how for labour inspectors and employers on evaluation and comparison of jobs. The IT tool and relevant guidelines will also be available for use for all the employers in the private sector as well. The amendments should apply from 1st of July 2020.</w:t>
      </w:r>
    </w:p>
    <w:p w:rsidR="002246AD" w:rsidRPr="003D1522" w:rsidRDefault="002246AD" w:rsidP="007566D9">
      <w:pPr>
        <w:pStyle w:val="SingleTxtG"/>
      </w:pPr>
      <w:r w:rsidRPr="003D1522">
        <w:t>37.</w:t>
      </w:r>
      <w:r w:rsidRPr="003D1522">
        <w:tab/>
        <w:t xml:space="preserve">Gender pay gap is one of the most crucial issues on gender equality field. An in-depth analysis will be carried out as more precise data is needed to sufficiently address the problem. As a result, Estonia will have more data on gender pay gap and a smaller proportion of the unexplainable pay gap. The results will be used in policymaking as well as in awareness raising activities. The project call was launched June 2018, the activities start in January 2019 and end in 2021. The first preliminary results will be available in summer 2019. </w:t>
      </w:r>
    </w:p>
    <w:p w:rsidR="002246AD" w:rsidRPr="003D1522" w:rsidRDefault="002246AD" w:rsidP="007566D9">
      <w:pPr>
        <w:pStyle w:val="SingleTxtG"/>
      </w:pPr>
      <w:r w:rsidRPr="003D1522">
        <w:t>38.</w:t>
      </w:r>
      <w:r w:rsidRPr="003D1522">
        <w:tab/>
        <w:t xml:space="preserve">The strategy of integration and social cohesion </w:t>
      </w:r>
      <w:r w:rsidR="00C62389" w:rsidRPr="003D1522">
        <w:t>“</w:t>
      </w:r>
      <w:r w:rsidRPr="003D1522">
        <w:t>Integrating Estonia 2020</w:t>
      </w:r>
      <w:r w:rsidR="00C62389" w:rsidRPr="003D1522">
        <w:t>”</w:t>
      </w:r>
      <w:r w:rsidRPr="003D1522">
        <w:t xml:space="preserve"> includes specific measure </w:t>
      </w:r>
      <w:r w:rsidR="00C62389" w:rsidRPr="003D1522">
        <w:t>“</w:t>
      </w:r>
      <w:r w:rsidRPr="003D1522">
        <w:t>Promotion of equal treatment on the labour market</w:t>
      </w:r>
      <w:r w:rsidR="00C62389" w:rsidRPr="003D1522">
        <w:t>”</w:t>
      </w:r>
      <w:r w:rsidRPr="003D1522">
        <w:t>. Different activities for promoting equal treatment of the staff in public and private sector are implemented under the measure.</w:t>
      </w:r>
    </w:p>
    <w:p w:rsidR="002246AD" w:rsidRPr="003D1522" w:rsidRDefault="002246AD" w:rsidP="007566D9">
      <w:pPr>
        <w:pStyle w:val="SingleTxtG"/>
      </w:pPr>
      <w:r w:rsidRPr="003D1522">
        <w:t>39.</w:t>
      </w:r>
      <w:r w:rsidRPr="003D1522">
        <w:tab/>
        <w:t xml:space="preserve">Women are overrepresented in fields such as education, social services and healthcare and men in real estate, construction, ICT. In ICT field, only 29% of the workers are women. This is being enforced by the educational system as 71% of the students who were accepted to the university to study ICT in 2017, were men. However, the state has been increasing the efforts to increase the % of women in ICT. </w:t>
      </w:r>
    </w:p>
    <w:p w:rsidR="002246AD" w:rsidRPr="003D1522" w:rsidRDefault="002246AD" w:rsidP="007566D9">
      <w:pPr>
        <w:pStyle w:val="SingleTxtG"/>
      </w:pPr>
      <w:r w:rsidRPr="003D1522">
        <w:t>40.</w:t>
      </w:r>
      <w:r w:rsidRPr="003D1522">
        <w:tab/>
        <w:t xml:space="preserve">There have been campaigns inviting women to study ICT (Ministry of Economic Affairs and Communications started the campaign </w:t>
      </w:r>
      <w:r w:rsidR="00C62389" w:rsidRPr="003D1522">
        <w:t>“</w:t>
      </w:r>
      <w:r w:rsidRPr="003D1522">
        <w:t>ICT is everywhere</w:t>
      </w:r>
      <w:r w:rsidR="00C62389" w:rsidRPr="003D1522">
        <w:t>”</w:t>
      </w:r>
      <w:r w:rsidRPr="003D1522">
        <w:t xml:space="preserve"> directed primarily at girls and young women to inspire them to study IT-related fields). There are also several NGOs who promote women</w:t>
      </w:r>
      <w:r w:rsidR="00C62389" w:rsidRPr="003D1522">
        <w:t>’</w:t>
      </w:r>
      <w:r w:rsidRPr="003D1522">
        <w:t xml:space="preserve">s involvement and careers in ICT. </w:t>
      </w:r>
    </w:p>
    <w:p w:rsidR="002246AD" w:rsidRPr="003D1522" w:rsidRDefault="002246AD" w:rsidP="007566D9">
      <w:pPr>
        <w:pStyle w:val="SingleTxtG"/>
      </w:pPr>
      <w:r w:rsidRPr="003D1522">
        <w:t>41.</w:t>
      </w:r>
      <w:r w:rsidRPr="003D1522">
        <w:tab/>
        <w:t>There have also been trainings for career counsellors to raise their gender awareness and several information materials produced for parents</w:t>
      </w:r>
      <w:r w:rsidRPr="003D1522">
        <w:rPr>
          <w:rStyle w:val="FootnoteReference"/>
        </w:rPr>
        <w:footnoteReference w:id="9"/>
      </w:r>
      <w:r w:rsidRPr="003D1522">
        <w:t xml:space="preserve"> and hobby group instructors</w:t>
      </w:r>
      <w:r w:rsidRPr="003D1522">
        <w:rPr>
          <w:rStyle w:val="FootnoteReference"/>
        </w:rPr>
        <w:footnoteReference w:id="10"/>
      </w:r>
      <w:r w:rsidRPr="003D1522">
        <w:t xml:space="preserve"> how to awake girls</w:t>
      </w:r>
      <w:r w:rsidR="00C62389" w:rsidRPr="003D1522">
        <w:t>’</w:t>
      </w:r>
      <w:r w:rsidRPr="003D1522">
        <w:t xml:space="preserve"> interest in STEM (science, technology, engineering and mathematics) fields. </w:t>
      </w:r>
    </w:p>
    <w:p w:rsidR="002246AD" w:rsidRPr="003D1522" w:rsidRDefault="002246AD" w:rsidP="007566D9">
      <w:pPr>
        <w:pStyle w:val="SingleTxtG"/>
      </w:pPr>
      <w:r w:rsidRPr="003D1522">
        <w:lastRenderedPageBreak/>
        <w:t>42.</w:t>
      </w:r>
      <w:r w:rsidRPr="003D1522">
        <w:tab/>
        <w:t xml:space="preserve">Estonian parental leave system is generous by its duration. The main criticism has been, that the system is rather inflexible and women face longer career breaks, which also influences their career perspective negatively. </w:t>
      </w:r>
    </w:p>
    <w:p w:rsidR="002246AD" w:rsidRPr="003D1522" w:rsidRDefault="002246AD" w:rsidP="007566D9">
      <w:pPr>
        <w:pStyle w:val="SingleTxtG"/>
      </w:pPr>
      <w:r w:rsidRPr="003D1522">
        <w:t>43.</w:t>
      </w:r>
      <w:r w:rsidRPr="003D1522">
        <w:tab/>
        <w:t xml:space="preserve">The Green Paper on family benefits, services and parental leave of 2015 included 11 policy proposals on family benefits, services and parental leave. The main policy proposals promoting gender equality concerned changing the parental leave and benefit system as well as amending the conditions of Early Childhood Education and Care (ECEC) services. Many of the policy proposals of the Green Paper have been accomplished or are in the process of being accomplished. </w:t>
      </w:r>
    </w:p>
    <w:p w:rsidR="002246AD" w:rsidRPr="003D1522" w:rsidRDefault="002246AD" w:rsidP="007566D9">
      <w:pPr>
        <w:pStyle w:val="SingleTxtG"/>
      </w:pPr>
      <w:r w:rsidRPr="003D1522">
        <w:t>44.</w:t>
      </w:r>
      <w:r w:rsidRPr="003D1522">
        <w:tab/>
        <w:t>In 2016 a memorandum of the parental leave and benefit system changes was compiled. The first part of the amendments in the Family Benefits Act were adopted in 2017 including a 30-day individual right for paternity leave and benefit for all fathers and better conditions for combining work and family life, changes are established gradually in the years 2018</w:t>
      </w:r>
      <w:r w:rsidR="00651F9E" w:rsidRPr="003D1522">
        <w:t>–</w:t>
      </w:r>
      <w:r w:rsidRPr="003D1522">
        <w:t xml:space="preserve">2020. </w:t>
      </w:r>
    </w:p>
    <w:p w:rsidR="002246AD" w:rsidRPr="003D1522" w:rsidRDefault="002246AD" w:rsidP="007566D9">
      <w:pPr>
        <w:pStyle w:val="SingleTxtG"/>
      </w:pPr>
      <w:r w:rsidRPr="003D1522">
        <w:t>45.</w:t>
      </w:r>
      <w:r w:rsidRPr="003D1522">
        <w:tab/>
        <w:t>The second part of the amendments were passed in 2018 providing more flexible forms to combine work and parental leave. For example the maternity leave period will be shortened from 140 days to 60</w:t>
      </w:r>
      <w:r w:rsidR="00C6515E" w:rsidRPr="003D1522">
        <w:t>–</w:t>
      </w:r>
      <w:r w:rsidRPr="003D1522">
        <w:t xml:space="preserve">100 days (depending on how the mother wishes to use the period) and the parents will have a longer period of sharable parental leave and benefit. The amendments will take effect on 1st April 2022. </w:t>
      </w:r>
    </w:p>
    <w:p w:rsidR="002246AD" w:rsidRPr="003D1522" w:rsidRDefault="002246AD" w:rsidP="007566D9">
      <w:pPr>
        <w:pStyle w:val="SingleTxtG"/>
      </w:pPr>
      <w:r w:rsidRPr="003D1522">
        <w:t>46.</w:t>
      </w:r>
      <w:r w:rsidRPr="003D1522">
        <w:tab/>
        <w:t>In years 2015 to 2018 altogether 1193 childcare places have been created in all over the country. The participation in Early Childhood Education services has increased. In 2012 23% of the children aged 0</w:t>
      </w:r>
      <w:r w:rsidR="00651F9E" w:rsidRPr="003D1522">
        <w:t>–</w:t>
      </w:r>
      <w:r w:rsidRPr="003D1522">
        <w:t>2 and 91% of children aged 3</w:t>
      </w:r>
      <w:r w:rsidR="00402B30" w:rsidRPr="003D1522">
        <w:t>–</w:t>
      </w:r>
      <w:r w:rsidRPr="003D1522">
        <w:t>6 were in the childcare, in 2017 the percentage in these age groups was 28% and 95% accordingly.</w:t>
      </w:r>
    </w:p>
    <w:p w:rsidR="002246AD" w:rsidRPr="003D1522" w:rsidRDefault="00402B30" w:rsidP="00402B30">
      <w:pPr>
        <w:pStyle w:val="H23G"/>
      </w:pPr>
      <w:r w:rsidRPr="003D1522">
        <w:tab/>
      </w:r>
      <w:r w:rsidRPr="003D1522">
        <w:tab/>
      </w:r>
      <w:r w:rsidR="002246AD" w:rsidRPr="003D1522">
        <w:t xml:space="preserve">Occupational safety and health </w:t>
      </w:r>
    </w:p>
    <w:p w:rsidR="002246AD" w:rsidRPr="003D1522" w:rsidRDefault="002246AD" w:rsidP="007566D9">
      <w:pPr>
        <w:pStyle w:val="SingleTxtG"/>
      </w:pPr>
      <w:r w:rsidRPr="003D1522">
        <w:t>47.</w:t>
      </w:r>
      <w:r w:rsidRPr="003D1522">
        <w:tab/>
        <w:t>The occupational safety supervision is the main priority of the Labour Inspectorate activities. The aim is to reduce the number of serious and fatal work accidents. The Labour Inspectorate</w:t>
      </w:r>
      <w:r w:rsidR="00C62389" w:rsidRPr="003D1522">
        <w:t>’</w:t>
      </w:r>
      <w:r w:rsidRPr="003D1522">
        <w:t>s survey of enterprises is based on the risk rate, which in turn is based on the number and characteristics of work accidents, occupational diseases and work-related diseases in the area of activity and in the specific enterprise. The risk rate is also influenced by the risk level attributed to the area of activity, the time of the last visit to the enterprise, and detected deficiencies in the enterprise. Each enterprise will have an individual risk rate and the enterprises with the highest risk rate are chosen for inspection. Since 2017, the Labour Inspectorate inspect those enterprises in which the work accidents recur or the employer has not paid sufficient attention to finding out the causes of work accidents and prevented the occurrence of similar cases.</w:t>
      </w:r>
    </w:p>
    <w:p w:rsidR="002246AD" w:rsidRPr="003D1522" w:rsidRDefault="002246AD" w:rsidP="006E1F92">
      <w:pPr>
        <w:pStyle w:val="SingleTxtG"/>
        <w:spacing w:after="240"/>
      </w:pPr>
      <w:r w:rsidRPr="003D1522">
        <w:t>48.</w:t>
      </w:r>
      <w:r w:rsidRPr="003D1522">
        <w:tab/>
        <w:t>The scope of supervision is based on the occurrence of work accidents. The wood industry is under increased supervision due to occupational accidents and occupational diseases. Based on statistics only 3% of employees work in agriculture. It means that the percentage of supervision in the agriculture is not so high than some years ago.</w:t>
      </w:r>
    </w:p>
    <w:tbl>
      <w:tblPr>
        <w:tblStyle w:val="TableGrid"/>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992"/>
        <w:gridCol w:w="709"/>
        <w:gridCol w:w="567"/>
        <w:gridCol w:w="567"/>
        <w:gridCol w:w="709"/>
        <w:gridCol w:w="708"/>
        <w:gridCol w:w="709"/>
        <w:gridCol w:w="709"/>
        <w:gridCol w:w="709"/>
        <w:gridCol w:w="708"/>
        <w:gridCol w:w="567"/>
      </w:tblGrid>
      <w:tr w:rsidR="00402B30" w:rsidRPr="003D1522" w:rsidTr="00EF5153">
        <w:trPr>
          <w:tblHeader/>
        </w:trPr>
        <w:tc>
          <w:tcPr>
            <w:tcW w:w="851" w:type="dxa"/>
            <w:vMerge w:val="restart"/>
            <w:tcBorders>
              <w:top w:val="single" w:sz="4" w:space="0" w:color="auto"/>
              <w:bottom w:val="single" w:sz="12" w:space="0" w:color="auto"/>
            </w:tcBorders>
            <w:shd w:val="clear" w:color="auto" w:fill="auto"/>
            <w:vAlign w:val="bottom"/>
            <w:hideMark/>
          </w:tcPr>
          <w:p w:rsidR="002246AD" w:rsidRPr="003D1522" w:rsidRDefault="002246AD" w:rsidP="00402B30">
            <w:pPr>
              <w:pStyle w:val="SingleTxtG"/>
              <w:spacing w:before="80" w:after="80" w:line="200" w:lineRule="exact"/>
              <w:ind w:left="0" w:right="113"/>
              <w:jc w:val="left"/>
              <w:rPr>
                <w:i/>
                <w:sz w:val="16"/>
              </w:rPr>
            </w:pPr>
            <w:r w:rsidRPr="003D1522">
              <w:rPr>
                <w:i/>
                <w:sz w:val="16"/>
              </w:rPr>
              <w:t>ISCO-2008</w:t>
            </w:r>
          </w:p>
        </w:tc>
        <w:tc>
          <w:tcPr>
            <w:tcW w:w="992" w:type="dxa"/>
            <w:vMerge w:val="restart"/>
            <w:tcBorders>
              <w:top w:val="single" w:sz="4" w:space="0" w:color="auto"/>
              <w:bottom w:val="single" w:sz="12" w:space="0" w:color="auto"/>
            </w:tcBorders>
            <w:shd w:val="clear" w:color="auto" w:fill="auto"/>
            <w:noWrap/>
            <w:vAlign w:val="bottom"/>
            <w:hideMark/>
          </w:tcPr>
          <w:p w:rsidR="002246AD" w:rsidRPr="003D1522" w:rsidRDefault="000732E4" w:rsidP="00402B30">
            <w:pPr>
              <w:pStyle w:val="SingleTxtG"/>
              <w:spacing w:before="80" w:after="80" w:line="200" w:lineRule="exact"/>
              <w:ind w:left="0" w:right="113"/>
              <w:jc w:val="right"/>
              <w:rPr>
                <w:i/>
                <w:sz w:val="16"/>
              </w:rPr>
            </w:pPr>
            <w:r w:rsidRPr="003D1522">
              <w:rPr>
                <w:i/>
                <w:sz w:val="16"/>
              </w:rPr>
              <w:t xml:space="preserve"> </w:t>
            </w:r>
          </w:p>
        </w:tc>
        <w:tc>
          <w:tcPr>
            <w:tcW w:w="6662" w:type="dxa"/>
            <w:gridSpan w:val="10"/>
            <w:tcBorders>
              <w:top w:val="single" w:sz="4" w:space="0" w:color="auto"/>
              <w:bottom w:val="single" w:sz="4" w:space="0" w:color="auto"/>
            </w:tcBorders>
            <w:shd w:val="clear" w:color="auto" w:fill="auto"/>
            <w:vAlign w:val="bottom"/>
            <w:hideMark/>
          </w:tcPr>
          <w:p w:rsidR="002246AD" w:rsidRPr="003D1522" w:rsidRDefault="002246AD" w:rsidP="001A3847">
            <w:pPr>
              <w:pStyle w:val="SingleTxtG"/>
              <w:spacing w:before="80" w:after="80" w:line="200" w:lineRule="exact"/>
              <w:ind w:left="0" w:right="113"/>
              <w:jc w:val="center"/>
              <w:rPr>
                <w:i/>
                <w:sz w:val="16"/>
              </w:rPr>
            </w:pPr>
            <w:r w:rsidRPr="003D1522">
              <w:rPr>
                <w:i/>
                <w:sz w:val="16"/>
              </w:rPr>
              <w:t>No. of accidents at work</w:t>
            </w:r>
          </w:p>
        </w:tc>
      </w:tr>
      <w:tr w:rsidR="001A3847" w:rsidRPr="003D1522" w:rsidTr="00EF5153">
        <w:trPr>
          <w:tblHeader/>
        </w:trPr>
        <w:tc>
          <w:tcPr>
            <w:tcW w:w="851" w:type="dxa"/>
            <w:vMerge/>
            <w:tcBorders>
              <w:top w:val="single" w:sz="12" w:space="0" w:color="auto"/>
              <w:bottom w:val="single" w:sz="12" w:space="0" w:color="auto"/>
            </w:tcBorders>
            <w:shd w:val="clear" w:color="auto" w:fill="auto"/>
            <w:vAlign w:val="bottom"/>
            <w:hideMark/>
          </w:tcPr>
          <w:p w:rsidR="002246AD" w:rsidRPr="003D1522" w:rsidRDefault="002246AD" w:rsidP="00402B30">
            <w:pPr>
              <w:pStyle w:val="SingleTxtG"/>
              <w:spacing w:before="40" w:after="40" w:line="220" w:lineRule="exact"/>
              <w:ind w:left="0" w:right="113"/>
              <w:jc w:val="left"/>
              <w:rPr>
                <w:i/>
                <w:sz w:val="18"/>
              </w:rPr>
            </w:pPr>
          </w:p>
        </w:tc>
        <w:tc>
          <w:tcPr>
            <w:tcW w:w="992" w:type="dxa"/>
            <w:vMerge/>
            <w:tcBorders>
              <w:top w:val="single" w:sz="12" w:space="0" w:color="auto"/>
              <w:bottom w:val="single" w:sz="12" w:space="0" w:color="auto"/>
            </w:tcBorders>
            <w:shd w:val="clear" w:color="auto" w:fill="auto"/>
            <w:vAlign w:val="bottom"/>
            <w:hideMark/>
          </w:tcPr>
          <w:p w:rsidR="002246AD" w:rsidRPr="003D1522" w:rsidRDefault="002246AD" w:rsidP="00402B30">
            <w:pPr>
              <w:pStyle w:val="SingleTxtG"/>
              <w:spacing w:before="40" w:after="40" w:line="220" w:lineRule="exact"/>
              <w:ind w:left="0" w:right="113"/>
              <w:jc w:val="right"/>
              <w:rPr>
                <w:i/>
                <w:sz w:val="18"/>
              </w:rPr>
            </w:pPr>
          </w:p>
        </w:tc>
        <w:tc>
          <w:tcPr>
            <w:tcW w:w="709" w:type="dxa"/>
            <w:tcBorders>
              <w:top w:val="single" w:sz="4" w:space="0" w:color="auto"/>
              <w:bottom w:val="single" w:sz="12" w:space="0" w:color="auto"/>
            </w:tcBorders>
            <w:shd w:val="clear" w:color="auto" w:fill="auto"/>
            <w:noWrap/>
            <w:vAlign w:val="bottom"/>
            <w:hideMark/>
          </w:tcPr>
          <w:p w:rsidR="002246AD" w:rsidRPr="003D1522" w:rsidRDefault="002246AD" w:rsidP="00402B30">
            <w:pPr>
              <w:pStyle w:val="SingleTxtG"/>
              <w:spacing w:before="40" w:after="40" w:line="220" w:lineRule="exact"/>
              <w:ind w:left="0" w:right="113"/>
              <w:jc w:val="right"/>
              <w:rPr>
                <w:i/>
                <w:sz w:val="18"/>
              </w:rPr>
            </w:pPr>
            <w:r w:rsidRPr="003D1522">
              <w:rPr>
                <w:i/>
                <w:sz w:val="18"/>
              </w:rPr>
              <w:t>2008</w:t>
            </w:r>
          </w:p>
        </w:tc>
        <w:tc>
          <w:tcPr>
            <w:tcW w:w="567" w:type="dxa"/>
            <w:tcBorders>
              <w:top w:val="single" w:sz="4" w:space="0" w:color="auto"/>
              <w:bottom w:val="single" w:sz="12" w:space="0" w:color="auto"/>
            </w:tcBorders>
            <w:shd w:val="clear" w:color="auto" w:fill="auto"/>
            <w:noWrap/>
            <w:vAlign w:val="bottom"/>
            <w:hideMark/>
          </w:tcPr>
          <w:p w:rsidR="002246AD" w:rsidRPr="003D1522" w:rsidRDefault="002246AD" w:rsidP="00402B30">
            <w:pPr>
              <w:pStyle w:val="SingleTxtG"/>
              <w:spacing w:before="40" w:after="40" w:line="220" w:lineRule="exact"/>
              <w:ind w:left="0" w:right="113"/>
              <w:jc w:val="right"/>
              <w:rPr>
                <w:i/>
                <w:sz w:val="18"/>
              </w:rPr>
            </w:pPr>
            <w:r w:rsidRPr="003D1522">
              <w:rPr>
                <w:i/>
                <w:sz w:val="18"/>
              </w:rPr>
              <w:t>2009</w:t>
            </w:r>
          </w:p>
        </w:tc>
        <w:tc>
          <w:tcPr>
            <w:tcW w:w="567" w:type="dxa"/>
            <w:tcBorders>
              <w:top w:val="single" w:sz="4" w:space="0" w:color="auto"/>
              <w:bottom w:val="single" w:sz="12" w:space="0" w:color="auto"/>
            </w:tcBorders>
            <w:shd w:val="clear" w:color="auto" w:fill="auto"/>
            <w:noWrap/>
            <w:vAlign w:val="bottom"/>
            <w:hideMark/>
          </w:tcPr>
          <w:p w:rsidR="002246AD" w:rsidRPr="003D1522" w:rsidRDefault="002246AD" w:rsidP="00402B30">
            <w:pPr>
              <w:pStyle w:val="SingleTxtG"/>
              <w:spacing w:before="40" w:after="40" w:line="220" w:lineRule="exact"/>
              <w:ind w:left="0" w:right="113"/>
              <w:jc w:val="right"/>
              <w:rPr>
                <w:i/>
                <w:sz w:val="18"/>
              </w:rPr>
            </w:pPr>
            <w:r w:rsidRPr="003D1522">
              <w:rPr>
                <w:i/>
                <w:sz w:val="18"/>
              </w:rPr>
              <w:t>2010</w:t>
            </w:r>
          </w:p>
        </w:tc>
        <w:tc>
          <w:tcPr>
            <w:tcW w:w="709" w:type="dxa"/>
            <w:tcBorders>
              <w:top w:val="single" w:sz="4" w:space="0" w:color="auto"/>
              <w:bottom w:val="single" w:sz="12" w:space="0" w:color="auto"/>
            </w:tcBorders>
            <w:shd w:val="clear" w:color="auto" w:fill="auto"/>
            <w:noWrap/>
            <w:vAlign w:val="bottom"/>
            <w:hideMark/>
          </w:tcPr>
          <w:p w:rsidR="002246AD" w:rsidRPr="003D1522" w:rsidRDefault="002246AD" w:rsidP="00402B30">
            <w:pPr>
              <w:pStyle w:val="SingleTxtG"/>
              <w:spacing w:before="40" w:after="40" w:line="220" w:lineRule="exact"/>
              <w:ind w:left="0" w:right="113"/>
              <w:jc w:val="right"/>
              <w:rPr>
                <w:i/>
                <w:sz w:val="18"/>
              </w:rPr>
            </w:pPr>
            <w:r w:rsidRPr="003D1522">
              <w:rPr>
                <w:i/>
                <w:sz w:val="18"/>
              </w:rPr>
              <w:t>2011</w:t>
            </w:r>
          </w:p>
        </w:tc>
        <w:tc>
          <w:tcPr>
            <w:tcW w:w="708" w:type="dxa"/>
            <w:tcBorders>
              <w:top w:val="single" w:sz="4" w:space="0" w:color="auto"/>
              <w:bottom w:val="single" w:sz="12" w:space="0" w:color="auto"/>
            </w:tcBorders>
            <w:shd w:val="clear" w:color="auto" w:fill="auto"/>
            <w:noWrap/>
            <w:vAlign w:val="bottom"/>
            <w:hideMark/>
          </w:tcPr>
          <w:p w:rsidR="002246AD" w:rsidRPr="003D1522" w:rsidRDefault="002246AD" w:rsidP="00402B30">
            <w:pPr>
              <w:pStyle w:val="SingleTxtG"/>
              <w:spacing w:before="40" w:after="40" w:line="220" w:lineRule="exact"/>
              <w:ind w:left="0" w:right="113"/>
              <w:jc w:val="right"/>
              <w:rPr>
                <w:i/>
                <w:sz w:val="18"/>
              </w:rPr>
            </w:pPr>
            <w:r w:rsidRPr="003D1522">
              <w:rPr>
                <w:i/>
                <w:sz w:val="18"/>
              </w:rPr>
              <w:t>2012</w:t>
            </w:r>
          </w:p>
        </w:tc>
        <w:tc>
          <w:tcPr>
            <w:tcW w:w="709" w:type="dxa"/>
            <w:tcBorders>
              <w:top w:val="single" w:sz="4" w:space="0" w:color="auto"/>
              <w:bottom w:val="single" w:sz="12" w:space="0" w:color="auto"/>
            </w:tcBorders>
            <w:shd w:val="clear" w:color="auto" w:fill="auto"/>
            <w:noWrap/>
            <w:vAlign w:val="bottom"/>
            <w:hideMark/>
          </w:tcPr>
          <w:p w:rsidR="002246AD" w:rsidRPr="003D1522" w:rsidRDefault="002246AD" w:rsidP="00402B30">
            <w:pPr>
              <w:pStyle w:val="SingleTxtG"/>
              <w:spacing w:before="40" w:after="40" w:line="220" w:lineRule="exact"/>
              <w:ind w:left="0" w:right="113"/>
              <w:jc w:val="right"/>
              <w:rPr>
                <w:i/>
                <w:sz w:val="18"/>
              </w:rPr>
            </w:pPr>
            <w:r w:rsidRPr="003D1522">
              <w:rPr>
                <w:i/>
                <w:sz w:val="18"/>
              </w:rPr>
              <w:t>2013</w:t>
            </w:r>
          </w:p>
        </w:tc>
        <w:tc>
          <w:tcPr>
            <w:tcW w:w="709" w:type="dxa"/>
            <w:tcBorders>
              <w:top w:val="single" w:sz="4" w:space="0" w:color="auto"/>
              <w:bottom w:val="single" w:sz="12" w:space="0" w:color="auto"/>
            </w:tcBorders>
            <w:shd w:val="clear" w:color="auto" w:fill="auto"/>
            <w:noWrap/>
            <w:vAlign w:val="bottom"/>
            <w:hideMark/>
          </w:tcPr>
          <w:p w:rsidR="002246AD" w:rsidRPr="003D1522" w:rsidRDefault="002246AD" w:rsidP="00402B30">
            <w:pPr>
              <w:pStyle w:val="SingleTxtG"/>
              <w:spacing w:before="40" w:after="40" w:line="220" w:lineRule="exact"/>
              <w:ind w:left="0" w:right="113"/>
              <w:jc w:val="right"/>
              <w:rPr>
                <w:i/>
                <w:sz w:val="18"/>
              </w:rPr>
            </w:pPr>
            <w:r w:rsidRPr="003D1522">
              <w:rPr>
                <w:i/>
                <w:sz w:val="18"/>
              </w:rPr>
              <w:t>2014</w:t>
            </w:r>
          </w:p>
        </w:tc>
        <w:tc>
          <w:tcPr>
            <w:tcW w:w="709" w:type="dxa"/>
            <w:tcBorders>
              <w:top w:val="single" w:sz="4" w:space="0" w:color="auto"/>
              <w:bottom w:val="single" w:sz="12" w:space="0" w:color="auto"/>
            </w:tcBorders>
            <w:shd w:val="clear" w:color="auto" w:fill="auto"/>
            <w:noWrap/>
            <w:vAlign w:val="bottom"/>
            <w:hideMark/>
          </w:tcPr>
          <w:p w:rsidR="002246AD" w:rsidRPr="003D1522" w:rsidRDefault="002246AD" w:rsidP="00402B30">
            <w:pPr>
              <w:pStyle w:val="SingleTxtG"/>
              <w:spacing w:before="40" w:after="40" w:line="220" w:lineRule="exact"/>
              <w:ind w:left="0" w:right="113"/>
              <w:jc w:val="right"/>
              <w:rPr>
                <w:i/>
                <w:sz w:val="18"/>
              </w:rPr>
            </w:pPr>
            <w:r w:rsidRPr="003D1522">
              <w:rPr>
                <w:i/>
                <w:sz w:val="18"/>
              </w:rPr>
              <w:t>2015</w:t>
            </w:r>
          </w:p>
        </w:tc>
        <w:tc>
          <w:tcPr>
            <w:tcW w:w="708" w:type="dxa"/>
            <w:tcBorders>
              <w:top w:val="single" w:sz="4" w:space="0" w:color="auto"/>
              <w:bottom w:val="single" w:sz="12" w:space="0" w:color="auto"/>
            </w:tcBorders>
            <w:shd w:val="clear" w:color="auto" w:fill="auto"/>
            <w:noWrap/>
            <w:vAlign w:val="bottom"/>
            <w:hideMark/>
          </w:tcPr>
          <w:p w:rsidR="002246AD" w:rsidRPr="003D1522" w:rsidRDefault="002246AD" w:rsidP="00402B30">
            <w:pPr>
              <w:pStyle w:val="SingleTxtG"/>
              <w:spacing w:before="40" w:after="40" w:line="220" w:lineRule="exact"/>
              <w:ind w:left="0" w:right="113"/>
              <w:jc w:val="right"/>
              <w:rPr>
                <w:i/>
                <w:sz w:val="18"/>
              </w:rPr>
            </w:pPr>
            <w:r w:rsidRPr="003D1522">
              <w:rPr>
                <w:i/>
                <w:sz w:val="18"/>
              </w:rPr>
              <w:t>2016</w:t>
            </w:r>
          </w:p>
        </w:tc>
        <w:tc>
          <w:tcPr>
            <w:tcW w:w="567" w:type="dxa"/>
            <w:tcBorders>
              <w:top w:val="single" w:sz="4" w:space="0" w:color="auto"/>
              <w:bottom w:val="single" w:sz="12" w:space="0" w:color="auto"/>
            </w:tcBorders>
            <w:shd w:val="clear" w:color="auto" w:fill="auto"/>
            <w:noWrap/>
            <w:vAlign w:val="bottom"/>
            <w:hideMark/>
          </w:tcPr>
          <w:p w:rsidR="002246AD" w:rsidRPr="003D1522" w:rsidRDefault="002246AD" w:rsidP="00402B30">
            <w:pPr>
              <w:pStyle w:val="SingleTxtG"/>
              <w:spacing w:before="40" w:after="40" w:line="220" w:lineRule="exact"/>
              <w:ind w:left="0" w:right="113"/>
              <w:jc w:val="right"/>
              <w:rPr>
                <w:i/>
                <w:sz w:val="18"/>
              </w:rPr>
            </w:pPr>
            <w:r w:rsidRPr="003D1522">
              <w:rPr>
                <w:i/>
                <w:sz w:val="18"/>
              </w:rPr>
              <w:t>2017</w:t>
            </w:r>
          </w:p>
        </w:tc>
      </w:tr>
      <w:tr w:rsidR="001A3847" w:rsidRPr="003D1522" w:rsidTr="00EF5153">
        <w:tc>
          <w:tcPr>
            <w:tcW w:w="851" w:type="dxa"/>
            <w:tcBorders>
              <w:top w:val="single" w:sz="12" w:space="0" w:color="auto"/>
            </w:tcBorders>
            <w:shd w:val="clear" w:color="auto" w:fill="auto"/>
            <w:hideMark/>
          </w:tcPr>
          <w:p w:rsidR="002246AD" w:rsidRPr="003D1522" w:rsidRDefault="002246AD" w:rsidP="00402B30">
            <w:pPr>
              <w:pStyle w:val="SingleTxtG"/>
              <w:spacing w:before="40" w:after="40" w:line="220" w:lineRule="exact"/>
              <w:ind w:left="0" w:right="113"/>
              <w:jc w:val="left"/>
              <w:rPr>
                <w:sz w:val="18"/>
              </w:rPr>
            </w:pPr>
            <w:r w:rsidRPr="003D1522">
              <w:rPr>
                <w:sz w:val="18"/>
              </w:rPr>
              <w:t>01</w:t>
            </w:r>
          </w:p>
        </w:tc>
        <w:tc>
          <w:tcPr>
            <w:tcW w:w="992" w:type="dxa"/>
            <w:tcBorders>
              <w:top w:val="single" w:sz="12" w:space="0" w:color="auto"/>
            </w:tcBorders>
            <w:shd w:val="clear" w:color="auto" w:fill="auto"/>
            <w:vAlign w:val="bottom"/>
            <w:hideMark/>
          </w:tcPr>
          <w:p w:rsidR="002246AD" w:rsidRPr="003D1522" w:rsidRDefault="002246AD" w:rsidP="00402B30">
            <w:pPr>
              <w:pStyle w:val="SingleTxtG"/>
              <w:spacing w:before="40" w:after="40" w:line="220" w:lineRule="exact"/>
              <w:ind w:left="0" w:right="113"/>
              <w:jc w:val="right"/>
              <w:rPr>
                <w:sz w:val="18"/>
              </w:rPr>
            </w:pPr>
            <w:r w:rsidRPr="003D1522">
              <w:rPr>
                <w:sz w:val="18"/>
              </w:rPr>
              <w:t>Agriculture</w:t>
            </w:r>
          </w:p>
        </w:tc>
        <w:tc>
          <w:tcPr>
            <w:tcW w:w="709" w:type="dxa"/>
            <w:tcBorders>
              <w:top w:val="single" w:sz="12" w:space="0" w:color="auto"/>
            </w:tcBorders>
            <w:shd w:val="clear" w:color="auto" w:fill="auto"/>
            <w:noWrap/>
            <w:vAlign w:val="bottom"/>
            <w:hideMark/>
          </w:tcPr>
          <w:p w:rsidR="002246AD" w:rsidRPr="003D1522" w:rsidRDefault="002246AD" w:rsidP="00402B30">
            <w:pPr>
              <w:pStyle w:val="SingleTxtG"/>
              <w:spacing w:before="40" w:after="40" w:line="220" w:lineRule="exact"/>
              <w:ind w:left="0" w:right="113"/>
              <w:jc w:val="right"/>
              <w:rPr>
                <w:sz w:val="18"/>
              </w:rPr>
            </w:pPr>
            <w:r w:rsidRPr="003D1522">
              <w:rPr>
                <w:sz w:val="18"/>
              </w:rPr>
              <w:t>161</w:t>
            </w:r>
          </w:p>
        </w:tc>
        <w:tc>
          <w:tcPr>
            <w:tcW w:w="567" w:type="dxa"/>
            <w:tcBorders>
              <w:top w:val="single" w:sz="12" w:space="0" w:color="auto"/>
            </w:tcBorders>
            <w:shd w:val="clear" w:color="auto" w:fill="auto"/>
            <w:noWrap/>
            <w:vAlign w:val="bottom"/>
            <w:hideMark/>
          </w:tcPr>
          <w:p w:rsidR="002246AD" w:rsidRPr="003D1522" w:rsidRDefault="002246AD" w:rsidP="00402B30">
            <w:pPr>
              <w:pStyle w:val="SingleTxtG"/>
              <w:spacing w:before="40" w:after="40" w:line="220" w:lineRule="exact"/>
              <w:ind w:left="0" w:right="113"/>
              <w:jc w:val="right"/>
              <w:rPr>
                <w:sz w:val="18"/>
              </w:rPr>
            </w:pPr>
            <w:r w:rsidRPr="003D1522">
              <w:rPr>
                <w:sz w:val="18"/>
              </w:rPr>
              <w:t>131</w:t>
            </w:r>
          </w:p>
        </w:tc>
        <w:tc>
          <w:tcPr>
            <w:tcW w:w="567" w:type="dxa"/>
            <w:tcBorders>
              <w:top w:val="single" w:sz="12" w:space="0" w:color="auto"/>
            </w:tcBorders>
            <w:shd w:val="clear" w:color="auto" w:fill="auto"/>
            <w:noWrap/>
            <w:vAlign w:val="bottom"/>
            <w:hideMark/>
          </w:tcPr>
          <w:p w:rsidR="002246AD" w:rsidRPr="003D1522" w:rsidRDefault="002246AD" w:rsidP="00402B30">
            <w:pPr>
              <w:pStyle w:val="SingleTxtG"/>
              <w:spacing w:before="40" w:after="40" w:line="220" w:lineRule="exact"/>
              <w:ind w:left="0" w:right="113"/>
              <w:jc w:val="right"/>
              <w:rPr>
                <w:sz w:val="18"/>
              </w:rPr>
            </w:pPr>
            <w:r w:rsidRPr="003D1522">
              <w:rPr>
                <w:sz w:val="18"/>
              </w:rPr>
              <w:t>136</w:t>
            </w:r>
          </w:p>
        </w:tc>
        <w:tc>
          <w:tcPr>
            <w:tcW w:w="709" w:type="dxa"/>
            <w:tcBorders>
              <w:top w:val="single" w:sz="12" w:space="0" w:color="auto"/>
            </w:tcBorders>
            <w:shd w:val="clear" w:color="auto" w:fill="auto"/>
            <w:noWrap/>
            <w:vAlign w:val="bottom"/>
            <w:hideMark/>
          </w:tcPr>
          <w:p w:rsidR="002246AD" w:rsidRPr="003D1522" w:rsidRDefault="002246AD" w:rsidP="00402B30">
            <w:pPr>
              <w:pStyle w:val="SingleTxtG"/>
              <w:spacing w:before="40" w:after="40" w:line="220" w:lineRule="exact"/>
              <w:ind w:left="0" w:right="113"/>
              <w:jc w:val="right"/>
              <w:rPr>
                <w:sz w:val="18"/>
              </w:rPr>
            </w:pPr>
            <w:r w:rsidRPr="003D1522">
              <w:rPr>
                <w:sz w:val="18"/>
              </w:rPr>
              <w:t>135</w:t>
            </w:r>
          </w:p>
        </w:tc>
        <w:tc>
          <w:tcPr>
            <w:tcW w:w="708" w:type="dxa"/>
            <w:tcBorders>
              <w:top w:val="single" w:sz="12" w:space="0" w:color="auto"/>
            </w:tcBorders>
            <w:shd w:val="clear" w:color="auto" w:fill="auto"/>
            <w:noWrap/>
            <w:vAlign w:val="bottom"/>
            <w:hideMark/>
          </w:tcPr>
          <w:p w:rsidR="002246AD" w:rsidRPr="003D1522" w:rsidRDefault="002246AD" w:rsidP="00402B30">
            <w:pPr>
              <w:pStyle w:val="SingleTxtG"/>
              <w:spacing w:before="40" w:after="40" w:line="220" w:lineRule="exact"/>
              <w:ind w:left="0" w:right="113"/>
              <w:jc w:val="right"/>
              <w:rPr>
                <w:sz w:val="18"/>
              </w:rPr>
            </w:pPr>
            <w:r w:rsidRPr="003D1522">
              <w:rPr>
                <w:sz w:val="18"/>
              </w:rPr>
              <w:t>131</w:t>
            </w:r>
          </w:p>
        </w:tc>
        <w:tc>
          <w:tcPr>
            <w:tcW w:w="709" w:type="dxa"/>
            <w:tcBorders>
              <w:top w:val="single" w:sz="12" w:space="0" w:color="auto"/>
            </w:tcBorders>
            <w:shd w:val="clear" w:color="auto" w:fill="auto"/>
            <w:noWrap/>
            <w:vAlign w:val="bottom"/>
            <w:hideMark/>
          </w:tcPr>
          <w:p w:rsidR="002246AD" w:rsidRPr="003D1522" w:rsidRDefault="002246AD" w:rsidP="00402B30">
            <w:pPr>
              <w:pStyle w:val="SingleTxtG"/>
              <w:spacing w:before="40" w:after="40" w:line="220" w:lineRule="exact"/>
              <w:ind w:left="0" w:right="113"/>
              <w:jc w:val="right"/>
              <w:rPr>
                <w:sz w:val="18"/>
              </w:rPr>
            </w:pPr>
            <w:r w:rsidRPr="003D1522">
              <w:rPr>
                <w:sz w:val="18"/>
              </w:rPr>
              <w:t>139</w:t>
            </w:r>
          </w:p>
        </w:tc>
        <w:tc>
          <w:tcPr>
            <w:tcW w:w="709" w:type="dxa"/>
            <w:tcBorders>
              <w:top w:val="single" w:sz="12" w:space="0" w:color="auto"/>
            </w:tcBorders>
            <w:shd w:val="clear" w:color="auto" w:fill="auto"/>
            <w:noWrap/>
            <w:vAlign w:val="bottom"/>
            <w:hideMark/>
          </w:tcPr>
          <w:p w:rsidR="002246AD" w:rsidRPr="003D1522" w:rsidRDefault="002246AD" w:rsidP="00402B30">
            <w:pPr>
              <w:pStyle w:val="SingleTxtG"/>
              <w:spacing w:before="40" w:after="40" w:line="220" w:lineRule="exact"/>
              <w:ind w:left="0" w:right="113"/>
              <w:jc w:val="right"/>
              <w:rPr>
                <w:sz w:val="18"/>
              </w:rPr>
            </w:pPr>
            <w:r w:rsidRPr="003D1522">
              <w:rPr>
                <w:sz w:val="18"/>
              </w:rPr>
              <w:t>168</w:t>
            </w:r>
          </w:p>
        </w:tc>
        <w:tc>
          <w:tcPr>
            <w:tcW w:w="709" w:type="dxa"/>
            <w:tcBorders>
              <w:top w:val="single" w:sz="12" w:space="0" w:color="auto"/>
            </w:tcBorders>
            <w:shd w:val="clear" w:color="auto" w:fill="auto"/>
            <w:noWrap/>
            <w:vAlign w:val="bottom"/>
            <w:hideMark/>
          </w:tcPr>
          <w:p w:rsidR="002246AD" w:rsidRPr="003D1522" w:rsidRDefault="002246AD" w:rsidP="00402B30">
            <w:pPr>
              <w:pStyle w:val="SingleTxtG"/>
              <w:spacing w:before="40" w:after="40" w:line="220" w:lineRule="exact"/>
              <w:ind w:left="0" w:right="113"/>
              <w:jc w:val="right"/>
              <w:rPr>
                <w:sz w:val="18"/>
              </w:rPr>
            </w:pPr>
            <w:r w:rsidRPr="003D1522">
              <w:rPr>
                <w:sz w:val="18"/>
              </w:rPr>
              <w:t>154</w:t>
            </w:r>
          </w:p>
        </w:tc>
        <w:tc>
          <w:tcPr>
            <w:tcW w:w="708" w:type="dxa"/>
            <w:tcBorders>
              <w:top w:val="single" w:sz="12" w:space="0" w:color="auto"/>
            </w:tcBorders>
            <w:shd w:val="clear" w:color="auto" w:fill="auto"/>
            <w:noWrap/>
            <w:vAlign w:val="bottom"/>
            <w:hideMark/>
          </w:tcPr>
          <w:p w:rsidR="002246AD" w:rsidRPr="003D1522" w:rsidRDefault="002246AD" w:rsidP="00402B30">
            <w:pPr>
              <w:pStyle w:val="SingleTxtG"/>
              <w:spacing w:before="40" w:after="40" w:line="220" w:lineRule="exact"/>
              <w:ind w:left="0" w:right="113"/>
              <w:jc w:val="right"/>
              <w:rPr>
                <w:sz w:val="18"/>
              </w:rPr>
            </w:pPr>
            <w:r w:rsidRPr="003D1522">
              <w:rPr>
                <w:sz w:val="18"/>
              </w:rPr>
              <w:t>156</w:t>
            </w:r>
          </w:p>
        </w:tc>
        <w:tc>
          <w:tcPr>
            <w:tcW w:w="567" w:type="dxa"/>
            <w:tcBorders>
              <w:top w:val="single" w:sz="12" w:space="0" w:color="auto"/>
            </w:tcBorders>
            <w:shd w:val="clear" w:color="auto" w:fill="auto"/>
            <w:noWrap/>
            <w:vAlign w:val="bottom"/>
            <w:hideMark/>
          </w:tcPr>
          <w:p w:rsidR="002246AD" w:rsidRPr="003D1522" w:rsidRDefault="002246AD" w:rsidP="00402B30">
            <w:pPr>
              <w:pStyle w:val="SingleTxtG"/>
              <w:spacing w:before="40" w:after="40" w:line="220" w:lineRule="exact"/>
              <w:ind w:left="0" w:right="113"/>
              <w:jc w:val="right"/>
              <w:rPr>
                <w:sz w:val="18"/>
              </w:rPr>
            </w:pPr>
            <w:r w:rsidRPr="003D1522">
              <w:rPr>
                <w:sz w:val="18"/>
              </w:rPr>
              <w:t>154</w:t>
            </w:r>
          </w:p>
        </w:tc>
      </w:tr>
      <w:tr w:rsidR="001A3847" w:rsidRPr="003D1522" w:rsidTr="00CE3DA7">
        <w:tc>
          <w:tcPr>
            <w:tcW w:w="851" w:type="dxa"/>
            <w:shd w:val="clear" w:color="auto" w:fill="auto"/>
            <w:hideMark/>
          </w:tcPr>
          <w:p w:rsidR="002246AD" w:rsidRPr="003D1522" w:rsidRDefault="002246AD" w:rsidP="006E1F92">
            <w:pPr>
              <w:pStyle w:val="SingleTxtG"/>
              <w:spacing w:before="40" w:after="40" w:line="220" w:lineRule="exact"/>
              <w:ind w:left="0" w:right="113"/>
              <w:jc w:val="left"/>
              <w:rPr>
                <w:sz w:val="18"/>
              </w:rPr>
            </w:pPr>
            <w:r w:rsidRPr="003D1522">
              <w:rPr>
                <w:sz w:val="18"/>
              </w:rPr>
              <w:t>16</w:t>
            </w:r>
          </w:p>
        </w:tc>
        <w:tc>
          <w:tcPr>
            <w:tcW w:w="992" w:type="dxa"/>
            <w:shd w:val="clear" w:color="auto" w:fill="auto"/>
            <w:hideMark/>
          </w:tcPr>
          <w:p w:rsidR="002246AD" w:rsidRPr="003D1522" w:rsidRDefault="002246AD" w:rsidP="00CE3DA7">
            <w:pPr>
              <w:pStyle w:val="SingleTxtG"/>
              <w:spacing w:before="40" w:after="40" w:line="220" w:lineRule="exact"/>
              <w:ind w:left="0" w:right="113"/>
              <w:jc w:val="left"/>
              <w:rPr>
                <w:sz w:val="18"/>
              </w:rPr>
            </w:pPr>
            <w:r w:rsidRPr="003D1522">
              <w:rPr>
                <w:sz w:val="18"/>
              </w:rPr>
              <w:t>Wood processing</w:t>
            </w:r>
          </w:p>
        </w:tc>
        <w:tc>
          <w:tcPr>
            <w:tcW w:w="709" w:type="dxa"/>
            <w:shd w:val="clear" w:color="auto" w:fill="auto"/>
            <w:noWrap/>
            <w:hideMark/>
          </w:tcPr>
          <w:p w:rsidR="002246AD" w:rsidRPr="003D1522" w:rsidRDefault="002246AD" w:rsidP="00402B30">
            <w:pPr>
              <w:pStyle w:val="SingleTxtG"/>
              <w:spacing w:before="40" w:after="40" w:line="220" w:lineRule="exact"/>
              <w:ind w:left="0" w:right="113"/>
              <w:jc w:val="right"/>
              <w:rPr>
                <w:sz w:val="18"/>
              </w:rPr>
            </w:pPr>
            <w:r w:rsidRPr="003D1522">
              <w:rPr>
                <w:sz w:val="18"/>
              </w:rPr>
              <w:t>306</w:t>
            </w:r>
          </w:p>
        </w:tc>
        <w:tc>
          <w:tcPr>
            <w:tcW w:w="567" w:type="dxa"/>
            <w:shd w:val="clear" w:color="auto" w:fill="auto"/>
            <w:noWrap/>
            <w:hideMark/>
          </w:tcPr>
          <w:p w:rsidR="002246AD" w:rsidRPr="003D1522" w:rsidRDefault="002246AD" w:rsidP="00402B30">
            <w:pPr>
              <w:pStyle w:val="SingleTxtG"/>
              <w:spacing w:before="40" w:after="40" w:line="220" w:lineRule="exact"/>
              <w:ind w:left="0" w:right="113"/>
              <w:jc w:val="right"/>
              <w:rPr>
                <w:sz w:val="18"/>
              </w:rPr>
            </w:pPr>
            <w:r w:rsidRPr="003D1522">
              <w:rPr>
                <w:sz w:val="18"/>
              </w:rPr>
              <w:t>200</w:t>
            </w:r>
          </w:p>
        </w:tc>
        <w:tc>
          <w:tcPr>
            <w:tcW w:w="567" w:type="dxa"/>
            <w:shd w:val="clear" w:color="auto" w:fill="auto"/>
            <w:noWrap/>
            <w:hideMark/>
          </w:tcPr>
          <w:p w:rsidR="002246AD" w:rsidRPr="003D1522" w:rsidRDefault="002246AD" w:rsidP="00402B30">
            <w:pPr>
              <w:pStyle w:val="SingleTxtG"/>
              <w:spacing w:before="40" w:after="40" w:line="220" w:lineRule="exact"/>
              <w:ind w:left="0" w:right="113"/>
              <w:jc w:val="right"/>
              <w:rPr>
                <w:sz w:val="18"/>
              </w:rPr>
            </w:pPr>
            <w:r w:rsidRPr="003D1522">
              <w:rPr>
                <w:sz w:val="18"/>
              </w:rPr>
              <w:t>254</w:t>
            </w:r>
          </w:p>
        </w:tc>
        <w:tc>
          <w:tcPr>
            <w:tcW w:w="709" w:type="dxa"/>
            <w:shd w:val="clear" w:color="auto" w:fill="auto"/>
            <w:noWrap/>
            <w:hideMark/>
          </w:tcPr>
          <w:p w:rsidR="002246AD" w:rsidRPr="003D1522" w:rsidRDefault="002246AD" w:rsidP="00402B30">
            <w:pPr>
              <w:pStyle w:val="SingleTxtG"/>
              <w:spacing w:before="40" w:after="40" w:line="220" w:lineRule="exact"/>
              <w:ind w:left="0" w:right="113"/>
              <w:jc w:val="right"/>
              <w:rPr>
                <w:sz w:val="18"/>
              </w:rPr>
            </w:pPr>
            <w:r w:rsidRPr="003D1522">
              <w:rPr>
                <w:sz w:val="18"/>
              </w:rPr>
              <w:t>305</w:t>
            </w:r>
          </w:p>
        </w:tc>
        <w:tc>
          <w:tcPr>
            <w:tcW w:w="708" w:type="dxa"/>
            <w:shd w:val="clear" w:color="auto" w:fill="auto"/>
            <w:noWrap/>
            <w:hideMark/>
          </w:tcPr>
          <w:p w:rsidR="002246AD" w:rsidRPr="003D1522" w:rsidRDefault="002246AD" w:rsidP="00402B30">
            <w:pPr>
              <w:pStyle w:val="SingleTxtG"/>
              <w:spacing w:before="40" w:after="40" w:line="220" w:lineRule="exact"/>
              <w:ind w:left="0" w:right="113"/>
              <w:jc w:val="right"/>
              <w:rPr>
                <w:sz w:val="18"/>
              </w:rPr>
            </w:pPr>
            <w:r w:rsidRPr="003D1522">
              <w:rPr>
                <w:sz w:val="18"/>
              </w:rPr>
              <w:t>310</w:t>
            </w:r>
          </w:p>
        </w:tc>
        <w:tc>
          <w:tcPr>
            <w:tcW w:w="709" w:type="dxa"/>
            <w:shd w:val="clear" w:color="auto" w:fill="auto"/>
            <w:noWrap/>
            <w:hideMark/>
          </w:tcPr>
          <w:p w:rsidR="002246AD" w:rsidRPr="003D1522" w:rsidRDefault="002246AD" w:rsidP="00402B30">
            <w:pPr>
              <w:pStyle w:val="SingleTxtG"/>
              <w:spacing w:before="40" w:after="40" w:line="220" w:lineRule="exact"/>
              <w:ind w:left="0" w:right="113"/>
              <w:jc w:val="right"/>
              <w:rPr>
                <w:sz w:val="18"/>
              </w:rPr>
            </w:pPr>
            <w:r w:rsidRPr="003D1522">
              <w:rPr>
                <w:sz w:val="18"/>
              </w:rPr>
              <w:t>355</w:t>
            </w:r>
          </w:p>
        </w:tc>
        <w:tc>
          <w:tcPr>
            <w:tcW w:w="709" w:type="dxa"/>
            <w:shd w:val="clear" w:color="auto" w:fill="auto"/>
            <w:noWrap/>
            <w:hideMark/>
          </w:tcPr>
          <w:p w:rsidR="002246AD" w:rsidRPr="003D1522" w:rsidRDefault="002246AD" w:rsidP="00402B30">
            <w:pPr>
              <w:pStyle w:val="SingleTxtG"/>
              <w:spacing w:before="40" w:after="40" w:line="220" w:lineRule="exact"/>
              <w:ind w:left="0" w:right="113"/>
              <w:jc w:val="right"/>
              <w:rPr>
                <w:sz w:val="18"/>
              </w:rPr>
            </w:pPr>
            <w:r w:rsidRPr="003D1522">
              <w:rPr>
                <w:sz w:val="18"/>
              </w:rPr>
              <w:t>306</w:t>
            </w:r>
          </w:p>
        </w:tc>
        <w:tc>
          <w:tcPr>
            <w:tcW w:w="709" w:type="dxa"/>
            <w:shd w:val="clear" w:color="auto" w:fill="auto"/>
            <w:noWrap/>
            <w:hideMark/>
          </w:tcPr>
          <w:p w:rsidR="002246AD" w:rsidRPr="003D1522" w:rsidRDefault="002246AD" w:rsidP="00402B30">
            <w:pPr>
              <w:pStyle w:val="SingleTxtG"/>
              <w:spacing w:before="40" w:after="40" w:line="220" w:lineRule="exact"/>
              <w:ind w:left="0" w:right="113"/>
              <w:jc w:val="right"/>
              <w:rPr>
                <w:sz w:val="18"/>
              </w:rPr>
            </w:pPr>
            <w:r w:rsidRPr="003D1522">
              <w:rPr>
                <w:sz w:val="18"/>
              </w:rPr>
              <w:t>373</w:t>
            </w:r>
          </w:p>
        </w:tc>
        <w:tc>
          <w:tcPr>
            <w:tcW w:w="708" w:type="dxa"/>
            <w:shd w:val="clear" w:color="auto" w:fill="auto"/>
            <w:noWrap/>
            <w:hideMark/>
          </w:tcPr>
          <w:p w:rsidR="002246AD" w:rsidRPr="003D1522" w:rsidRDefault="002246AD" w:rsidP="00402B30">
            <w:pPr>
              <w:pStyle w:val="SingleTxtG"/>
              <w:spacing w:before="40" w:after="40" w:line="220" w:lineRule="exact"/>
              <w:ind w:left="0" w:right="113"/>
              <w:jc w:val="right"/>
              <w:rPr>
                <w:sz w:val="18"/>
              </w:rPr>
            </w:pPr>
            <w:r w:rsidRPr="003D1522">
              <w:rPr>
                <w:sz w:val="18"/>
              </w:rPr>
              <w:t>337</w:t>
            </w:r>
          </w:p>
        </w:tc>
        <w:tc>
          <w:tcPr>
            <w:tcW w:w="567" w:type="dxa"/>
            <w:shd w:val="clear" w:color="auto" w:fill="auto"/>
            <w:noWrap/>
            <w:hideMark/>
          </w:tcPr>
          <w:p w:rsidR="002246AD" w:rsidRPr="003D1522" w:rsidRDefault="002246AD" w:rsidP="00402B30">
            <w:pPr>
              <w:pStyle w:val="SingleTxtG"/>
              <w:spacing w:before="40" w:after="40" w:line="220" w:lineRule="exact"/>
              <w:ind w:left="0" w:right="113"/>
              <w:jc w:val="right"/>
              <w:rPr>
                <w:sz w:val="18"/>
              </w:rPr>
            </w:pPr>
            <w:r w:rsidRPr="003D1522">
              <w:rPr>
                <w:sz w:val="18"/>
              </w:rPr>
              <w:t>399</w:t>
            </w:r>
          </w:p>
        </w:tc>
      </w:tr>
    </w:tbl>
    <w:p w:rsidR="002246AD" w:rsidRPr="003D1522" w:rsidRDefault="004C4128" w:rsidP="004C4128">
      <w:pPr>
        <w:pStyle w:val="H23G"/>
      </w:pPr>
      <w:r w:rsidRPr="003D1522">
        <w:tab/>
      </w:r>
      <w:r w:rsidRPr="003D1522">
        <w:tab/>
      </w:r>
      <w:r w:rsidR="002246AD" w:rsidRPr="003D1522">
        <w:t>Percentage of all registered accidents at work:</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637"/>
        <w:gridCol w:w="638"/>
        <w:gridCol w:w="638"/>
        <w:gridCol w:w="637"/>
        <w:gridCol w:w="638"/>
        <w:gridCol w:w="638"/>
        <w:gridCol w:w="637"/>
        <w:gridCol w:w="638"/>
        <w:gridCol w:w="638"/>
        <w:gridCol w:w="638"/>
      </w:tblGrid>
      <w:tr w:rsidR="00A07A9C" w:rsidRPr="003D1522" w:rsidTr="00A07A9C">
        <w:trPr>
          <w:tblHeader/>
        </w:trPr>
        <w:tc>
          <w:tcPr>
            <w:tcW w:w="993" w:type="dxa"/>
            <w:tcBorders>
              <w:top w:val="single" w:sz="4" w:space="0" w:color="auto"/>
              <w:bottom w:val="single" w:sz="12" w:space="0" w:color="auto"/>
            </w:tcBorders>
            <w:shd w:val="clear" w:color="auto" w:fill="auto"/>
            <w:noWrap/>
            <w:vAlign w:val="bottom"/>
            <w:hideMark/>
          </w:tcPr>
          <w:p w:rsidR="002246AD" w:rsidRPr="003D1522" w:rsidRDefault="002246AD" w:rsidP="00A07A9C">
            <w:pPr>
              <w:pStyle w:val="SingleTxtG"/>
              <w:spacing w:before="80" w:after="80" w:line="200" w:lineRule="exact"/>
              <w:ind w:left="0" w:right="113"/>
              <w:jc w:val="left"/>
              <w:rPr>
                <w:i/>
                <w:sz w:val="16"/>
              </w:rPr>
            </w:pPr>
          </w:p>
        </w:tc>
        <w:tc>
          <w:tcPr>
            <w:tcW w:w="637" w:type="dxa"/>
            <w:tcBorders>
              <w:top w:val="single" w:sz="4" w:space="0" w:color="auto"/>
              <w:bottom w:val="single" w:sz="12" w:space="0" w:color="auto"/>
            </w:tcBorders>
            <w:shd w:val="clear" w:color="auto" w:fill="auto"/>
            <w:noWrap/>
            <w:vAlign w:val="bottom"/>
            <w:hideMark/>
          </w:tcPr>
          <w:p w:rsidR="002246AD" w:rsidRPr="003D1522" w:rsidRDefault="002246AD" w:rsidP="00A07A9C">
            <w:pPr>
              <w:pStyle w:val="SingleTxtG"/>
              <w:spacing w:before="80" w:after="80" w:line="200" w:lineRule="exact"/>
              <w:ind w:left="0" w:right="113"/>
              <w:jc w:val="right"/>
              <w:rPr>
                <w:i/>
                <w:sz w:val="16"/>
              </w:rPr>
            </w:pPr>
            <w:r w:rsidRPr="003D1522">
              <w:rPr>
                <w:i/>
                <w:sz w:val="16"/>
              </w:rPr>
              <w:t>2008</w:t>
            </w:r>
          </w:p>
        </w:tc>
        <w:tc>
          <w:tcPr>
            <w:tcW w:w="638" w:type="dxa"/>
            <w:tcBorders>
              <w:top w:val="single" w:sz="4" w:space="0" w:color="auto"/>
              <w:bottom w:val="single" w:sz="12" w:space="0" w:color="auto"/>
            </w:tcBorders>
            <w:shd w:val="clear" w:color="auto" w:fill="auto"/>
            <w:noWrap/>
            <w:vAlign w:val="bottom"/>
            <w:hideMark/>
          </w:tcPr>
          <w:p w:rsidR="002246AD" w:rsidRPr="003D1522" w:rsidRDefault="002246AD" w:rsidP="00A07A9C">
            <w:pPr>
              <w:pStyle w:val="SingleTxtG"/>
              <w:spacing w:before="80" w:after="80" w:line="200" w:lineRule="exact"/>
              <w:ind w:left="0" w:right="113"/>
              <w:jc w:val="right"/>
              <w:rPr>
                <w:i/>
                <w:sz w:val="16"/>
              </w:rPr>
            </w:pPr>
            <w:r w:rsidRPr="003D1522">
              <w:rPr>
                <w:i/>
                <w:sz w:val="16"/>
              </w:rPr>
              <w:t>2009</w:t>
            </w:r>
          </w:p>
        </w:tc>
        <w:tc>
          <w:tcPr>
            <w:tcW w:w="638" w:type="dxa"/>
            <w:tcBorders>
              <w:top w:val="single" w:sz="4" w:space="0" w:color="auto"/>
              <w:bottom w:val="single" w:sz="12" w:space="0" w:color="auto"/>
            </w:tcBorders>
            <w:shd w:val="clear" w:color="auto" w:fill="auto"/>
            <w:noWrap/>
            <w:vAlign w:val="bottom"/>
            <w:hideMark/>
          </w:tcPr>
          <w:p w:rsidR="002246AD" w:rsidRPr="003D1522" w:rsidRDefault="002246AD" w:rsidP="00A07A9C">
            <w:pPr>
              <w:pStyle w:val="SingleTxtG"/>
              <w:spacing w:before="80" w:after="80" w:line="200" w:lineRule="exact"/>
              <w:ind w:left="0" w:right="113"/>
              <w:jc w:val="right"/>
              <w:rPr>
                <w:i/>
                <w:sz w:val="16"/>
              </w:rPr>
            </w:pPr>
            <w:r w:rsidRPr="003D1522">
              <w:rPr>
                <w:i/>
                <w:sz w:val="16"/>
              </w:rPr>
              <w:t>2010</w:t>
            </w:r>
          </w:p>
        </w:tc>
        <w:tc>
          <w:tcPr>
            <w:tcW w:w="637" w:type="dxa"/>
            <w:tcBorders>
              <w:top w:val="single" w:sz="4" w:space="0" w:color="auto"/>
              <w:bottom w:val="single" w:sz="12" w:space="0" w:color="auto"/>
            </w:tcBorders>
            <w:shd w:val="clear" w:color="auto" w:fill="auto"/>
            <w:noWrap/>
            <w:vAlign w:val="bottom"/>
            <w:hideMark/>
          </w:tcPr>
          <w:p w:rsidR="002246AD" w:rsidRPr="003D1522" w:rsidRDefault="002246AD" w:rsidP="00A07A9C">
            <w:pPr>
              <w:pStyle w:val="SingleTxtG"/>
              <w:spacing w:before="80" w:after="80" w:line="200" w:lineRule="exact"/>
              <w:ind w:left="0" w:right="113"/>
              <w:jc w:val="right"/>
              <w:rPr>
                <w:i/>
                <w:sz w:val="16"/>
              </w:rPr>
            </w:pPr>
            <w:r w:rsidRPr="003D1522">
              <w:rPr>
                <w:i/>
                <w:sz w:val="16"/>
              </w:rPr>
              <w:t>2011</w:t>
            </w:r>
          </w:p>
        </w:tc>
        <w:tc>
          <w:tcPr>
            <w:tcW w:w="638" w:type="dxa"/>
            <w:tcBorders>
              <w:top w:val="single" w:sz="4" w:space="0" w:color="auto"/>
              <w:bottom w:val="single" w:sz="12" w:space="0" w:color="auto"/>
            </w:tcBorders>
            <w:shd w:val="clear" w:color="auto" w:fill="auto"/>
            <w:noWrap/>
            <w:vAlign w:val="bottom"/>
            <w:hideMark/>
          </w:tcPr>
          <w:p w:rsidR="002246AD" w:rsidRPr="003D1522" w:rsidRDefault="002246AD" w:rsidP="00A07A9C">
            <w:pPr>
              <w:pStyle w:val="SingleTxtG"/>
              <w:spacing w:before="80" w:after="80" w:line="200" w:lineRule="exact"/>
              <w:ind w:left="0" w:right="113"/>
              <w:jc w:val="right"/>
              <w:rPr>
                <w:i/>
                <w:sz w:val="16"/>
              </w:rPr>
            </w:pPr>
            <w:r w:rsidRPr="003D1522">
              <w:rPr>
                <w:i/>
                <w:sz w:val="16"/>
              </w:rPr>
              <w:t>2012</w:t>
            </w:r>
          </w:p>
        </w:tc>
        <w:tc>
          <w:tcPr>
            <w:tcW w:w="638" w:type="dxa"/>
            <w:tcBorders>
              <w:top w:val="single" w:sz="4" w:space="0" w:color="auto"/>
              <w:bottom w:val="single" w:sz="12" w:space="0" w:color="auto"/>
            </w:tcBorders>
            <w:shd w:val="clear" w:color="auto" w:fill="auto"/>
            <w:noWrap/>
            <w:vAlign w:val="bottom"/>
            <w:hideMark/>
          </w:tcPr>
          <w:p w:rsidR="002246AD" w:rsidRPr="003D1522" w:rsidRDefault="002246AD" w:rsidP="00A07A9C">
            <w:pPr>
              <w:pStyle w:val="SingleTxtG"/>
              <w:spacing w:before="80" w:after="80" w:line="200" w:lineRule="exact"/>
              <w:ind w:left="0" w:right="113"/>
              <w:jc w:val="right"/>
              <w:rPr>
                <w:i/>
                <w:sz w:val="16"/>
              </w:rPr>
            </w:pPr>
            <w:r w:rsidRPr="003D1522">
              <w:rPr>
                <w:i/>
                <w:sz w:val="16"/>
              </w:rPr>
              <w:t>2013</w:t>
            </w:r>
          </w:p>
        </w:tc>
        <w:tc>
          <w:tcPr>
            <w:tcW w:w="637" w:type="dxa"/>
            <w:tcBorders>
              <w:top w:val="single" w:sz="4" w:space="0" w:color="auto"/>
              <w:bottom w:val="single" w:sz="12" w:space="0" w:color="auto"/>
            </w:tcBorders>
            <w:shd w:val="clear" w:color="auto" w:fill="auto"/>
            <w:noWrap/>
            <w:vAlign w:val="bottom"/>
            <w:hideMark/>
          </w:tcPr>
          <w:p w:rsidR="002246AD" w:rsidRPr="003D1522" w:rsidRDefault="002246AD" w:rsidP="00A07A9C">
            <w:pPr>
              <w:pStyle w:val="SingleTxtG"/>
              <w:spacing w:before="80" w:after="80" w:line="200" w:lineRule="exact"/>
              <w:ind w:left="0" w:right="113"/>
              <w:jc w:val="right"/>
              <w:rPr>
                <w:i/>
                <w:sz w:val="16"/>
              </w:rPr>
            </w:pPr>
            <w:r w:rsidRPr="003D1522">
              <w:rPr>
                <w:i/>
                <w:sz w:val="16"/>
              </w:rPr>
              <w:t>2014</w:t>
            </w:r>
          </w:p>
        </w:tc>
        <w:tc>
          <w:tcPr>
            <w:tcW w:w="638" w:type="dxa"/>
            <w:tcBorders>
              <w:top w:val="single" w:sz="4" w:space="0" w:color="auto"/>
              <w:bottom w:val="single" w:sz="12" w:space="0" w:color="auto"/>
            </w:tcBorders>
            <w:shd w:val="clear" w:color="auto" w:fill="auto"/>
            <w:noWrap/>
            <w:vAlign w:val="bottom"/>
            <w:hideMark/>
          </w:tcPr>
          <w:p w:rsidR="002246AD" w:rsidRPr="003D1522" w:rsidRDefault="002246AD" w:rsidP="00A07A9C">
            <w:pPr>
              <w:pStyle w:val="SingleTxtG"/>
              <w:spacing w:before="80" w:after="80" w:line="200" w:lineRule="exact"/>
              <w:ind w:left="0" w:right="113"/>
              <w:jc w:val="right"/>
              <w:rPr>
                <w:i/>
                <w:sz w:val="16"/>
              </w:rPr>
            </w:pPr>
            <w:r w:rsidRPr="003D1522">
              <w:rPr>
                <w:i/>
                <w:sz w:val="16"/>
              </w:rPr>
              <w:t>2015</w:t>
            </w:r>
          </w:p>
        </w:tc>
        <w:tc>
          <w:tcPr>
            <w:tcW w:w="638" w:type="dxa"/>
            <w:tcBorders>
              <w:top w:val="single" w:sz="4" w:space="0" w:color="auto"/>
              <w:bottom w:val="single" w:sz="12" w:space="0" w:color="auto"/>
            </w:tcBorders>
            <w:shd w:val="clear" w:color="auto" w:fill="auto"/>
            <w:noWrap/>
            <w:vAlign w:val="bottom"/>
            <w:hideMark/>
          </w:tcPr>
          <w:p w:rsidR="002246AD" w:rsidRPr="003D1522" w:rsidRDefault="002246AD" w:rsidP="00A07A9C">
            <w:pPr>
              <w:pStyle w:val="SingleTxtG"/>
              <w:spacing w:before="80" w:after="80" w:line="200" w:lineRule="exact"/>
              <w:ind w:left="0" w:right="113"/>
              <w:jc w:val="right"/>
              <w:rPr>
                <w:i/>
                <w:sz w:val="16"/>
              </w:rPr>
            </w:pPr>
            <w:r w:rsidRPr="003D1522">
              <w:rPr>
                <w:i/>
                <w:sz w:val="16"/>
              </w:rPr>
              <w:t>2016</w:t>
            </w:r>
          </w:p>
        </w:tc>
        <w:tc>
          <w:tcPr>
            <w:tcW w:w="638" w:type="dxa"/>
            <w:tcBorders>
              <w:top w:val="single" w:sz="4" w:space="0" w:color="auto"/>
              <w:bottom w:val="single" w:sz="12" w:space="0" w:color="auto"/>
            </w:tcBorders>
            <w:shd w:val="clear" w:color="auto" w:fill="auto"/>
            <w:noWrap/>
            <w:vAlign w:val="bottom"/>
            <w:hideMark/>
          </w:tcPr>
          <w:p w:rsidR="002246AD" w:rsidRPr="003D1522" w:rsidRDefault="002246AD" w:rsidP="00A07A9C">
            <w:pPr>
              <w:pStyle w:val="SingleTxtG"/>
              <w:spacing w:before="80" w:after="80" w:line="200" w:lineRule="exact"/>
              <w:ind w:left="0" w:right="113"/>
              <w:jc w:val="right"/>
              <w:rPr>
                <w:i/>
                <w:sz w:val="16"/>
              </w:rPr>
            </w:pPr>
            <w:r w:rsidRPr="003D1522">
              <w:rPr>
                <w:i/>
                <w:sz w:val="16"/>
              </w:rPr>
              <w:t>2017</w:t>
            </w:r>
          </w:p>
        </w:tc>
      </w:tr>
      <w:tr w:rsidR="00A07A9C" w:rsidRPr="003D1522" w:rsidTr="00A07A9C">
        <w:tc>
          <w:tcPr>
            <w:tcW w:w="993" w:type="dxa"/>
            <w:tcBorders>
              <w:top w:val="single" w:sz="12" w:space="0" w:color="auto"/>
            </w:tcBorders>
            <w:shd w:val="clear" w:color="auto" w:fill="auto"/>
            <w:hideMark/>
          </w:tcPr>
          <w:p w:rsidR="002246AD" w:rsidRPr="003D1522" w:rsidRDefault="002246AD" w:rsidP="00A07A9C">
            <w:pPr>
              <w:pStyle w:val="SingleTxtG"/>
              <w:spacing w:before="40" w:after="40" w:line="220" w:lineRule="exact"/>
              <w:ind w:left="0" w:right="113"/>
              <w:jc w:val="left"/>
              <w:rPr>
                <w:sz w:val="18"/>
              </w:rPr>
            </w:pPr>
            <w:r w:rsidRPr="003D1522">
              <w:rPr>
                <w:sz w:val="18"/>
              </w:rPr>
              <w:t>Agriculture</w:t>
            </w:r>
          </w:p>
        </w:tc>
        <w:tc>
          <w:tcPr>
            <w:tcW w:w="637" w:type="dxa"/>
            <w:tcBorders>
              <w:top w:val="single" w:sz="12" w:space="0" w:color="auto"/>
            </w:tcBorders>
            <w:shd w:val="clear" w:color="auto" w:fill="auto"/>
            <w:noWrap/>
            <w:vAlign w:val="bottom"/>
            <w:hideMark/>
          </w:tcPr>
          <w:p w:rsidR="002246AD" w:rsidRPr="003D1522" w:rsidRDefault="002246AD" w:rsidP="00A07A9C">
            <w:pPr>
              <w:pStyle w:val="SingleTxtG"/>
              <w:spacing w:before="40" w:after="40" w:line="220" w:lineRule="exact"/>
              <w:ind w:left="0" w:right="113"/>
              <w:jc w:val="right"/>
              <w:rPr>
                <w:sz w:val="18"/>
              </w:rPr>
            </w:pPr>
            <w:r w:rsidRPr="003D1522">
              <w:rPr>
                <w:sz w:val="18"/>
              </w:rPr>
              <w:t>3</w:t>
            </w:r>
            <w:r w:rsidR="00DF2C9B" w:rsidRPr="003D1522">
              <w:rPr>
                <w:sz w:val="18"/>
              </w:rPr>
              <w:t>.</w:t>
            </w:r>
            <w:r w:rsidRPr="003D1522">
              <w:rPr>
                <w:sz w:val="18"/>
              </w:rPr>
              <w:t>9%</w:t>
            </w:r>
          </w:p>
        </w:tc>
        <w:tc>
          <w:tcPr>
            <w:tcW w:w="638" w:type="dxa"/>
            <w:tcBorders>
              <w:top w:val="single" w:sz="12" w:space="0" w:color="auto"/>
            </w:tcBorders>
            <w:shd w:val="clear" w:color="auto" w:fill="auto"/>
            <w:noWrap/>
            <w:vAlign w:val="bottom"/>
            <w:hideMark/>
          </w:tcPr>
          <w:p w:rsidR="002246AD" w:rsidRPr="003D1522" w:rsidRDefault="002246AD" w:rsidP="00A07A9C">
            <w:pPr>
              <w:pStyle w:val="SingleTxtG"/>
              <w:spacing w:before="40" w:after="40" w:line="220" w:lineRule="exact"/>
              <w:ind w:left="0" w:right="113"/>
              <w:jc w:val="right"/>
              <w:rPr>
                <w:sz w:val="18"/>
              </w:rPr>
            </w:pPr>
            <w:r w:rsidRPr="003D1522">
              <w:rPr>
                <w:sz w:val="18"/>
              </w:rPr>
              <w:t>4</w:t>
            </w:r>
            <w:r w:rsidR="00DF2C9B" w:rsidRPr="003D1522">
              <w:rPr>
                <w:sz w:val="18"/>
              </w:rPr>
              <w:t>.</w:t>
            </w:r>
            <w:r w:rsidRPr="003D1522">
              <w:rPr>
                <w:sz w:val="18"/>
              </w:rPr>
              <w:t>5%</w:t>
            </w:r>
          </w:p>
        </w:tc>
        <w:tc>
          <w:tcPr>
            <w:tcW w:w="638" w:type="dxa"/>
            <w:tcBorders>
              <w:top w:val="single" w:sz="12" w:space="0" w:color="auto"/>
            </w:tcBorders>
            <w:shd w:val="clear" w:color="auto" w:fill="auto"/>
            <w:noWrap/>
            <w:vAlign w:val="bottom"/>
            <w:hideMark/>
          </w:tcPr>
          <w:p w:rsidR="002246AD" w:rsidRPr="003D1522" w:rsidRDefault="002246AD" w:rsidP="00A07A9C">
            <w:pPr>
              <w:pStyle w:val="SingleTxtG"/>
              <w:spacing w:before="40" w:after="40" w:line="220" w:lineRule="exact"/>
              <w:ind w:left="0" w:right="113"/>
              <w:jc w:val="right"/>
              <w:rPr>
                <w:sz w:val="18"/>
              </w:rPr>
            </w:pPr>
            <w:r w:rsidRPr="003D1522">
              <w:rPr>
                <w:sz w:val="18"/>
              </w:rPr>
              <w:t>4</w:t>
            </w:r>
            <w:r w:rsidR="00DF2C9B" w:rsidRPr="003D1522">
              <w:rPr>
                <w:sz w:val="18"/>
              </w:rPr>
              <w:t>.</w:t>
            </w:r>
            <w:r w:rsidRPr="003D1522">
              <w:rPr>
                <w:sz w:val="18"/>
              </w:rPr>
              <w:t>2%</w:t>
            </w:r>
          </w:p>
        </w:tc>
        <w:tc>
          <w:tcPr>
            <w:tcW w:w="637" w:type="dxa"/>
            <w:tcBorders>
              <w:top w:val="single" w:sz="12" w:space="0" w:color="auto"/>
            </w:tcBorders>
            <w:shd w:val="clear" w:color="auto" w:fill="auto"/>
            <w:noWrap/>
            <w:vAlign w:val="bottom"/>
            <w:hideMark/>
          </w:tcPr>
          <w:p w:rsidR="002246AD" w:rsidRPr="003D1522" w:rsidRDefault="002246AD" w:rsidP="00A07A9C">
            <w:pPr>
              <w:pStyle w:val="SingleTxtG"/>
              <w:spacing w:before="40" w:after="40" w:line="220" w:lineRule="exact"/>
              <w:ind w:left="0" w:right="113"/>
              <w:jc w:val="right"/>
              <w:rPr>
                <w:sz w:val="18"/>
              </w:rPr>
            </w:pPr>
            <w:r w:rsidRPr="003D1522">
              <w:rPr>
                <w:sz w:val="18"/>
              </w:rPr>
              <w:t>3</w:t>
            </w:r>
            <w:r w:rsidR="00DF2C9B" w:rsidRPr="003D1522">
              <w:rPr>
                <w:sz w:val="18"/>
              </w:rPr>
              <w:t>.</w:t>
            </w:r>
            <w:r w:rsidRPr="003D1522">
              <w:rPr>
                <w:sz w:val="18"/>
              </w:rPr>
              <w:t>6%</w:t>
            </w:r>
          </w:p>
        </w:tc>
        <w:tc>
          <w:tcPr>
            <w:tcW w:w="638" w:type="dxa"/>
            <w:tcBorders>
              <w:top w:val="single" w:sz="12" w:space="0" w:color="auto"/>
            </w:tcBorders>
            <w:shd w:val="clear" w:color="auto" w:fill="auto"/>
            <w:noWrap/>
            <w:vAlign w:val="bottom"/>
            <w:hideMark/>
          </w:tcPr>
          <w:p w:rsidR="002246AD" w:rsidRPr="003D1522" w:rsidRDefault="002246AD" w:rsidP="00A07A9C">
            <w:pPr>
              <w:pStyle w:val="SingleTxtG"/>
              <w:spacing w:before="40" w:after="40" w:line="220" w:lineRule="exact"/>
              <w:ind w:left="0" w:right="113"/>
              <w:jc w:val="right"/>
              <w:rPr>
                <w:sz w:val="18"/>
              </w:rPr>
            </w:pPr>
            <w:r w:rsidRPr="003D1522">
              <w:rPr>
                <w:sz w:val="18"/>
              </w:rPr>
              <w:t>3</w:t>
            </w:r>
            <w:r w:rsidR="00DF2C9B" w:rsidRPr="003D1522">
              <w:rPr>
                <w:sz w:val="18"/>
              </w:rPr>
              <w:t>.</w:t>
            </w:r>
            <w:r w:rsidRPr="003D1522">
              <w:rPr>
                <w:sz w:val="18"/>
              </w:rPr>
              <w:t>2%</w:t>
            </w:r>
          </w:p>
        </w:tc>
        <w:tc>
          <w:tcPr>
            <w:tcW w:w="638" w:type="dxa"/>
            <w:tcBorders>
              <w:top w:val="single" w:sz="12" w:space="0" w:color="auto"/>
            </w:tcBorders>
            <w:shd w:val="clear" w:color="auto" w:fill="auto"/>
            <w:noWrap/>
            <w:vAlign w:val="bottom"/>
            <w:hideMark/>
          </w:tcPr>
          <w:p w:rsidR="002246AD" w:rsidRPr="003D1522" w:rsidRDefault="002246AD" w:rsidP="00A07A9C">
            <w:pPr>
              <w:pStyle w:val="SingleTxtG"/>
              <w:spacing w:before="40" w:after="40" w:line="220" w:lineRule="exact"/>
              <w:ind w:left="0" w:right="113"/>
              <w:jc w:val="right"/>
              <w:rPr>
                <w:sz w:val="18"/>
              </w:rPr>
            </w:pPr>
            <w:r w:rsidRPr="003D1522">
              <w:rPr>
                <w:sz w:val="18"/>
              </w:rPr>
              <w:t>3</w:t>
            </w:r>
            <w:r w:rsidR="00DF2C9B" w:rsidRPr="003D1522">
              <w:rPr>
                <w:sz w:val="18"/>
              </w:rPr>
              <w:t>.</w:t>
            </w:r>
            <w:r w:rsidRPr="003D1522">
              <w:rPr>
                <w:sz w:val="18"/>
              </w:rPr>
              <w:t>3%</w:t>
            </w:r>
          </w:p>
        </w:tc>
        <w:tc>
          <w:tcPr>
            <w:tcW w:w="637" w:type="dxa"/>
            <w:tcBorders>
              <w:top w:val="single" w:sz="12" w:space="0" w:color="auto"/>
            </w:tcBorders>
            <w:shd w:val="clear" w:color="auto" w:fill="auto"/>
            <w:noWrap/>
            <w:vAlign w:val="bottom"/>
            <w:hideMark/>
          </w:tcPr>
          <w:p w:rsidR="002246AD" w:rsidRPr="003D1522" w:rsidRDefault="002246AD" w:rsidP="00A07A9C">
            <w:pPr>
              <w:pStyle w:val="SingleTxtG"/>
              <w:spacing w:before="40" w:after="40" w:line="220" w:lineRule="exact"/>
              <w:ind w:left="0" w:right="113"/>
              <w:jc w:val="right"/>
              <w:rPr>
                <w:sz w:val="18"/>
              </w:rPr>
            </w:pPr>
            <w:r w:rsidRPr="003D1522">
              <w:rPr>
                <w:sz w:val="18"/>
              </w:rPr>
              <w:t>3</w:t>
            </w:r>
            <w:r w:rsidR="00DF2C9B" w:rsidRPr="003D1522">
              <w:rPr>
                <w:sz w:val="18"/>
              </w:rPr>
              <w:t>.</w:t>
            </w:r>
            <w:r w:rsidRPr="003D1522">
              <w:rPr>
                <w:sz w:val="18"/>
              </w:rPr>
              <w:t>6%</w:t>
            </w:r>
          </w:p>
        </w:tc>
        <w:tc>
          <w:tcPr>
            <w:tcW w:w="638" w:type="dxa"/>
            <w:tcBorders>
              <w:top w:val="single" w:sz="12" w:space="0" w:color="auto"/>
            </w:tcBorders>
            <w:shd w:val="clear" w:color="auto" w:fill="auto"/>
            <w:noWrap/>
            <w:vAlign w:val="bottom"/>
            <w:hideMark/>
          </w:tcPr>
          <w:p w:rsidR="002246AD" w:rsidRPr="003D1522" w:rsidRDefault="002246AD" w:rsidP="00A07A9C">
            <w:pPr>
              <w:pStyle w:val="SingleTxtG"/>
              <w:spacing w:before="40" w:after="40" w:line="220" w:lineRule="exact"/>
              <w:ind w:left="0" w:right="113"/>
              <w:jc w:val="right"/>
              <w:rPr>
                <w:sz w:val="18"/>
              </w:rPr>
            </w:pPr>
            <w:r w:rsidRPr="003D1522">
              <w:rPr>
                <w:sz w:val="18"/>
              </w:rPr>
              <w:t>3</w:t>
            </w:r>
            <w:r w:rsidR="00DF2C9B" w:rsidRPr="003D1522">
              <w:rPr>
                <w:sz w:val="18"/>
              </w:rPr>
              <w:t>.</w:t>
            </w:r>
            <w:r w:rsidRPr="003D1522">
              <w:rPr>
                <w:sz w:val="18"/>
              </w:rPr>
              <w:t>2%</w:t>
            </w:r>
          </w:p>
        </w:tc>
        <w:tc>
          <w:tcPr>
            <w:tcW w:w="638" w:type="dxa"/>
            <w:tcBorders>
              <w:top w:val="single" w:sz="12" w:space="0" w:color="auto"/>
            </w:tcBorders>
            <w:shd w:val="clear" w:color="auto" w:fill="auto"/>
            <w:noWrap/>
            <w:vAlign w:val="bottom"/>
            <w:hideMark/>
          </w:tcPr>
          <w:p w:rsidR="002246AD" w:rsidRPr="003D1522" w:rsidRDefault="002246AD" w:rsidP="00A07A9C">
            <w:pPr>
              <w:pStyle w:val="SingleTxtG"/>
              <w:spacing w:before="40" w:after="40" w:line="220" w:lineRule="exact"/>
              <w:ind w:left="0" w:right="113"/>
              <w:jc w:val="right"/>
              <w:rPr>
                <w:sz w:val="18"/>
              </w:rPr>
            </w:pPr>
            <w:r w:rsidRPr="003D1522">
              <w:rPr>
                <w:sz w:val="18"/>
              </w:rPr>
              <w:t>3</w:t>
            </w:r>
            <w:r w:rsidR="00DF2C9B" w:rsidRPr="003D1522">
              <w:rPr>
                <w:sz w:val="18"/>
              </w:rPr>
              <w:t>.</w:t>
            </w:r>
            <w:r w:rsidRPr="003D1522">
              <w:rPr>
                <w:sz w:val="18"/>
              </w:rPr>
              <w:t>1%</w:t>
            </w:r>
          </w:p>
        </w:tc>
        <w:tc>
          <w:tcPr>
            <w:tcW w:w="638" w:type="dxa"/>
            <w:tcBorders>
              <w:top w:val="single" w:sz="12" w:space="0" w:color="auto"/>
            </w:tcBorders>
            <w:shd w:val="clear" w:color="auto" w:fill="auto"/>
            <w:noWrap/>
            <w:vAlign w:val="bottom"/>
            <w:hideMark/>
          </w:tcPr>
          <w:p w:rsidR="002246AD" w:rsidRPr="003D1522" w:rsidRDefault="002246AD" w:rsidP="00A07A9C">
            <w:pPr>
              <w:pStyle w:val="SingleTxtG"/>
              <w:spacing w:before="40" w:after="40" w:line="220" w:lineRule="exact"/>
              <w:ind w:left="0" w:right="113"/>
              <w:jc w:val="right"/>
              <w:rPr>
                <w:sz w:val="18"/>
              </w:rPr>
            </w:pPr>
            <w:r w:rsidRPr="003D1522">
              <w:rPr>
                <w:sz w:val="18"/>
              </w:rPr>
              <w:t>3</w:t>
            </w:r>
            <w:r w:rsidR="00DF2C9B" w:rsidRPr="003D1522">
              <w:rPr>
                <w:sz w:val="18"/>
              </w:rPr>
              <w:t>.</w:t>
            </w:r>
            <w:r w:rsidRPr="003D1522">
              <w:rPr>
                <w:sz w:val="18"/>
              </w:rPr>
              <w:t>0%</w:t>
            </w:r>
          </w:p>
        </w:tc>
      </w:tr>
      <w:tr w:rsidR="00A07A9C" w:rsidRPr="003D1522" w:rsidTr="00A07A9C">
        <w:tc>
          <w:tcPr>
            <w:tcW w:w="993" w:type="dxa"/>
            <w:shd w:val="clear" w:color="auto" w:fill="auto"/>
            <w:hideMark/>
          </w:tcPr>
          <w:p w:rsidR="002246AD" w:rsidRPr="003D1522" w:rsidRDefault="002246AD" w:rsidP="00A07A9C">
            <w:pPr>
              <w:pStyle w:val="SingleTxtG"/>
              <w:spacing w:before="40" w:after="40" w:line="220" w:lineRule="exact"/>
              <w:ind w:left="0" w:right="113"/>
              <w:jc w:val="left"/>
              <w:rPr>
                <w:sz w:val="18"/>
              </w:rPr>
            </w:pPr>
            <w:r w:rsidRPr="003D1522">
              <w:rPr>
                <w:sz w:val="18"/>
              </w:rPr>
              <w:lastRenderedPageBreak/>
              <w:t>Wood processing</w:t>
            </w:r>
          </w:p>
        </w:tc>
        <w:tc>
          <w:tcPr>
            <w:tcW w:w="637" w:type="dxa"/>
            <w:shd w:val="clear" w:color="auto" w:fill="auto"/>
            <w:noWrap/>
            <w:vAlign w:val="bottom"/>
            <w:hideMark/>
          </w:tcPr>
          <w:p w:rsidR="002246AD" w:rsidRPr="003D1522" w:rsidRDefault="002246AD" w:rsidP="00A07A9C">
            <w:pPr>
              <w:pStyle w:val="SingleTxtG"/>
              <w:spacing w:before="40" w:after="40" w:line="220" w:lineRule="exact"/>
              <w:ind w:left="0" w:right="113"/>
              <w:jc w:val="right"/>
              <w:rPr>
                <w:sz w:val="18"/>
              </w:rPr>
            </w:pPr>
            <w:r w:rsidRPr="003D1522">
              <w:rPr>
                <w:sz w:val="18"/>
              </w:rPr>
              <w:t>7</w:t>
            </w:r>
            <w:r w:rsidR="00DF2C9B" w:rsidRPr="003D1522">
              <w:rPr>
                <w:sz w:val="18"/>
              </w:rPr>
              <w:t>.</w:t>
            </w:r>
            <w:r w:rsidRPr="003D1522">
              <w:rPr>
                <w:sz w:val="18"/>
              </w:rPr>
              <w:t>5%</w:t>
            </w:r>
          </w:p>
        </w:tc>
        <w:tc>
          <w:tcPr>
            <w:tcW w:w="638" w:type="dxa"/>
            <w:shd w:val="clear" w:color="auto" w:fill="auto"/>
            <w:noWrap/>
            <w:vAlign w:val="bottom"/>
            <w:hideMark/>
          </w:tcPr>
          <w:p w:rsidR="002246AD" w:rsidRPr="003D1522" w:rsidRDefault="002246AD" w:rsidP="00A07A9C">
            <w:pPr>
              <w:pStyle w:val="SingleTxtG"/>
              <w:spacing w:before="40" w:after="40" w:line="220" w:lineRule="exact"/>
              <w:ind w:left="0" w:right="113"/>
              <w:jc w:val="right"/>
              <w:rPr>
                <w:sz w:val="18"/>
              </w:rPr>
            </w:pPr>
            <w:r w:rsidRPr="003D1522">
              <w:rPr>
                <w:sz w:val="18"/>
              </w:rPr>
              <w:t>6</w:t>
            </w:r>
            <w:r w:rsidR="00DF2C9B" w:rsidRPr="003D1522">
              <w:rPr>
                <w:sz w:val="18"/>
              </w:rPr>
              <w:t>.</w:t>
            </w:r>
            <w:r w:rsidRPr="003D1522">
              <w:rPr>
                <w:sz w:val="18"/>
              </w:rPr>
              <w:t>8%</w:t>
            </w:r>
          </w:p>
        </w:tc>
        <w:tc>
          <w:tcPr>
            <w:tcW w:w="638" w:type="dxa"/>
            <w:shd w:val="clear" w:color="auto" w:fill="auto"/>
            <w:noWrap/>
            <w:vAlign w:val="bottom"/>
            <w:hideMark/>
          </w:tcPr>
          <w:p w:rsidR="002246AD" w:rsidRPr="003D1522" w:rsidRDefault="002246AD" w:rsidP="00A07A9C">
            <w:pPr>
              <w:pStyle w:val="SingleTxtG"/>
              <w:spacing w:before="40" w:after="40" w:line="220" w:lineRule="exact"/>
              <w:ind w:left="0" w:right="113"/>
              <w:jc w:val="right"/>
              <w:rPr>
                <w:sz w:val="18"/>
              </w:rPr>
            </w:pPr>
            <w:r w:rsidRPr="003D1522">
              <w:rPr>
                <w:sz w:val="18"/>
              </w:rPr>
              <w:t>7</w:t>
            </w:r>
            <w:r w:rsidR="00DF2C9B" w:rsidRPr="003D1522">
              <w:rPr>
                <w:sz w:val="18"/>
              </w:rPr>
              <w:t>.</w:t>
            </w:r>
            <w:r w:rsidRPr="003D1522">
              <w:rPr>
                <w:sz w:val="18"/>
              </w:rPr>
              <w:t>9%</w:t>
            </w:r>
          </w:p>
        </w:tc>
        <w:tc>
          <w:tcPr>
            <w:tcW w:w="637" w:type="dxa"/>
            <w:shd w:val="clear" w:color="auto" w:fill="auto"/>
            <w:noWrap/>
            <w:vAlign w:val="bottom"/>
            <w:hideMark/>
          </w:tcPr>
          <w:p w:rsidR="002246AD" w:rsidRPr="003D1522" w:rsidRDefault="002246AD" w:rsidP="00A07A9C">
            <w:pPr>
              <w:pStyle w:val="SingleTxtG"/>
              <w:spacing w:before="40" w:after="40" w:line="220" w:lineRule="exact"/>
              <w:ind w:left="0" w:right="113"/>
              <w:jc w:val="right"/>
              <w:rPr>
                <w:sz w:val="18"/>
              </w:rPr>
            </w:pPr>
            <w:r w:rsidRPr="003D1522">
              <w:rPr>
                <w:sz w:val="18"/>
              </w:rPr>
              <w:t>8</w:t>
            </w:r>
            <w:r w:rsidR="00DF2C9B" w:rsidRPr="003D1522">
              <w:rPr>
                <w:sz w:val="18"/>
              </w:rPr>
              <w:t>.</w:t>
            </w:r>
            <w:r w:rsidRPr="003D1522">
              <w:rPr>
                <w:sz w:val="18"/>
              </w:rPr>
              <w:t>1%</w:t>
            </w:r>
          </w:p>
        </w:tc>
        <w:tc>
          <w:tcPr>
            <w:tcW w:w="638" w:type="dxa"/>
            <w:shd w:val="clear" w:color="auto" w:fill="auto"/>
            <w:noWrap/>
            <w:vAlign w:val="bottom"/>
            <w:hideMark/>
          </w:tcPr>
          <w:p w:rsidR="002246AD" w:rsidRPr="003D1522" w:rsidRDefault="002246AD" w:rsidP="00A07A9C">
            <w:pPr>
              <w:pStyle w:val="SingleTxtG"/>
              <w:spacing w:before="40" w:after="40" w:line="220" w:lineRule="exact"/>
              <w:ind w:left="0" w:right="113"/>
              <w:jc w:val="right"/>
              <w:rPr>
                <w:sz w:val="18"/>
              </w:rPr>
            </w:pPr>
            <w:r w:rsidRPr="003D1522">
              <w:rPr>
                <w:sz w:val="18"/>
              </w:rPr>
              <w:t>7</w:t>
            </w:r>
            <w:r w:rsidR="00DF2C9B" w:rsidRPr="003D1522">
              <w:rPr>
                <w:sz w:val="18"/>
              </w:rPr>
              <w:t>.</w:t>
            </w:r>
            <w:r w:rsidRPr="003D1522">
              <w:rPr>
                <w:sz w:val="18"/>
              </w:rPr>
              <w:t>5%</w:t>
            </w:r>
          </w:p>
        </w:tc>
        <w:tc>
          <w:tcPr>
            <w:tcW w:w="638" w:type="dxa"/>
            <w:shd w:val="clear" w:color="auto" w:fill="auto"/>
            <w:noWrap/>
            <w:vAlign w:val="bottom"/>
            <w:hideMark/>
          </w:tcPr>
          <w:p w:rsidR="002246AD" w:rsidRPr="003D1522" w:rsidRDefault="002246AD" w:rsidP="00A07A9C">
            <w:pPr>
              <w:pStyle w:val="SingleTxtG"/>
              <w:spacing w:before="40" w:after="40" w:line="220" w:lineRule="exact"/>
              <w:ind w:left="0" w:right="113"/>
              <w:jc w:val="right"/>
              <w:rPr>
                <w:sz w:val="18"/>
              </w:rPr>
            </w:pPr>
            <w:r w:rsidRPr="003D1522">
              <w:rPr>
                <w:sz w:val="18"/>
              </w:rPr>
              <w:t>8</w:t>
            </w:r>
            <w:r w:rsidR="00DF2C9B" w:rsidRPr="003D1522">
              <w:rPr>
                <w:sz w:val="18"/>
              </w:rPr>
              <w:t>.</w:t>
            </w:r>
            <w:r w:rsidRPr="003D1522">
              <w:rPr>
                <w:sz w:val="18"/>
              </w:rPr>
              <w:t>5%</w:t>
            </w:r>
          </w:p>
        </w:tc>
        <w:tc>
          <w:tcPr>
            <w:tcW w:w="637" w:type="dxa"/>
            <w:shd w:val="clear" w:color="auto" w:fill="auto"/>
            <w:noWrap/>
            <w:vAlign w:val="bottom"/>
            <w:hideMark/>
          </w:tcPr>
          <w:p w:rsidR="002246AD" w:rsidRPr="003D1522" w:rsidRDefault="002246AD" w:rsidP="00A07A9C">
            <w:pPr>
              <w:pStyle w:val="SingleTxtG"/>
              <w:spacing w:before="40" w:after="40" w:line="220" w:lineRule="exact"/>
              <w:ind w:left="0" w:right="113"/>
              <w:jc w:val="right"/>
              <w:rPr>
                <w:sz w:val="18"/>
              </w:rPr>
            </w:pPr>
            <w:r w:rsidRPr="003D1522">
              <w:rPr>
                <w:sz w:val="18"/>
              </w:rPr>
              <w:t>6</w:t>
            </w:r>
            <w:r w:rsidR="00DF2C9B" w:rsidRPr="003D1522">
              <w:rPr>
                <w:sz w:val="18"/>
              </w:rPr>
              <w:t>.</w:t>
            </w:r>
            <w:r w:rsidRPr="003D1522">
              <w:rPr>
                <w:sz w:val="18"/>
              </w:rPr>
              <w:t>6%</w:t>
            </w:r>
          </w:p>
        </w:tc>
        <w:tc>
          <w:tcPr>
            <w:tcW w:w="638" w:type="dxa"/>
            <w:shd w:val="clear" w:color="auto" w:fill="auto"/>
            <w:noWrap/>
            <w:vAlign w:val="bottom"/>
            <w:hideMark/>
          </w:tcPr>
          <w:p w:rsidR="002246AD" w:rsidRPr="003D1522" w:rsidRDefault="002246AD" w:rsidP="00A07A9C">
            <w:pPr>
              <w:pStyle w:val="SingleTxtG"/>
              <w:spacing w:before="40" w:after="40" w:line="220" w:lineRule="exact"/>
              <w:ind w:left="0" w:right="113"/>
              <w:jc w:val="right"/>
              <w:rPr>
                <w:sz w:val="18"/>
              </w:rPr>
            </w:pPr>
            <w:r w:rsidRPr="003D1522">
              <w:rPr>
                <w:sz w:val="18"/>
              </w:rPr>
              <w:t>7</w:t>
            </w:r>
            <w:r w:rsidR="00DF2C9B" w:rsidRPr="003D1522">
              <w:rPr>
                <w:sz w:val="18"/>
              </w:rPr>
              <w:t>.</w:t>
            </w:r>
            <w:r w:rsidRPr="003D1522">
              <w:rPr>
                <w:sz w:val="18"/>
              </w:rPr>
              <w:t>8%</w:t>
            </w:r>
          </w:p>
        </w:tc>
        <w:tc>
          <w:tcPr>
            <w:tcW w:w="638" w:type="dxa"/>
            <w:shd w:val="clear" w:color="auto" w:fill="auto"/>
            <w:noWrap/>
            <w:vAlign w:val="bottom"/>
            <w:hideMark/>
          </w:tcPr>
          <w:p w:rsidR="002246AD" w:rsidRPr="003D1522" w:rsidRDefault="002246AD" w:rsidP="00A07A9C">
            <w:pPr>
              <w:pStyle w:val="SingleTxtG"/>
              <w:spacing w:before="40" w:after="40" w:line="220" w:lineRule="exact"/>
              <w:ind w:left="0" w:right="113"/>
              <w:jc w:val="right"/>
              <w:rPr>
                <w:sz w:val="18"/>
              </w:rPr>
            </w:pPr>
            <w:r w:rsidRPr="003D1522">
              <w:rPr>
                <w:sz w:val="18"/>
              </w:rPr>
              <w:t>6</w:t>
            </w:r>
            <w:r w:rsidR="00DF2C9B" w:rsidRPr="003D1522">
              <w:rPr>
                <w:sz w:val="18"/>
              </w:rPr>
              <w:t>.</w:t>
            </w:r>
            <w:r w:rsidRPr="003D1522">
              <w:rPr>
                <w:sz w:val="18"/>
              </w:rPr>
              <w:t>6%</w:t>
            </w:r>
          </w:p>
        </w:tc>
        <w:tc>
          <w:tcPr>
            <w:tcW w:w="638" w:type="dxa"/>
            <w:shd w:val="clear" w:color="auto" w:fill="auto"/>
            <w:noWrap/>
            <w:vAlign w:val="bottom"/>
            <w:hideMark/>
          </w:tcPr>
          <w:p w:rsidR="002246AD" w:rsidRPr="003D1522" w:rsidRDefault="002246AD" w:rsidP="00A07A9C">
            <w:pPr>
              <w:pStyle w:val="SingleTxtG"/>
              <w:spacing w:before="40" w:after="40" w:line="220" w:lineRule="exact"/>
              <w:ind w:left="0" w:right="113"/>
              <w:jc w:val="right"/>
              <w:rPr>
                <w:sz w:val="18"/>
              </w:rPr>
            </w:pPr>
            <w:r w:rsidRPr="003D1522">
              <w:rPr>
                <w:sz w:val="18"/>
              </w:rPr>
              <w:t>7</w:t>
            </w:r>
            <w:r w:rsidR="00DF2C9B" w:rsidRPr="003D1522">
              <w:rPr>
                <w:sz w:val="18"/>
              </w:rPr>
              <w:t>.</w:t>
            </w:r>
            <w:r w:rsidRPr="003D1522">
              <w:rPr>
                <w:sz w:val="18"/>
              </w:rPr>
              <w:t>7%</w:t>
            </w:r>
          </w:p>
        </w:tc>
      </w:tr>
    </w:tbl>
    <w:p w:rsidR="002246AD" w:rsidRPr="003D1522" w:rsidRDefault="00A07A9C" w:rsidP="00A07A9C">
      <w:pPr>
        <w:pStyle w:val="H23G"/>
      </w:pPr>
      <w:r w:rsidRPr="003D1522">
        <w:tab/>
      </w:r>
      <w:r w:rsidRPr="003D1522">
        <w:tab/>
      </w:r>
      <w:r w:rsidR="002246AD" w:rsidRPr="003D1522">
        <w:t>Occupational diseases: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623"/>
        <w:gridCol w:w="624"/>
        <w:gridCol w:w="623"/>
        <w:gridCol w:w="624"/>
        <w:gridCol w:w="624"/>
        <w:gridCol w:w="623"/>
        <w:gridCol w:w="624"/>
        <w:gridCol w:w="623"/>
        <w:gridCol w:w="624"/>
        <w:gridCol w:w="624"/>
      </w:tblGrid>
      <w:tr w:rsidR="00A07A9C" w:rsidRPr="003D1522" w:rsidTr="00237BC6">
        <w:trPr>
          <w:tblHeader/>
        </w:trPr>
        <w:tc>
          <w:tcPr>
            <w:tcW w:w="1134" w:type="dxa"/>
            <w:tcBorders>
              <w:top w:val="single" w:sz="4" w:space="0" w:color="auto"/>
              <w:bottom w:val="single" w:sz="12" w:space="0" w:color="auto"/>
            </w:tcBorders>
            <w:shd w:val="clear" w:color="auto" w:fill="auto"/>
            <w:noWrap/>
            <w:vAlign w:val="bottom"/>
            <w:hideMark/>
          </w:tcPr>
          <w:p w:rsidR="002246AD" w:rsidRPr="003D1522" w:rsidRDefault="002246AD" w:rsidP="00A07A9C">
            <w:pPr>
              <w:pStyle w:val="SingleTxtG"/>
              <w:spacing w:before="80" w:after="80" w:line="200" w:lineRule="exact"/>
              <w:ind w:left="0" w:right="113"/>
              <w:jc w:val="left"/>
              <w:rPr>
                <w:i/>
                <w:sz w:val="16"/>
              </w:rPr>
            </w:pPr>
            <w:r w:rsidRPr="003D1522">
              <w:rPr>
                <w:i/>
                <w:sz w:val="16"/>
              </w:rPr>
              <w:t>Area of activity</w:t>
            </w:r>
          </w:p>
        </w:tc>
        <w:tc>
          <w:tcPr>
            <w:tcW w:w="623" w:type="dxa"/>
            <w:tcBorders>
              <w:top w:val="single" w:sz="4" w:space="0" w:color="auto"/>
              <w:bottom w:val="single" w:sz="12" w:space="0" w:color="auto"/>
            </w:tcBorders>
            <w:shd w:val="clear" w:color="auto" w:fill="auto"/>
            <w:noWrap/>
            <w:vAlign w:val="bottom"/>
            <w:hideMark/>
          </w:tcPr>
          <w:p w:rsidR="002246AD" w:rsidRPr="003D1522" w:rsidRDefault="002246AD" w:rsidP="00A07A9C">
            <w:pPr>
              <w:pStyle w:val="SingleTxtG"/>
              <w:spacing w:before="80" w:after="80" w:line="200" w:lineRule="exact"/>
              <w:ind w:left="0" w:right="113"/>
              <w:jc w:val="right"/>
              <w:rPr>
                <w:i/>
                <w:sz w:val="16"/>
              </w:rPr>
            </w:pPr>
            <w:r w:rsidRPr="003D1522">
              <w:rPr>
                <w:i/>
                <w:sz w:val="16"/>
              </w:rPr>
              <w:t>2008</w:t>
            </w:r>
          </w:p>
        </w:tc>
        <w:tc>
          <w:tcPr>
            <w:tcW w:w="624" w:type="dxa"/>
            <w:tcBorders>
              <w:top w:val="single" w:sz="4" w:space="0" w:color="auto"/>
              <w:bottom w:val="single" w:sz="12" w:space="0" w:color="auto"/>
            </w:tcBorders>
            <w:shd w:val="clear" w:color="auto" w:fill="auto"/>
            <w:noWrap/>
            <w:vAlign w:val="bottom"/>
            <w:hideMark/>
          </w:tcPr>
          <w:p w:rsidR="002246AD" w:rsidRPr="003D1522" w:rsidRDefault="002246AD" w:rsidP="00A07A9C">
            <w:pPr>
              <w:pStyle w:val="SingleTxtG"/>
              <w:spacing w:before="80" w:after="80" w:line="200" w:lineRule="exact"/>
              <w:ind w:left="0" w:right="113"/>
              <w:jc w:val="right"/>
              <w:rPr>
                <w:i/>
                <w:sz w:val="16"/>
              </w:rPr>
            </w:pPr>
            <w:r w:rsidRPr="003D1522">
              <w:rPr>
                <w:i/>
                <w:sz w:val="16"/>
              </w:rPr>
              <w:t>2009</w:t>
            </w:r>
          </w:p>
        </w:tc>
        <w:tc>
          <w:tcPr>
            <w:tcW w:w="623" w:type="dxa"/>
            <w:tcBorders>
              <w:top w:val="single" w:sz="4" w:space="0" w:color="auto"/>
              <w:bottom w:val="single" w:sz="12" w:space="0" w:color="auto"/>
            </w:tcBorders>
            <w:shd w:val="clear" w:color="auto" w:fill="auto"/>
            <w:noWrap/>
            <w:vAlign w:val="bottom"/>
            <w:hideMark/>
          </w:tcPr>
          <w:p w:rsidR="002246AD" w:rsidRPr="003D1522" w:rsidRDefault="002246AD" w:rsidP="00A07A9C">
            <w:pPr>
              <w:pStyle w:val="SingleTxtG"/>
              <w:spacing w:before="80" w:after="80" w:line="200" w:lineRule="exact"/>
              <w:ind w:left="0" w:right="113"/>
              <w:jc w:val="right"/>
              <w:rPr>
                <w:i/>
                <w:sz w:val="16"/>
              </w:rPr>
            </w:pPr>
            <w:r w:rsidRPr="003D1522">
              <w:rPr>
                <w:i/>
                <w:sz w:val="16"/>
              </w:rPr>
              <w:t>2010</w:t>
            </w:r>
          </w:p>
        </w:tc>
        <w:tc>
          <w:tcPr>
            <w:tcW w:w="624" w:type="dxa"/>
            <w:tcBorders>
              <w:top w:val="single" w:sz="4" w:space="0" w:color="auto"/>
              <w:bottom w:val="single" w:sz="12" w:space="0" w:color="auto"/>
            </w:tcBorders>
            <w:shd w:val="clear" w:color="auto" w:fill="auto"/>
            <w:noWrap/>
            <w:vAlign w:val="bottom"/>
            <w:hideMark/>
          </w:tcPr>
          <w:p w:rsidR="002246AD" w:rsidRPr="003D1522" w:rsidRDefault="002246AD" w:rsidP="00A07A9C">
            <w:pPr>
              <w:pStyle w:val="SingleTxtG"/>
              <w:spacing w:before="80" w:after="80" w:line="200" w:lineRule="exact"/>
              <w:ind w:left="0" w:right="113"/>
              <w:jc w:val="right"/>
              <w:rPr>
                <w:i/>
                <w:sz w:val="16"/>
              </w:rPr>
            </w:pPr>
            <w:r w:rsidRPr="003D1522">
              <w:rPr>
                <w:i/>
                <w:sz w:val="16"/>
              </w:rPr>
              <w:t>2011</w:t>
            </w:r>
          </w:p>
        </w:tc>
        <w:tc>
          <w:tcPr>
            <w:tcW w:w="624" w:type="dxa"/>
            <w:tcBorders>
              <w:top w:val="single" w:sz="4" w:space="0" w:color="auto"/>
              <w:bottom w:val="single" w:sz="12" w:space="0" w:color="auto"/>
            </w:tcBorders>
            <w:shd w:val="clear" w:color="auto" w:fill="auto"/>
            <w:noWrap/>
            <w:vAlign w:val="bottom"/>
            <w:hideMark/>
          </w:tcPr>
          <w:p w:rsidR="002246AD" w:rsidRPr="003D1522" w:rsidRDefault="002246AD" w:rsidP="00A07A9C">
            <w:pPr>
              <w:pStyle w:val="SingleTxtG"/>
              <w:spacing w:before="80" w:after="80" w:line="200" w:lineRule="exact"/>
              <w:ind w:left="0" w:right="113"/>
              <w:jc w:val="right"/>
              <w:rPr>
                <w:i/>
                <w:sz w:val="16"/>
              </w:rPr>
            </w:pPr>
            <w:r w:rsidRPr="003D1522">
              <w:rPr>
                <w:i/>
                <w:sz w:val="16"/>
              </w:rPr>
              <w:t>2012</w:t>
            </w:r>
          </w:p>
        </w:tc>
        <w:tc>
          <w:tcPr>
            <w:tcW w:w="623" w:type="dxa"/>
            <w:tcBorders>
              <w:top w:val="single" w:sz="4" w:space="0" w:color="auto"/>
              <w:bottom w:val="single" w:sz="12" w:space="0" w:color="auto"/>
            </w:tcBorders>
            <w:shd w:val="clear" w:color="auto" w:fill="auto"/>
            <w:noWrap/>
            <w:vAlign w:val="bottom"/>
            <w:hideMark/>
          </w:tcPr>
          <w:p w:rsidR="002246AD" w:rsidRPr="003D1522" w:rsidRDefault="002246AD" w:rsidP="00A07A9C">
            <w:pPr>
              <w:pStyle w:val="SingleTxtG"/>
              <w:spacing w:before="80" w:after="80" w:line="200" w:lineRule="exact"/>
              <w:ind w:left="0" w:right="113"/>
              <w:jc w:val="right"/>
              <w:rPr>
                <w:i/>
                <w:sz w:val="16"/>
              </w:rPr>
            </w:pPr>
            <w:r w:rsidRPr="003D1522">
              <w:rPr>
                <w:i/>
                <w:sz w:val="16"/>
              </w:rPr>
              <w:t>2013</w:t>
            </w:r>
          </w:p>
        </w:tc>
        <w:tc>
          <w:tcPr>
            <w:tcW w:w="624" w:type="dxa"/>
            <w:tcBorders>
              <w:top w:val="single" w:sz="4" w:space="0" w:color="auto"/>
              <w:bottom w:val="single" w:sz="12" w:space="0" w:color="auto"/>
            </w:tcBorders>
            <w:shd w:val="clear" w:color="auto" w:fill="auto"/>
            <w:noWrap/>
            <w:vAlign w:val="bottom"/>
            <w:hideMark/>
          </w:tcPr>
          <w:p w:rsidR="002246AD" w:rsidRPr="003D1522" w:rsidRDefault="002246AD" w:rsidP="00A07A9C">
            <w:pPr>
              <w:pStyle w:val="SingleTxtG"/>
              <w:spacing w:before="80" w:after="80" w:line="200" w:lineRule="exact"/>
              <w:ind w:left="0" w:right="113"/>
              <w:jc w:val="right"/>
              <w:rPr>
                <w:i/>
                <w:sz w:val="16"/>
              </w:rPr>
            </w:pPr>
            <w:r w:rsidRPr="003D1522">
              <w:rPr>
                <w:i/>
                <w:sz w:val="16"/>
              </w:rPr>
              <w:t>2014</w:t>
            </w:r>
          </w:p>
        </w:tc>
        <w:tc>
          <w:tcPr>
            <w:tcW w:w="623" w:type="dxa"/>
            <w:tcBorders>
              <w:top w:val="single" w:sz="4" w:space="0" w:color="auto"/>
              <w:bottom w:val="single" w:sz="12" w:space="0" w:color="auto"/>
            </w:tcBorders>
            <w:shd w:val="clear" w:color="auto" w:fill="auto"/>
            <w:noWrap/>
            <w:vAlign w:val="bottom"/>
            <w:hideMark/>
          </w:tcPr>
          <w:p w:rsidR="002246AD" w:rsidRPr="003D1522" w:rsidRDefault="002246AD" w:rsidP="00A07A9C">
            <w:pPr>
              <w:pStyle w:val="SingleTxtG"/>
              <w:spacing w:before="80" w:after="80" w:line="200" w:lineRule="exact"/>
              <w:ind w:left="0" w:right="113"/>
              <w:jc w:val="right"/>
              <w:rPr>
                <w:i/>
                <w:sz w:val="16"/>
              </w:rPr>
            </w:pPr>
            <w:r w:rsidRPr="003D1522">
              <w:rPr>
                <w:i/>
                <w:sz w:val="16"/>
              </w:rPr>
              <w:t>2015</w:t>
            </w:r>
          </w:p>
        </w:tc>
        <w:tc>
          <w:tcPr>
            <w:tcW w:w="624" w:type="dxa"/>
            <w:tcBorders>
              <w:top w:val="single" w:sz="4" w:space="0" w:color="auto"/>
              <w:bottom w:val="single" w:sz="12" w:space="0" w:color="auto"/>
            </w:tcBorders>
            <w:shd w:val="clear" w:color="auto" w:fill="auto"/>
            <w:noWrap/>
            <w:vAlign w:val="bottom"/>
            <w:hideMark/>
          </w:tcPr>
          <w:p w:rsidR="002246AD" w:rsidRPr="003D1522" w:rsidRDefault="002246AD" w:rsidP="00A07A9C">
            <w:pPr>
              <w:pStyle w:val="SingleTxtG"/>
              <w:spacing w:before="80" w:after="80" w:line="200" w:lineRule="exact"/>
              <w:ind w:left="0" w:right="113"/>
              <w:jc w:val="right"/>
              <w:rPr>
                <w:i/>
                <w:sz w:val="16"/>
              </w:rPr>
            </w:pPr>
            <w:r w:rsidRPr="003D1522">
              <w:rPr>
                <w:i/>
                <w:sz w:val="16"/>
              </w:rPr>
              <w:t>2016</w:t>
            </w:r>
          </w:p>
        </w:tc>
        <w:tc>
          <w:tcPr>
            <w:tcW w:w="624" w:type="dxa"/>
            <w:tcBorders>
              <w:top w:val="single" w:sz="4" w:space="0" w:color="auto"/>
              <w:bottom w:val="single" w:sz="12" w:space="0" w:color="auto"/>
            </w:tcBorders>
            <w:shd w:val="clear" w:color="auto" w:fill="auto"/>
            <w:noWrap/>
            <w:vAlign w:val="bottom"/>
            <w:hideMark/>
          </w:tcPr>
          <w:p w:rsidR="002246AD" w:rsidRPr="003D1522" w:rsidRDefault="002246AD" w:rsidP="00A07A9C">
            <w:pPr>
              <w:pStyle w:val="SingleTxtG"/>
              <w:spacing w:before="80" w:after="80" w:line="200" w:lineRule="exact"/>
              <w:ind w:left="0" w:right="113"/>
              <w:jc w:val="right"/>
              <w:rPr>
                <w:i/>
                <w:sz w:val="16"/>
              </w:rPr>
            </w:pPr>
            <w:r w:rsidRPr="003D1522">
              <w:rPr>
                <w:i/>
                <w:sz w:val="16"/>
              </w:rPr>
              <w:t>2017</w:t>
            </w:r>
          </w:p>
        </w:tc>
      </w:tr>
      <w:tr w:rsidR="00237BC6" w:rsidRPr="003D1522" w:rsidTr="00CE3DA7">
        <w:tc>
          <w:tcPr>
            <w:tcW w:w="1134" w:type="dxa"/>
            <w:tcBorders>
              <w:top w:val="single" w:sz="12" w:space="0" w:color="auto"/>
            </w:tcBorders>
            <w:shd w:val="clear" w:color="auto" w:fill="auto"/>
            <w:noWrap/>
            <w:hideMark/>
          </w:tcPr>
          <w:p w:rsidR="002246AD" w:rsidRPr="003D1522" w:rsidRDefault="002246AD" w:rsidP="00A07A9C">
            <w:pPr>
              <w:pStyle w:val="SingleTxtG"/>
              <w:spacing w:before="40" w:after="40" w:line="220" w:lineRule="exact"/>
              <w:ind w:left="0" w:right="113"/>
              <w:jc w:val="left"/>
              <w:rPr>
                <w:sz w:val="18"/>
              </w:rPr>
            </w:pPr>
            <w:r w:rsidRPr="003D1522">
              <w:rPr>
                <w:sz w:val="18"/>
              </w:rPr>
              <w:t>Wood processing</w:t>
            </w:r>
          </w:p>
        </w:tc>
        <w:tc>
          <w:tcPr>
            <w:tcW w:w="623" w:type="dxa"/>
            <w:tcBorders>
              <w:top w:val="single" w:sz="12" w:space="0" w:color="auto"/>
            </w:tcBorders>
            <w:shd w:val="clear" w:color="auto" w:fill="auto"/>
            <w:noWrap/>
            <w:hideMark/>
          </w:tcPr>
          <w:p w:rsidR="002246AD" w:rsidRPr="003D1522" w:rsidRDefault="002246AD" w:rsidP="00A07A9C">
            <w:pPr>
              <w:pStyle w:val="SingleTxtG"/>
              <w:spacing w:before="40" w:after="40" w:line="220" w:lineRule="exact"/>
              <w:ind w:left="0" w:right="113"/>
              <w:jc w:val="right"/>
              <w:rPr>
                <w:sz w:val="18"/>
              </w:rPr>
            </w:pPr>
            <w:r w:rsidRPr="003D1522">
              <w:rPr>
                <w:sz w:val="18"/>
              </w:rPr>
              <w:t>4</w:t>
            </w:r>
          </w:p>
        </w:tc>
        <w:tc>
          <w:tcPr>
            <w:tcW w:w="624" w:type="dxa"/>
            <w:tcBorders>
              <w:top w:val="single" w:sz="12" w:space="0" w:color="auto"/>
            </w:tcBorders>
            <w:shd w:val="clear" w:color="auto" w:fill="auto"/>
            <w:noWrap/>
            <w:hideMark/>
          </w:tcPr>
          <w:p w:rsidR="002246AD" w:rsidRPr="003D1522" w:rsidRDefault="002246AD" w:rsidP="00A07A9C">
            <w:pPr>
              <w:pStyle w:val="SingleTxtG"/>
              <w:spacing w:before="40" w:after="40" w:line="220" w:lineRule="exact"/>
              <w:ind w:left="0" w:right="113"/>
              <w:jc w:val="right"/>
              <w:rPr>
                <w:sz w:val="18"/>
              </w:rPr>
            </w:pPr>
            <w:r w:rsidRPr="003D1522">
              <w:rPr>
                <w:sz w:val="18"/>
              </w:rPr>
              <w:t>3</w:t>
            </w:r>
          </w:p>
        </w:tc>
        <w:tc>
          <w:tcPr>
            <w:tcW w:w="623" w:type="dxa"/>
            <w:tcBorders>
              <w:top w:val="single" w:sz="12" w:space="0" w:color="auto"/>
            </w:tcBorders>
            <w:shd w:val="clear" w:color="auto" w:fill="auto"/>
            <w:noWrap/>
            <w:hideMark/>
          </w:tcPr>
          <w:p w:rsidR="002246AD" w:rsidRPr="003D1522" w:rsidRDefault="002246AD" w:rsidP="00A07A9C">
            <w:pPr>
              <w:pStyle w:val="SingleTxtG"/>
              <w:spacing w:before="40" w:after="40" w:line="220" w:lineRule="exact"/>
              <w:ind w:left="0" w:right="113"/>
              <w:jc w:val="right"/>
              <w:rPr>
                <w:sz w:val="18"/>
              </w:rPr>
            </w:pPr>
            <w:r w:rsidRPr="003D1522">
              <w:rPr>
                <w:sz w:val="18"/>
              </w:rPr>
              <w:t>5</w:t>
            </w:r>
          </w:p>
        </w:tc>
        <w:tc>
          <w:tcPr>
            <w:tcW w:w="624" w:type="dxa"/>
            <w:tcBorders>
              <w:top w:val="single" w:sz="12" w:space="0" w:color="auto"/>
            </w:tcBorders>
            <w:shd w:val="clear" w:color="auto" w:fill="auto"/>
            <w:noWrap/>
            <w:hideMark/>
          </w:tcPr>
          <w:p w:rsidR="002246AD" w:rsidRPr="003D1522" w:rsidRDefault="002246AD" w:rsidP="00A07A9C">
            <w:pPr>
              <w:pStyle w:val="SingleTxtG"/>
              <w:spacing w:before="40" w:after="40" w:line="220" w:lineRule="exact"/>
              <w:ind w:left="0" w:right="113"/>
              <w:jc w:val="right"/>
              <w:rPr>
                <w:sz w:val="18"/>
              </w:rPr>
            </w:pPr>
            <w:r w:rsidRPr="003D1522">
              <w:rPr>
                <w:sz w:val="18"/>
              </w:rPr>
              <w:t>3</w:t>
            </w:r>
          </w:p>
        </w:tc>
        <w:tc>
          <w:tcPr>
            <w:tcW w:w="624" w:type="dxa"/>
            <w:tcBorders>
              <w:top w:val="single" w:sz="12" w:space="0" w:color="auto"/>
            </w:tcBorders>
            <w:shd w:val="clear" w:color="auto" w:fill="auto"/>
            <w:noWrap/>
            <w:hideMark/>
          </w:tcPr>
          <w:p w:rsidR="002246AD" w:rsidRPr="003D1522" w:rsidRDefault="002246AD" w:rsidP="00A07A9C">
            <w:pPr>
              <w:pStyle w:val="SingleTxtG"/>
              <w:spacing w:before="40" w:after="40" w:line="220" w:lineRule="exact"/>
              <w:ind w:left="0" w:right="113"/>
              <w:jc w:val="right"/>
              <w:rPr>
                <w:sz w:val="18"/>
              </w:rPr>
            </w:pPr>
            <w:r w:rsidRPr="003D1522">
              <w:rPr>
                <w:sz w:val="18"/>
              </w:rPr>
              <w:t>5</w:t>
            </w:r>
          </w:p>
        </w:tc>
        <w:tc>
          <w:tcPr>
            <w:tcW w:w="623" w:type="dxa"/>
            <w:tcBorders>
              <w:top w:val="single" w:sz="12" w:space="0" w:color="auto"/>
            </w:tcBorders>
            <w:shd w:val="clear" w:color="auto" w:fill="auto"/>
            <w:noWrap/>
            <w:hideMark/>
          </w:tcPr>
          <w:p w:rsidR="002246AD" w:rsidRPr="003D1522" w:rsidRDefault="002246AD" w:rsidP="00A07A9C">
            <w:pPr>
              <w:pStyle w:val="SingleTxtG"/>
              <w:spacing w:before="40" w:after="40" w:line="220" w:lineRule="exact"/>
              <w:ind w:left="0" w:right="113"/>
              <w:jc w:val="right"/>
              <w:rPr>
                <w:sz w:val="18"/>
              </w:rPr>
            </w:pPr>
            <w:r w:rsidRPr="003D1522">
              <w:rPr>
                <w:sz w:val="18"/>
              </w:rPr>
              <w:t>6</w:t>
            </w:r>
          </w:p>
        </w:tc>
        <w:tc>
          <w:tcPr>
            <w:tcW w:w="624" w:type="dxa"/>
            <w:tcBorders>
              <w:top w:val="single" w:sz="12" w:space="0" w:color="auto"/>
            </w:tcBorders>
            <w:shd w:val="clear" w:color="auto" w:fill="auto"/>
            <w:noWrap/>
            <w:hideMark/>
          </w:tcPr>
          <w:p w:rsidR="002246AD" w:rsidRPr="003D1522" w:rsidRDefault="002246AD" w:rsidP="00A07A9C">
            <w:pPr>
              <w:pStyle w:val="SingleTxtG"/>
              <w:spacing w:before="40" w:after="40" w:line="220" w:lineRule="exact"/>
              <w:ind w:left="0" w:right="113"/>
              <w:jc w:val="right"/>
              <w:rPr>
                <w:sz w:val="18"/>
              </w:rPr>
            </w:pPr>
            <w:r w:rsidRPr="003D1522">
              <w:rPr>
                <w:sz w:val="18"/>
              </w:rPr>
              <w:t>6</w:t>
            </w:r>
          </w:p>
        </w:tc>
        <w:tc>
          <w:tcPr>
            <w:tcW w:w="623" w:type="dxa"/>
            <w:tcBorders>
              <w:top w:val="single" w:sz="12" w:space="0" w:color="auto"/>
            </w:tcBorders>
            <w:shd w:val="clear" w:color="auto" w:fill="auto"/>
            <w:noWrap/>
            <w:hideMark/>
          </w:tcPr>
          <w:p w:rsidR="002246AD" w:rsidRPr="003D1522" w:rsidRDefault="002246AD" w:rsidP="00A07A9C">
            <w:pPr>
              <w:pStyle w:val="SingleTxtG"/>
              <w:spacing w:before="40" w:after="40" w:line="220" w:lineRule="exact"/>
              <w:ind w:left="0" w:right="113"/>
              <w:jc w:val="right"/>
              <w:rPr>
                <w:sz w:val="18"/>
              </w:rPr>
            </w:pPr>
            <w:r w:rsidRPr="003D1522">
              <w:rPr>
                <w:sz w:val="18"/>
              </w:rPr>
              <w:t>8</w:t>
            </w:r>
          </w:p>
        </w:tc>
        <w:tc>
          <w:tcPr>
            <w:tcW w:w="624" w:type="dxa"/>
            <w:tcBorders>
              <w:top w:val="single" w:sz="12" w:space="0" w:color="auto"/>
            </w:tcBorders>
            <w:shd w:val="clear" w:color="auto" w:fill="auto"/>
            <w:noWrap/>
            <w:hideMark/>
          </w:tcPr>
          <w:p w:rsidR="002246AD" w:rsidRPr="003D1522" w:rsidRDefault="002246AD" w:rsidP="00A07A9C">
            <w:pPr>
              <w:pStyle w:val="SingleTxtG"/>
              <w:spacing w:before="40" w:after="40" w:line="220" w:lineRule="exact"/>
              <w:ind w:left="0" w:right="113"/>
              <w:jc w:val="right"/>
              <w:rPr>
                <w:sz w:val="18"/>
              </w:rPr>
            </w:pPr>
            <w:r w:rsidRPr="003D1522">
              <w:rPr>
                <w:sz w:val="18"/>
              </w:rPr>
              <w:t>4</w:t>
            </w:r>
          </w:p>
        </w:tc>
        <w:tc>
          <w:tcPr>
            <w:tcW w:w="624" w:type="dxa"/>
            <w:tcBorders>
              <w:top w:val="single" w:sz="12" w:space="0" w:color="auto"/>
            </w:tcBorders>
            <w:shd w:val="clear" w:color="auto" w:fill="auto"/>
            <w:noWrap/>
            <w:hideMark/>
          </w:tcPr>
          <w:p w:rsidR="002246AD" w:rsidRPr="003D1522" w:rsidRDefault="002246AD" w:rsidP="00A07A9C">
            <w:pPr>
              <w:pStyle w:val="SingleTxtG"/>
              <w:spacing w:before="40" w:after="40" w:line="220" w:lineRule="exact"/>
              <w:ind w:left="0" w:right="113"/>
              <w:jc w:val="right"/>
              <w:rPr>
                <w:sz w:val="18"/>
              </w:rPr>
            </w:pPr>
            <w:r w:rsidRPr="003D1522">
              <w:rPr>
                <w:sz w:val="18"/>
              </w:rPr>
              <w:t>7</w:t>
            </w:r>
          </w:p>
        </w:tc>
      </w:tr>
      <w:tr w:rsidR="00237BC6" w:rsidRPr="003D1522" w:rsidTr="00237BC6">
        <w:tc>
          <w:tcPr>
            <w:tcW w:w="1134" w:type="dxa"/>
            <w:shd w:val="clear" w:color="auto" w:fill="auto"/>
            <w:noWrap/>
            <w:hideMark/>
          </w:tcPr>
          <w:p w:rsidR="002246AD" w:rsidRPr="003D1522" w:rsidRDefault="002246AD" w:rsidP="00A07A9C">
            <w:pPr>
              <w:pStyle w:val="SingleTxtG"/>
              <w:spacing w:before="40" w:after="40" w:line="220" w:lineRule="exact"/>
              <w:ind w:left="0" w:right="113"/>
              <w:jc w:val="left"/>
              <w:rPr>
                <w:sz w:val="18"/>
              </w:rPr>
            </w:pPr>
            <w:r w:rsidRPr="003D1522">
              <w:rPr>
                <w:sz w:val="18"/>
              </w:rPr>
              <w:t>Agriculture</w:t>
            </w:r>
          </w:p>
        </w:tc>
        <w:tc>
          <w:tcPr>
            <w:tcW w:w="623" w:type="dxa"/>
            <w:shd w:val="clear" w:color="auto" w:fill="auto"/>
            <w:noWrap/>
            <w:vAlign w:val="bottom"/>
            <w:hideMark/>
          </w:tcPr>
          <w:p w:rsidR="002246AD" w:rsidRPr="003D1522" w:rsidRDefault="002246AD" w:rsidP="00A07A9C">
            <w:pPr>
              <w:pStyle w:val="SingleTxtG"/>
              <w:spacing w:before="40" w:after="40" w:line="220" w:lineRule="exact"/>
              <w:ind w:left="0" w:right="113"/>
              <w:jc w:val="right"/>
              <w:rPr>
                <w:sz w:val="18"/>
              </w:rPr>
            </w:pPr>
            <w:r w:rsidRPr="003D1522">
              <w:rPr>
                <w:sz w:val="18"/>
              </w:rPr>
              <w:t>17</w:t>
            </w:r>
          </w:p>
        </w:tc>
        <w:tc>
          <w:tcPr>
            <w:tcW w:w="624" w:type="dxa"/>
            <w:shd w:val="clear" w:color="auto" w:fill="auto"/>
            <w:noWrap/>
            <w:vAlign w:val="bottom"/>
            <w:hideMark/>
          </w:tcPr>
          <w:p w:rsidR="002246AD" w:rsidRPr="003D1522" w:rsidRDefault="002246AD" w:rsidP="00A07A9C">
            <w:pPr>
              <w:pStyle w:val="SingleTxtG"/>
              <w:spacing w:before="40" w:after="40" w:line="220" w:lineRule="exact"/>
              <w:ind w:left="0" w:right="113"/>
              <w:jc w:val="right"/>
              <w:rPr>
                <w:sz w:val="18"/>
              </w:rPr>
            </w:pPr>
            <w:r w:rsidRPr="003D1522">
              <w:rPr>
                <w:sz w:val="18"/>
              </w:rPr>
              <w:t>18</w:t>
            </w:r>
          </w:p>
        </w:tc>
        <w:tc>
          <w:tcPr>
            <w:tcW w:w="623" w:type="dxa"/>
            <w:shd w:val="clear" w:color="auto" w:fill="auto"/>
            <w:noWrap/>
            <w:vAlign w:val="bottom"/>
            <w:hideMark/>
          </w:tcPr>
          <w:p w:rsidR="002246AD" w:rsidRPr="003D1522" w:rsidRDefault="002246AD" w:rsidP="00A07A9C">
            <w:pPr>
              <w:pStyle w:val="SingleTxtG"/>
              <w:spacing w:before="40" w:after="40" w:line="220" w:lineRule="exact"/>
              <w:ind w:left="0" w:right="113"/>
              <w:jc w:val="right"/>
              <w:rPr>
                <w:sz w:val="18"/>
              </w:rPr>
            </w:pPr>
            <w:r w:rsidRPr="003D1522">
              <w:rPr>
                <w:sz w:val="18"/>
              </w:rPr>
              <w:t>19</w:t>
            </w:r>
          </w:p>
        </w:tc>
        <w:tc>
          <w:tcPr>
            <w:tcW w:w="624" w:type="dxa"/>
            <w:shd w:val="clear" w:color="auto" w:fill="auto"/>
            <w:noWrap/>
            <w:vAlign w:val="bottom"/>
            <w:hideMark/>
          </w:tcPr>
          <w:p w:rsidR="002246AD" w:rsidRPr="003D1522" w:rsidRDefault="002246AD" w:rsidP="00A07A9C">
            <w:pPr>
              <w:pStyle w:val="SingleTxtG"/>
              <w:spacing w:before="40" w:after="40" w:line="220" w:lineRule="exact"/>
              <w:ind w:left="0" w:right="113"/>
              <w:jc w:val="right"/>
              <w:rPr>
                <w:sz w:val="18"/>
              </w:rPr>
            </w:pPr>
            <w:r w:rsidRPr="003D1522">
              <w:rPr>
                <w:sz w:val="18"/>
              </w:rPr>
              <w:t>17</w:t>
            </w:r>
          </w:p>
        </w:tc>
        <w:tc>
          <w:tcPr>
            <w:tcW w:w="624" w:type="dxa"/>
            <w:shd w:val="clear" w:color="auto" w:fill="auto"/>
            <w:noWrap/>
            <w:vAlign w:val="bottom"/>
            <w:hideMark/>
          </w:tcPr>
          <w:p w:rsidR="002246AD" w:rsidRPr="003D1522" w:rsidRDefault="002246AD" w:rsidP="00A07A9C">
            <w:pPr>
              <w:pStyle w:val="SingleTxtG"/>
              <w:spacing w:before="40" w:after="40" w:line="220" w:lineRule="exact"/>
              <w:ind w:left="0" w:right="113"/>
              <w:jc w:val="right"/>
              <w:rPr>
                <w:sz w:val="18"/>
              </w:rPr>
            </w:pPr>
            <w:r w:rsidRPr="003D1522">
              <w:rPr>
                <w:sz w:val="18"/>
              </w:rPr>
              <w:t>8</w:t>
            </w:r>
          </w:p>
        </w:tc>
        <w:tc>
          <w:tcPr>
            <w:tcW w:w="623" w:type="dxa"/>
            <w:shd w:val="clear" w:color="auto" w:fill="auto"/>
            <w:noWrap/>
            <w:vAlign w:val="bottom"/>
            <w:hideMark/>
          </w:tcPr>
          <w:p w:rsidR="002246AD" w:rsidRPr="003D1522" w:rsidRDefault="002246AD" w:rsidP="00A07A9C">
            <w:pPr>
              <w:pStyle w:val="SingleTxtG"/>
              <w:spacing w:before="40" w:after="40" w:line="220" w:lineRule="exact"/>
              <w:ind w:left="0" w:right="113"/>
              <w:jc w:val="right"/>
              <w:rPr>
                <w:sz w:val="18"/>
              </w:rPr>
            </w:pPr>
            <w:r w:rsidRPr="003D1522">
              <w:rPr>
                <w:sz w:val="18"/>
              </w:rPr>
              <w:t>8</w:t>
            </w:r>
          </w:p>
        </w:tc>
        <w:tc>
          <w:tcPr>
            <w:tcW w:w="624" w:type="dxa"/>
            <w:shd w:val="clear" w:color="auto" w:fill="auto"/>
            <w:noWrap/>
            <w:vAlign w:val="bottom"/>
            <w:hideMark/>
          </w:tcPr>
          <w:p w:rsidR="002246AD" w:rsidRPr="003D1522" w:rsidRDefault="002246AD" w:rsidP="00A07A9C">
            <w:pPr>
              <w:pStyle w:val="SingleTxtG"/>
              <w:spacing w:before="40" w:after="40" w:line="220" w:lineRule="exact"/>
              <w:ind w:left="0" w:right="113"/>
              <w:jc w:val="right"/>
              <w:rPr>
                <w:sz w:val="18"/>
              </w:rPr>
            </w:pPr>
            <w:r w:rsidRPr="003D1522">
              <w:rPr>
                <w:sz w:val="18"/>
              </w:rPr>
              <w:t>7</w:t>
            </w:r>
          </w:p>
        </w:tc>
        <w:tc>
          <w:tcPr>
            <w:tcW w:w="623" w:type="dxa"/>
            <w:shd w:val="clear" w:color="auto" w:fill="auto"/>
            <w:noWrap/>
            <w:vAlign w:val="bottom"/>
            <w:hideMark/>
          </w:tcPr>
          <w:p w:rsidR="002246AD" w:rsidRPr="003D1522" w:rsidRDefault="002246AD" w:rsidP="00A07A9C">
            <w:pPr>
              <w:pStyle w:val="SingleTxtG"/>
              <w:spacing w:before="40" w:after="40" w:line="220" w:lineRule="exact"/>
              <w:ind w:left="0" w:right="113"/>
              <w:jc w:val="right"/>
              <w:rPr>
                <w:sz w:val="18"/>
              </w:rPr>
            </w:pPr>
            <w:r w:rsidRPr="003D1522">
              <w:rPr>
                <w:sz w:val="18"/>
              </w:rPr>
              <w:t>5</w:t>
            </w:r>
          </w:p>
        </w:tc>
        <w:tc>
          <w:tcPr>
            <w:tcW w:w="624" w:type="dxa"/>
            <w:shd w:val="clear" w:color="auto" w:fill="auto"/>
            <w:noWrap/>
            <w:vAlign w:val="bottom"/>
            <w:hideMark/>
          </w:tcPr>
          <w:p w:rsidR="002246AD" w:rsidRPr="003D1522" w:rsidRDefault="002246AD" w:rsidP="00A07A9C">
            <w:pPr>
              <w:pStyle w:val="SingleTxtG"/>
              <w:spacing w:before="40" w:after="40" w:line="220" w:lineRule="exact"/>
              <w:ind w:left="0" w:right="113"/>
              <w:jc w:val="right"/>
              <w:rPr>
                <w:sz w:val="18"/>
              </w:rPr>
            </w:pPr>
            <w:r w:rsidRPr="003D1522">
              <w:rPr>
                <w:sz w:val="18"/>
              </w:rPr>
              <w:t>5</w:t>
            </w:r>
          </w:p>
        </w:tc>
        <w:tc>
          <w:tcPr>
            <w:tcW w:w="624" w:type="dxa"/>
            <w:shd w:val="clear" w:color="auto" w:fill="auto"/>
            <w:noWrap/>
            <w:vAlign w:val="bottom"/>
            <w:hideMark/>
          </w:tcPr>
          <w:p w:rsidR="002246AD" w:rsidRPr="003D1522" w:rsidRDefault="002246AD" w:rsidP="00A07A9C">
            <w:pPr>
              <w:pStyle w:val="SingleTxtG"/>
              <w:spacing w:before="40" w:after="40" w:line="220" w:lineRule="exact"/>
              <w:ind w:left="0" w:right="113"/>
              <w:jc w:val="right"/>
              <w:rPr>
                <w:sz w:val="18"/>
              </w:rPr>
            </w:pPr>
            <w:r w:rsidRPr="003D1522">
              <w:rPr>
                <w:sz w:val="18"/>
              </w:rPr>
              <w:t>2</w:t>
            </w:r>
          </w:p>
        </w:tc>
      </w:tr>
    </w:tbl>
    <w:p w:rsidR="002246AD" w:rsidRPr="003D1522" w:rsidRDefault="00237BC6" w:rsidP="00237BC6">
      <w:pPr>
        <w:pStyle w:val="H23G"/>
      </w:pPr>
      <w:r w:rsidRPr="003D1522">
        <w:tab/>
      </w:r>
      <w:r w:rsidRPr="003D1522">
        <w:tab/>
      </w:r>
      <w:r w:rsidR="002246AD" w:rsidRPr="003D1522">
        <w:t>Percentage of all occupational diseases: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623"/>
        <w:gridCol w:w="624"/>
        <w:gridCol w:w="623"/>
        <w:gridCol w:w="624"/>
        <w:gridCol w:w="624"/>
        <w:gridCol w:w="623"/>
        <w:gridCol w:w="624"/>
        <w:gridCol w:w="623"/>
        <w:gridCol w:w="624"/>
        <w:gridCol w:w="624"/>
      </w:tblGrid>
      <w:tr w:rsidR="00237BC6" w:rsidRPr="003D1522" w:rsidTr="00237BC6">
        <w:trPr>
          <w:tblHeader/>
        </w:trPr>
        <w:tc>
          <w:tcPr>
            <w:tcW w:w="1134" w:type="dxa"/>
            <w:tcBorders>
              <w:top w:val="single" w:sz="4" w:space="0" w:color="auto"/>
              <w:bottom w:val="single" w:sz="12" w:space="0" w:color="auto"/>
            </w:tcBorders>
            <w:shd w:val="clear" w:color="auto" w:fill="auto"/>
            <w:noWrap/>
            <w:vAlign w:val="bottom"/>
            <w:hideMark/>
          </w:tcPr>
          <w:p w:rsidR="002246AD" w:rsidRPr="003D1522" w:rsidRDefault="002246AD" w:rsidP="00237BC6">
            <w:pPr>
              <w:pStyle w:val="SingleTxtG"/>
              <w:spacing w:before="80" w:after="80" w:line="200" w:lineRule="exact"/>
              <w:ind w:left="0" w:right="113"/>
              <w:jc w:val="left"/>
              <w:rPr>
                <w:i/>
                <w:sz w:val="16"/>
              </w:rPr>
            </w:pPr>
            <w:r w:rsidRPr="003D1522">
              <w:rPr>
                <w:i/>
                <w:sz w:val="16"/>
              </w:rPr>
              <w:t>Area of activity</w:t>
            </w:r>
          </w:p>
        </w:tc>
        <w:tc>
          <w:tcPr>
            <w:tcW w:w="623" w:type="dxa"/>
            <w:tcBorders>
              <w:top w:val="single" w:sz="4" w:space="0" w:color="auto"/>
              <w:bottom w:val="single" w:sz="12" w:space="0" w:color="auto"/>
            </w:tcBorders>
            <w:shd w:val="clear" w:color="auto" w:fill="auto"/>
            <w:noWrap/>
            <w:vAlign w:val="bottom"/>
            <w:hideMark/>
          </w:tcPr>
          <w:p w:rsidR="002246AD" w:rsidRPr="003D1522" w:rsidRDefault="002246AD" w:rsidP="00237BC6">
            <w:pPr>
              <w:pStyle w:val="SingleTxtG"/>
              <w:spacing w:before="80" w:after="80" w:line="200" w:lineRule="exact"/>
              <w:ind w:left="0" w:right="113"/>
              <w:jc w:val="right"/>
              <w:rPr>
                <w:i/>
                <w:sz w:val="16"/>
              </w:rPr>
            </w:pPr>
            <w:r w:rsidRPr="003D1522">
              <w:rPr>
                <w:i/>
                <w:sz w:val="16"/>
              </w:rPr>
              <w:t>2008</w:t>
            </w:r>
          </w:p>
        </w:tc>
        <w:tc>
          <w:tcPr>
            <w:tcW w:w="624" w:type="dxa"/>
            <w:tcBorders>
              <w:top w:val="single" w:sz="4" w:space="0" w:color="auto"/>
              <w:bottom w:val="single" w:sz="12" w:space="0" w:color="auto"/>
            </w:tcBorders>
            <w:shd w:val="clear" w:color="auto" w:fill="auto"/>
            <w:noWrap/>
            <w:vAlign w:val="bottom"/>
            <w:hideMark/>
          </w:tcPr>
          <w:p w:rsidR="002246AD" w:rsidRPr="003D1522" w:rsidRDefault="002246AD" w:rsidP="00237BC6">
            <w:pPr>
              <w:pStyle w:val="SingleTxtG"/>
              <w:spacing w:before="80" w:after="80" w:line="200" w:lineRule="exact"/>
              <w:ind w:left="0" w:right="113"/>
              <w:jc w:val="right"/>
              <w:rPr>
                <w:i/>
                <w:sz w:val="16"/>
              </w:rPr>
            </w:pPr>
            <w:r w:rsidRPr="003D1522">
              <w:rPr>
                <w:i/>
                <w:sz w:val="16"/>
              </w:rPr>
              <w:t>2009</w:t>
            </w:r>
          </w:p>
        </w:tc>
        <w:tc>
          <w:tcPr>
            <w:tcW w:w="623" w:type="dxa"/>
            <w:tcBorders>
              <w:top w:val="single" w:sz="4" w:space="0" w:color="auto"/>
              <w:bottom w:val="single" w:sz="12" w:space="0" w:color="auto"/>
            </w:tcBorders>
            <w:shd w:val="clear" w:color="auto" w:fill="auto"/>
            <w:noWrap/>
            <w:vAlign w:val="bottom"/>
            <w:hideMark/>
          </w:tcPr>
          <w:p w:rsidR="002246AD" w:rsidRPr="003D1522" w:rsidRDefault="002246AD" w:rsidP="00237BC6">
            <w:pPr>
              <w:pStyle w:val="SingleTxtG"/>
              <w:spacing w:before="80" w:after="80" w:line="200" w:lineRule="exact"/>
              <w:ind w:left="0" w:right="113"/>
              <w:jc w:val="right"/>
              <w:rPr>
                <w:i/>
                <w:sz w:val="16"/>
              </w:rPr>
            </w:pPr>
            <w:r w:rsidRPr="003D1522">
              <w:rPr>
                <w:i/>
                <w:sz w:val="16"/>
              </w:rPr>
              <w:t>2010</w:t>
            </w:r>
          </w:p>
        </w:tc>
        <w:tc>
          <w:tcPr>
            <w:tcW w:w="624" w:type="dxa"/>
            <w:tcBorders>
              <w:top w:val="single" w:sz="4" w:space="0" w:color="auto"/>
              <w:bottom w:val="single" w:sz="12" w:space="0" w:color="auto"/>
            </w:tcBorders>
            <w:shd w:val="clear" w:color="auto" w:fill="auto"/>
            <w:noWrap/>
            <w:vAlign w:val="bottom"/>
            <w:hideMark/>
          </w:tcPr>
          <w:p w:rsidR="002246AD" w:rsidRPr="003D1522" w:rsidRDefault="002246AD" w:rsidP="00237BC6">
            <w:pPr>
              <w:pStyle w:val="SingleTxtG"/>
              <w:spacing w:before="80" w:after="80" w:line="200" w:lineRule="exact"/>
              <w:ind w:left="0" w:right="113"/>
              <w:jc w:val="right"/>
              <w:rPr>
                <w:i/>
                <w:sz w:val="16"/>
              </w:rPr>
            </w:pPr>
            <w:r w:rsidRPr="003D1522">
              <w:rPr>
                <w:i/>
                <w:sz w:val="16"/>
              </w:rPr>
              <w:t>2011</w:t>
            </w:r>
          </w:p>
        </w:tc>
        <w:tc>
          <w:tcPr>
            <w:tcW w:w="624" w:type="dxa"/>
            <w:tcBorders>
              <w:top w:val="single" w:sz="4" w:space="0" w:color="auto"/>
              <w:bottom w:val="single" w:sz="12" w:space="0" w:color="auto"/>
            </w:tcBorders>
            <w:shd w:val="clear" w:color="auto" w:fill="auto"/>
            <w:noWrap/>
            <w:vAlign w:val="bottom"/>
            <w:hideMark/>
          </w:tcPr>
          <w:p w:rsidR="002246AD" w:rsidRPr="003D1522" w:rsidRDefault="002246AD" w:rsidP="00237BC6">
            <w:pPr>
              <w:pStyle w:val="SingleTxtG"/>
              <w:spacing w:before="80" w:after="80" w:line="200" w:lineRule="exact"/>
              <w:ind w:left="0" w:right="113"/>
              <w:jc w:val="right"/>
              <w:rPr>
                <w:i/>
                <w:sz w:val="16"/>
              </w:rPr>
            </w:pPr>
            <w:r w:rsidRPr="003D1522">
              <w:rPr>
                <w:i/>
                <w:sz w:val="16"/>
              </w:rPr>
              <w:t>2012</w:t>
            </w:r>
          </w:p>
        </w:tc>
        <w:tc>
          <w:tcPr>
            <w:tcW w:w="623" w:type="dxa"/>
            <w:tcBorders>
              <w:top w:val="single" w:sz="4" w:space="0" w:color="auto"/>
              <w:bottom w:val="single" w:sz="12" w:space="0" w:color="auto"/>
            </w:tcBorders>
            <w:shd w:val="clear" w:color="auto" w:fill="auto"/>
            <w:noWrap/>
            <w:vAlign w:val="bottom"/>
            <w:hideMark/>
          </w:tcPr>
          <w:p w:rsidR="002246AD" w:rsidRPr="003D1522" w:rsidRDefault="002246AD" w:rsidP="00237BC6">
            <w:pPr>
              <w:pStyle w:val="SingleTxtG"/>
              <w:spacing w:before="80" w:after="80" w:line="200" w:lineRule="exact"/>
              <w:ind w:left="0" w:right="113"/>
              <w:jc w:val="right"/>
              <w:rPr>
                <w:i/>
                <w:sz w:val="16"/>
              </w:rPr>
            </w:pPr>
            <w:r w:rsidRPr="003D1522">
              <w:rPr>
                <w:i/>
                <w:sz w:val="16"/>
              </w:rPr>
              <w:t>2013</w:t>
            </w:r>
          </w:p>
        </w:tc>
        <w:tc>
          <w:tcPr>
            <w:tcW w:w="624" w:type="dxa"/>
            <w:tcBorders>
              <w:top w:val="single" w:sz="4" w:space="0" w:color="auto"/>
              <w:bottom w:val="single" w:sz="12" w:space="0" w:color="auto"/>
            </w:tcBorders>
            <w:shd w:val="clear" w:color="auto" w:fill="auto"/>
            <w:noWrap/>
            <w:vAlign w:val="bottom"/>
            <w:hideMark/>
          </w:tcPr>
          <w:p w:rsidR="002246AD" w:rsidRPr="003D1522" w:rsidRDefault="002246AD" w:rsidP="00237BC6">
            <w:pPr>
              <w:pStyle w:val="SingleTxtG"/>
              <w:spacing w:before="80" w:after="80" w:line="200" w:lineRule="exact"/>
              <w:ind w:left="0" w:right="113"/>
              <w:jc w:val="right"/>
              <w:rPr>
                <w:i/>
                <w:sz w:val="16"/>
              </w:rPr>
            </w:pPr>
            <w:r w:rsidRPr="003D1522">
              <w:rPr>
                <w:i/>
                <w:sz w:val="16"/>
              </w:rPr>
              <w:t>2014</w:t>
            </w:r>
          </w:p>
        </w:tc>
        <w:tc>
          <w:tcPr>
            <w:tcW w:w="623" w:type="dxa"/>
            <w:tcBorders>
              <w:top w:val="single" w:sz="4" w:space="0" w:color="auto"/>
              <w:bottom w:val="single" w:sz="12" w:space="0" w:color="auto"/>
            </w:tcBorders>
            <w:shd w:val="clear" w:color="auto" w:fill="auto"/>
            <w:noWrap/>
            <w:vAlign w:val="bottom"/>
            <w:hideMark/>
          </w:tcPr>
          <w:p w:rsidR="002246AD" w:rsidRPr="003D1522" w:rsidRDefault="002246AD" w:rsidP="00237BC6">
            <w:pPr>
              <w:pStyle w:val="SingleTxtG"/>
              <w:spacing w:before="80" w:after="80" w:line="200" w:lineRule="exact"/>
              <w:ind w:left="0" w:right="113"/>
              <w:jc w:val="right"/>
              <w:rPr>
                <w:i/>
                <w:sz w:val="16"/>
              </w:rPr>
            </w:pPr>
            <w:r w:rsidRPr="003D1522">
              <w:rPr>
                <w:i/>
                <w:sz w:val="16"/>
              </w:rPr>
              <w:t>2015</w:t>
            </w:r>
          </w:p>
        </w:tc>
        <w:tc>
          <w:tcPr>
            <w:tcW w:w="624" w:type="dxa"/>
            <w:tcBorders>
              <w:top w:val="single" w:sz="4" w:space="0" w:color="auto"/>
              <w:bottom w:val="single" w:sz="12" w:space="0" w:color="auto"/>
            </w:tcBorders>
            <w:shd w:val="clear" w:color="auto" w:fill="auto"/>
            <w:noWrap/>
            <w:vAlign w:val="bottom"/>
            <w:hideMark/>
          </w:tcPr>
          <w:p w:rsidR="002246AD" w:rsidRPr="003D1522" w:rsidRDefault="002246AD" w:rsidP="00237BC6">
            <w:pPr>
              <w:pStyle w:val="SingleTxtG"/>
              <w:spacing w:before="80" w:after="80" w:line="200" w:lineRule="exact"/>
              <w:ind w:left="0" w:right="113"/>
              <w:jc w:val="right"/>
              <w:rPr>
                <w:i/>
                <w:sz w:val="16"/>
              </w:rPr>
            </w:pPr>
            <w:r w:rsidRPr="003D1522">
              <w:rPr>
                <w:i/>
                <w:sz w:val="16"/>
              </w:rPr>
              <w:t>2016</w:t>
            </w:r>
          </w:p>
        </w:tc>
        <w:tc>
          <w:tcPr>
            <w:tcW w:w="624" w:type="dxa"/>
            <w:tcBorders>
              <w:top w:val="single" w:sz="4" w:space="0" w:color="auto"/>
              <w:bottom w:val="single" w:sz="12" w:space="0" w:color="auto"/>
            </w:tcBorders>
            <w:shd w:val="clear" w:color="auto" w:fill="auto"/>
            <w:noWrap/>
            <w:vAlign w:val="bottom"/>
            <w:hideMark/>
          </w:tcPr>
          <w:p w:rsidR="002246AD" w:rsidRPr="003D1522" w:rsidRDefault="002246AD" w:rsidP="00237BC6">
            <w:pPr>
              <w:pStyle w:val="SingleTxtG"/>
              <w:spacing w:before="80" w:after="80" w:line="200" w:lineRule="exact"/>
              <w:ind w:left="0" w:right="113"/>
              <w:jc w:val="right"/>
              <w:rPr>
                <w:i/>
                <w:sz w:val="16"/>
              </w:rPr>
            </w:pPr>
            <w:r w:rsidRPr="003D1522">
              <w:rPr>
                <w:i/>
                <w:sz w:val="16"/>
              </w:rPr>
              <w:t>2017</w:t>
            </w:r>
          </w:p>
        </w:tc>
      </w:tr>
      <w:tr w:rsidR="00237BC6" w:rsidRPr="003D1522" w:rsidTr="00CE3DA7">
        <w:tc>
          <w:tcPr>
            <w:tcW w:w="1134" w:type="dxa"/>
            <w:tcBorders>
              <w:top w:val="single" w:sz="12" w:space="0" w:color="auto"/>
            </w:tcBorders>
            <w:shd w:val="clear" w:color="auto" w:fill="auto"/>
            <w:noWrap/>
            <w:hideMark/>
          </w:tcPr>
          <w:p w:rsidR="002246AD" w:rsidRPr="003D1522" w:rsidRDefault="002246AD" w:rsidP="00237BC6">
            <w:pPr>
              <w:pStyle w:val="SingleTxtG"/>
              <w:spacing w:before="40" w:after="40" w:line="220" w:lineRule="exact"/>
              <w:ind w:left="0" w:right="113"/>
              <w:jc w:val="left"/>
              <w:rPr>
                <w:sz w:val="18"/>
              </w:rPr>
            </w:pPr>
            <w:r w:rsidRPr="003D1522">
              <w:rPr>
                <w:sz w:val="18"/>
              </w:rPr>
              <w:t>Wood processing</w:t>
            </w:r>
          </w:p>
        </w:tc>
        <w:tc>
          <w:tcPr>
            <w:tcW w:w="623" w:type="dxa"/>
            <w:tcBorders>
              <w:top w:val="single" w:sz="12" w:space="0" w:color="auto"/>
            </w:tcBorders>
            <w:shd w:val="clear" w:color="auto" w:fill="auto"/>
            <w:noWrap/>
            <w:hideMark/>
          </w:tcPr>
          <w:p w:rsidR="002246AD" w:rsidRPr="003D1522" w:rsidRDefault="002246AD" w:rsidP="00237BC6">
            <w:pPr>
              <w:pStyle w:val="SingleTxtG"/>
              <w:spacing w:before="40" w:after="40" w:line="220" w:lineRule="exact"/>
              <w:ind w:left="0" w:right="113"/>
              <w:jc w:val="right"/>
              <w:rPr>
                <w:sz w:val="18"/>
              </w:rPr>
            </w:pPr>
            <w:r w:rsidRPr="003D1522">
              <w:rPr>
                <w:sz w:val="18"/>
              </w:rPr>
              <w:t>5</w:t>
            </w:r>
            <w:r w:rsidR="00DF2C9B" w:rsidRPr="003D1522">
              <w:rPr>
                <w:sz w:val="18"/>
              </w:rPr>
              <w:t>.</w:t>
            </w:r>
            <w:r w:rsidRPr="003D1522">
              <w:rPr>
                <w:sz w:val="18"/>
              </w:rPr>
              <w:t>4%</w:t>
            </w:r>
          </w:p>
        </w:tc>
        <w:tc>
          <w:tcPr>
            <w:tcW w:w="624" w:type="dxa"/>
            <w:tcBorders>
              <w:top w:val="single" w:sz="12" w:space="0" w:color="auto"/>
            </w:tcBorders>
            <w:shd w:val="clear" w:color="auto" w:fill="auto"/>
            <w:noWrap/>
            <w:hideMark/>
          </w:tcPr>
          <w:p w:rsidR="002246AD" w:rsidRPr="003D1522" w:rsidRDefault="002246AD" w:rsidP="00237BC6">
            <w:pPr>
              <w:pStyle w:val="SingleTxtG"/>
              <w:spacing w:before="40" w:after="40" w:line="220" w:lineRule="exact"/>
              <w:ind w:left="0" w:right="113"/>
              <w:jc w:val="right"/>
              <w:rPr>
                <w:sz w:val="18"/>
              </w:rPr>
            </w:pPr>
            <w:r w:rsidRPr="003D1522">
              <w:rPr>
                <w:sz w:val="18"/>
              </w:rPr>
              <w:t>4</w:t>
            </w:r>
            <w:r w:rsidR="00DF2C9B" w:rsidRPr="003D1522">
              <w:rPr>
                <w:sz w:val="18"/>
              </w:rPr>
              <w:t>.</w:t>
            </w:r>
            <w:r w:rsidRPr="003D1522">
              <w:rPr>
                <w:sz w:val="18"/>
              </w:rPr>
              <w:t>1%</w:t>
            </w:r>
          </w:p>
        </w:tc>
        <w:tc>
          <w:tcPr>
            <w:tcW w:w="623" w:type="dxa"/>
            <w:tcBorders>
              <w:top w:val="single" w:sz="12" w:space="0" w:color="auto"/>
            </w:tcBorders>
            <w:shd w:val="clear" w:color="auto" w:fill="auto"/>
            <w:noWrap/>
            <w:hideMark/>
          </w:tcPr>
          <w:p w:rsidR="002246AD" w:rsidRPr="003D1522" w:rsidRDefault="002246AD" w:rsidP="00237BC6">
            <w:pPr>
              <w:pStyle w:val="SingleTxtG"/>
              <w:spacing w:before="40" w:after="40" w:line="220" w:lineRule="exact"/>
              <w:ind w:left="0" w:right="113"/>
              <w:jc w:val="right"/>
              <w:rPr>
                <w:sz w:val="18"/>
              </w:rPr>
            </w:pPr>
            <w:r w:rsidRPr="003D1522">
              <w:rPr>
                <w:sz w:val="18"/>
              </w:rPr>
              <w:t>4</w:t>
            </w:r>
            <w:r w:rsidR="00DF2C9B" w:rsidRPr="003D1522">
              <w:rPr>
                <w:sz w:val="18"/>
              </w:rPr>
              <w:t>.</w:t>
            </w:r>
            <w:r w:rsidRPr="003D1522">
              <w:rPr>
                <w:sz w:val="18"/>
              </w:rPr>
              <w:t>8%</w:t>
            </w:r>
          </w:p>
        </w:tc>
        <w:tc>
          <w:tcPr>
            <w:tcW w:w="624" w:type="dxa"/>
            <w:tcBorders>
              <w:top w:val="single" w:sz="12" w:space="0" w:color="auto"/>
            </w:tcBorders>
            <w:shd w:val="clear" w:color="auto" w:fill="auto"/>
            <w:noWrap/>
            <w:hideMark/>
          </w:tcPr>
          <w:p w:rsidR="002246AD" w:rsidRPr="003D1522" w:rsidRDefault="002246AD" w:rsidP="00237BC6">
            <w:pPr>
              <w:pStyle w:val="SingleTxtG"/>
              <w:spacing w:before="40" w:after="40" w:line="220" w:lineRule="exact"/>
              <w:ind w:left="0" w:right="113"/>
              <w:jc w:val="right"/>
              <w:rPr>
                <w:sz w:val="18"/>
              </w:rPr>
            </w:pPr>
            <w:r w:rsidRPr="003D1522">
              <w:rPr>
                <w:sz w:val="18"/>
              </w:rPr>
              <w:t>3</w:t>
            </w:r>
            <w:r w:rsidR="00DF2C9B" w:rsidRPr="003D1522">
              <w:rPr>
                <w:sz w:val="18"/>
              </w:rPr>
              <w:t>.</w:t>
            </w:r>
            <w:r w:rsidRPr="003D1522">
              <w:rPr>
                <w:sz w:val="18"/>
              </w:rPr>
              <w:t>4%</w:t>
            </w:r>
          </w:p>
        </w:tc>
        <w:tc>
          <w:tcPr>
            <w:tcW w:w="624" w:type="dxa"/>
            <w:tcBorders>
              <w:top w:val="single" w:sz="12" w:space="0" w:color="auto"/>
            </w:tcBorders>
            <w:shd w:val="clear" w:color="auto" w:fill="auto"/>
            <w:noWrap/>
            <w:hideMark/>
          </w:tcPr>
          <w:p w:rsidR="002246AD" w:rsidRPr="003D1522" w:rsidRDefault="002246AD" w:rsidP="00237BC6">
            <w:pPr>
              <w:pStyle w:val="SingleTxtG"/>
              <w:spacing w:before="40" w:after="40" w:line="220" w:lineRule="exact"/>
              <w:ind w:left="0" w:right="113"/>
              <w:jc w:val="right"/>
              <w:rPr>
                <w:sz w:val="18"/>
              </w:rPr>
            </w:pPr>
            <w:r w:rsidRPr="003D1522">
              <w:rPr>
                <w:sz w:val="18"/>
              </w:rPr>
              <w:t>8</w:t>
            </w:r>
            <w:r w:rsidR="00DF2C9B" w:rsidRPr="003D1522">
              <w:rPr>
                <w:sz w:val="18"/>
              </w:rPr>
              <w:t>.</w:t>
            </w:r>
            <w:r w:rsidRPr="003D1522">
              <w:rPr>
                <w:sz w:val="18"/>
              </w:rPr>
              <w:t>6%</w:t>
            </w:r>
          </w:p>
        </w:tc>
        <w:tc>
          <w:tcPr>
            <w:tcW w:w="623" w:type="dxa"/>
            <w:tcBorders>
              <w:top w:val="single" w:sz="12" w:space="0" w:color="auto"/>
            </w:tcBorders>
            <w:shd w:val="clear" w:color="auto" w:fill="auto"/>
            <w:noWrap/>
            <w:hideMark/>
          </w:tcPr>
          <w:p w:rsidR="002246AD" w:rsidRPr="003D1522" w:rsidRDefault="002246AD" w:rsidP="00237BC6">
            <w:pPr>
              <w:pStyle w:val="SingleTxtG"/>
              <w:spacing w:before="40" w:after="40" w:line="220" w:lineRule="exact"/>
              <w:ind w:left="0" w:right="113"/>
              <w:jc w:val="right"/>
              <w:rPr>
                <w:sz w:val="18"/>
              </w:rPr>
            </w:pPr>
            <w:r w:rsidRPr="003D1522">
              <w:rPr>
                <w:sz w:val="18"/>
              </w:rPr>
              <w:t>10</w:t>
            </w:r>
            <w:r w:rsidR="00DF2C9B" w:rsidRPr="003D1522">
              <w:rPr>
                <w:sz w:val="18"/>
              </w:rPr>
              <w:t>.</w:t>
            </w:r>
            <w:r w:rsidRPr="003D1522">
              <w:rPr>
                <w:sz w:val="18"/>
              </w:rPr>
              <w:t>7%</w:t>
            </w:r>
          </w:p>
        </w:tc>
        <w:tc>
          <w:tcPr>
            <w:tcW w:w="624" w:type="dxa"/>
            <w:tcBorders>
              <w:top w:val="single" w:sz="12" w:space="0" w:color="auto"/>
            </w:tcBorders>
            <w:shd w:val="clear" w:color="auto" w:fill="auto"/>
            <w:noWrap/>
            <w:hideMark/>
          </w:tcPr>
          <w:p w:rsidR="002246AD" w:rsidRPr="003D1522" w:rsidRDefault="002246AD" w:rsidP="00237BC6">
            <w:pPr>
              <w:pStyle w:val="SingleTxtG"/>
              <w:spacing w:before="40" w:after="40" w:line="220" w:lineRule="exact"/>
              <w:ind w:left="0" w:right="113"/>
              <w:jc w:val="right"/>
              <w:rPr>
                <w:sz w:val="18"/>
              </w:rPr>
            </w:pPr>
            <w:r w:rsidRPr="003D1522">
              <w:rPr>
                <w:sz w:val="18"/>
              </w:rPr>
              <w:t>10</w:t>
            </w:r>
            <w:r w:rsidR="00DF2C9B" w:rsidRPr="003D1522">
              <w:rPr>
                <w:sz w:val="18"/>
              </w:rPr>
              <w:t>.</w:t>
            </w:r>
            <w:r w:rsidRPr="003D1522">
              <w:rPr>
                <w:sz w:val="18"/>
              </w:rPr>
              <w:t>7%</w:t>
            </w:r>
          </w:p>
        </w:tc>
        <w:tc>
          <w:tcPr>
            <w:tcW w:w="623" w:type="dxa"/>
            <w:tcBorders>
              <w:top w:val="single" w:sz="12" w:space="0" w:color="auto"/>
            </w:tcBorders>
            <w:shd w:val="clear" w:color="auto" w:fill="auto"/>
            <w:noWrap/>
            <w:hideMark/>
          </w:tcPr>
          <w:p w:rsidR="002246AD" w:rsidRPr="003D1522" w:rsidRDefault="002246AD" w:rsidP="00237BC6">
            <w:pPr>
              <w:pStyle w:val="SingleTxtG"/>
              <w:spacing w:before="40" w:after="40" w:line="220" w:lineRule="exact"/>
              <w:ind w:left="0" w:right="113"/>
              <w:jc w:val="right"/>
              <w:rPr>
                <w:sz w:val="18"/>
              </w:rPr>
            </w:pPr>
            <w:r w:rsidRPr="003D1522">
              <w:rPr>
                <w:sz w:val="18"/>
              </w:rPr>
              <w:t>16</w:t>
            </w:r>
            <w:r w:rsidR="00DF2C9B" w:rsidRPr="003D1522">
              <w:rPr>
                <w:sz w:val="18"/>
              </w:rPr>
              <w:t>.</w:t>
            </w:r>
            <w:r w:rsidRPr="003D1522">
              <w:rPr>
                <w:sz w:val="18"/>
              </w:rPr>
              <w:t>0%</w:t>
            </w:r>
          </w:p>
        </w:tc>
        <w:tc>
          <w:tcPr>
            <w:tcW w:w="624" w:type="dxa"/>
            <w:tcBorders>
              <w:top w:val="single" w:sz="12" w:space="0" w:color="auto"/>
            </w:tcBorders>
            <w:shd w:val="clear" w:color="auto" w:fill="auto"/>
            <w:noWrap/>
            <w:hideMark/>
          </w:tcPr>
          <w:p w:rsidR="002246AD" w:rsidRPr="003D1522" w:rsidRDefault="002246AD" w:rsidP="00237BC6">
            <w:pPr>
              <w:pStyle w:val="SingleTxtG"/>
              <w:spacing w:before="40" w:after="40" w:line="220" w:lineRule="exact"/>
              <w:ind w:left="0" w:right="113"/>
              <w:jc w:val="right"/>
              <w:rPr>
                <w:sz w:val="18"/>
              </w:rPr>
            </w:pPr>
            <w:r w:rsidRPr="003D1522">
              <w:rPr>
                <w:sz w:val="18"/>
              </w:rPr>
              <w:t>10</w:t>
            </w:r>
            <w:r w:rsidR="00DF2C9B" w:rsidRPr="003D1522">
              <w:rPr>
                <w:sz w:val="18"/>
              </w:rPr>
              <w:t>.</w:t>
            </w:r>
            <w:r w:rsidRPr="003D1522">
              <w:rPr>
                <w:sz w:val="18"/>
              </w:rPr>
              <w:t>3%</w:t>
            </w:r>
          </w:p>
        </w:tc>
        <w:tc>
          <w:tcPr>
            <w:tcW w:w="624" w:type="dxa"/>
            <w:tcBorders>
              <w:top w:val="single" w:sz="12" w:space="0" w:color="auto"/>
            </w:tcBorders>
            <w:shd w:val="clear" w:color="auto" w:fill="auto"/>
            <w:noWrap/>
            <w:hideMark/>
          </w:tcPr>
          <w:p w:rsidR="002246AD" w:rsidRPr="003D1522" w:rsidRDefault="002246AD" w:rsidP="00237BC6">
            <w:pPr>
              <w:pStyle w:val="SingleTxtG"/>
              <w:spacing w:before="40" w:after="40" w:line="220" w:lineRule="exact"/>
              <w:ind w:left="0" w:right="113"/>
              <w:jc w:val="right"/>
              <w:rPr>
                <w:sz w:val="18"/>
              </w:rPr>
            </w:pPr>
            <w:r w:rsidRPr="003D1522">
              <w:rPr>
                <w:sz w:val="18"/>
              </w:rPr>
              <w:t>18</w:t>
            </w:r>
            <w:r w:rsidR="00DF2C9B" w:rsidRPr="003D1522">
              <w:rPr>
                <w:sz w:val="18"/>
              </w:rPr>
              <w:t>.</w:t>
            </w:r>
            <w:r w:rsidRPr="003D1522">
              <w:rPr>
                <w:sz w:val="18"/>
              </w:rPr>
              <w:t>9%</w:t>
            </w:r>
          </w:p>
        </w:tc>
      </w:tr>
      <w:tr w:rsidR="00237BC6" w:rsidRPr="003D1522" w:rsidTr="00237BC6">
        <w:tc>
          <w:tcPr>
            <w:tcW w:w="1134" w:type="dxa"/>
            <w:shd w:val="clear" w:color="auto" w:fill="auto"/>
            <w:noWrap/>
            <w:hideMark/>
          </w:tcPr>
          <w:p w:rsidR="002246AD" w:rsidRPr="003D1522" w:rsidRDefault="002246AD" w:rsidP="00237BC6">
            <w:pPr>
              <w:pStyle w:val="SingleTxtG"/>
              <w:spacing w:before="40" w:after="40" w:line="220" w:lineRule="exact"/>
              <w:ind w:left="0" w:right="113"/>
              <w:jc w:val="left"/>
              <w:rPr>
                <w:sz w:val="18"/>
              </w:rPr>
            </w:pPr>
            <w:r w:rsidRPr="003D1522">
              <w:rPr>
                <w:sz w:val="18"/>
              </w:rPr>
              <w:t>Agriculture</w:t>
            </w:r>
          </w:p>
        </w:tc>
        <w:tc>
          <w:tcPr>
            <w:tcW w:w="623" w:type="dxa"/>
            <w:shd w:val="clear" w:color="auto" w:fill="auto"/>
            <w:noWrap/>
            <w:vAlign w:val="bottom"/>
            <w:hideMark/>
          </w:tcPr>
          <w:p w:rsidR="002246AD" w:rsidRPr="003D1522" w:rsidRDefault="002246AD" w:rsidP="00237BC6">
            <w:pPr>
              <w:pStyle w:val="SingleTxtG"/>
              <w:spacing w:before="40" w:after="40" w:line="220" w:lineRule="exact"/>
              <w:ind w:left="0" w:right="113"/>
              <w:jc w:val="right"/>
              <w:rPr>
                <w:sz w:val="18"/>
              </w:rPr>
            </w:pPr>
            <w:r w:rsidRPr="003D1522">
              <w:rPr>
                <w:sz w:val="18"/>
              </w:rPr>
              <w:t>23</w:t>
            </w:r>
            <w:r w:rsidR="00DF2C9B" w:rsidRPr="003D1522">
              <w:rPr>
                <w:sz w:val="18"/>
              </w:rPr>
              <w:t>.</w:t>
            </w:r>
            <w:r w:rsidRPr="003D1522">
              <w:rPr>
                <w:sz w:val="18"/>
              </w:rPr>
              <w:t>0%</w:t>
            </w:r>
          </w:p>
        </w:tc>
        <w:tc>
          <w:tcPr>
            <w:tcW w:w="624" w:type="dxa"/>
            <w:shd w:val="clear" w:color="auto" w:fill="auto"/>
            <w:noWrap/>
            <w:vAlign w:val="bottom"/>
            <w:hideMark/>
          </w:tcPr>
          <w:p w:rsidR="002246AD" w:rsidRPr="003D1522" w:rsidRDefault="002246AD" w:rsidP="00237BC6">
            <w:pPr>
              <w:pStyle w:val="SingleTxtG"/>
              <w:spacing w:before="40" w:after="40" w:line="220" w:lineRule="exact"/>
              <w:ind w:left="0" w:right="113"/>
              <w:jc w:val="right"/>
              <w:rPr>
                <w:sz w:val="18"/>
              </w:rPr>
            </w:pPr>
            <w:r w:rsidRPr="003D1522">
              <w:rPr>
                <w:sz w:val="18"/>
              </w:rPr>
              <w:t>24</w:t>
            </w:r>
            <w:r w:rsidR="00DF2C9B" w:rsidRPr="003D1522">
              <w:rPr>
                <w:sz w:val="18"/>
              </w:rPr>
              <w:t>.</w:t>
            </w:r>
            <w:r w:rsidRPr="003D1522">
              <w:rPr>
                <w:sz w:val="18"/>
              </w:rPr>
              <w:t>3%</w:t>
            </w:r>
          </w:p>
        </w:tc>
        <w:tc>
          <w:tcPr>
            <w:tcW w:w="623" w:type="dxa"/>
            <w:shd w:val="clear" w:color="auto" w:fill="auto"/>
            <w:noWrap/>
            <w:vAlign w:val="bottom"/>
            <w:hideMark/>
          </w:tcPr>
          <w:p w:rsidR="002246AD" w:rsidRPr="003D1522" w:rsidRDefault="002246AD" w:rsidP="00237BC6">
            <w:pPr>
              <w:pStyle w:val="SingleTxtG"/>
              <w:spacing w:before="40" w:after="40" w:line="220" w:lineRule="exact"/>
              <w:ind w:left="0" w:right="113"/>
              <w:jc w:val="right"/>
              <w:rPr>
                <w:sz w:val="18"/>
              </w:rPr>
            </w:pPr>
            <w:r w:rsidRPr="003D1522">
              <w:rPr>
                <w:sz w:val="18"/>
              </w:rPr>
              <w:t>18</w:t>
            </w:r>
            <w:r w:rsidR="00DF2C9B" w:rsidRPr="003D1522">
              <w:rPr>
                <w:sz w:val="18"/>
              </w:rPr>
              <w:t>.</w:t>
            </w:r>
            <w:r w:rsidRPr="003D1522">
              <w:rPr>
                <w:sz w:val="18"/>
              </w:rPr>
              <w:t>3%</w:t>
            </w:r>
          </w:p>
        </w:tc>
        <w:tc>
          <w:tcPr>
            <w:tcW w:w="624" w:type="dxa"/>
            <w:shd w:val="clear" w:color="auto" w:fill="auto"/>
            <w:noWrap/>
            <w:vAlign w:val="bottom"/>
            <w:hideMark/>
          </w:tcPr>
          <w:p w:rsidR="002246AD" w:rsidRPr="003D1522" w:rsidRDefault="002246AD" w:rsidP="00237BC6">
            <w:pPr>
              <w:pStyle w:val="SingleTxtG"/>
              <w:spacing w:before="40" w:after="40" w:line="220" w:lineRule="exact"/>
              <w:ind w:left="0" w:right="113"/>
              <w:jc w:val="right"/>
              <w:rPr>
                <w:sz w:val="18"/>
              </w:rPr>
            </w:pPr>
            <w:r w:rsidRPr="003D1522">
              <w:rPr>
                <w:sz w:val="18"/>
              </w:rPr>
              <w:t>19</w:t>
            </w:r>
            <w:r w:rsidR="00DF2C9B" w:rsidRPr="003D1522">
              <w:rPr>
                <w:sz w:val="18"/>
              </w:rPr>
              <w:t>.</w:t>
            </w:r>
            <w:r w:rsidRPr="003D1522">
              <w:rPr>
                <w:sz w:val="18"/>
              </w:rPr>
              <w:t>5%</w:t>
            </w:r>
          </w:p>
        </w:tc>
        <w:tc>
          <w:tcPr>
            <w:tcW w:w="624" w:type="dxa"/>
            <w:shd w:val="clear" w:color="auto" w:fill="auto"/>
            <w:noWrap/>
            <w:vAlign w:val="bottom"/>
            <w:hideMark/>
          </w:tcPr>
          <w:p w:rsidR="002246AD" w:rsidRPr="003D1522" w:rsidRDefault="002246AD" w:rsidP="00237BC6">
            <w:pPr>
              <w:pStyle w:val="SingleTxtG"/>
              <w:spacing w:before="40" w:after="40" w:line="220" w:lineRule="exact"/>
              <w:ind w:left="0" w:right="113"/>
              <w:jc w:val="right"/>
              <w:rPr>
                <w:sz w:val="18"/>
              </w:rPr>
            </w:pPr>
            <w:r w:rsidRPr="003D1522">
              <w:rPr>
                <w:sz w:val="18"/>
              </w:rPr>
              <w:t>13</w:t>
            </w:r>
            <w:r w:rsidR="00DF2C9B" w:rsidRPr="003D1522">
              <w:rPr>
                <w:sz w:val="18"/>
              </w:rPr>
              <w:t>.</w:t>
            </w:r>
            <w:r w:rsidRPr="003D1522">
              <w:rPr>
                <w:sz w:val="18"/>
              </w:rPr>
              <w:t>8%</w:t>
            </w:r>
          </w:p>
        </w:tc>
        <w:tc>
          <w:tcPr>
            <w:tcW w:w="623" w:type="dxa"/>
            <w:shd w:val="clear" w:color="auto" w:fill="auto"/>
            <w:noWrap/>
            <w:vAlign w:val="bottom"/>
            <w:hideMark/>
          </w:tcPr>
          <w:p w:rsidR="002246AD" w:rsidRPr="003D1522" w:rsidRDefault="002246AD" w:rsidP="00237BC6">
            <w:pPr>
              <w:pStyle w:val="SingleTxtG"/>
              <w:spacing w:before="40" w:after="40" w:line="220" w:lineRule="exact"/>
              <w:ind w:left="0" w:right="113"/>
              <w:jc w:val="right"/>
              <w:rPr>
                <w:sz w:val="18"/>
              </w:rPr>
            </w:pPr>
            <w:r w:rsidRPr="003D1522">
              <w:rPr>
                <w:sz w:val="18"/>
              </w:rPr>
              <w:t>14</w:t>
            </w:r>
            <w:r w:rsidR="00DF2C9B" w:rsidRPr="003D1522">
              <w:rPr>
                <w:sz w:val="18"/>
              </w:rPr>
              <w:t>.</w:t>
            </w:r>
            <w:r w:rsidRPr="003D1522">
              <w:rPr>
                <w:sz w:val="18"/>
              </w:rPr>
              <w:t>3%</w:t>
            </w:r>
          </w:p>
        </w:tc>
        <w:tc>
          <w:tcPr>
            <w:tcW w:w="624" w:type="dxa"/>
            <w:shd w:val="clear" w:color="auto" w:fill="auto"/>
            <w:noWrap/>
            <w:vAlign w:val="bottom"/>
            <w:hideMark/>
          </w:tcPr>
          <w:p w:rsidR="002246AD" w:rsidRPr="003D1522" w:rsidRDefault="002246AD" w:rsidP="00237BC6">
            <w:pPr>
              <w:pStyle w:val="SingleTxtG"/>
              <w:spacing w:before="40" w:after="40" w:line="220" w:lineRule="exact"/>
              <w:ind w:left="0" w:right="113"/>
              <w:jc w:val="right"/>
              <w:rPr>
                <w:sz w:val="18"/>
              </w:rPr>
            </w:pPr>
            <w:r w:rsidRPr="003D1522">
              <w:rPr>
                <w:sz w:val="18"/>
              </w:rPr>
              <w:t>12</w:t>
            </w:r>
            <w:r w:rsidR="00DF2C9B" w:rsidRPr="003D1522">
              <w:rPr>
                <w:sz w:val="18"/>
              </w:rPr>
              <w:t>.</w:t>
            </w:r>
            <w:r w:rsidRPr="003D1522">
              <w:rPr>
                <w:sz w:val="18"/>
              </w:rPr>
              <w:t>5%</w:t>
            </w:r>
          </w:p>
        </w:tc>
        <w:tc>
          <w:tcPr>
            <w:tcW w:w="623" w:type="dxa"/>
            <w:shd w:val="clear" w:color="auto" w:fill="auto"/>
            <w:noWrap/>
            <w:vAlign w:val="bottom"/>
            <w:hideMark/>
          </w:tcPr>
          <w:p w:rsidR="002246AD" w:rsidRPr="003D1522" w:rsidRDefault="002246AD" w:rsidP="00237BC6">
            <w:pPr>
              <w:pStyle w:val="SingleTxtG"/>
              <w:spacing w:before="40" w:after="40" w:line="220" w:lineRule="exact"/>
              <w:ind w:left="0" w:right="113"/>
              <w:jc w:val="right"/>
              <w:rPr>
                <w:sz w:val="18"/>
              </w:rPr>
            </w:pPr>
            <w:r w:rsidRPr="003D1522">
              <w:rPr>
                <w:sz w:val="18"/>
              </w:rPr>
              <w:t>10</w:t>
            </w:r>
            <w:r w:rsidR="00DF2C9B" w:rsidRPr="003D1522">
              <w:rPr>
                <w:sz w:val="18"/>
              </w:rPr>
              <w:t>.</w:t>
            </w:r>
            <w:r w:rsidRPr="003D1522">
              <w:rPr>
                <w:sz w:val="18"/>
              </w:rPr>
              <w:t>0%</w:t>
            </w:r>
          </w:p>
        </w:tc>
        <w:tc>
          <w:tcPr>
            <w:tcW w:w="624" w:type="dxa"/>
            <w:shd w:val="clear" w:color="auto" w:fill="auto"/>
            <w:noWrap/>
            <w:vAlign w:val="bottom"/>
            <w:hideMark/>
          </w:tcPr>
          <w:p w:rsidR="002246AD" w:rsidRPr="003D1522" w:rsidRDefault="002246AD" w:rsidP="00237BC6">
            <w:pPr>
              <w:pStyle w:val="SingleTxtG"/>
              <w:spacing w:before="40" w:after="40" w:line="220" w:lineRule="exact"/>
              <w:ind w:left="0" w:right="113"/>
              <w:jc w:val="right"/>
              <w:rPr>
                <w:sz w:val="18"/>
              </w:rPr>
            </w:pPr>
            <w:r w:rsidRPr="003D1522">
              <w:rPr>
                <w:sz w:val="18"/>
              </w:rPr>
              <w:t>12</w:t>
            </w:r>
            <w:r w:rsidR="00DF2C9B" w:rsidRPr="003D1522">
              <w:rPr>
                <w:sz w:val="18"/>
              </w:rPr>
              <w:t>.</w:t>
            </w:r>
            <w:r w:rsidRPr="003D1522">
              <w:rPr>
                <w:sz w:val="18"/>
              </w:rPr>
              <w:t>8%</w:t>
            </w:r>
          </w:p>
        </w:tc>
        <w:tc>
          <w:tcPr>
            <w:tcW w:w="624" w:type="dxa"/>
            <w:shd w:val="clear" w:color="auto" w:fill="auto"/>
            <w:noWrap/>
            <w:vAlign w:val="bottom"/>
            <w:hideMark/>
          </w:tcPr>
          <w:p w:rsidR="002246AD" w:rsidRPr="003D1522" w:rsidRDefault="002246AD" w:rsidP="00237BC6">
            <w:pPr>
              <w:pStyle w:val="SingleTxtG"/>
              <w:spacing w:before="40" w:after="40" w:line="220" w:lineRule="exact"/>
              <w:ind w:left="0" w:right="113"/>
              <w:jc w:val="right"/>
              <w:rPr>
                <w:sz w:val="18"/>
              </w:rPr>
            </w:pPr>
            <w:r w:rsidRPr="003D1522">
              <w:rPr>
                <w:sz w:val="18"/>
              </w:rPr>
              <w:t>5</w:t>
            </w:r>
            <w:r w:rsidR="00DF2C9B" w:rsidRPr="003D1522">
              <w:rPr>
                <w:sz w:val="18"/>
              </w:rPr>
              <w:t>.</w:t>
            </w:r>
            <w:r w:rsidRPr="003D1522">
              <w:rPr>
                <w:sz w:val="18"/>
              </w:rPr>
              <w:t>4%</w:t>
            </w:r>
          </w:p>
        </w:tc>
      </w:tr>
    </w:tbl>
    <w:p w:rsidR="002246AD" w:rsidRPr="003D1522" w:rsidRDefault="00237BC6" w:rsidP="00237BC6">
      <w:pPr>
        <w:pStyle w:val="H23G"/>
      </w:pPr>
      <w:r w:rsidRPr="003D1522">
        <w:tab/>
      </w:r>
      <w:r w:rsidRPr="003D1522">
        <w:tab/>
      </w:r>
      <w:r w:rsidR="002246AD" w:rsidRPr="003D1522">
        <w:t>Number of visits:</w:t>
      </w:r>
    </w:p>
    <w:tbl>
      <w:tblPr>
        <w:tblStyle w:val="TableGrid"/>
        <w:tblW w:w="7371"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85"/>
        <w:gridCol w:w="677"/>
        <w:gridCol w:w="678"/>
        <w:gridCol w:w="678"/>
        <w:gridCol w:w="679"/>
        <w:gridCol w:w="679"/>
        <w:gridCol w:w="679"/>
        <w:gridCol w:w="679"/>
        <w:gridCol w:w="679"/>
        <w:gridCol w:w="679"/>
        <w:gridCol w:w="679"/>
      </w:tblGrid>
      <w:tr w:rsidR="00237BC6" w:rsidRPr="003D1522" w:rsidTr="00002B52">
        <w:trPr>
          <w:tblHeader/>
        </w:trPr>
        <w:tc>
          <w:tcPr>
            <w:tcW w:w="567" w:type="dxa"/>
            <w:tcBorders>
              <w:top w:val="single" w:sz="4" w:space="0" w:color="auto"/>
              <w:bottom w:val="single" w:sz="12" w:space="0" w:color="auto"/>
            </w:tcBorders>
            <w:shd w:val="clear" w:color="auto" w:fill="auto"/>
            <w:noWrap/>
            <w:vAlign w:val="bottom"/>
            <w:hideMark/>
          </w:tcPr>
          <w:p w:rsidR="00237BC6" w:rsidRPr="003D1522" w:rsidRDefault="00237BC6" w:rsidP="00237BC6">
            <w:pPr>
              <w:pStyle w:val="SingleTxtG"/>
              <w:spacing w:before="80" w:after="80" w:line="200" w:lineRule="exact"/>
              <w:ind w:left="0" w:right="113"/>
              <w:jc w:val="left"/>
              <w:rPr>
                <w:i/>
                <w:sz w:val="16"/>
              </w:rPr>
            </w:pPr>
          </w:p>
        </w:tc>
        <w:tc>
          <w:tcPr>
            <w:tcW w:w="656" w:type="dxa"/>
            <w:tcBorders>
              <w:top w:val="single" w:sz="4" w:space="0" w:color="auto"/>
              <w:bottom w:val="single" w:sz="12" w:space="0" w:color="auto"/>
            </w:tcBorders>
            <w:shd w:val="clear" w:color="auto" w:fill="auto"/>
            <w:noWrap/>
            <w:vAlign w:val="bottom"/>
            <w:hideMark/>
          </w:tcPr>
          <w:p w:rsidR="00237BC6" w:rsidRPr="003D1522" w:rsidRDefault="00237BC6" w:rsidP="00237BC6">
            <w:pPr>
              <w:pStyle w:val="SingleTxtG"/>
              <w:spacing w:before="80" w:after="80" w:line="200" w:lineRule="exact"/>
              <w:ind w:left="0" w:right="113"/>
              <w:jc w:val="right"/>
              <w:rPr>
                <w:i/>
                <w:sz w:val="16"/>
              </w:rPr>
            </w:pPr>
            <w:r w:rsidRPr="003D1522">
              <w:rPr>
                <w:i/>
                <w:sz w:val="16"/>
              </w:rPr>
              <w:t>2008</w:t>
            </w:r>
          </w:p>
        </w:tc>
        <w:tc>
          <w:tcPr>
            <w:tcW w:w="657" w:type="dxa"/>
            <w:tcBorders>
              <w:top w:val="single" w:sz="4" w:space="0" w:color="auto"/>
              <w:bottom w:val="single" w:sz="12" w:space="0" w:color="auto"/>
            </w:tcBorders>
            <w:shd w:val="clear" w:color="auto" w:fill="auto"/>
            <w:noWrap/>
            <w:vAlign w:val="bottom"/>
            <w:hideMark/>
          </w:tcPr>
          <w:p w:rsidR="00237BC6" w:rsidRPr="003D1522" w:rsidRDefault="00237BC6" w:rsidP="00237BC6">
            <w:pPr>
              <w:pStyle w:val="SingleTxtG"/>
              <w:spacing w:before="80" w:after="80" w:line="200" w:lineRule="exact"/>
              <w:ind w:left="0" w:right="113"/>
              <w:jc w:val="right"/>
              <w:rPr>
                <w:i/>
                <w:sz w:val="16"/>
              </w:rPr>
            </w:pPr>
            <w:r w:rsidRPr="003D1522">
              <w:rPr>
                <w:i/>
                <w:sz w:val="16"/>
              </w:rPr>
              <w:t>2009</w:t>
            </w:r>
          </w:p>
        </w:tc>
        <w:tc>
          <w:tcPr>
            <w:tcW w:w="657" w:type="dxa"/>
            <w:tcBorders>
              <w:top w:val="single" w:sz="4" w:space="0" w:color="auto"/>
              <w:bottom w:val="single" w:sz="12" w:space="0" w:color="auto"/>
            </w:tcBorders>
            <w:shd w:val="clear" w:color="auto" w:fill="auto"/>
            <w:noWrap/>
            <w:vAlign w:val="bottom"/>
            <w:hideMark/>
          </w:tcPr>
          <w:p w:rsidR="00237BC6" w:rsidRPr="003D1522" w:rsidRDefault="00237BC6" w:rsidP="00237BC6">
            <w:pPr>
              <w:pStyle w:val="SingleTxtG"/>
              <w:spacing w:before="80" w:after="80" w:line="200" w:lineRule="exact"/>
              <w:ind w:left="0" w:right="113"/>
              <w:jc w:val="right"/>
              <w:rPr>
                <w:i/>
                <w:sz w:val="16"/>
              </w:rPr>
            </w:pPr>
            <w:r w:rsidRPr="003D1522">
              <w:rPr>
                <w:i/>
                <w:sz w:val="16"/>
              </w:rPr>
              <w:t>2010</w:t>
            </w:r>
          </w:p>
        </w:tc>
        <w:tc>
          <w:tcPr>
            <w:tcW w:w="657" w:type="dxa"/>
            <w:tcBorders>
              <w:top w:val="single" w:sz="4" w:space="0" w:color="auto"/>
              <w:bottom w:val="single" w:sz="12" w:space="0" w:color="auto"/>
            </w:tcBorders>
            <w:shd w:val="clear" w:color="auto" w:fill="auto"/>
            <w:noWrap/>
            <w:vAlign w:val="bottom"/>
            <w:hideMark/>
          </w:tcPr>
          <w:p w:rsidR="00237BC6" w:rsidRPr="003D1522" w:rsidRDefault="00237BC6" w:rsidP="00237BC6">
            <w:pPr>
              <w:pStyle w:val="SingleTxtG"/>
              <w:spacing w:before="80" w:after="80" w:line="200" w:lineRule="exact"/>
              <w:ind w:left="0" w:right="113"/>
              <w:jc w:val="right"/>
              <w:rPr>
                <w:i/>
                <w:sz w:val="16"/>
              </w:rPr>
            </w:pPr>
            <w:r w:rsidRPr="003D1522">
              <w:rPr>
                <w:i/>
                <w:sz w:val="16"/>
              </w:rPr>
              <w:t>2011</w:t>
            </w:r>
          </w:p>
        </w:tc>
        <w:tc>
          <w:tcPr>
            <w:tcW w:w="657" w:type="dxa"/>
            <w:tcBorders>
              <w:top w:val="single" w:sz="4" w:space="0" w:color="auto"/>
              <w:bottom w:val="single" w:sz="12" w:space="0" w:color="auto"/>
            </w:tcBorders>
            <w:shd w:val="clear" w:color="auto" w:fill="auto"/>
            <w:noWrap/>
            <w:vAlign w:val="bottom"/>
            <w:hideMark/>
          </w:tcPr>
          <w:p w:rsidR="00237BC6" w:rsidRPr="003D1522" w:rsidRDefault="00237BC6" w:rsidP="00237BC6">
            <w:pPr>
              <w:pStyle w:val="SingleTxtG"/>
              <w:spacing w:before="80" w:after="80" w:line="200" w:lineRule="exact"/>
              <w:ind w:left="0" w:right="113"/>
              <w:jc w:val="right"/>
              <w:rPr>
                <w:i/>
                <w:sz w:val="16"/>
              </w:rPr>
            </w:pPr>
            <w:r w:rsidRPr="003D1522">
              <w:rPr>
                <w:i/>
                <w:sz w:val="16"/>
              </w:rPr>
              <w:t>2012</w:t>
            </w:r>
          </w:p>
        </w:tc>
        <w:tc>
          <w:tcPr>
            <w:tcW w:w="657" w:type="dxa"/>
            <w:tcBorders>
              <w:top w:val="single" w:sz="4" w:space="0" w:color="auto"/>
              <w:bottom w:val="single" w:sz="12" w:space="0" w:color="auto"/>
            </w:tcBorders>
            <w:shd w:val="clear" w:color="auto" w:fill="auto"/>
            <w:noWrap/>
            <w:vAlign w:val="bottom"/>
            <w:hideMark/>
          </w:tcPr>
          <w:p w:rsidR="00237BC6" w:rsidRPr="003D1522" w:rsidRDefault="00237BC6" w:rsidP="00237BC6">
            <w:pPr>
              <w:pStyle w:val="SingleTxtG"/>
              <w:spacing w:before="80" w:after="80" w:line="200" w:lineRule="exact"/>
              <w:ind w:left="0" w:right="113"/>
              <w:jc w:val="right"/>
              <w:rPr>
                <w:i/>
                <w:sz w:val="16"/>
              </w:rPr>
            </w:pPr>
            <w:r w:rsidRPr="003D1522">
              <w:rPr>
                <w:i/>
                <w:sz w:val="16"/>
              </w:rPr>
              <w:t>2013</w:t>
            </w:r>
          </w:p>
        </w:tc>
        <w:tc>
          <w:tcPr>
            <w:tcW w:w="657" w:type="dxa"/>
            <w:tcBorders>
              <w:top w:val="single" w:sz="4" w:space="0" w:color="auto"/>
              <w:bottom w:val="single" w:sz="12" w:space="0" w:color="auto"/>
            </w:tcBorders>
            <w:shd w:val="clear" w:color="auto" w:fill="auto"/>
            <w:noWrap/>
            <w:vAlign w:val="bottom"/>
            <w:hideMark/>
          </w:tcPr>
          <w:p w:rsidR="00237BC6" w:rsidRPr="003D1522" w:rsidRDefault="00237BC6" w:rsidP="00237BC6">
            <w:pPr>
              <w:pStyle w:val="SingleTxtG"/>
              <w:spacing w:before="80" w:after="80" w:line="200" w:lineRule="exact"/>
              <w:ind w:left="0" w:right="113"/>
              <w:jc w:val="right"/>
              <w:rPr>
                <w:i/>
                <w:sz w:val="16"/>
              </w:rPr>
            </w:pPr>
            <w:r w:rsidRPr="003D1522">
              <w:rPr>
                <w:i/>
                <w:sz w:val="16"/>
              </w:rPr>
              <w:t>2014</w:t>
            </w:r>
          </w:p>
        </w:tc>
        <w:tc>
          <w:tcPr>
            <w:tcW w:w="657" w:type="dxa"/>
            <w:tcBorders>
              <w:top w:val="single" w:sz="4" w:space="0" w:color="auto"/>
              <w:bottom w:val="single" w:sz="12" w:space="0" w:color="auto"/>
            </w:tcBorders>
            <w:shd w:val="clear" w:color="auto" w:fill="auto"/>
            <w:noWrap/>
            <w:vAlign w:val="bottom"/>
            <w:hideMark/>
          </w:tcPr>
          <w:p w:rsidR="00237BC6" w:rsidRPr="003D1522" w:rsidRDefault="00237BC6" w:rsidP="00237BC6">
            <w:pPr>
              <w:pStyle w:val="SingleTxtG"/>
              <w:spacing w:before="80" w:after="80" w:line="200" w:lineRule="exact"/>
              <w:ind w:left="0" w:right="113"/>
              <w:jc w:val="right"/>
              <w:rPr>
                <w:i/>
                <w:sz w:val="16"/>
              </w:rPr>
            </w:pPr>
            <w:r w:rsidRPr="003D1522">
              <w:rPr>
                <w:i/>
                <w:sz w:val="16"/>
              </w:rPr>
              <w:t>2015</w:t>
            </w:r>
          </w:p>
        </w:tc>
        <w:tc>
          <w:tcPr>
            <w:tcW w:w="657" w:type="dxa"/>
            <w:tcBorders>
              <w:top w:val="single" w:sz="4" w:space="0" w:color="auto"/>
              <w:bottom w:val="single" w:sz="12" w:space="0" w:color="auto"/>
            </w:tcBorders>
            <w:shd w:val="clear" w:color="auto" w:fill="auto"/>
            <w:noWrap/>
            <w:vAlign w:val="bottom"/>
            <w:hideMark/>
          </w:tcPr>
          <w:p w:rsidR="00237BC6" w:rsidRPr="003D1522" w:rsidRDefault="00237BC6" w:rsidP="00237BC6">
            <w:pPr>
              <w:pStyle w:val="SingleTxtG"/>
              <w:spacing w:before="80" w:after="80" w:line="200" w:lineRule="exact"/>
              <w:ind w:left="0" w:right="113"/>
              <w:jc w:val="right"/>
              <w:rPr>
                <w:i/>
                <w:sz w:val="16"/>
              </w:rPr>
            </w:pPr>
            <w:r w:rsidRPr="003D1522">
              <w:rPr>
                <w:i/>
                <w:sz w:val="16"/>
              </w:rPr>
              <w:t>2016</w:t>
            </w:r>
          </w:p>
        </w:tc>
        <w:tc>
          <w:tcPr>
            <w:tcW w:w="657" w:type="dxa"/>
            <w:tcBorders>
              <w:top w:val="single" w:sz="4" w:space="0" w:color="auto"/>
              <w:bottom w:val="single" w:sz="12" w:space="0" w:color="auto"/>
            </w:tcBorders>
            <w:shd w:val="clear" w:color="auto" w:fill="auto"/>
            <w:noWrap/>
            <w:vAlign w:val="bottom"/>
            <w:hideMark/>
          </w:tcPr>
          <w:p w:rsidR="00237BC6" w:rsidRPr="003D1522" w:rsidRDefault="00237BC6" w:rsidP="00237BC6">
            <w:pPr>
              <w:pStyle w:val="SingleTxtG"/>
              <w:spacing w:before="80" w:after="80" w:line="200" w:lineRule="exact"/>
              <w:ind w:left="0" w:right="113"/>
              <w:jc w:val="right"/>
              <w:rPr>
                <w:i/>
                <w:sz w:val="16"/>
              </w:rPr>
            </w:pPr>
            <w:r w:rsidRPr="003D1522">
              <w:rPr>
                <w:i/>
                <w:sz w:val="16"/>
              </w:rPr>
              <w:t>2017</w:t>
            </w:r>
          </w:p>
        </w:tc>
      </w:tr>
      <w:tr w:rsidR="00237BC6" w:rsidRPr="003D1522" w:rsidTr="00002B52">
        <w:tc>
          <w:tcPr>
            <w:tcW w:w="567" w:type="dxa"/>
            <w:tcBorders>
              <w:top w:val="single" w:sz="12" w:space="0" w:color="auto"/>
            </w:tcBorders>
            <w:shd w:val="clear" w:color="auto" w:fill="auto"/>
            <w:noWrap/>
            <w:hideMark/>
          </w:tcPr>
          <w:p w:rsidR="00237BC6" w:rsidRPr="003D1522" w:rsidRDefault="00237BC6" w:rsidP="00237BC6">
            <w:pPr>
              <w:pStyle w:val="SingleTxtG"/>
              <w:spacing w:before="40" w:after="40" w:line="220" w:lineRule="exact"/>
              <w:ind w:left="0" w:right="113"/>
              <w:jc w:val="left"/>
              <w:rPr>
                <w:b/>
                <w:bCs/>
                <w:sz w:val="18"/>
              </w:rPr>
            </w:pPr>
            <w:r w:rsidRPr="003D1522">
              <w:rPr>
                <w:b/>
                <w:bCs/>
                <w:sz w:val="18"/>
              </w:rPr>
              <w:t>Total</w:t>
            </w:r>
          </w:p>
        </w:tc>
        <w:tc>
          <w:tcPr>
            <w:tcW w:w="656" w:type="dxa"/>
            <w:tcBorders>
              <w:top w:val="single" w:sz="12" w:space="0" w:color="auto"/>
            </w:tcBorders>
            <w:shd w:val="clear" w:color="auto" w:fill="auto"/>
            <w:noWrap/>
            <w:vAlign w:val="bottom"/>
            <w:hideMark/>
          </w:tcPr>
          <w:p w:rsidR="00237BC6" w:rsidRPr="003D1522" w:rsidRDefault="00237BC6" w:rsidP="00237BC6">
            <w:pPr>
              <w:pStyle w:val="SingleTxtG"/>
              <w:spacing w:before="40" w:after="40" w:line="220" w:lineRule="exact"/>
              <w:ind w:left="0" w:right="113"/>
              <w:jc w:val="right"/>
              <w:rPr>
                <w:b/>
                <w:bCs/>
                <w:sz w:val="18"/>
              </w:rPr>
            </w:pPr>
            <w:r w:rsidRPr="003D1522">
              <w:rPr>
                <w:b/>
                <w:bCs/>
                <w:sz w:val="18"/>
              </w:rPr>
              <w:t>5 809</w:t>
            </w:r>
          </w:p>
        </w:tc>
        <w:tc>
          <w:tcPr>
            <w:tcW w:w="657" w:type="dxa"/>
            <w:tcBorders>
              <w:top w:val="single" w:sz="12" w:space="0" w:color="auto"/>
            </w:tcBorders>
            <w:shd w:val="clear" w:color="auto" w:fill="auto"/>
            <w:noWrap/>
            <w:vAlign w:val="bottom"/>
            <w:hideMark/>
          </w:tcPr>
          <w:p w:rsidR="00237BC6" w:rsidRPr="003D1522" w:rsidRDefault="00237BC6" w:rsidP="00237BC6">
            <w:pPr>
              <w:pStyle w:val="SingleTxtG"/>
              <w:spacing w:before="40" w:after="40" w:line="220" w:lineRule="exact"/>
              <w:ind w:left="0" w:right="113"/>
              <w:jc w:val="right"/>
              <w:rPr>
                <w:b/>
                <w:bCs/>
                <w:sz w:val="18"/>
              </w:rPr>
            </w:pPr>
            <w:r w:rsidRPr="003D1522">
              <w:rPr>
                <w:b/>
                <w:bCs/>
                <w:sz w:val="18"/>
              </w:rPr>
              <w:t>4 652</w:t>
            </w:r>
          </w:p>
        </w:tc>
        <w:tc>
          <w:tcPr>
            <w:tcW w:w="657" w:type="dxa"/>
            <w:tcBorders>
              <w:top w:val="single" w:sz="12" w:space="0" w:color="auto"/>
            </w:tcBorders>
            <w:shd w:val="clear" w:color="auto" w:fill="auto"/>
            <w:noWrap/>
            <w:vAlign w:val="bottom"/>
            <w:hideMark/>
          </w:tcPr>
          <w:p w:rsidR="00237BC6" w:rsidRPr="003D1522" w:rsidRDefault="00237BC6" w:rsidP="00237BC6">
            <w:pPr>
              <w:pStyle w:val="SingleTxtG"/>
              <w:spacing w:before="40" w:after="40" w:line="220" w:lineRule="exact"/>
              <w:ind w:left="0" w:right="113"/>
              <w:jc w:val="right"/>
              <w:rPr>
                <w:b/>
                <w:bCs/>
                <w:sz w:val="18"/>
              </w:rPr>
            </w:pPr>
            <w:r w:rsidRPr="003D1522">
              <w:rPr>
                <w:b/>
                <w:bCs/>
                <w:sz w:val="18"/>
              </w:rPr>
              <w:t>4 732</w:t>
            </w:r>
          </w:p>
        </w:tc>
        <w:tc>
          <w:tcPr>
            <w:tcW w:w="657" w:type="dxa"/>
            <w:tcBorders>
              <w:top w:val="single" w:sz="12" w:space="0" w:color="auto"/>
            </w:tcBorders>
            <w:shd w:val="clear" w:color="auto" w:fill="auto"/>
            <w:noWrap/>
            <w:vAlign w:val="bottom"/>
            <w:hideMark/>
          </w:tcPr>
          <w:p w:rsidR="00237BC6" w:rsidRPr="003D1522" w:rsidRDefault="00237BC6" w:rsidP="00237BC6">
            <w:pPr>
              <w:pStyle w:val="SingleTxtG"/>
              <w:spacing w:before="40" w:after="40" w:line="220" w:lineRule="exact"/>
              <w:ind w:left="0" w:right="113"/>
              <w:jc w:val="right"/>
              <w:rPr>
                <w:b/>
                <w:bCs/>
                <w:sz w:val="18"/>
              </w:rPr>
            </w:pPr>
            <w:r w:rsidRPr="003D1522">
              <w:rPr>
                <w:b/>
                <w:bCs/>
                <w:sz w:val="18"/>
              </w:rPr>
              <w:t>4 402</w:t>
            </w:r>
          </w:p>
        </w:tc>
        <w:tc>
          <w:tcPr>
            <w:tcW w:w="657" w:type="dxa"/>
            <w:tcBorders>
              <w:top w:val="single" w:sz="12" w:space="0" w:color="auto"/>
            </w:tcBorders>
            <w:shd w:val="clear" w:color="auto" w:fill="auto"/>
            <w:noWrap/>
            <w:vAlign w:val="bottom"/>
            <w:hideMark/>
          </w:tcPr>
          <w:p w:rsidR="00237BC6" w:rsidRPr="003D1522" w:rsidRDefault="00237BC6" w:rsidP="00237BC6">
            <w:pPr>
              <w:pStyle w:val="SingleTxtG"/>
              <w:spacing w:before="40" w:after="40" w:line="220" w:lineRule="exact"/>
              <w:ind w:left="0" w:right="113"/>
              <w:jc w:val="right"/>
              <w:rPr>
                <w:b/>
                <w:bCs/>
                <w:sz w:val="18"/>
              </w:rPr>
            </w:pPr>
            <w:r w:rsidRPr="003D1522">
              <w:rPr>
                <w:b/>
                <w:bCs/>
                <w:sz w:val="18"/>
              </w:rPr>
              <w:t>4 051</w:t>
            </w:r>
          </w:p>
        </w:tc>
        <w:tc>
          <w:tcPr>
            <w:tcW w:w="657" w:type="dxa"/>
            <w:tcBorders>
              <w:top w:val="single" w:sz="12" w:space="0" w:color="auto"/>
            </w:tcBorders>
            <w:shd w:val="clear" w:color="auto" w:fill="auto"/>
            <w:noWrap/>
            <w:vAlign w:val="bottom"/>
            <w:hideMark/>
          </w:tcPr>
          <w:p w:rsidR="00237BC6" w:rsidRPr="003D1522" w:rsidRDefault="00237BC6" w:rsidP="00237BC6">
            <w:pPr>
              <w:pStyle w:val="SingleTxtG"/>
              <w:spacing w:before="40" w:after="40" w:line="220" w:lineRule="exact"/>
              <w:ind w:left="0" w:right="113"/>
              <w:jc w:val="right"/>
              <w:rPr>
                <w:b/>
                <w:bCs/>
                <w:sz w:val="18"/>
              </w:rPr>
            </w:pPr>
            <w:r w:rsidRPr="003D1522">
              <w:rPr>
                <w:b/>
                <w:bCs/>
                <w:sz w:val="18"/>
              </w:rPr>
              <w:t>3 787</w:t>
            </w:r>
          </w:p>
        </w:tc>
        <w:tc>
          <w:tcPr>
            <w:tcW w:w="657" w:type="dxa"/>
            <w:tcBorders>
              <w:top w:val="single" w:sz="12" w:space="0" w:color="auto"/>
            </w:tcBorders>
            <w:shd w:val="clear" w:color="auto" w:fill="auto"/>
            <w:noWrap/>
            <w:vAlign w:val="bottom"/>
            <w:hideMark/>
          </w:tcPr>
          <w:p w:rsidR="00237BC6" w:rsidRPr="003D1522" w:rsidRDefault="00237BC6" w:rsidP="00237BC6">
            <w:pPr>
              <w:pStyle w:val="SingleTxtG"/>
              <w:spacing w:before="40" w:after="40" w:line="220" w:lineRule="exact"/>
              <w:ind w:left="0" w:right="113"/>
              <w:jc w:val="right"/>
              <w:rPr>
                <w:b/>
                <w:bCs/>
                <w:sz w:val="18"/>
              </w:rPr>
            </w:pPr>
            <w:r w:rsidRPr="003D1522">
              <w:rPr>
                <w:b/>
                <w:bCs/>
                <w:sz w:val="18"/>
              </w:rPr>
              <w:t>4 268</w:t>
            </w:r>
          </w:p>
        </w:tc>
        <w:tc>
          <w:tcPr>
            <w:tcW w:w="657" w:type="dxa"/>
            <w:tcBorders>
              <w:top w:val="single" w:sz="12" w:space="0" w:color="auto"/>
            </w:tcBorders>
            <w:shd w:val="clear" w:color="auto" w:fill="auto"/>
            <w:noWrap/>
            <w:vAlign w:val="bottom"/>
            <w:hideMark/>
          </w:tcPr>
          <w:p w:rsidR="00237BC6" w:rsidRPr="003D1522" w:rsidRDefault="00237BC6" w:rsidP="00237BC6">
            <w:pPr>
              <w:pStyle w:val="SingleTxtG"/>
              <w:spacing w:before="40" w:after="40" w:line="220" w:lineRule="exact"/>
              <w:ind w:left="0" w:right="113"/>
              <w:jc w:val="right"/>
              <w:rPr>
                <w:b/>
                <w:bCs/>
                <w:sz w:val="18"/>
              </w:rPr>
            </w:pPr>
            <w:r w:rsidRPr="003D1522">
              <w:rPr>
                <w:b/>
                <w:bCs/>
                <w:sz w:val="18"/>
              </w:rPr>
              <w:t>4 752</w:t>
            </w:r>
          </w:p>
        </w:tc>
        <w:tc>
          <w:tcPr>
            <w:tcW w:w="657" w:type="dxa"/>
            <w:tcBorders>
              <w:top w:val="single" w:sz="12" w:space="0" w:color="auto"/>
            </w:tcBorders>
            <w:shd w:val="clear" w:color="auto" w:fill="auto"/>
            <w:noWrap/>
            <w:vAlign w:val="bottom"/>
            <w:hideMark/>
          </w:tcPr>
          <w:p w:rsidR="00237BC6" w:rsidRPr="003D1522" w:rsidRDefault="00237BC6" w:rsidP="00237BC6">
            <w:pPr>
              <w:pStyle w:val="SingleTxtG"/>
              <w:spacing w:before="40" w:after="40" w:line="220" w:lineRule="exact"/>
              <w:ind w:left="0" w:right="113"/>
              <w:jc w:val="right"/>
              <w:rPr>
                <w:b/>
                <w:bCs/>
                <w:sz w:val="18"/>
              </w:rPr>
            </w:pPr>
            <w:r w:rsidRPr="003D1522">
              <w:rPr>
                <w:b/>
                <w:bCs/>
                <w:sz w:val="18"/>
              </w:rPr>
              <w:t>5 282</w:t>
            </w:r>
          </w:p>
        </w:tc>
        <w:tc>
          <w:tcPr>
            <w:tcW w:w="657" w:type="dxa"/>
            <w:tcBorders>
              <w:top w:val="single" w:sz="12" w:space="0" w:color="auto"/>
            </w:tcBorders>
            <w:shd w:val="clear" w:color="auto" w:fill="auto"/>
            <w:noWrap/>
            <w:vAlign w:val="bottom"/>
            <w:hideMark/>
          </w:tcPr>
          <w:p w:rsidR="00237BC6" w:rsidRPr="003D1522" w:rsidRDefault="00237BC6" w:rsidP="00237BC6">
            <w:pPr>
              <w:pStyle w:val="SingleTxtG"/>
              <w:spacing w:before="40" w:after="40" w:line="220" w:lineRule="exact"/>
              <w:ind w:left="0" w:right="113"/>
              <w:jc w:val="right"/>
              <w:rPr>
                <w:b/>
                <w:bCs/>
                <w:sz w:val="18"/>
              </w:rPr>
            </w:pPr>
            <w:r w:rsidRPr="003D1522">
              <w:rPr>
                <w:b/>
                <w:bCs/>
                <w:sz w:val="18"/>
              </w:rPr>
              <w:t>4 640</w:t>
            </w:r>
          </w:p>
        </w:tc>
      </w:tr>
    </w:tbl>
    <w:p w:rsidR="002246AD" w:rsidRPr="003D1522" w:rsidRDefault="005F54F4" w:rsidP="005F54F4">
      <w:pPr>
        <w:pStyle w:val="H23G"/>
      </w:pPr>
      <w:r w:rsidRPr="003D1522">
        <w:tab/>
      </w:r>
      <w:r w:rsidRPr="003D1522">
        <w:tab/>
      </w:r>
      <w:r w:rsidR="002246AD" w:rsidRPr="003D1522">
        <w:t xml:space="preserve">Percentage of visits of supervision (wood processing industry and agriculture): </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637"/>
        <w:gridCol w:w="638"/>
        <w:gridCol w:w="638"/>
        <w:gridCol w:w="637"/>
        <w:gridCol w:w="638"/>
        <w:gridCol w:w="638"/>
        <w:gridCol w:w="637"/>
        <w:gridCol w:w="638"/>
        <w:gridCol w:w="638"/>
        <w:gridCol w:w="638"/>
      </w:tblGrid>
      <w:tr w:rsidR="005F54F4" w:rsidRPr="003D1522" w:rsidTr="005F54F4">
        <w:trPr>
          <w:tblHeader/>
        </w:trPr>
        <w:tc>
          <w:tcPr>
            <w:tcW w:w="993" w:type="dxa"/>
            <w:tcBorders>
              <w:top w:val="single" w:sz="4" w:space="0" w:color="auto"/>
              <w:bottom w:val="single" w:sz="12" w:space="0" w:color="auto"/>
            </w:tcBorders>
            <w:shd w:val="clear" w:color="auto" w:fill="auto"/>
            <w:noWrap/>
            <w:vAlign w:val="bottom"/>
            <w:hideMark/>
          </w:tcPr>
          <w:p w:rsidR="002246AD" w:rsidRPr="003D1522" w:rsidRDefault="002246AD" w:rsidP="005F54F4">
            <w:pPr>
              <w:pStyle w:val="SingleTxtG"/>
              <w:spacing w:before="80" w:after="80" w:line="200" w:lineRule="exact"/>
              <w:ind w:left="0" w:right="113"/>
              <w:jc w:val="left"/>
              <w:rPr>
                <w:i/>
                <w:sz w:val="16"/>
              </w:rPr>
            </w:pPr>
          </w:p>
        </w:tc>
        <w:tc>
          <w:tcPr>
            <w:tcW w:w="637" w:type="dxa"/>
            <w:tcBorders>
              <w:top w:val="single" w:sz="4" w:space="0" w:color="auto"/>
              <w:bottom w:val="single" w:sz="12" w:space="0" w:color="auto"/>
            </w:tcBorders>
            <w:shd w:val="clear" w:color="auto" w:fill="auto"/>
            <w:noWrap/>
            <w:vAlign w:val="bottom"/>
            <w:hideMark/>
          </w:tcPr>
          <w:p w:rsidR="002246AD" w:rsidRPr="003D1522" w:rsidRDefault="002246AD" w:rsidP="005F54F4">
            <w:pPr>
              <w:pStyle w:val="SingleTxtG"/>
              <w:spacing w:before="80" w:after="80" w:line="200" w:lineRule="exact"/>
              <w:ind w:left="0" w:right="113"/>
              <w:jc w:val="right"/>
              <w:rPr>
                <w:i/>
                <w:sz w:val="16"/>
              </w:rPr>
            </w:pPr>
            <w:r w:rsidRPr="003D1522">
              <w:rPr>
                <w:i/>
                <w:sz w:val="16"/>
              </w:rPr>
              <w:t>2008</w:t>
            </w:r>
          </w:p>
        </w:tc>
        <w:tc>
          <w:tcPr>
            <w:tcW w:w="638" w:type="dxa"/>
            <w:tcBorders>
              <w:top w:val="single" w:sz="4" w:space="0" w:color="auto"/>
              <w:bottom w:val="single" w:sz="12" w:space="0" w:color="auto"/>
            </w:tcBorders>
            <w:shd w:val="clear" w:color="auto" w:fill="auto"/>
            <w:noWrap/>
            <w:vAlign w:val="bottom"/>
            <w:hideMark/>
          </w:tcPr>
          <w:p w:rsidR="002246AD" w:rsidRPr="003D1522" w:rsidRDefault="002246AD" w:rsidP="005F54F4">
            <w:pPr>
              <w:pStyle w:val="SingleTxtG"/>
              <w:spacing w:before="80" w:after="80" w:line="200" w:lineRule="exact"/>
              <w:ind w:left="0" w:right="113"/>
              <w:jc w:val="right"/>
              <w:rPr>
                <w:i/>
                <w:sz w:val="16"/>
              </w:rPr>
            </w:pPr>
            <w:r w:rsidRPr="003D1522">
              <w:rPr>
                <w:i/>
                <w:sz w:val="16"/>
              </w:rPr>
              <w:t>2009</w:t>
            </w:r>
          </w:p>
        </w:tc>
        <w:tc>
          <w:tcPr>
            <w:tcW w:w="638" w:type="dxa"/>
            <w:tcBorders>
              <w:top w:val="single" w:sz="4" w:space="0" w:color="auto"/>
              <w:bottom w:val="single" w:sz="12" w:space="0" w:color="auto"/>
            </w:tcBorders>
            <w:shd w:val="clear" w:color="auto" w:fill="auto"/>
            <w:noWrap/>
            <w:vAlign w:val="bottom"/>
            <w:hideMark/>
          </w:tcPr>
          <w:p w:rsidR="002246AD" w:rsidRPr="003D1522" w:rsidRDefault="002246AD" w:rsidP="005F54F4">
            <w:pPr>
              <w:pStyle w:val="SingleTxtG"/>
              <w:spacing w:before="80" w:after="80" w:line="200" w:lineRule="exact"/>
              <w:ind w:left="0" w:right="113"/>
              <w:jc w:val="right"/>
              <w:rPr>
                <w:i/>
                <w:sz w:val="16"/>
              </w:rPr>
            </w:pPr>
            <w:r w:rsidRPr="003D1522">
              <w:rPr>
                <w:i/>
                <w:sz w:val="16"/>
              </w:rPr>
              <w:t>2010</w:t>
            </w:r>
          </w:p>
        </w:tc>
        <w:tc>
          <w:tcPr>
            <w:tcW w:w="637" w:type="dxa"/>
            <w:tcBorders>
              <w:top w:val="single" w:sz="4" w:space="0" w:color="auto"/>
              <w:bottom w:val="single" w:sz="12" w:space="0" w:color="auto"/>
            </w:tcBorders>
            <w:shd w:val="clear" w:color="auto" w:fill="auto"/>
            <w:noWrap/>
            <w:vAlign w:val="bottom"/>
            <w:hideMark/>
          </w:tcPr>
          <w:p w:rsidR="002246AD" w:rsidRPr="003D1522" w:rsidRDefault="002246AD" w:rsidP="005F54F4">
            <w:pPr>
              <w:pStyle w:val="SingleTxtG"/>
              <w:spacing w:before="80" w:after="80" w:line="200" w:lineRule="exact"/>
              <w:ind w:left="0" w:right="113"/>
              <w:jc w:val="right"/>
              <w:rPr>
                <w:i/>
                <w:sz w:val="16"/>
              </w:rPr>
            </w:pPr>
            <w:r w:rsidRPr="003D1522">
              <w:rPr>
                <w:i/>
                <w:sz w:val="16"/>
              </w:rPr>
              <w:t>2011</w:t>
            </w:r>
          </w:p>
        </w:tc>
        <w:tc>
          <w:tcPr>
            <w:tcW w:w="638" w:type="dxa"/>
            <w:tcBorders>
              <w:top w:val="single" w:sz="4" w:space="0" w:color="auto"/>
              <w:bottom w:val="single" w:sz="12" w:space="0" w:color="auto"/>
            </w:tcBorders>
            <w:shd w:val="clear" w:color="auto" w:fill="auto"/>
            <w:noWrap/>
            <w:vAlign w:val="bottom"/>
            <w:hideMark/>
          </w:tcPr>
          <w:p w:rsidR="002246AD" w:rsidRPr="003D1522" w:rsidRDefault="002246AD" w:rsidP="005F54F4">
            <w:pPr>
              <w:pStyle w:val="SingleTxtG"/>
              <w:spacing w:before="80" w:after="80" w:line="200" w:lineRule="exact"/>
              <w:ind w:left="0" w:right="113"/>
              <w:jc w:val="right"/>
              <w:rPr>
                <w:i/>
                <w:sz w:val="16"/>
              </w:rPr>
            </w:pPr>
            <w:r w:rsidRPr="003D1522">
              <w:rPr>
                <w:i/>
                <w:sz w:val="16"/>
              </w:rPr>
              <w:t>2012</w:t>
            </w:r>
          </w:p>
        </w:tc>
        <w:tc>
          <w:tcPr>
            <w:tcW w:w="638" w:type="dxa"/>
            <w:tcBorders>
              <w:top w:val="single" w:sz="4" w:space="0" w:color="auto"/>
              <w:bottom w:val="single" w:sz="12" w:space="0" w:color="auto"/>
            </w:tcBorders>
            <w:shd w:val="clear" w:color="auto" w:fill="auto"/>
            <w:noWrap/>
            <w:vAlign w:val="bottom"/>
            <w:hideMark/>
          </w:tcPr>
          <w:p w:rsidR="002246AD" w:rsidRPr="003D1522" w:rsidRDefault="002246AD" w:rsidP="005F54F4">
            <w:pPr>
              <w:pStyle w:val="SingleTxtG"/>
              <w:spacing w:before="80" w:after="80" w:line="200" w:lineRule="exact"/>
              <w:ind w:left="0" w:right="113"/>
              <w:jc w:val="right"/>
              <w:rPr>
                <w:i/>
                <w:sz w:val="16"/>
              </w:rPr>
            </w:pPr>
            <w:r w:rsidRPr="003D1522">
              <w:rPr>
                <w:i/>
                <w:sz w:val="16"/>
              </w:rPr>
              <w:t>2013</w:t>
            </w:r>
          </w:p>
        </w:tc>
        <w:tc>
          <w:tcPr>
            <w:tcW w:w="637" w:type="dxa"/>
            <w:tcBorders>
              <w:top w:val="single" w:sz="4" w:space="0" w:color="auto"/>
              <w:bottom w:val="single" w:sz="12" w:space="0" w:color="auto"/>
            </w:tcBorders>
            <w:shd w:val="clear" w:color="auto" w:fill="auto"/>
            <w:noWrap/>
            <w:vAlign w:val="bottom"/>
            <w:hideMark/>
          </w:tcPr>
          <w:p w:rsidR="002246AD" w:rsidRPr="003D1522" w:rsidRDefault="002246AD" w:rsidP="005F54F4">
            <w:pPr>
              <w:pStyle w:val="SingleTxtG"/>
              <w:spacing w:before="80" w:after="80" w:line="200" w:lineRule="exact"/>
              <w:ind w:left="0" w:right="113"/>
              <w:jc w:val="right"/>
              <w:rPr>
                <w:i/>
                <w:sz w:val="16"/>
              </w:rPr>
            </w:pPr>
            <w:r w:rsidRPr="003D1522">
              <w:rPr>
                <w:i/>
                <w:sz w:val="16"/>
              </w:rPr>
              <w:t>2014</w:t>
            </w:r>
          </w:p>
        </w:tc>
        <w:tc>
          <w:tcPr>
            <w:tcW w:w="638" w:type="dxa"/>
            <w:tcBorders>
              <w:top w:val="single" w:sz="4" w:space="0" w:color="auto"/>
              <w:bottom w:val="single" w:sz="12" w:space="0" w:color="auto"/>
            </w:tcBorders>
            <w:shd w:val="clear" w:color="auto" w:fill="auto"/>
            <w:noWrap/>
            <w:vAlign w:val="bottom"/>
            <w:hideMark/>
          </w:tcPr>
          <w:p w:rsidR="002246AD" w:rsidRPr="003D1522" w:rsidRDefault="002246AD" w:rsidP="005F54F4">
            <w:pPr>
              <w:pStyle w:val="SingleTxtG"/>
              <w:spacing w:before="80" w:after="80" w:line="200" w:lineRule="exact"/>
              <w:ind w:left="0" w:right="113"/>
              <w:jc w:val="right"/>
              <w:rPr>
                <w:i/>
                <w:sz w:val="16"/>
              </w:rPr>
            </w:pPr>
            <w:r w:rsidRPr="003D1522">
              <w:rPr>
                <w:i/>
                <w:sz w:val="16"/>
              </w:rPr>
              <w:t>2015</w:t>
            </w:r>
          </w:p>
        </w:tc>
        <w:tc>
          <w:tcPr>
            <w:tcW w:w="638" w:type="dxa"/>
            <w:tcBorders>
              <w:top w:val="single" w:sz="4" w:space="0" w:color="auto"/>
              <w:bottom w:val="single" w:sz="12" w:space="0" w:color="auto"/>
            </w:tcBorders>
            <w:shd w:val="clear" w:color="auto" w:fill="auto"/>
            <w:noWrap/>
            <w:vAlign w:val="bottom"/>
            <w:hideMark/>
          </w:tcPr>
          <w:p w:rsidR="002246AD" w:rsidRPr="003D1522" w:rsidRDefault="002246AD" w:rsidP="005F54F4">
            <w:pPr>
              <w:pStyle w:val="SingleTxtG"/>
              <w:spacing w:before="80" w:after="80" w:line="200" w:lineRule="exact"/>
              <w:ind w:left="0" w:right="113"/>
              <w:jc w:val="right"/>
              <w:rPr>
                <w:i/>
                <w:sz w:val="16"/>
              </w:rPr>
            </w:pPr>
            <w:r w:rsidRPr="003D1522">
              <w:rPr>
                <w:i/>
                <w:sz w:val="16"/>
              </w:rPr>
              <w:t>2016</w:t>
            </w:r>
          </w:p>
        </w:tc>
        <w:tc>
          <w:tcPr>
            <w:tcW w:w="638" w:type="dxa"/>
            <w:tcBorders>
              <w:top w:val="single" w:sz="4" w:space="0" w:color="auto"/>
              <w:bottom w:val="single" w:sz="12" w:space="0" w:color="auto"/>
            </w:tcBorders>
            <w:shd w:val="clear" w:color="auto" w:fill="auto"/>
            <w:noWrap/>
            <w:vAlign w:val="bottom"/>
            <w:hideMark/>
          </w:tcPr>
          <w:p w:rsidR="002246AD" w:rsidRPr="003D1522" w:rsidRDefault="002246AD" w:rsidP="005F54F4">
            <w:pPr>
              <w:pStyle w:val="SingleTxtG"/>
              <w:spacing w:before="80" w:after="80" w:line="200" w:lineRule="exact"/>
              <w:ind w:left="0" w:right="113"/>
              <w:jc w:val="right"/>
              <w:rPr>
                <w:i/>
                <w:sz w:val="16"/>
              </w:rPr>
            </w:pPr>
            <w:r w:rsidRPr="003D1522">
              <w:rPr>
                <w:i/>
                <w:sz w:val="16"/>
              </w:rPr>
              <w:t>2017</w:t>
            </w:r>
          </w:p>
        </w:tc>
      </w:tr>
      <w:tr w:rsidR="005F54F4" w:rsidRPr="003D1522" w:rsidTr="00CE3DA7">
        <w:tc>
          <w:tcPr>
            <w:tcW w:w="993" w:type="dxa"/>
            <w:tcBorders>
              <w:top w:val="single" w:sz="12" w:space="0" w:color="auto"/>
            </w:tcBorders>
            <w:shd w:val="clear" w:color="auto" w:fill="auto"/>
            <w:noWrap/>
            <w:hideMark/>
          </w:tcPr>
          <w:p w:rsidR="002246AD" w:rsidRPr="003D1522" w:rsidRDefault="002246AD" w:rsidP="005F54F4">
            <w:pPr>
              <w:pStyle w:val="SingleTxtG"/>
              <w:spacing w:before="40" w:after="40" w:line="220" w:lineRule="exact"/>
              <w:ind w:left="0" w:right="113"/>
              <w:jc w:val="left"/>
              <w:rPr>
                <w:sz w:val="18"/>
              </w:rPr>
            </w:pPr>
            <w:r w:rsidRPr="003D1522">
              <w:rPr>
                <w:sz w:val="18"/>
              </w:rPr>
              <w:t>Wood processing industry</w:t>
            </w:r>
          </w:p>
        </w:tc>
        <w:tc>
          <w:tcPr>
            <w:tcW w:w="637" w:type="dxa"/>
            <w:tcBorders>
              <w:top w:val="single" w:sz="12" w:space="0" w:color="auto"/>
            </w:tcBorders>
            <w:shd w:val="clear" w:color="auto" w:fill="auto"/>
            <w:noWrap/>
            <w:hideMark/>
          </w:tcPr>
          <w:p w:rsidR="002246AD" w:rsidRPr="003D1522" w:rsidRDefault="002246AD" w:rsidP="005F54F4">
            <w:pPr>
              <w:pStyle w:val="SingleTxtG"/>
              <w:spacing w:before="40" w:after="40" w:line="220" w:lineRule="exact"/>
              <w:ind w:left="0" w:right="113"/>
              <w:jc w:val="right"/>
              <w:rPr>
                <w:sz w:val="18"/>
              </w:rPr>
            </w:pPr>
            <w:r w:rsidRPr="003D1522">
              <w:rPr>
                <w:sz w:val="18"/>
              </w:rPr>
              <w:t>6</w:t>
            </w:r>
            <w:r w:rsidR="00DF2C9B" w:rsidRPr="003D1522">
              <w:rPr>
                <w:sz w:val="18"/>
              </w:rPr>
              <w:t>.</w:t>
            </w:r>
            <w:r w:rsidRPr="003D1522">
              <w:rPr>
                <w:sz w:val="18"/>
              </w:rPr>
              <w:t>1%</w:t>
            </w:r>
          </w:p>
        </w:tc>
        <w:tc>
          <w:tcPr>
            <w:tcW w:w="638" w:type="dxa"/>
            <w:tcBorders>
              <w:top w:val="single" w:sz="12" w:space="0" w:color="auto"/>
            </w:tcBorders>
            <w:shd w:val="clear" w:color="auto" w:fill="auto"/>
            <w:noWrap/>
            <w:hideMark/>
          </w:tcPr>
          <w:p w:rsidR="002246AD" w:rsidRPr="003D1522" w:rsidRDefault="002246AD" w:rsidP="005F54F4">
            <w:pPr>
              <w:pStyle w:val="SingleTxtG"/>
              <w:spacing w:before="40" w:after="40" w:line="220" w:lineRule="exact"/>
              <w:ind w:left="0" w:right="113"/>
              <w:jc w:val="right"/>
              <w:rPr>
                <w:sz w:val="18"/>
              </w:rPr>
            </w:pPr>
            <w:r w:rsidRPr="003D1522">
              <w:rPr>
                <w:sz w:val="18"/>
              </w:rPr>
              <w:t>4</w:t>
            </w:r>
            <w:r w:rsidR="00DF2C9B" w:rsidRPr="003D1522">
              <w:rPr>
                <w:sz w:val="18"/>
              </w:rPr>
              <w:t>.</w:t>
            </w:r>
            <w:r w:rsidRPr="003D1522">
              <w:rPr>
                <w:sz w:val="18"/>
              </w:rPr>
              <w:t>8%</w:t>
            </w:r>
          </w:p>
        </w:tc>
        <w:tc>
          <w:tcPr>
            <w:tcW w:w="638" w:type="dxa"/>
            <w:tcBorders>
              <w:top w:val="single" w:sz="12" w:space="0" w:color="auto"/>
            </w:tcBorders>
            <w:shd w:val="clear" w:color="auto" w:fill="auto"/>
            <w:noWrap/>
            <w:hideMark/>
          </w:tcPr>
          <w:p w:rsidR="002246AD" w:rsidRPr="003D1522" w:rsidRDefault="002246AD" w:rsidP="005F54F4">
            <w:pPr>
              <w:pStyle w:val="SingleTxtG"/>
              <w:spacing w:before="40" w:after="40" w:line="220" w:lineRule="exact"/>
              <w:ind w:left="0" w:right="113"/>
              <w:jc w:val="right"/>
              <w:rPr>
                <w:sz w:val="18"/>
              </w:rPr>
            </w:pPr>
            <w:r w:rsidRPr="003D1522">
              <w:rPr>
                <w:sz w:val="18"/>
              </w:rPr>
              <w:t>4</w:t>
            </w:r>
            <w:r w:rsidR="00DF2C9B" w:rsidRPr="003D1522">
              <w:rPr>
                <w:sz w:val="18"/>
              </w:rPr>
              <w:t>.</w:t>
            </w:r>
            <w:r w:rsidRPr="003D1522">
              <w:rPr>
                <w:sz w:val="18"/>
              </w:rPr>
              <w:t>9%</w:t>
            </w:r>
          </w:p>
        </w:tc>
        <w:tc>
          <w:tcPr>
            <w:tcW w:w="637" w:type="dxa"/>
            <w:tcBorders>
              <w:top w:val="single" w:sz="12" w:space="0" w:color="auto"/>
            </w:tcBorders>
            <w:shd w:val="clear" w:color="auto" w:fill="auto"/>
            <w:noWrap/>
            <w:hideMark/>
          </w:tcPr>
          <w:p w:rsidR="002246AD" w:rsidRPr="003D1522" w:rsidRDefault="002246AD" w:rsidP="005F54F4">
            <w:pPr>
              <w:pStyle w:val="SingleTxtG"/>
              <w:spacing w:before="40" w:after="40" w:line="220" w:lineRule="exact"/>
              <w:ind w:left="0" w:right="113"/>
              <w:jc w:val="right"/>
              <w:rPr>
                <w:sz w:val="18"/>
              </w:rPr>
            </w:pPr>
            <w:r w:rsidRPr="003D1522">
              <w:rPr>
                <w:sz w:val="18"/>
              </w:rPr>
              <w:t>6</w:t>
            </w:r>
            <w:r w:rsidR="00DF2C9B" w:rsidRPr="003D1522">
              <w:rPr>
                <w:sz w:val="18"/>
              </w:rPr>
              <w:t>.</w:t>
            </w:r>
            <w:r w:rsidRPr="003D1522">
              <w:rPr>
                <w:sz w:val="18"/>
              </w:rPr>
              <w:t>4%</w:t>
            </w:r>
          </w:p>
        </w:tc>
        <w:tc>
          <w:tcPr>
            <w:tcW w:w="638" w:type="dxa"/>
            <w:tcBorders>
              <w:top w:val="single" w:sz="12" w:space="0" w:color="auto"/>
            </w:tcBorders>
            <w:shd w:val="clear" w:color="auto" w:fill="auto"/>
            <w:noWrap/>
            <w:hideMark/>
          </w:tcPr>
          <w:p w:rsidR="002246AD" w:rsidRPr="003D1522" w:rsidRDefault="002246AD" w:rsidP="005F54F4">
            <w:pPr>
              <w:pStyle w:val="SingleTxtG"/>
              <w:spacing w:before="40" w:after="40" w:line="220" w:lineRule="exact"/>
              <w:ind w:left="0" w:right="113"/>
              <w:jc w:val="right"/>
              <w:rPr>
                <w:sz w:val="18"/>
              </w:rPr>
            </w:pPr>
            <w:r w:rsidRPr="003D1522">
              <w:rPr>
                <w:sz w:val="18"/>
              </w:rPr>
              <w:t>4</w:t>
            </w:r>
            <w:r w:rsidR="00DF2C9B" w:rsidRPr="003D1522">
              <w:rPr>
                <w:sz w:val="18"/>
              </w:rPr>
              <w:t>.</w:t>
            </w:r>
            <w:r w:rsidRPr="003D1522">
              <w:rPr>
                <w:sz w:val="18"/>
              </w:rPr>
              <w:t>9%</w:t>
            </w:r>
          </w:p>
        </w:tc>
        <w:tc>
          <w:tcPr>
            <w:tcW w:w="638" w:type="dxa"/>
            <w:tcBorders>
              <w:top w:val="single" w:sz="12" w:space="0" w:color="auto"/>
            </w:tcBorders>
            <w:shd w:val="clear" w:color="auto" w:fill="auto"/>
            <w:noWrap/>
            <w:hideMark/>
          </w:tcPr>
          <w:p w:rsidR="002246AD" w:rsidRPr="003D1522" w:rsidRDefault="002246AD" w:rsidP="005F54F4">
            <w:pPr>
              <w:pStyle w:val="SingleTxtG"/>
              <w:spacing w:before="40" w:after="40" w:line="220" w:lineRule="exact"/>
              <w:ind w:left="0" w:right="113"/>
              <w:jc w:val="right"/>
              <w:rPr>
                <w:sz w:val="18"/>
              </w:rPr>
            </w:pPr>
            <w:r w:rsidRPr="003D1522">
              <w:rPr>
                <w:sz w:val="18"/>
              </w:rPr>
              <w:t>5</w:t>
            </w:r>
            <w:r w:rsidR="00DF2C9B" w:rsidRPr="003D1522">
              <w:rPr>
                <w:sz w:val="18"/>
              </w:rPr>
              <w:t>.</w:t>
            </w:r>
            <w:r w:rsidRPr="003D1522">
              <w:rPr>
                <w:sz w:val="18"/>
              </w:rPr>
              <w:t>1%</w:t>
            </w:r>
          </w:p>
        </w:tc>
        <w:tc>
          <w:tcPr>
            <w:tcW w:w="637" w:type="dxa"/>
            <w:tcBorders>
              <w:top w:val="single" w:sz="12" w:space="0" w:color="auto"/>
            </w:tcBorders>
            <w:shd w:val="clear" w:color="auto" w:fill="auto"/>
            <w:noWrap/>
            <w:hideMark/>
          </w:tcPr>
          <w:p w:rsidR="002246AD" w:rsidRPr="003D1522" w:rsidRDefault="002246AD" w:rsidP="005F54F4">
            <w:pPr>
              <w:pStyle w:val="SingleTxtG"/>
              <w:spacing w:before="40" w:after="40" w:line="220" w:lineRule="exact"/>
              <w:ind w:left="0" w:right="113"/>
              <w:jc w:val="right"/>
              <w:rPr>
                <w:sz w:val="18"/>
              </w:rPr>
            </w:pPr>
            <w:r w:rsidRPr="003D1522">
              <w:rPr>
                <w:sz w:val="18"/>
              </w:rPr>
              <w:t>6</w:t>
            </w:r>
            <w:r w:rsidR="00DF2C9B" w:rsidRPr="003D1522">
              <w:rPr>
                <w:sz w:val="18"/>
              </w:rPr>
              <w:t>.</w:t>
            </w:r>
            <w:r w:rsidRPr="003D1522">
              <w:rPr>
                <w:sz w:val="18"/>
              </w:rPr>
              <w:t>7%</w:t>
            </w:r>
          </w:p>
        </w:tc>
        <w:tc>
          <w:tcPr>
            <w:tcW w:w="638" w:type="dxa"/>
            <w:tcBorders>
              <w:top w:val="single" w:sz="12" w:space="0" w:color="auto"/>
            </w:tcBorders>
            <w:shd w:val="clear" w:color="auto" w:fill="auto"/>
            <w:noWrap/>
            <w:hideMark/>
          </w:tcPr>
          <w:p w:rsidR="002246AD" w:rsidRPr="003D1522" w:rsidRDefault="002246AD" w:rsidP="005F54F4">
            <w:pPr>
              <w:pStyle w:val="SingleTxtG"/>
              <w:spacing w:before="40" w:after="40" w:line="220" w:lineRule="exact"/>
              <w:ind w:left="0" w:right="113"/>
              <w:jc w:val="right"/>
              <w:rPr>
                <w:sz w:val="18"/>
              </w:rPr>
            </w:pPr>
            <w:r w:rsidRPr="003D1522">
              <w:rPr>
                <w:sz w:val="18"/>
              </w:rPr>
              <w:t>5</w:t>
            </w:r>
            <w:r w:rsidR="00DF2C9B" w:rsidRPr="003D1522">
              <w:rPr>
                <w:sz w:val="18"/>
              </w:rPr>
              <w:t>.</w:t>
            </w:r>
            <w:r w:rsidRPr="003D1522">
              <w:rPr>
                <w:sz w:val="18"/>
              </w:rPr>
              <w:t>0%</w:t>
            </w:r>
          </w:p>
        </w:tc>
        <w:tc>
          <w:tcPr>
            <w:tcW w:w="638" w:type="dxa"/>
            <w:tcBorders>
              <w:top w:val="single" w:sz="12" w:space="0" w:color="auto"/>
            </w:tcBorders>
            <w:shd w:val="clear" w:color="auto" w:fill="auto"/>
            <w:noWrap/>
            <w:hideMark/>
          </w:tcPr>
          <w:p w:rsidR="002246AD" w:rsidRPr="003D1522" w:rsidRDefault="002246AD" w:rsidP="005F54F4">
            <w:pPr>
              <w:pStyle w:val="SingleTxtG"/>
              <w:spacing w:before="40" w:after="40" w:line="220" w:lineRule="exact"/>
              <w:ind w:left="0" w:right="113"/>
              <w:jc w:val="right"/>
              <w:rPr>
                <w:sz w:val="18"/>
              </w:rPr>
            </w:pPr>
            <w:r w:rsidRPr="003D1522">
              <w:rPr>
                <w:sz w:val="18"/>
              </w:rPr>
              <w:t>4</w:t>
            </w:r>
            <w:r w:rsidR="00DF2C9B" w:rsidRPr="003D1522">
              <w:rPr>
                <w:sz w:val="18"/>
              </w:rPr>
              <w:t>.</w:t>
            </w:r>
            <w:r w:rsidRPr="003D1522">
              <w:rPr>
                <w:sz w:val="18"/>
              </w:rPr>
              <w:t>6%</w:t>
            </w:r>
          </w:p>
        </w:tc>
        <w:tc>
          <w:tcPr>
            <w:tcW w:w="638" w:type="dxa"/>
            <w:tcBorders>
              <w:top w:val="single" w:sz="12" w:space="0" w:color="auto"/>
            </w:tcBorders>
            <w:shd w:val="clear" w:color="auto" w:fill="auto"/>
            <w:noWrap/>
            <w:hideMark/>
          </w:tcPr>
          <w:p w:rsidR="002246AD" w:rsidRPr="003D1522" w:rsidRDefault="002246AD" w:rsidP="005F54F4">
            <w:pPr>
              <w:pStyle w:val="SingleTxtG"/>
              <w:spacing w:before="40" w:after="40" w:line="220" w:lineRule="exact"/>
              <w:ind w:left="0" w:right="113"/>
              <w:jc w:val="right"/>
              <w:rPr>
                <w:sz w:val="18"/>
              </w:rPr>
            </w:pPr>
            <w:r w:rsidRPr="003D1522">
              <w:rPr>
                <w:sz w:val="18"/>
              </w:rPr>
              <w:t>4</w:t>
            </w:r>
            <w:r w:rsidR="00DF2C9B" w:rsidRPr="003D1522">
              <w:rPr>
                <w:sz w:val="18"/>
              </w:rPr>
              <w:t>.</w:t>
            </w:r>
            <w:r w:rsidRPr="003D1522">
              <w:rPr>
                <w:sz w:val="18"/>
              </w:rPr>
              <w:t>0%</w:t>
            </w:r>
          </w:p>
        </w:tc>
      </w:tr>
      <w:tr w:rsidR="005F54F4" w:rsidRPr="003D1522" w:rsidTr="005F54F4">
        <w:tc>
          <w:tcPr>
            <w:tcW w:w="993" w:type="dxa"/>
            <w:shd w:val="clear" w:color="auto" w:fill="auto"/>
            <w:noWrap/>
            <w:hideMark/>
          </w:tcPr>
          <w:p w:rsidR="002246AD" w:rsidRPr="003D1522" w:rsidRDefault="002246AD" w:rsidP="005F54F4">
            <w:pPr>
              <w:pStyle w:val="SingleTxtG"/>
              <w:spacing w:before="40" w:after="40" w:line="220" w:lineRule="exact"/>
              <w:ind w:left="0" w:right="113"/>
              <w:jc w:val="left"/>
              <w:rPr>
                <w:sz w:val="18"/>
              </w:rPr>
            </w:pPr>
            <w:r w:rsidRPr="003D1522">
              <w:rPr>
                <w:sz w:val="18"/>
              </w:rPr>
              <w:t>Agriculture</w:t>
            </w:r>
          </w:p>
        </w:tc>
        <w:tc>
          <w:tcPr>
            <w:tcW w:w="637" w:type="dxa"/>
            <w:shd w:val="clear" w:color="auto" w:fill="auto"/>
            <w:noWrap/>
            <w:vAlign w:val="bottom"/>
            <w:hideMark/>
          </w:tcPr>
          <w:p w:rsidR="002246AD" w:rsidRPr="003D1522" w:rsidRDefault="002246AD" w:rsidP="005F54F4">
            <w:pPr>
              <w:pStyle w:val="SingleTxtG"/>
              <w:spacing w:before="40" w:after="40" w:line="220" w:lineRule="exact"/>
              <w:ind w:left="0" w:right="113"/>
              <w:jc w:val="right"/>
              <w:rPr>
                <w:sz w:val="18"/>
              </w:rPr>
            </w:pPr>
            <w:r w:rsidRPr="003D1522">
              <w:rPr>
                <w:sz w:val="18"/>
              </w:rPr>
              <w:t>4</w:t>
            </w:r>
            <w:r w:rsidR="00DF2C9B" w:rsidRPr="003D1522">
              <w:rPr>
                <w:sz w:val="18"/>
              </w:rPr>
              <w:t>.</w:t>
            </w:r>
            <w:r w:rsidRPr="003D1522">
              <w:rPr>
                <w:sz w:val="18"/>
              </w:rPr>
              <w:t>5%</w:t>
            </w:r>
          </w:p>
        </w:tc>
        <w:tc>
          <w:tcPr>
            <w:tcW w:w="638" w:type="dxa"/>
            <w:shd w:val="clear" w:color="auto" w:fill="auto"/>
            <w:noWrap/>
            <w:vAlign w:val="bottom"/>
            <w:hideMark/>
          </w:tcPr>
          <w:p w:rsidR="002246AD" w:rsidRPr="003D1522" w:rsidRDefault="002246AD" w:rsidP="005F54F4">
            <w:pPr>
              <w:pStyle w:val="SingleTxtG"/>
              <w:spacing w:before="40" w:after="40" w:line="220" w:lineRule="exact"/>
              <w:ind w:left="0" w:right="113"/>
              <w:jc w:val="right"/>
              <w:rPr>
                <w:sz w:val="18"/>
              </w:rPr>
            </w:pPr>
            <w:r w:rsidRPr="003D1522">
              <w:rPr>
                <w:sz w:val="18"/>
              </w:rPr>
              <w:t>3</w:t>
            </w:r>
            <w:r w:rsidR="00DF2C9B" w:rsidRPr="003D1522">
              <w:rPr>
                <w:sz w:val="18"/>
              </w:rPr>
              <w:t>.</w:t>
            </w:r>
            <w:r w:rsidRPr="003D1522">
              <w:rPr>
                <w:sz w:val="18"/>
              </w:rPr>
              <w:t>3%</w:t>
            </w:r>
          </w:p>
        </w:tc>
        <w:tc>
          <w:tcPr>
            <w:tcW w:w="638" w:type="dxa"/>
            <w:shd w:val="clear" w:color="auto" w:fill="auto"/>
            <w:noWrap/>
            <w:vAlign w:val="bottom"/>
            <w:hideMark/>
          </w:tcPr>
          <w:p w:rsidR="002246AD" w:rsidRPr="003D1522" w:rsidRDefault="002246AD" w:rsidP="005F54F4">
            <w:pPr>
              <w:pStyle w:val="SingleTxtG"/>
              <w:spacing w:before="40" w:after="40" w:line="220" w:lineRule="exact"/>
              <w:ind w:left="0" w:right="113"/>
              <w:jc w:val="right"/>
              <w:rPr>
                <w:sz w:val="18"/>
              </w:rPr>
            </w:pPr>
            <w:r w:rsidRPr="003D1522">
              <w:rPr>
                <w:sz w:val="18"/>
              </w:rPr>
              <w:t>3</w:t>
            </w:r>
            <w:r w:rsidR="00DF2C9B" w:rsidRPr="003D1522">
              <w:rPr>
                <w:sz w:val="18"/>
              </w:rPr>
              <w:t>.</w:t>
            </w:r>
            <w:r w:rsidRPr="003D1522">
              <w:rPr>
                <w:sz w:val="18"/>
              </w:rPr>
              <w:t>9%</w:t>
            </w:r>
          </w:p>
        </w:tc>
        <w:tc>
          <w:tcPr>
            <w:tcW w:w="637" w:type="dxa"/>
            <w:shd w:val="clear" w:color="auto" w:fill="auto"/>
            <w:noWrap/>
            <w:vAlign w:val="bottom"/>
            <w:hideMark/>
          </w:tcPr>
          <w:p w:rsidR="002246AD" w:rsidRPr="003D1522" w:rsidRDefault="002246AD" w:rsidP="005F54F4">
            <w:pPr>
              <w:pStyle w:val="SingleTxtG"/>
              <w:spacing w:before="40" w:after="40" w:line="220" w:lineRule="exact"/>
              <w:ind w:left="0" w:right="113"/>
              <w:jc w:val="right"/>
              <w:rPr>
                <w:sz w:val="18"/>
              </w:rPr>
            </w:pPr>
            <w:r w:rsidRPr="003D1522">
              <w:rPr>
                <w:sz w:val="18"/>
              </w:rPr>
              <w:t>4</w:t>
            </w:r>
            <w:r w:rsidR="00DF2C9B" w:rsidRPr="003D1522">
              <w:rPr>
                <w:sz w:val="18"/>
              </w:rPr>
              <w:t>.</w:t>
            </w:r>
            <w:r w:rsidRPr="003D1522">
              <w:rPr>
                <w:sz w:val="18"/>
              </w:rPr>
              <w:t>9%</w:t>
            </w:r>
          </w:p>
        </w:tc>
        <w:tc>
          <w:tcPr>
            <w:tcW w:w="638" w:type="dxa"/>
            <w:shd w:val="clear" w:color="auto" w:fill="auto"/>
            <w:noWrap/>
            <w:vAlign w:val="bottom"/>
            <w:hideMark/>
          </w:tcPr>
          <w:p w:rsidR="002246AD" w:rsidRPr="003D1522" w:rsidRDefault="002246AD" w:rsidP="005F54F4">
            <w:pPr>
              <w:pStyle w:val="SingleTxtG"/>
              <w:spacing w:before="40" w:after="40" w:line="220" w:lineRule="exact"/>
              <w:ind w:left="0" w:right="113"/>
              <w:jc w:val="right"/>
              <w:rPr>
                <w:sz w:val="18"/>
              </w:rPr>
            </w:pPr>
            <w:r w:rsidRPr="003D1522">
              <w:rPr>
                <w:sz w:val="18"/>
              </w:rPr>
              <w:t>3</w:t>
            </w:r>
            <w:r w:rsidR="00DF2C9B" w:rsidRPr="003D1522">
              <w:rPr>
                <w:sz w:val="18"/>
              </w:rPr>
              <w:t>.</w:t>
            </w:r>
            <w:r w:rsidRPr="003D1522">
              <w:rPr>
                <w:sz w:val="18"/>
              </w:rPr>
              <w:t>9%</w:t>
            </w:r>
          </w:p>
        </w:tc>
        <w:tc>
          <w:tcPr>
            <w:tcW w:w="638" w:type="dxa"/>
            <w:shd w:val="clear" w:color="auto" w:fill="auto"/>
            <w:noWrap/>
            <w:vAlign w:val="bottom"/>
            <w:hideMark/>
          </w:tcPr>
          <w:p w:rsidR="002246AD" w:rsidRPr="003D1522" w:rsidRDefault="002246AD" w:rsidP="005F54F4">
            <w:pPr>
              <w:pStyle w:val="SingleTxtG"/>
              <w:spacing w:before="40" w:after="40" w:line="220" w:lineRule="exact"/>
              <w:ind w:left="0" w:right="113"/>
              <w:jc w:val="right"/>
              <w:rPr>
                <w:sz w:val="18"/>
              </w:rPr>
            </w:pPr>
            <w:r w:rsidRPr="003D1522">
              <w:rPr>
                <w:sz w:val="18"/>
              </w:rPr>
              <w:t>2</w:t>
            </w:r>
            <w:r w:rsidR="00DF2C9B" w:rsidRPr="003D1522">
              <w:rPr>
                <w:sz w:val="18"/>
              </w:rPr>
              <w:t>.</w:t>
            </w:r>
            <w:r w:rsidRPr="003D1522">
              <w:rPr>
                <w:sz w:val="18"/>
              </w:rPr>
              <w:t>6%</w:t>
            </w:r>
          </w:p>
        </w:tc>
        <w:tc>
          <w:tcPr>
            <w:tcW w:w="637" w:type="dxa"/>
            <w:shd w:val="clear" w:color="auto" w:fill="auto"/>
            <w:noWrap/>
            <w:vAlign w:val="bottom"/>
            <w:hideMark/>
          </w:tcPr>
          <w:p w:rsidR="002246AD" w:rsidRPr="003D1522" w:rsidRDefault="002246AD" w:rsidP="005F54F4">
            <w:pPr>
              <w:pStyle w:val="SingleTxtG"/>
              <w:spacing w:before="40" w:after="40" w:line="220" w:lineRule="exact"/>
              <w:ind w:left="0" w:right="113"/>
              <w:jc w:val="right"/>
              <w:rPr>
                <w:sz w:val="18"/>
              </w:rPr>
            </w:pPr>
            <w:r w:rsidRPr="003D1522">
              <w:rPr>
                <w:sz w:val="18"/>
              </w:rPr>
              <w:t>3</w:t>
            </w:r>
            <w:r w:rsidR="00DF2C9B" w:rsidRPr="003D1522">
              <w:rPr>
                <w:sz w:val="18"/>
              </w:rPr>
              <w:t>.</w:t>
            </w:r>
            <w:r w:rsidRPr="003D1522">
              <w:rPr>
                <w:sz w:val="18"/>
              </w:rPr>
              <w:t>0%</w:t>
            </w:r>
          </w:p>
        </w:tc>
        <w:tc>
          <w:tcPr>
            <w:tcW w:w="638" w:type="dxa"/>
            <w:shd w:val="clear" w:color="auto" w:fill="auto"/>
            <w:noWrap/>
            <w:vAlign w:val="bottom"/>
            <w:hideMark/>
          </w:tcPr>
          <w:p w:rsidR="002246AD" w:rsidRPr="003D1522" w:rsidRDefault="002246AD" w:rsidP="005F54F4">
            <w:pPr>
              <w:pStyle w:val="SingleTxtG"/>
              <w:spacing w:before="40" w:after="40" w:line="220" w:lineRule="exact"/>
              <w:ind w:left="0" w:right="113"/>
              <w:jc w:val="right"/>
              <w:rPr>
                <w:sz w:val="18"/>
              </w:rPr>
            </w:pPr>
            <w:r w:rsidRPr="003D1522">
              <w:rPr>
                <w:sz w:val="18"/>
              </w:rPr>
              <w:t>3</w:t>
            </w:r>
            <w:r w:rsidR="00DF2C9B" w:rsidRPr="003D1522">
              <w:rPr>
                <w:sz w:val="18"/>
              </w:rPr>
              <w:t>.</w:t>
            </w:r>
            <w:r w:rsidRPr="003D1522">
              <w:rPr>
                <w:sz w:val="18"/>
              </w:rPr>
              <w:t>7%</w:t>
            </w:r>
          </w:p>
        </w:tc>
        <w:tc>
          <w:tcPr>
            <w:tcW w:w="638" w:type="dxa"/>
            <w:shd w:val="clear" w:color="auto" w:fill="auto"/>
            <w:noWrap/>
            <w:vAlign w:val="bottom"/>
            <w:hideMark/>
          </w:tcPr>
          <w:p w:rsidR="002246AD" w:rsidRPr="003D1522" w:rsidRDefault="002246AD" w:rsidP="005F54F4">
            <w:pPr>
              <w:pStyle w:val="SingleTxtG"/>
              <w:spacing w:before="40" w:after="40" w:line="220" w:lineRule="exact"/>
              <w:ind w:left="0" w:right="113"/>
              <w:jc w:val="right"/>
              <w:rPr>
                <w:sz w:val="18"/>
              </w:rPr>
            </w:pPr>
            <w:r w:rsidRPr="003D1522">
              <w:rPr>
                <w:sz w:val="18"/>
              </w:rPr>
              <w:t>4</w:t>
            </w:r>
            <w:r w:rsidR="00DF2C9B" w:rsidRPr="003D1522">
              <w:rPr>
                <w:sz w:val="18"/>
              </w:rPr>
              <w:t>.</w:t>
            </w:r>
            <w:r w:rsidRPr="003D1522">
              <w:rPr>
                <w:sz w:val="18"/>
              </w:rPr>
              <w:t>7%</w:t>
            </w:r>
          </w:p>
        </w:tc>
        <w:tc>
          <w:tcPr>
            <w:tcW w:w="638" w:type="dxa"/>
            <w:shd w:val="clear" w:color="auto" w:fill="auto"/>
            <w:noWrap/>
            <w:vAlign w:val="bottom"/>
            <w:hideMark/>
          </w:tcPr>
          <w:p w:rsidR="002246AD" w:rsidRPr="003D1522" w:rsidRDefault="002246AD" w:rsidP="005F54F4">
            <w:pPr>
              <w:pStyle w:val="SingleTxtG"/>
              <w:spacing w:before="40" w:after="40" w:line="220" w:lineRule="exact"/>
              <w:ind w:left="0" w:right="113"/>
              <w:jc w:val="right"/>
              <w:rPr>
                <w:sz w:val="18"/>
              </w:rPr>
            </w:pPr>
            <w:r w:rsidRPr="003D1522">
              <w:rPr>
                <w:sz w:val="18"/>
              </w:rPr>
              <w:t>3</w:t>
            </w:r>
            <w:r w:rsidR="00DF2C9B" w:rsidRPr="003D1522">
              <w:rPr>
                <w:sz w:val="18"/>
              </w:rPr>
              <w:t>.</w:t>
            </w:r>
            <w:r w:rsidRPr="003D1522">
              <w:rPr>
                <w:sz w:val="18"/>
              </w:rPr>
              <w:t>6%</w:t>
            </w:r>
          </w:p>
        </w:tc>
      </w:tr>
    </w:tbl>
    <w:p w:rsidR="002246AD" w:rsidRPr="003D1522" w:rsidRDefault="002246AD" w:rsidP="005F54F4">
      <w:pPr>
        <w:pStyle w:val="SingleTxtG"/>
        <w:spacing w:before="240"/>
      </w:pPr>
      <w:r w:rsidRPr="003D1522">
        <w:t>49.</w:t>
      </w:r>
      <w:r w:rsidRPr="003D1522">
        <w:tab/>
        <w:t>Over the past ten years around 10 complaint-based inspections have been carried out each year. Most complaint-based inspections in agriculture and the wood industry were carried out in 2015 (24 complaint-based inspections together). Last year (2017) 4 inspections were carried out in agriculture and the wood industry.</w:t>
      </w:r>
    </w:p>
    <w:p w:rsidR="002246AD" w:rsidRPr="003D1522" w:rsidRDefault="002246AD" w:rsidP="005F54F4">
      <w:pPr>
        <w:pStyle w:val="H1G"/>
      </w:pPr>
      <w:r w:rsidRPr="003D1522">
        <w:tab/>
      </w:r>
      <w:r w:rsidRPr="003D1522">
        <w:tab/>
        <w:t xml:space="preserve">Trade union rights (art. 8) </w:t>
      </w:r>
    </w:p>
    <w:p w:rsidR="002246AD" w:rsidRPr="003D1522" w:rsidRDefault="002246AD" w:rsidP="005F54F4">
      <w:pPr>
        <w:pStyle w:val="H23G"/>
      </w:pPr>
      <w:r w:rsidRPr="003D1522">
        <w:tab/>
      </w:r>
      <w:r w:rsidRPr="003D1522">
        <w:tab/>
        <w:t>Right to strike. Collective bargaining and collective labour dispute resolution</w:t>
      </w:r>
    </w:p>
    <w:p w:rsidR="002246AD" w:rsidRPr="003D1522" w:rsidRDefault="002246AD" w:rsidP="007566D9">
      <w:pPr>
        <w:pStyle w:val="SingleTxtG"/>
      </w:pPr>
      <w:r w:rsidRPr="003D1522">
        <w:t>50.</w:t>
      </w:r>
      <w:r w:rsidRPr="003D1522">
        <w:tab/>
        <w:t>In case of a strike, in enterprises and institutions which satisfy the primary needs of the population and economy, the body which calls a strike or locks out employees shall ensure indispensable services or production which shall be determined by agreement of the parties. In the case of disagreements, indispensable services or production are determined by the Public Conciliator whose decision is binding on the parties.</w:t>
      </w:r>
    </w:p>
    <w:p w:rsidR="002246AD" w:rsidRPr="003D1522" w:rsidRDefault="002246AD" w:rsidP="007566D9">
      <w:pPr>
        <w:pStyle w:val="SingleTxtG"/>
      </w:pPr>
      <w:r w:rsidRPr="003D1522">
        <w:t>51.</w:t>
      </w:r>
      <w:r w:rsidRPr="003D1522">
        <w:tab/>
        <w:t xml:space="preserve">There is no list of enterprises and institutions which satisfy the primary needs of the population and economy, as the Government has not come to an agreement with social partners on which enterprises and institutions should be included in the list. </w:t>
      </w:r>
    </w:p>
    <w:p w:rsidR="002246AD" w:rsidRPr="003D1522" w:rsidRDefault="002246AD" w:rsidP="007566D9">
      <w:pPr>
        <w:pStyle w:val="SingleTxtG"/>
      </w:pPr>
      <w:r w:rsidRPr="003D1522">
        <w:t>52.</w:t>
      </w:r>
      <w:r w:rsidRPr="003D1522">
        <w:tab/>
        <w:t>The draft act on collective bargaining and collective labour dispute resolution that, inter alia, included regulation for determining indispensable services, was dropped in 2015 after its first reading in parliament upon the expiry of the mandate of the parliament, since the proceedings were not completed before the expiry of the mandate. Therefore, unfortunately the law was not adopted.</w:t>
      </w:r>
    </w:p>
    <w:p w:rsidR="002246AD" w:rsidRPr="003D1522" w:rsidRDefault="002246AD" w:rsidP="005F54F4">
      <w:pPr>
        <w:pStyle w:val="H1G"/>
      </w:pPr>
      <w:r w:rsidRPr="003D1522">
        <w:lastRenderedPageBreak/>
        <w:tab/>
      </w:r>
      <w:r w:rsidRPr="003D1522">
        <w:tab/>
        <w:t xml:space="preserve">Right to social security (art. 9) </w:t>
      </w:r>
    </w:p>
    <w:p w:rsidR="002246AD" w:rsidRPr="003D1522" w:rsidRDefault="005F54F4" w:rsidP="005F54F4">
      <w:pPr>
        <w:pStyle w:val="H23G"/>
      </w:pPr>
      <w:r w:rsidRPr="003D1522">
        <w:tab/>
      </w:r>
      <w:r w:rsidRPr="003D1522">
        <w:tab/>
      </w:r>
      <w:r w:rsidR="002246AD" w:rsidRPr="003D1522">
        <w:t xml:space="preserve">Old-age pension scheme </w:t>
      </w:r>
    </w:p>
    <w:p w:rsidR="002246AD" w:rsidRPr="003D1522" w:rsidRDefault="002246AD" w:rsidP="007566D9">
      <w:pPr>
        <w:pStyle w:val="SingleTxtG"/>
      </w:pPr>
      <w:r w:rsidRPr="003D1522">
        <w:t>53.</w:t>
      </w:r>
      <w:r w:rsidRPr="003D1522">
        <w:tab/>
        <w:t xml:space="preserve">The pension system is based on a three-pillar approach, which ties the right and the amount of the future old age pension to the amounts of social tax paid by or on behalf of the person over the full career. </w:t>
      </w:r>
    </w:p>
    <w:p w:rsidR="002246AD" w:rsidRPr="003D1522" w:rsidRDefault="002246AD" w:rsidP="007566D9">
      <w:pPr>
        <w:pStyle w:val="SingleTxtG"/>
      </w:pPr>
      <w:r w:rsidRPr="003D1522">
        <w:t>54.</w:t>
      </w:r>
      <w:r w:rsidRPr="003D1522">
        <w:tab/>
        <w:t>Mandatory funded pension (II pillar) scheme, launched in 2002, is an individual savings scheme, where the size of pension depends on the contributions and rate of return of the pension fund. Possibilities for supplementary voluntary funded pension (III pillar) were created in 1998.</w:t>
      </w:r>
    </w:p>
    <w:p w:rsidR="002246AD" w:rsidRPr="003D1522" w:rsidRDefault="002246AD" w:rsidP="007566D9">
      <w:pPr>
        <w:pStyle w:val="SingleTxtG"/>
      </w:pPr>
      <w:r w:rsidRPr="003D1522">
        <w:t>55.</w:t>
      </w:r>
      <w:r w:rsidRPr="003D1522">
        <w:tab/>
        <w:t xml:space="preserve">Since 1999, I pillar old age pension rights are acquired only on basis of social tax paid. Self-employed persons are covered with all pillars as long as they are making contributions. Persons working in informal economy are not covered with I and II pillar as no social tax is paid. </w:t>
      </w:r>
    </w:p>
    <w:p w:rsidR="002246AD" w:rsidRPr="003D1522" w:rsidRDefault="002246AD" w:rsidP="007566D9">
      <w:pPr>
        <w:pStyle w:val="SingleTxtG"/>
      </w:pPr>
      <w:r w:rsidRPr="003D1522">
        <w:t>56.</w:t>
      </w:r>
      <w:r w:rsidRPr="003D1522">
        <w:tab/>
        <w:t>304</w:t>
      </w:r>
      <w:r w:rsidR="000732E4" w:rsidRPr="003D1522">
        <w:t xml:space="preserve"> </w:t>
      </w:r>
      <w:r w:rsidRPr="003D1522">
        <w:t>320 people received old age pensions from I pillar in 2017. In 2017 706</w:t>
      </w:r>
      <w:r w:rsidR="000732E4" w:rsidRPr="003D1522">
        <w:t xml:space="preserve"> </w:t>
      </w:r>
      <w:r w:rsidRPr="003D1522">
        <w:t>842 people had joined II pillar, there were 57</w:t>
      </w:r>
      <w:r w:rsidR="000732E4" w:rsidRPr="003D1522">
        <w:t xml:space="preserve"> </w:t>
      </w:r>
      <w:r w:rsidRPr="003D1522">
        <w:t>863 people with valid III pillar insurance contracts with lifelong disbursements and 45068 people had joined III pillar; in total there were 102</w:t>
      </w:r>
      <w:r w:rsidR="000732E4" w:rsidRPr="003D1522">
        <w:t xml:space="preserve"> </w:t>
      </w:r>
      <w:r w:rsidRPr="003D1522">
        <w:t xml:space="preserve">931 in III pillar. 37373 people had right for II pillar pension by the end of 2017, 29629 of them had made payment statements. 61% of people receiving II pillar payments received regular payments from the pension fund, 21% got bulk redemption from pension fund and 19% received lifetime payments from the insurance company. Average I pillar old-age pension was 409 euros in the end of 2017. Average I and II pillar pension at the same time was 416 euros. The impact of pillar II on average old-age pension is currently marginal as only 2% of old-age pensioners have II pillar insurance contracts. Average pension from II pillar insurance contract was 54,7 euros in 2017. </w:t>
      </w:r>
    </w:p>
    <w:p w:rsidR="002246AD" w:rsidRPr="003D1522" w:rsidRDefault="002246AD" w:rsidP="007566D9">
      <w:pPr>
        <w:pStyle w:val="SingleTxtG"/>
      </w:pPr>
      <w:r w:rsidRPr="003D1522">
        <w:t>57.</w:t>
      </w:r>
      <w:r w:rsidRPr="003D1522">
        <w:tab/>
        <w:t>Increasing of actual pension payments is performed through regular indexation. Pensions were indexed in 2018 with index 1.076 so that average I pillar old-age pension rose from 415,6 euros to 446,5 euros. According to prognosis the indexation of pensions in 2019 will increase average pension by 34 euros, so it will be 480,40 euros. From 2018 the pension supplement to one parent, parent</w:t>
      </w:r>
      <w:r w:rsidR="00C62389" w:rsidRPr="003D1522">
        <w:t>’</w:t>
      </w:r>
      <w:r w:rsidRPr="003D1522">
        <w:t>s spouse, guardian or foster parent for every child one has raised for at least eight years, in the amount of one time the value of a year of pensionable service (6,161 euros) is paid. This pension supplement is paid to 229000 pensioners. Pensioner</w:t>
      </w:r>
      <w:r w:rsidR="00C62389" w:rsidRPr="003D1522">
        <w:t>’</w:t>
      </w:r>
      <w:r w:rsidRPr="003D1522">
        <w:t>s living alone receive allowance. In October 2018 79370 pensioners receive allowance of 115 euros. In 2018 the repressed person</w:t>
      </w:r>
      <w:r w:rsidR="00C62389" w:rsidRPr="003D1522">
        <w:t>’</w:t>
      </w:r>
      <w:r w:rsidRPr="003D1522">
        <w:t>s allowance rose from 192 euros to 230 euros. Main receivers of the repressed person</w:t>
      </w:r>
      <w:r w:rsidR="00C62389" w:rsidRPr="003D1522">
        <w:t>’</w:t>
      </w:r>
      <w:r w:rsidRPr="003D1522">
        <w:t>s allowance are pensioners. From 2018 the tax free allowance was raised to 500 euros so that average old-age pension is tax free.</w:t>
      </w:r>
    </w:p>
    <w:p w:rsidR="002246AD" w:rsidRPr="003D1522" w:rsidRDefault="000A041F" w:rsidP="000A041F">
      <w:pPr>
        <w:pStyle w:val="H23G"/>
      </w:pPr>
      <w:r w:rsidRPr="003D1522">
        <w:tab/>
      </w:r>
      <w:r w:rsidRPr="003D1522">
        <w:tab/>
      </w:r>
      <w:r w:rsidR="002246AD" w:rsidRPr="003D1522">
        <w:t xml:space="preserve">Work capacity reform </w:t>
      </w:r>
    </w:p>
    <w:p w:rsidR="009076E3" w:rsidRPr="003D1522" w:rsidRDefault="002246AD" w:rsidP="005877C7">
      <w:pPr>
        <w:pStyle w:val="SingleTxtG"/>
        <w:spacing w:after="1920"/>
      </w:pPr>
      <w:r w:rsidRPr="003D1522">
        <w:t>58.</w:t>
      </w:r>
      <w:r w:rsidRPr="003D1522">
        <w:tab/>
        <w:t>The number of work ability recipients has reached almost 60</w:t>
      </w:r>
      <w:r w:rsidR="000732E4" w:rsidRPr="003D1522">
        <w:t xml:space="preserve"> </w:t>
      </w:r>
      <w:r w:rsidRPr="003D1522">
        <w:t>000 by the end of III q 2018. The average work ability allowance has gradually increased from 119 euros (III q 2016) to 281 euros by III q 2018. The average allowance for people with no work ability was 386 euros in September 2018 and 223 euros for people with partial work ability.</w:t>
      </w:r>
    </w:p>
    <w:p w:rsidR="002246AD" w:rsidRPr="003D1522" w:rsidRDefault="008D609B" w:rsidP="005207B9">
      <w:pPr>
        <w:pStyle w:val="Heading1"/>
        <w:spacing w:after="240"/>
        <w:rPr>
          <w:rStyle w:val="SingleTxtGChar"/>
          <w:b/>
          <w:bCs/>
        </w:rPr>
      </w:pPr>
      <w:r w:rsidRPr="003D1522">
        <w:rPr>
          <w:i/>
          <w:iCs/>
          <w:noProof/>
          <w:sz w:val="18"/>
          <w:lang w:val="en-US"/>
        </w:rPr>
        <w:lastRenderedPageBreak/>
        <w:drawing>
          <wp:anchor distT="0" distB="0" distL="114300" distR="114300" simplePos="0" relativeHeight="251658752" behindDoc="0" locked="0" layoutInCell="1" allowOverlap="1" wp14:anchorId="4EA2FBC6" wp14:editId="5DA1B7D7">
            <wp:simplePos x="0" y="0"/>
            <wp:positionH relativeFrom="column">
              <wp:posOffset>719455</wp:posOffset>
            </wp:positionH>
            <wp:positionV relativeFrom="paragraph">
              <wp:posOffset>461645</wp:posOffset>
            </wp:positionV>
            <wp:extent cx="4802505" cy="3171190"/>
            <wp:effectExtent l="0" t="0" r="0" b="0"/>
            <wp:wrapTopAndBottom/>
            <wp:docPr id="10" name="Pil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2505" cy="3171190"/>
                    </a:xfrm>
                    <a:prstGeom prst="rect">
                      <a:avLst/>
                    </a:prstGeom>
                    <a:noFill/>
                    <a:ln>
                      <a:noFill/>
                    </a:ln>
                  </pic:spPr>
                </pic:pic>
              </a:graphicData>
            </a:graphic>
            <wp14:sizeRelH relativeFrom="page">
              <wp14:pctWidth>0</wp14:pctWidth>
            </wp14:sizeRelH>
            <wp14:sizeRelV relativeFrom="page">
              <wp14:pctHeight>0</wp14:pctHeight>
            </wp14:sizeRelV>
          </wp:anchor>
        </w:drawing>
      </w:r>
      <w:r w:rsidR="002246AD" w:rsidRPr="003D1522">
        <w:t>Figure 1:</w:t>
      </w:r>
      <w:r w:rsidR="002246AD" w:rsidRPr="003D1522">
        <w:br/>
      </w:r>
      <w:r w:rsidR="002246AD" w:rsidRPr="003D1522">
        <w:rPr>
          <w:rStyle w:val="SingleTxtGChar"/>
          <w:b/>
          <w:bCs/>
        </w:rPr>
        <w:t>Work ability allowance recipients</w:t>
      </w:r>
      <w:r w:rsidR="002246AD" w:rsidRPr="003D1522">
        <w:rPr>
          <w:rStyle w:val="FootnoteReference"/>
        </w:rPr>
        <w:footnoteReference w:id="11"/>
      </w:r>
      <w:r w:rsidR="002246AD" w:rsidRPr="003D1522">
        <w:rPr>
          <w:rStyle w:val="SingleTxtGChar"/>
        </w:rPr>
        <w:t xml:space="preserve"> </w:t>
      </w:r>
      <w:r w:rsidR="002246AD" w:rsidRPr="003D1522">
        <w:rPr>
          <w:rStyle w:val="SingleTxtGChar"/>
          <w:b/>
          <w:bCs/>
        </w:rPr>
        <w:t>(month)</w:t>
      </w:r>
    </w:p>
    <w:p w:rsidR="002246AD" w:rsidRPr="003D1522" w:rsidRDefault="009076E3" w:rsidP="005877C7">
      <w:pPr>
        <w:spacing w:before="480" w:after="240"/>
        <w:ind w:left="1134" w:right="1134" w:firstLine="170"/>
        <w:rPr>
          <w:sz w:val="18"/>
        </w:rPr>
      </w:pPr>
      <w:r w:rsidRPr="003D1522">
        <w:rPr>
          <w:i/>
          <w:iCs/>
          <w:sz w:val="18"/>
        </w:rPr>
        <w:t>Source</w:t>
      </w:r>
      <w:r w:rsidRPr="003D1522">
        <w:rPr>
          <w:sz w:val="18"/>
        </w:rPr>
        <w:t xml:space="preserve">: </w:t>
      </w:r>
      <w:r w:rsidR="002246AD" w:rsidRPr="003D1522">
        <w:rPr>
          <w:sz w:val="18"/>
        </w:rPr>
        <w:t>Unemployment Insurance Fund (UIF).</w:t>
      </w:r>
    </w:p>
    <w:p w:rsidR="002246AD" w:rsidRPr="003D1522" w:rsidRDefault="002246AD" w:rsidP="008807AA">
      <w:pPr>
        <w:pStyle w:val="Heading1"/>
        <w:spacing w:after="240"/>
        <w:rPr>
          <w:rStyle w:val="SingleTxtGChar"/>
          <w:b/>
          <w:bCs/>
        </w:rPr>
      </w:pPr>
      <w:r w:rsidRPr="003D1522">
        <w:t>Figure 2.1:</w:t>
      </w:r>
      <w:r w:rsidRPr="003D1522">
        <w:br/>
      </w:r>
      <w:r w:rsidRPr="003D1522">
        <w:rPr>
          <w:rStyle w:val="SingleTxtGChar"/>
          <w:b/>
          <w:bCs/>
        </w:rPr>
        <w:t>Average work ability allowance payment (month, euros)</w:t>
      </w:r>
    </w:p>
    <w:p w:rsidR="002246AD" w:rsidRPr="003D1522" w:rsidRDefault="002246AD" w:rsidP="007566D9">
      <w:pPr>
        <w:pStyle w:val="SingleTxtG"/>
      </w:pPr>
      <w:r w:rsidRPr="003D1522">
        <w:rPr>
          <w:noProof/>
          <w:lang w:val="en-US"/>
        </w:rPr>
        <w:drawing>
          <wp:inline distT="0" distB="0" distL="0" distR="0" wp14:anchorId="358008C7" wp14:editId="0BDD848D">
            <wp:extent cx="4712847" cy="2276273"/>
            <wp:effectExtent l="0" t="0" r="0" b="0"/>
            <wp:docPr id="9" name="Pil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1292" cy="2285182"/>
                    </a:xfrm>
                    <a:prstGeom prst="rect">
                      <a:avLst/>
                    </a:prstGeom>
                    <a:noFill/>
                    <a:ln>
                      <a:noFill/>
                    </a:ln>
                  </pic:spPr>
                </pic:pic>
              </a:graphicData>
            </a:graphic>
          </wp:inline>
        </w:drawing>
      </w:r>
    </w:p>
    <w:p w:rsidR="002246AD" w:rsidRPr="003D1522" w:rsidRDefault="009076E3" w:rsidP="003E638F">
      <w:pPr>
        <w:spacing w:after="2400"/>
        <w:ind w:left="1134" w:right="1134" w:firstLine="170"/>
        <w:rPr>
          <w:sz w:val="18"/>
        </w:rPr>
      </w:pPr>
      <w:r w:rsidRPr="003D1522">
        <w:rPr>
          <w:i/>
          <w:iCs/>
          <w:sz w:val="18"/>
        </w:rPr>
        <w:t>Source:</w:t>
      </w:r>
      <w:r w:rsidRPr="003D1522">
        <w:rPr>
          <w:sz w:val="18"/>
        </w:rPr>
        <w:t xml:space="preserve"> </w:t>
      </w:r>
      <w:r w:rsidR="002246AD" w:rsidRPr="003D1522">
        <w:rPr>
          <w:sz w:val="18"/>
        </w:rPr>
        <w:t>UIF.</w:t>
      </w:r>
    </w:p>
    <w:p w:rsidR="002246AD" w:rsidRPr="003D1522" w:rsidRDefault="002246AD" w:rsidP="005207B9">
      <w:pPr>
        <w:pStyle w:val="Heading1"/>
        <w:spacing w:after="240"/>
        <w:rPr>
          <w:rStyle w:val="SingleTxtGChar"/>
          <w:b/>
          <w:bCs/>
        </w:rPr>
      </w:pPr>
      <w:r w:rsidRPr="003D1522">
        <w:lastRenderedPageBreak/>
        <w:t>Figure 2.2:</w:t>
      </w:r>
      <w:r w:rsidRPr="003D1522">
        <w:br/>
      </w:r>
      <w:r w:rsidRPr="003D1522">
        <w:rPr>
          <w:rStyle w:val="SingleTxtGChar"/>
          <w:b/>
          <w:bCs/>
        </w:rPr>
        <w:t>Average work ability allowance payment by the level of work ability (month, euros)</w:t>
      </w:r>
    </w:p>
    <w:p w:rsidR="002246AD" w:rsidRPr="003D1522" w:rsidRDefault="002246AD" w:rsidP="008D609B">
      <w:pPr>
        <w:pStyle w:val="SingleTxtG"/>
        <w:keepNext/>
      </w:pPr>
      <w:r w:rsidRPr="003D1522">
        <w:rPr>
          <w:noProof/>
          <w:lang w:val="en-US"/>
        </w:rPr>
        <w:drawing>
          <wp:inline distT="0" distB="0" distL="0" distR="0" wp14:anchorId="4C32C8EC" wp14:editId="5352EC4F">
            <wp:extent cx="4854102" cy="3206470"/>
            <wp:effectExtent l="0" t="0" r="3810" b="0"/>
            <wp:docPr id="8" name="Pil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1403" cy="3211293"/>
                    </a:xfrm>
                    <a:prstGeom prst="rect">
                      <a:avLst/>
                    </a:prstGeom>
                    <a:noFill/>
                    <a:ln>
                      <a:noFill/>
                    </a:ln>
                  </pic:spPr>
                </pic:pic>
              </a:graphicData>
            </a:graphic>
          </wp:inline>
        </w:drawing>
      </w:r>
    </w:p>
    <w:p w:rsidR="002246AD" w:rsidRPr="003D1522" w:rsidRDefault="003B36C6" w:rsidP="00624918">
      <w:pPr>
        <w:spacing w:before="240" w:after="240"/>
        <w:ind w:left="1134" w:right="1134" w:firstLine="170"/>
        <w:rPr>
          <w:sz w:val="18"/>
        </w:rPr>
      </w:pPr>
      <w:r w:rsidRPr="003D1522">
        <w:rPr>
          <w:i/>
          <w:iCs/>
          <w:sz w:val="18"/>
        </w:rPr>
        <w:t>Source:</w:t>
      </w:r>
      <w:r w:rsidR="002246AD" w:rsidRPr="003D1522">
        <w:rPr>
          <w:sz w:val="18"/>
        </w:rPr>
        <w:t xml:space="preserve"> UIF.</w:t>
      </w:r>
    </w:p>
    <w:p w:rsidR="002246AD" w:rsidRPr="003D1522" w:rsidRDefault="002246AD" w:rsidP="00A84A67">
      <w:pPr>
        <w:pStyle w:val="SingleTxtG"/>
        <w:spacing w:after="240"/>
      </w:pPr>
      <w:r w:rsidRPr="003D1522">
        <w:t>59.</w:t>
      </w:r>
      <w:r w:rsidRPr="003D1522">
        <w:tab/>
        <w:t>When comparing the amounts of work ability allowance and of previous incapacity pension, the majority of beneficiaries have received higher income compared to the previous situation.</w:t>
      </w:r>
    </w:p>
    <w:p w:rsidR="002246AD" w:rsidRPr="003D1522" w:rsidRDefault="002246AD" w:rsidP="00786798">
      <w:pPr>
        <w:pStyle w:val="Heading1"/>
        <w:spacing w:after="240"/>
        <w:rPr>
          <w:rStyle w:val="SingleTxtGChar"/>
          <w:b/>
          <w:bCs/>
        </w:rPr>
      </w:pPr>
      <w:r w:rsidRPr="003D1522">
        <w:t>Figure 3:</w:t>
      </w:r>
      <w:r w:rsidRPr="003D1522">
        <w:br/>
      </w:r>
      <w:r w:rsidRPr="003D1522">
        <w:rPr>
          <w:rStyle w:val="SingleTxtGChar"/>
          <w:b/>
          <w:bCs/>
        </w:rPr>
        <w:t xml:space="preserve">Number of work ability allowance recipients (December 2017) by level of work ability </w:t>
      </w:r>
      <w:r w:rsidRPr="003D1522">
        <w:rPr>
          <w:rStyle w:val="SingleTxtGChar"/>
          <w:b/>
          <w:bCs/>
        </w:rPr>
        <w:br/>
        <w:t>and capacity %, and the share of persons by difference in income</w:t>
      </w:r>
    </w:p>
    <w:p w:rsidR="002246AD" w:rsidRPr="003D1522" w:rsidRDefault="002246AD" w:rsidP="007566D9">
      <w:pPr>
        <w:pStyle w:val="SingleTxtG"/>
      </w:pPr>
      <w:r w:rsidRPr="003D1522">
        <w:rPr>
          <w:noProof/>
          <w:lang w:val="en-US"/>
        </w:rPr>
        <w:drawing>
          <wp:inline distT="0" distB="0" distL="0" distR="0" wp14:anchorId="2F408617" wp14:editId="5964EFB4">
            <wp:extent cx="2826327" cy="2674374"/>
            <wp:effectExtent l="0" t="0" r="0" b="0"/>
            <wp:docPr id="7"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5643" cy="2683189"/>
                    </a:xfrm>
                    <a:prstGeom prst="rect">
                      <a:avLst/>
                    </a:prstGeom>
                    <a:noFill/>
                    <a:ln>
                      <a:noFill/>
                    </a:ln>
                  </pic:spPr>
                </pic:pic>
              </a:graphicData>
            </a:graphic>
          </wp:inline>
        </w:drawing>
      </w:r>
    </w:p>
    <w:p w:rsidR="002246AD" w:rsidRPr="003D1522" w:rsidRDefault="002246AD" w:rsidP="007566D9">
      <w:pPr>
        <w:pStyle w:val="SingleTxtG"/>
      </w:pPr>
      <w:r w:rsidRPr="003D1522">
        <w:rPr>
          <w:noProof/>
          <w:lang w:val="en-US"/>
        </w:rPr>
        <w:lastRenderedPageBreak/>
        <w:drawing>
          <wp:inline distT="0" distB="0" distL="0" distR="0" wp14:anchorId="104CB3F2" wp14:editId="699FFF70">
            <wp:extent cx="2924175" cy="2324100"/>
            <wp:effectExtent l="0" t="0" r="9525" b="0"/>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4175" cy="2324100"/>
                    </a:xfrm>
                    <a:prstGeom prst="rect">
                      <a:avLst/>
                    </a:prstGeom>
                    <a:noFill/>
                    <a:ln>
                      <a:noFill/>
                    </a:ln>
                  </pic:spPr>
                </pic:pic>
              </a:graphicData>
            </a:graphic>
          </wp:inline>
        </w:drawing>
      </w:r>
    </w:p>
    <w:p w:rsidR="002246AD" w:rsidRPr="003D1522" w:rsidRDefault="002246AD" w:rsidP="003B36C6">
      <w:pPr>
        <w:spacing w:before="120" w:after="240"/>
        <w:ind w:left="1134" w:right="1134" w:firstLine="170"/>
        <w:rPr>
          <w:sz w:val="18"/>
        </w:rPr>
      </w:pPr>
      <w:r w:rsidRPr="003D1522">
        <w:rPr>
          <w:i/>
          <w:iCs/>
          <w:sz w:val="18"/>
        </w:rPr>
        <w:t>Source:</w:t>
      </w:r>
      <w:r w:rsidRPr="003D1522">
        <w:rPr>
          <w:sz w:val="18"/>
        </w:rPr>
        <w:t xml:space="preserve"> UIF, Social Security Fund, calculations by the Ministry of Social Affairs.</w:t>
      </w:r>
    </w:p>
    <w:p w:rsidR="002246AD" w:rsidRPr="003D1522" w:rsidRDefault="002246AD" w:rsidP="007566D9">
      <w:pPr>
        <w:pStyle w:val="SingleTxtG"/>
      </w:pPr>
      <w:r w:rsidRPr="003D1522">
        <w:t>60.</w:t>
      </w:r>
      <w:r w:rsidRPr="003D1522">
        <w:tab/>
        <w:t>The Ministry of Social Affairs is analysing possibilities to change Estonian unemployment benefits system. Unemployment benefits (unemployment insurance benefit and unemployment allowance) must ensure an adequate income for the person while looking for employment and help them avoid the risk of poverty. It must also support their fast return to the labour market. The analysis is expected to propose different scenarios based on the shortcomings of the unemployment benefits system and to the related problems. First outcomes of the analysis will be revealed in 2019.</w:t>
      </w:r>
    </w:p>
    <w:p w:rsidR="002246AD" w:rsidRPr="003D1522" w:rsidRDefault="002246AD" w:rsidP="00BA738B">
      <w:pPr>
        <w:pStyle w:val="H1G"/>
      </w:pPr>
      <w:r w:rsidRPr="003D1522">
        <w:tab/>
      </w:r>
      <w:r w:rsidRPr="003D1522">
        <w:tab/>
        <w:t xml:space="preserve">Protection of the family and children (art. 10) </w:t>
      </w:r>
    </w:p>
    <w:p w:rsidR="002246AD" w:rsidRPr="003D1522" w:rsidRDefault="002246AD" w:rsidP="00BA738B">
      <w:pPr>
        <w:pStyle w:val="H23G"/>
      </w:pPr>
      <w:r w:rsidRPr="003D1522">
        <w:tab/>
      </w:r>
      <w:r w:rsidRPr="003D1522">
        <w:tab/>
        <w:t xml:space="preserve">Prevention of domestic violence </w:t>
      </w:r>
    </w:p>
    <w:p w:rsidR="002246AD" w:rsidRPr="003D1522" w:rsidRDefault="002246AD" w:rsidP="007566D9">
      <w:pPr>
        <w:pStyle w:val="SingleTxtG"/>
      </w:pPr>
      <w:r w:rsidRPr="003D1522">
        <w:t>61.</w:t>
      </w:r>
      <w:r w:rsidRPr="003D1522">
        <w:tab/>
        <w:t>In January 2015 an amendment of the Estonian Penal Code</w:t>
      </w:r>
      <w:r w:rsidRPr="003D1522">
        <w:rPr>
          <w:rStyle w:val="FootnoteReference"/>
        </w:rPr>
        <w:footnoteReference w:id="12"/>
      </w:r>
      <w:r w:rsidRPr="003D1522">
        <w:t xml:space="preserve"> entered into force pursuant to which causing damage to the health of another person and physical abuse which causes pain, if aggravated by being</w:t>
      </w:r>
      <w:r w:rsidR="000732E4" w:rsidRPr="003D1522">
        <w:t xml:space="preserve"> </w:t>
      </w:r>
      <w:r w:rsidRPr="003D1522">
        <w:t>committed in a close relationship or relationship of subordination,</w:t>
      </w:r>
      <w:r w:rsidR="000732E4" w:rsidRPr="003D1522">
        <w:t xml:space="preserve"> </w:t>
      </w:r>
      <w:r w:rsidRPr="003D1522">
        <w:t>is punishable by a pecuniary punishment or up to five years</w:t>
      </w:r>
      <w:r w:rsidR="00C62389" w:rsidRPr="003D1522">
        <w:t>’</w:t>
      </w:r>
      <w:r w:rsidRPr="003D1522">
        <w:t xml:space="preserve"> imprisonment (section 121, subsection 2, clause 2). Data on domestic violence is largely based on this aggravated offence. The amendment also included a rewording of the aggravating circumstances applied for all offenses, to be taken into account when considering the degree of guilt and punishment (section 58).</w:t>
      </w:r>
    </w:p>
    <w:p w:rsidR="002246AD" w:rsidRPr="003D1522" w:rsidRDefault="002246AD" w:rsidP="007566D9">
      <w:pPr>
        <w:pStyle w:val="SingleTxtG"/>
      </w:pPr>
      <w:r w:rsidRPr="003D1522">
        <w:t>62.</w:t>
      </w:r>
      <w:r w:rsidRPr="003D1522">
        <w:tab/>
        <w:t>Estonia has implemented the</w:t>
      </w:r>
      <w:r w:rsidR="000732E4" w:rsidRPr="003D1522">
        <w:t xml:space="preserve"> </w:t>
      </w:r>
      <w:r w:rsidRPr="003D1522">
        <w:t>European Union Directive on the rights of a victim, and acceded to the Council of Europe</w:t>
      </w:r>
      <w:r w:rsidR="00C62389" w:rsidRPr="003D1522">
        <w:t>’</w:t>
      </w:r>
      <w:r w:rsidRPr="003D1522">
        <w:t>s conventions of Lanzarote and Istanbul. Sexual harassment and stalking have been criminalised in domestic law.</w:t>
      </w:r>
    </w:p>
    <w:p w:rsidR="002246AD" w:rsidRPr="003D1522" w:rsidRDefault="007E47AB" w:rsidP="007E47AB">
      <w:pPr>
        <w:pStyle w:val="H23G"/>
      </w:pPr>
      <w:r w:rsidRPr="003D1522">
        <w:tab/>
      </w:r>
      <w:r w:rsidRPr="003D1522">
        <w:tab/>
      </w:r>
      <w:r w:rsidR="002246AD" w:rsidRPr="003D1522">
        <w:t>Annual number of registered domestic violence criminal offences in 2015</w:t>
      </w:r>
      <w:r w:rsidR="0049318D" w:rsidRPr="003D1522">
        <w:t>–</w:t>
      </w:r>
      <w:r w:rsidR="002246AD" w:rsidRPr="003D1522">
        <w:t>2017</w:t>
      </w:r>
      <w:r w:rsidR="002246AD" w:rsidRPr="003D1522">
        <w:rPr>
          <w:rStyle w:val="FootnoteReference"/>
          <w:b w:val="0"/>
          <w:bCs/>
        </w:rPr>
        <w:footnoteReference w:id="13"/>
      </w:r>
      <w:r w:rsidR="002246AD" w:rsidRPr="003D1522">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27"/>
        <w:gridCol w:w="1381"/>
        <w:gridCol w:w="1381"/>
        <w:gridCol w:w="1381"/>
      </w:tblGrid>
      <w:tr w:rsidR="002246AD" w:rsidRPr="003D1522" w:rsidTr="003E638F">
        <w:trPr>
          <w:tblHeader/>
        </w:trPr>
        <w:tc>
          <w:tcPr>
            <w:tcW w:w="3227"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2246AD" w:rsidRPr="003D1522" w:rsidRDefault="002246AD" w:rsidP="00BA738B">
            <w:pPr>
              <w:pStyle w:val="SingleTxtG"/>
              <w:spacing w:before="80" w:after="80" w:line="200" w:lineRule="exact"/>
              <w:ind w:left="0" w:right="113"/>
              <w:jc w:val="left"/>
              <w:rPr>
                <w:i/>
                <w:sz w:val="16"/>
              </w:rPr>
            </w:pPr>
            <w:r w:rsidRPr="003D1522">
              <w:rPr>
                <w:i/>
                <w:sz w:val="16"/>
              </w:rPr>
              <w:t>Year</w:t>
            </w:r>
          </w:p>
        </w:tc>
        <w:tc>
          <w:tcPr>
            <w:tcW w:w="1381"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2246AD" w:rsidRPr="003D1522" w:rsidRDefault="002246AD" w:rsidP="00BA738B">
            <w:pPr>
              <w:pStyle w:val="SingleTxtG"/>
              <w:spacing w:before="80" w:after="80" w:line="200" w:lineRule="exact"/>
              <w:ind w:left="0" w:right="113"/>
              <w:jc w:val="right"/>
              <w:rPr>
                <w:i/>
                <w:sz w:val="16"/>
              </w:rPr>
            </w:pPr>
            <w:r w:rsidRPr="003D1522">
              <w:rPr>
                <w:i/>
                <w:sz w:val="16"/>
              </w:rPr>
              <w:t>2015</w:t>
            </w:r>
          </w:p>
        </w:tc>
        <w:tc>
          <w:tcPr>
            <w:tcW w:w="1381"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2246AD" w:rsidRPr="003D1522" w:rsidRDefault="002246AD" w:rsidP="00BA738B">
            <w:pPr>
              <w:pStyle w:val="SingleTxtG"/>
              <w:spacing w:before="80" w:after="80" w:line="200" w:lineRule="exact"/>
              <w:ind w:left="0" w:right="113"/>
              <w:jc w:val="right"/>
              <w:rPr>
                <w:i/>
                <w:sz w:val="16"/>
              </w:rPr>
            </w:pPr>
            <w:r w:rsidRPr="003D1522">
              <w:rPr>
                <w:i/>
                <w:sz w:val="16"/>
              </w:rPr>
              <w:t>2016</w:t>
            </w:r>
          </w:p>
        </w:tc>
        <w:tc>
          <w:tcPr>
            <w:tcW w:w="1381"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2246AD" w:rsidRPr="003D1522" w:rsidRDefault="002246AD" w:rsidP="00BA738B">
            <w:pPr>
              <w:pStyle w:val="SingleTxtG"/>
              <w:spacing w:before="80" w:after="80" w:line="200" w:lineRule="exact"/>
              <w:ind w:left="0" w:right="113"/>
              <w:jc w:val="right"/>
              <w:rPr>
                <w:i/>
                <w:sz w:val="16"/>
              </w:rPr>
            </w:pPr>
            <w:r w:rsidRPr="003D1522">
              <w:rPr>
                <w:i/>
                <w:sz w:val="16"/>
              </w:rPr>
              <w:t>2017</w:t>
            </w:r>
          </w:p>
        </w:tc>
      </w:tr>
      <w:tr w:rsidR="002246AD" w:rsidRPr="003D1522" w:rsidTr="003E638F">
        <w:tc>
          <w:tcPr>
            <w:tcW w:w="3227" w:type="dxa"/>
            <w:tcBorders>
              <w:top w:val="single" w:sz="12" w:space="0" w:color="auto"/>
            </w:tcBorders>
            <w:shd w:val="clear" w:color="auto" w:fill="auto"/>
            <w:tcMar>
              <w:top w:w="0" w:type="dxa"/>
              <w:left w:w="108" w:type="dxa"/>
              <w:bottom w:w="0" w:type="dxa"/>
              <w:right w:w="108" w:type="dxa"/>
            </w:tcMar>
            <w:hideMark/>
          </w:tcPr>
          <w:p w:rsidR="002246AD" w:rsidRPr="003D1522" w:rsidRDefault="002246AD" w:rsidP="00BA738B">
            <w:pPr>
              <w:pStyle w:val="SingleTxtG"/>
              <w:spacing w:before="40" w:after="40" w:line="220" w:lineRule="exact"/>
              <w:ind w:left="0" w:right="113"/>
              <w:jc w:val="left"/>
              <w:rPr>
                <w:sz w:val="18"/>
              </w:rPr>
            </w:pPr>
            <w:r w:rsidRPr="003D1522">
              <w:rPr>
                <w:sz w:val="18"/>
              </w:rPr>
              <w:t>The number of registered domestic violence related criminal offences</w:t>
            </w:r>
          </w:p>
        </w:tc>
        <w:tc>
          <w:tcPr>
            <w:tcW w:w="1381" w:type="dxa"/>
            <w:tcBorders>
              <w:top w:val="single" w:sz="12" w:space="0" w:color="auto"/>
            </w:tcBorders>
            <w:shd w:val="clear" w:color="auto" w:fill="auto"/>
            <w:tcMar>
              <w:top w:w="0" w:type="dxa"/>
              <w:left w:w="108" w:type="dxa"/>
              <w:bottom w:w="0" w:type="dxa"/>
              <w:right w:w="108" w:type="dxa"/>
            </w:tcMar>
            <w:vAlign w:val="bottom"/>
            <w:hideMark/>
          </w:tcPr>
          <w:p w:rsidR="002246AD" w:rsidRPr="003D1522" w:rsidRDefault="002246AD" w:rsidP="00BA738B">
            <w:pPr>
              <w:pStyle w:val="SingleTxtG"/>
              <w:spacing w:before="40" w:after="40" w:line="220" w:lineRule="exact"/>
              <w:ind w:left="0" w:right="113"/>
              <w:jc w:val="right"/>
              <w:rPr>
                <w:sz w:val="18"/>
              </w:rPr>
            </w:pPr>
            <w:r w:rsidRPr="003D1522">
              <w:rPr>
                <w:sz w:val="18"/>
              </w:rPr>
              <w:t>2</w:t>
            </w:r>
            <w:r w:rsidR="00BA738B" w:rsidRPr="003D1522">
              <w:rPr>
                <w:sz w:val="18"/>
              </w:rPr>
              <w:t xml:space="preserve"> </w:t>
            </w:r>
            <w:r w:rsidRPr="003D1522">
              <w:rPr>
                <w:sz w:val="18"/>
              </w:rPr>
              <w:t>997</w:t>
            </w:r>
          </w:p>
        </w:tc>
        <w:tc>
          <w:tcPr>
            <w:tcW w:w="1381" w:type="dxa"/>
            <w:tcBorders>
              <w:top w:val="single" w:sz="12" w:space="0" w:color="auto"/>
            </w:tcBorders>
            <w:shd w:val="clear" w:color="auto" w:fill="auto"/>
            <w:tcMar>
              <w:top w:w="0" w:type="dxa"/>
              <w:left w:w="108" w:type="dxa"/>
              <w:bottom w:w="0" w:type="dxa"/>
              <w:right w:w="108" w:type="dxa"/>
            </w:tcMar>
            <w:vAlign w:val="bottom"/>
            <w:hideMark/>
          </w:tcPr>
          <w:p w:rsidR="002246AD" w:rsidRPr="003D1522" w:rsidRDefault="002246AD" w:rsidP="00BA738B">
            <w:pPr>
              <w:pStyle w:val="SingleTxtG"/>
              <w:spacing w:before="40" w:after="40" w:line="220" w:lineRule="exact"/>
              <w:ind w:left="0" w:right="113"/>
              <w:jc w:val="right"/>
              <w:rPr>
                <w:sz w:val="18"/>
              </w:rPr>
            </w:pPr>
            <w:r w:rsidRPr="003D1522">
              <w:rPr>
                <w:sz w:val="18"/>
              </w:rPr>
              <w:t>3</w:t>
            </w:r>
            <w:r w:rsidR="00BA738B" w:rsidRPr="003D1522">
              <w:rPr>
                <w:sz w:val="18"/>
              </w:rPr>
              <w:t xml:space="preserve"> </w:t>
            </w:r>
            <w:r w:rsidRPr="003D1522">
              <w:rPr>
                <w:sz w:val="18"/>
              </w:rPr>
              <w:t>017</w:t>
            </w:r>
          </w:p>
        </w:tc>
        <w:tc>
          <w:tcPr>
            <w:tcW w:w="1381" w:type="dxa"/>
            <w:tcBorders>
              <w:top w:val="single" w:sz="12" w:space="0" w:color="auto"/>
            </w:tcBorders>
            <w:shd w:val="clear" w:color="auto" w:fill="auto"/>
            <w:tcMar>
              <w:top w:w="0" w:type="dxa"/>
              <w:left w:w="108" w:type="dxa"/>
              <w:bottom w:w="0" w:type="dxa"/>
              <w:right w:w="108" w:type="dxa"/>
            </w:tcMar>
            <w:vAlign w:val="bottom"/>
            <w:hideMark/>
          </w:tcPr>
          <w:p w:rsidR="002246AD" w:rsidRPr="003D1522" w:rsidRDefault="002246AD" w:rsidP="00BA738B">
            <w:pPr>
              <w:pStyle w:val="SingleTxtG"/>
              <w:spacing w:before="40" w:after="40" w:line="220" w:lineRule="exact"/>
              <w:ind w:left="0" w:right="113"/>
              <w:jc w:val="right"/>
              <w:rPr>
                <w:sz w:val="18"/>
              </w:rPr>
            </w:pPr>
            <w:r w:rsidRPr="003D1522">
              <w:rPr>
                <w:sz w:val="18"/>
              </w:rPr>
              <w:t>2</w:t>
            </w:r>
            <w:r w:rsidR="00BA738B" w:rsidRPr="003D1522">
              <w:rPr>
                <w:sz w:val="18"/>
              </w:rPr>
              <w:t xml:space="preserve"> </w:t>
            </w:r>
            <w:r w:rsidRPr="003D1522">
              <w:rPr>
                <w:sz w:val="18"/>
              </w:rPr>
              <w:t>632</w:t>
            </w:r>
          </w:p>
        </w:tc>
      </w:tr>
    </w:tbl>
    <w:p w:rsidR="002246AD" w:rsidRPr="003D1522" w:rsidRDefault="002246AD" w:rsidP="007E47AB">
      <w:pPr>
        <w:pStyle w:val="SingleTxtG"/>
        <w:spacing w:before="240"/>
      </w:pPr>
      <w:r w:rsidRPr="003D1522">
        <w:t>63.</w:t>
      </w:r>
      <w:r w:rsidRPr="003D1522">
        <w:tab/>
        <w:t>Domestic violence offences are listed mostly (86%) under the category of physical abuse in close relationships and dependency relationships, where section 121 subsection 2 point 2 of the Penal Code apply.</w:t>
      </w:r>
    </w:p>
    <w:p w:rsidR="002246AD" w:rsidRPr="003D1522" w:rsidRDefault="002246AD" w:rsidP="007566D9">
      <w:pPr>
        <w:pStyle w:val="SingleTxtG"/>
      </w:pPr>
      <w:r w:rsidRPr="003D1522">
        <w:t>64.</w:t>
      </w:r>
      <w:r w:rsidRPr="003D1522">
        <w:tab/>
        <w:t>Data on criminal proceedings of domestic violence offences:</w:t>
      </w:r>
    </w:p>
    <w:p w:rsidR="002246AD" w:rsidRPr="003D1522" w:rsidRDefault="00D66FF2" w:rsidP="00D66FF2">
      <w:pPr>
        <w:pStyle w:val="Bullet1G"/>
        <w:numPr>
          <w:ilvl w:val="0"/>
          <w:numId w:val="0"/>
        </w:numPr>
        <w:tabs>
          <w:tab w:val="left" w:pos="1701"/>
        </w:tabs>
        <w:ind w:left="1701" w:hanging="170"/>
      </w:pPr>
      <w:r w:rsidRPr="003D1522">
        <w:t>•</w:t>
      </w:r>
      <w:r w:rsidRPr="003D1522">
        <w:tab/>
      </w:r>
      <w:r w:rsidR="002246AD" w:rsidRPr="003D1522">
        <w:t xml:space="preserve">Physical abuse in close relationships and dependency relationships comprise 90% of all offences registered under the Estonian Penal Code section 121 subsection 2 </w:t>
      </w:r>
      <w:r w:rsidR="002246AD" w:rsidRPr="003D1522">
        <w:lastRenderedPageBreak/>
        <w:t xml:space="preserve">offences. In 2017, 763 persons were prosecuted under section 121 subsection 2 and criminal proceedings were terminated in regards of 891 persons (in 2016, respectively 788 and 881). </w:t>
      </w:r>
    </w:p>
    <w:p w:rsidR="002246AD" w:rsidRPr="003D1522" w:rsidRDefault="002246AD" w:rsidP="007566D9">
      <w:pPr>
        <w:pStyle w:val="SingleTxtG"/>
      </w:pPr>
      <w:r w:rsidRPr="003D1522">
        <w:t>65.</w:t>
      </w:r>
      <w:r w:rsidRPr="003D1522">
        <w:tab/>
        <w:t>Data on punishments imposed on perpetrators of domestic violence:</w:t>
      </w:r>
    </w:p>
    <w:p w:rsidR="002246AD" w:rsidRPr="003D1522" w:rsidRDefault="00D66FF2" w:rsidP="00D66FF2">
      <w:pPr>
        <w:pStyle w:val="Bullet1G"/>
        <w:numPr>
          <w:ilvl w:val="0"/>
          <w:numId w:val="0"/>
        </w:numPr>
        <w:tabs>
          <w:tab w:val="left" w:pos="1701"/>
        </w:tabs>
        <w:ind w:left="1701" w:hanging="170"/>
      </w:pPr>
      <w:r w:rsidRPr="003D1522">
        <w:t>•</w:t>
      </w:r>
      <w:r w:rsidRPr="003D1522">
        <w:tab/>
      </w:r>
      <w:r w:rsidR="002246AD" w:rsidRPr="003D1522">
        <w:t xml:space="preserve">Study of 2013 showed that 53% of domestic violence perpetrators were imposed conditional prison sentence, 20% were imposed substitution of imprisonment by community service, 14% were imposed pecuniary punishment and 13% were sent to prison. </w:t>
      </w:r>
    </w:p>
    <w:p w:rsidR="002246AD" w:rsidRPr="003D1522" w:rsidRDefault="002246AD" w:rsidP="007566D9">
      <w:pPr>
        <w:pStyle w:val="SingleTxtG"/>
      </w:pPr>
      <w:r w:rsidRPr="003D1522">
        <w:t>66.</w:t>
      </w:r>
      <w:r w:rsidRPr="003D1522">
        <w:tab/>
        <w:t xml:space="preserve">Annual number of temporary restraining orders: </w:t>
      </w:r>
    </w:p>
    <w:p w:rsidR="002246AD" w:rsidRPr="003D1522" w:rsidRDefault="00D66FF2" w:rsidP="00D66FF2">
      <w:pPr>
        <w:pStyle w:val="Bullet1G"/>
        <w:numPr>
          <w:ilvl w:val="0"/>
          <w:numId w:val="0"/>
        </w:numPr>
        <w:tabs>
          <w:tab w:val="left" w:pos="1701"/>
        </w:tabs>
        <w:ind w:left="1701" w:hanging="170"/>
      </w:pPr>
      <w:r w:rsidRPr="003D1522">
        <w:t>•</w:t>
      </w:r>
      <w:r w:rsidRPr="003D1522">
        <w:tab/>
      </w:r>
      <w:r w:rsidR="002246AD" w:rsidRPr="003D1522">
        <w:t>Number of applications for restraining orders and orders issued in 2011</w:t>
      </w:r>
      <w:r w:rsidR="0049318D" w:rsidRPr="003D1522">
        <w:t>–</w:t>
      </w:r>
      <w:r w:rsidR="002246AD" w:rsidRPr="003D1522">
        <w:t>2017. Most restraining orders have been applied and issued in domestic violence cases (93%).</w:t>
      </w:r>
    </w:p>
    <w:p w:rsidR="002246AD" w:rsidRPr="003D1522" w:rsidRDefault="002246AD" w:rsidP="00786798">
      <w:pPr>
        <w:pStyle w:val="Heading1"/>
        <w:spacing w:after="240"/>
        <w:rPr>
          <w:rStyle w:val="SingleTxtGChar"/>
          <w:b/>
          <w:bCs/>
        </w:rPr>
      </w:pPr>
      <w:r w:rsidRPr="003D1522">
        <w:t>Figure 1:</w:t>
      </w:r>
      <w:r w:rsidRPr="003D1522">
        <w:br/>
      </w:r>
      <w:r w:rsidRPr="003D1522">
        <w:rPr>
          <w:rStyle w:val="SingleTxtGChar"/>
          <w:b/>
          <w:bCs/>
        </w:rPr>
        <w:t>Number of applications for restraining orders and orders issued, 2011</w:t>
      </w:r>
      <w:r w:rsidR="0049318D" w:rsidRPr="003D1522">
        <w:t>–</w:t>
      </w:r>
      <w:r w:rsidRPr="003D1522">
        <w:rPr>
          <w:rStyle w:val="SingleTxtGChar"/>
          <w:b/>
          <w:bCs/>
        </w:rPr>
        <w:t xml:space="preserve">2017(Number of applications </w:t>
      </w:r>
      <w:r w:rsidR="005F12C6" w:rsidRPr="003D1522">
        <w:rPr>
          <w:rStyle w:val="SingleTxtGChar"/>
          <w:b/>
          <w:bCs/>
        </w:rPr>
        <w:t>—</w:t>
      </w:r>
      <w:r w:rsidRPr="003D1522">
        <w:rPr>
          <w:rStyle w:val="SingleTxtGChar"/>
          <w:b/>
          <w:bCs/>
        </w:rPr>
        <w:t xml:space="preserve"> blue, number of orders issued </w:t>
      </w:r>
      <w:r w:rsidR="005F12C6" w:rsidRPr="003D1522">
        <w:rPr>
          <w:rStyle w:val="SingleTxtGChar"/>
          <w:b/>
          <w:bCs/>
        </w:rPr>
        <w:t>—</w:t>
      </w:r>
      <w:r w:rsidRPr="003D1522">
        <w:rPr>
          <w:rStyle w:val="SingleTxtGChar"/>
          <w:b/>
          <w:bCs/>
        </w:rPr>
        <w:t xml:space="preserve"> red)</w:t>
      </w:r>
    </w:p>
    <w:p w:rsidR="002246AD" w:rsidRPr="003D1522" w:rsidRDefault="002246AD" w:rsidP="007566D9">
      <w:pPr>
        <w:pStyle w:val="SingleTxtG"/>
      </w:pPr>
      <w:r w:rsidRPr="003D1522">
        <w:rPr>
          <w:noProof/>
          <w:lang w:val="en-US"/>
        </w:rPr>
        <w:drawing>
          <wp:inline distT="0" distB="0" distL="0" distR="0" wp14:anchorId="3A175231" wp14:editId="2BB8E7DC">
            <wp:extent cx="4944240" cy="1294130"/>
            <wp:effectExtent l="0" t="0" r="8890" b="1270"/>
            <wp:docPr id="4" name="Pilt 4" descr="cid:image001.png@01D47AB0.7E149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cid:image001.png@01D47AB0.7E149D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003927" cy="1309753"/>
                    </a:xfrm>
                    <a:prstGeom prst="rect">
                      <a:avLst/>
                    </a:prstGeom>
                    <a:noFill/>
                    <a:ln>
                      <a:noFill/>
                    </a:ln>
                  </pic:spPr>
                </pic:pic>
              </a:graphicData>
            </a:graphic>
          </wp:inline>
        </w:drawing>
      </w:r>
    </w:p>
    <w:p w:rsidR="002246AD" w:rsidRPr="003D1522" w:rsidRDefault="002246AD" w:rsidP="005F12C6">
      <w:pPr>
        <w:pStyle w:val="SingleTxtG"/>
        <w:spacing w:before="240"/>
      </w:pPr>
      <w:r w:rsidRPr="003D1522">
        <w:t>67.</w:t>
      </w:r>
      <w:r w:rsidRPr="003D1522">
        <w:tab/>
        <w:t>Estonia has adopted comprehensive legislative and policy frameworks to prevent and combat domestic violence. A national strategy for prevention of violence is being implemented in 2015</w:t>
      </w:r>
      <w:r w:rsidR="0049318D" w:rsidRPr="003D1522">
        <w:t>–</w:t>
      </w:r>
      <w:r w:rsidRPr="003D1522">
        <w:t>2020</w:t>
      </w:r>
      <w:r w:rsidRPr="003D1522">
        <w:rPr>
          <w:rStyle w:val="FootnoteReference"/>
        </w:rPr>
        <w:footnoteReference w:id="14"/>
      </w:r>
      <w:r w:rsidRPr="003D1522">
        <w:t xml:space="preserve"> and domestic violence is one of the topics the strategy</w:t>
      </w:r>
      <w:r w:rsidR="000732E4" w:rsidRPr="003D1522">
        <w:t xml:space="preserve"> </w:t>
      </w:r>
      <w:r w:rsidRPr="003D1522">
        <w:t>is focused on.</w:t>
      </w:r>
      <w:r w:rsidR="000732E4" w:rsidRPr="003D1522">
        <w:t xml:space="preserve"> </w:t>
      </w:r>
      <w:r w:rsidRPr="003D1522">
        <w:t>In 2016, Lead Group of the Strategy for Preventing Violence in 2015</w:t>
      </w:r>
      <w:r w:rsidR="0049318D" w:rsidRPr="003D1522">
        <w:t>–</w:t>
      </w:r>
      <w:r w:rsidRPr="003D1522">
        <w:t xml:space="preserve">2020 of seven ministries (Ministry of Justice, Ministry of Education and Research, Ministry of Culture, Ministry of Economic Affairs and Communications, Ministry of Interior, Ministry of Social Affairs, Ministry of Foreign Affairs) was formed to coordinate activities of the responsible parties, as well as to discuss the developments in the sector, the issues requiring solutions and amendment of the operational programme of the Strategy. </w:t>
      </w:r>
    </w:p>
    <w:p w:rsidR="002246AD" w:rsidRPr="003D1522" w:rsidRDefault="002246AD" w:rsidP="007566D9">
      <w:pPr>
        <w:pStyle w:val="SingleTxtG"/>
      </w:pPr>
      <w:r w:rsidRPr="003D1522">
        <w:t>68.</w:t>
      </w:r>
      <w:r w:rsidRPr="003D1522">
        <w:tab/>
        <w:t>Estonia has introduced multi-sectoral approach for supporting victims of domestic violence and the National Victim Support is the central point coordinating the work and leading the network all around Estonia. In 2017 a project to protect victims of domestic violence involving law enforcement, social and child protection, women</w:t>
      </w:r>
      <w:r w:rsidR="00C62389" w:rsidRPr="003D1522">
        <w:t>’</w:t>
      </w:r>
      <w:r w:rsidRPr="003D1522">
        <w:t xml:space="preserve">s shelters and other relevant counterparts was initiated and it will be gradually introduced throughout Estonia by 2021. In cases of serious domestic violence Multi-Agency Risk Assessment Conferences are being practiced. These two approaches together will provide safety and security for victims as well as their children. </w:t>
      </w:r>
    </w:p>
    <w:p w:rsidR="002246AD" w:rsidRPr="003D1522" w:rsidRDefault="002246AD" w:rsidP="007566D9">
      <w:pPr>
        <w:pStyle w:val="SingleTxtG"/>
      </w:pPr>
      <w:r w:rsidRPr="003D1522">
        <w:t>69.</w:t>
      </w:r>
      <w:r w:rsidRPr="003D1522">
        <w:tab/>
        <w:t>State provided services for victims of domestic violence include support services; women</w:t>
      </w:r>
      <w:r w:rsidR="00C62389" w:rsidRPr="003D1522">
        <w:t>’</w:t>
      </w:r>
      <w:r w:rsidRPr="003D1522">
        <w:t>s shelters; around-the-clock hotline. There are targeted services victims of sexual abuse/rape, for prostituted/sexually exploited women, and for trafficked men and women.</w:t>
      </w:r>
    </w:p>
    <w:p w:rsidR="002246AD" w:rsidRPr="003D1522" w:rsidRDefault="002246AD" w:rsidP="007566D9">
      <w:pPr>
        <w:pStyle w:val="SingleTxtG"/>
      </w:pPr>
      <w:r w:rsidRPr="003D1522">
        <w:t>70.</w:t>
      </w:r>
      <w:r w:rsidRPr="003D1522">
        <w:tab/>
        <w:t xml:space="preserve">Local governments provide social support, safe housing and other relevant services for victims of domestic violence, including shelters for mothers and children. </w:t>
      </w:r>
    </w:p>
    <w:p w:rsidR="002246AD" w:rsidRPr="003D1522" w:rsidRDefault="002246AD" w:rsidP="005F12C6">
      <w:pPr>
        <w:pStyle w:val="H23G"/>
      </w:pPr>
      <w:r w:rsidRPr="003D1522">
        <w:tab/>
      </w:r>
      <w:r w:rsidRPr="003D1522">
        <w:tab/>
        <w:t xml:space="preserve">Protection for children </w:t>
      </w:r>
    </w:p>
    <w:p w:rsidR="002246AD" w:rsidRPr="003D1522" w:rsidRDefault="002246AD" w:rsidP="007566D9">
      <w:pPr>
        <w:pStyle w:val="SingleTxtG"/>
      </w:pPr>
      <w:r w:rsidRPr="003D1522">
        <w:t>71.</w:t>
      </w:r>
      <w:r w:rsidRPr="003D1522">
        <w:tab/>
        <w:t xml:space="preserve">The Employment Contracts Act (ECA) was amended in 2017 to allow more flexibility in the employment relationship with minors, at the same time ensuring efficient </w:t>
      </w:r>
      <w:r w:rsidRPr="003D1522">
        <w:lastRenderedPageBreak/>
        <w:t xml:space="preserve">protection of minors. These amendments encourage more employers to enter into employment contract with minors rather than contract for provision of services. The labour inspectors have a right to qualify a contract for provision of services as employment contract, if the contract has characteristics of employment contract. </w:t>
      </w:r>
    </w:p>
    <w:p w:rsidR="002246AD" w:rsidRPr="003D1522" w:rsidRDefault="002246AD" w:rsidP="005F12C6">
      <w:pPr>
        <w:pStyle w:val="SingleTxtG"/>
        <w:spacing w:after="240"/>
      </w:pPr>
      <w:r w:rsidRPr="003D1522">
        <w:t>72.</w:t>
      </w:r>
      <w:r w:rsidRPr="003D1522">
        <w:tab/>
        <w:t>In case the child is working outside of the framework of a formal employment relationship, the primary liability for ensuring the child</w:t>
      </w:r>
      <w:r w:rsidR="00C62389" w:rsidRPr="003D1522">
        <w:t>’</w:t>
      </w:r>
      <w:r w:rsidRPr="003D1522">
        <w:t>s rights and well-being lies with the parent or with the person raising the child. Everyone who has knowledge about a threat to child</w:t>
      </w:r>
      <w:r w:rsidR="00C62389" w:rsidRPr="003D1522">
        <w:t>’</w:t>
      </w:r>
      <w:r w:rsidRPr="003D1522">
        <w:t>s well-being is required to notify the local government or the child helpline service (11611) of the child in need of assistance.</w:t>
      </w:r>
    </w:p>
    <w:p w:rsidR="002246AD" w:rsidRPr="003D1522" w:rsidRDefault="002246AD" w:rsidP="00786798">
      <w:pPr>
        <w:pStyle w:val="Heading1"/>
        <w:spacing w:after="240"/>
        <w:rPr>
          <w:rStyle w:val="SingleTxtGChar"/>
          <w:b/>
          <w:bCs/>
        </w:rPr>
      </w:pPr>
      <w:r w:rsidRPr="003D1522">
        <w:t>Table 1</w:t>
      </w:r>
      <w:r w:rsidRPr="003D1522">
        <w:br/>
      </w:r>
      <w:r w:rsidRPr="003D1522">
        <w:rPr>
          <w:rStyle w:val="SingleTxtGChar"/>
          <w:b/>
          <w:bCs/>
        </w:rPr>
        <w:t>Working minors by age groups, all contract types, 2012–2017</w:t>
      </w:r>
    </w:p>
    <w:tbl>
      <w:tblPr>
        <w:tblStyle w:val="PlainTable2"/>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29"/>
        <w:gridCol w:w="1229"/>
        <w:gridCol w:w="1228"/>
        <w:gridCol w:w="1228"/>
        <w:gridCol w:w="1228"/>
        <w:gridCol w:w="1228"/>
      </w:tblGrid>
      <w:tr w:rsidR="00987157" w:rsidRPr="003D1522" w:rsidTr="009871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37" w:type="dxa"/>
            <w:tcBorders>
              <w:top w:val="single" w:sz="4" w:space="0" w:color="auto"/>
              <w:bottom w:val="single" w:sz="12" w:space="0" w:color="auto"/>
            </w:tcBorders>
            <w:shd w:val="clear" w:color="auto" w:fill="auto"/>
            <w:noWrap/>
            <w:vAlign w:val="bottom"/>
            <w:hideMark/>
          </w:tcPr>
          <w:p w:rsidR="002246AD" w:rsidRPr="003D1522" w:rsidRDefault="002246AD" w:rsidP="00987157">
            <w:pPr>
              <w:pStyle w:val="SingleTxtG"/>
              <w:spacing w:before="80" w:after="80" w:line="200" w:lineRule="exact"/>
              <w:ind w:left="0" w:right="113"/>
              <w:jc w:val="left"/>
              <w:rPr>
                <w:b w:val="0"/>
                <w:i/>
                <w:sz w:val="16"/>
                <w:lang w:val="en-GB"/>
              </w:rPr>
            </w:pPr>
            <w:r w:rsidRPr="003D1522">
              <w:rPr>
                <w:b w:val="0"/>
                <w:i/>
                <w:sz w:val="16"/>
                <w:lang w:val="en-GB"/>
              </w:rPr>
              <w:t>Year</w:t>
            </w:r>
          </w:p>
        </w:tc>
        <w:tc>
          <w:tcPr>
            <w:tcW w:w="1337" w:type="dxa"/>
            <w:tcBorders>
              <w:top w:val="single" w:sz="4" w:space="0" w:color="auto"/>
              <w:bottom w:val="single" w:sz="12" w:space="0" w:color="auto"/>
            </w:tcBorders>
            <w:shd w:val="clear" w:color="auto" w:fill="auto"/>
            <w:noWrap/>
            <w:vAlign w:val="bottom"/>
            <w:hideMark/>
          </w:tcPr>
          <w:p w:rsidR="002246AD" w:rsidRPr="003D1522" w:rsidRDefault="002246AD" w:rsidP="00987157">
            <w:pPr>
              <w:pStyle w:val="SingleTxtG"/>
              <w:spacing w:before="80" w:after="80" w:line="200" w:lineRule="exact"/>
              <w:ind w:left="0" w:right="113"/>
              <w:jc w:val="right"/>
              <w:cnfStyle w:val="100000000000" w:firstRow="1" w:lastRow="0" w:firstColumn="0" w:lastColumn="0" w:oddVBand="0" w:evenVBand="0" w:oddHBand="0" w:evenHBand="0" w:firstRowFirstColumn="0" w:firstRowLastColumn="0" w:lastRowFirstColumn="0" w:lastRowLastColumn="0"/>
              <w:rPr>
                <w:b w:val="0"/>
                <w:i/>
                <w:sz w:val="16"/>
                <w:lang w:val="en-GB"/>
              </w:rPr>
            </w:pPr>
            <w:r w:rsidRPr="003D1522">
              <w:rPr>
                <w:b w:val="0"/>
                <w:i/>
                <w:sz w:val="16"/>
                <w:lang w:val="en-GB"/>
              </w:rPr>
              <w:t>Age &lt; 7</w:t>
            </w:r>
          </w:p>
        </w:tc>
        <w:tc>
          <w:tcPr>
            <w:tcW w:w="1337" w:type="dxa"/>
            <w:tcBorders>
              <w:top w:val="single" w:sz="4" w:space="0" w:color="auto"/>
              <w:bottom w:val="single" w:sz="12" w:space="0" w:color="auto"/>
            </w:tcBorders>
            <w:shd w:val="clear" w:color="auto" w:fill="auto"/>
            <w:noWrap/>
            <w:vAlign w:val="bottom"/>
            <w:hideMark/>
          </w:tcPr>
          <w:p w:rsidR="002246AD" w:rsidRPr="003D1522" w:rsidRDefault="002246AD" w:rsidP="00987157">
            <w:pPr>
              <w:pStyle w:val="SingleTxtG"/>
              <w:spacing w:before="80" w:after="80" w:line="200" w:lineRule="exact"/>
              <w:ind w:left="0" w:right="113"/>
              <w:jc w:val="right"/>
              <w:cnfStyle w:val="100000000000" w:firstRow="1" w:lastRow="0" w:firstColumn="0" w:lastColumn="0" w:oddVBand="0" w:evenVBand="0" w:oddHBand="0" w:evenHBand="0" w:firstRowFirstColumn="0" w:firstRowLastColumn="0" w:lastRowFirstColumn="0" w:lastRowLastColumn="0"/>
              <w:rPr>
                <w:b w:val="0"/>
                <w:i/>
                <w:sz w:val="16"/>
                <w:lang w:val="en-GB"/>
              </w:rPr>
            </w:pPr>
            <w:r w:rsidRPr="003D1522">
              <w:rPr>
                <w:b w:val="0"/>
                <w:i/>
                <w:sz w:val="16"/>
                <w:lang w:val="en-GB"/>
              </w:rPr>
              <w:t>Age 7</w:t>
            </w:r>
            <w:r w:rsidR="0049318D" w:rsidRPr="003D1522">
              <w:rPr>
                <w:lang w:val="en-GB"/>
              </w:rPr>
              <w:t>–</w:t>
            </w:r>
            <w:r w:rsidRPr="003D1522">
              <w:rPr>
                <w:b w:val="0"/>
                <w:i/>
                <w:sz w:val="16"/>
                <w:lang w:val="en-GB"/>
              </w:rPr>
              <w:t>11</w:t>
            </w:r>
          </w:p>
        </w:tc>
        <w:tc>
          <w:tcPr>
            <w:tcW w:w="1337" w:type="dxa"/>
            <w:tcBorders>
              <w:top w:val="single" w:sz="4" w:space="0" w:color="auto"/>
              <w:bottom w:val="single" w:sz="12" w:space="0" w:color="auto"/>
            </w:tcBorders>
            <w:shd w:val="clear" w:color="auto" w:fill="auto"/>
            <w:noWrap/>
            <w:vAlign w:val="bottom"/>
            <w:hideMark/>
          </w:tcPr>
          <w:p w:rsidR="002246AD" w:rsidRPr="003D1522" w:rsidRDefault="002246AD" w:rsidP="00987157">
            <w:pPr>
              <w:pStyle w:val="SingleTxtG"/>
              <w:spacing w:before="80" w:after="80" w:line="200" w:lineRule="exact"/>
              <w:ind w:left="0" w:right="113"/>
              <w:jc w:val="right"/>
              <w:cnfStyle w:val="100000000000" w:firstRow="1" w:lastRow="0" w:firstColumn="0" w:lastColumn="0" w:oddVBand="0" w:evenVBand="0" w:oddHBand="0" w:evenHBand="0" w:firstRowFirstColumn="0" w:firstRowLastColumn="0" w:lastRowFirstColumn="0" w:lastRowLastColumn="0"/>
              <w:rPr>
                <w:b w:val="0"/>
                <w:i/>
                <w:sz w:val="16"/>
                <w:lang w:val="en-GB"/>
              </w:rPr>
            </w:pPr>
            <w:r w:rsidRPr="003D1522">
              <w:rPr>
                <w:b w:val="0"/>
                <w:i/>
                <w:sz w:val="16"/>
                <w:lang w:val="en-GB"/>
              </w:rPr>
              <w:t>Age 12</w:t>
            </w:r>
            <w:r w:rsidR="0049318D" w:rsidRPr="003D1522">
              <w:rPr>
                <w:lang w:val="en-GB"/>
              </w:rPr>
              <w:t>–</w:t>
            </w:r>
            <w:r w:rsidRPr="003D1522">
              <w:rPr>
                <w:b w:val="0"/>
                <w:i/>
                <w:sz w:val="16"/>
                <w:lang w:val="en-GB"/>
              </w:rPr>
              <w:t>14</w:t>
            </w:r>
          </w:p>
        </w:tc>
        <w:tc>
          <w:tcPr>
            <w:tcW w:w="1337" w:type="dxa"/>
            <w:tcBorders>
              <w:top w:val="single" w:sz="4" w:space="0" w:color="auto"/>
              <w:bottom w:val="single" w:sz="12" w:space="0" w:color="auto"/>
            </w:tcBorders>
            <w:shd w:val="clear" w:color="auto" w:fill="auto"/>
            <w:noWrap/>
            <w:vAlign w:val="bottom"/>
            <w:hideMark/>
          </w:tcPr>
          <w:p w:rsidR="002246AD" w:rsidRPr="003D1522" w:rsidRDefault="002246AD" w:rsidP="00987157">
            <w:pPr>
              <w:pStyle w:val="SingleTxtG"/>
              <w:spacing w:before="80" w:after="80" w:line="200" w:lineRule="exact"/>
              <w:ind w:left="0" w:right="113"/>
              <w:jc w:val="right"/>
              <w:cnfStyle w:val="100000000000" w:firstRow="1" w:lastRow="0" w:firstColumn="0" w:lastColumn="0" w:oddVBand="0" w:evenVBand="0" w:oddHBand="0" w:evenHBand="0" w:firstRowFirstColumn="0" w:firstRowLastColumn="0" w:lastRowFirstColumn="0" w:lastRowLastColumn="0"/>
              <w:rPr>
                <w:b w:val="0"/>
                <w:i/>
                <w:sz w:val="16"/>
                <w:lang w:val="en-GB"/>
              </w:rPr>
            </w:pPr>
            <w:r w:rsidRPr="003D1522">
              <w:rPr>
                <w:b w:val="0"/>
                <w:i/>
                <w:sz w:val="16"/>
                <w:lang w:val="en-GB"/>
              </w:rPr>
              <w:t>Age 15</w:t>
            </w:r>
            <w:r w:rsidR="0049318D" w:rsidRPr="003D1522">
              <w:rPr>
                <w:lang w:val="en-GB"/>
              </w:rPr>
              <w:t>–</w:t>
            </w:r>
            <w:r w:rsidRPr="003D1522">
              <w:rPr>
                <w:b w:val="0"/>
                <w:i/>
                <w:sz w:val="16"/>
                <w:lang w:val="en-GB"/>
              </w:rPr>
              <w:t>17</w:t>
            </w:r>
          </w:p>
        </w:tc>
        <w:tc>
          <w:tcPr>
            <w:tcW w:w="1337" w:type="dxa"/>
            <w:tcBorders>
              <w:top w:val="single" w:sz="4" w:space="0" w:color="auto"/>
              <w:bottom w:val="single" w:sz="12" w:space="0" w:color="auto"/>
            </w:tcBorders>
            <w:shd w:val="clear" w:color="auto" w:fill="auto"/>
            <w:noWrap/>
            <w:vAlign w:val="bottom"/>
            <w:hideMark/>
          </w:tcPr>
          <w:p w:rsidR="002246AD" w:rsidRPr="003D1522" w:rsidRDefault="002246AD" w:rsidP="00987157">
            <w:pPr>
              <w:pStyle w:val="SingleTxtG"/>
              <w:spacing w:before="80" w:after="80" w:line="200" w:lineRule="exact"/>
              <w:ind w:left="0" w:right="113"/>
              <w:jc w:val="right"/>
              <w:cnfStyle w:val="100000000000" w:firstRow="1" w:lastRow="0" w:firstColumn="0" w:lastColumn="0" w:oddVBand="0" w:evenVBand="0" w:oddHBand="0" w:evenHBand="0" w:firstRowFirstColumn="0" w:firstRowLastColumn="0" w:lastRowFirstColumn="0" w:lastRowLastColumn="0"/>
              <w:rPr>
                <w:b w:val="0"/>
                <w:i/>
                <w:sz w:val="16"/>
                <w:lang w:val="en-GB"/>
              </w:rPr>
            </w:pPr>
            <w:r w:rsidRPr="003D1522">
              <w:rPr>
                <w:b w:val="0"/>
                <w:i/>
                <w:sz w:val="16"/>
                <w:lang w:val="en-GB"/>
              </w:rPr>
              <w:t>Total</w:t>
            </w:r>
          </w:p>
        </w:tc>
      </w:tr>
      <w:tr w:rsidR="002246AD" w:rsidRPr="003D1522" w:rsidTr="00987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7" w:type="dxa"/>
            <w:tcBorders>
              <w:top w:val="single" w:sz="12" w:space="0" w:color="auto"/>
              <w:bottom w:val="none" w:sz="0" w:space="0" w:color="auto"/>
            </w:tcBorders>
            <w:shd w:val="clear" w:color="auto" w:fill="auto"/>
            <w:noWrap/>
            <w:hideMark/>
          </w:tcPr>
          <w:p w:rsidR="002246AD" w:rsidRPr="003D1522" w:rsidRDefault="002246AD" w:rsidP="00987157">
            <w:pPr>
              <w:pStyle w:val="SingleTxtG"/>
              <w:spacing w:before="40" w:after="40" w:line="220" w:lineRule="exact"/>
              <w:ind w:left="0" w:right="113"/>
              <w:jc w:val="left"/>
              <w:rPr>
                <w:b w:val="0"/>
                <w:bCs w:val="0"/>
                <w:sz w:val="18"/>
                <w:lang w:val="en-GB"/>
              </w:rPr>
            </w:pPr>
            <w:r w:rsidRPr="003D1522">
              <w:rPr>
                <w:b w:val="0"/>
                <w:bCs w:val="0"/>
                <w:sz w:val="18"/>
                <w:lang w:val="en-GB"/>
              </w:rPr>
              <w:t>2012</w:t>
            </w:r>
          </w:p>
        </w:tc>
        <w:tc>
          <w:tcPr>
            <w:tcW w:w="1337" w:type="dxa"/>
            <w:tcBorders>
              <w:top w:val="single" w:sz="12" w:space="0" w:color="auto"/>
              <w:bottom w:val="none" w:sz="0" w:space="0" w:color="auto"/>
            </w:tcBorders>
            <w:shd w:val="clear" w:color="auto" w:fill="auto"/>
            <w:noWrap/>
            <w:vAlign w:val="bottom"/>
            <w:hideMark/>
          </w:tcPr>
          <w:p w:rsidR="002246AD" w:rsidRPr="003D1522" w:rsidRDefault="002246AD" w:rsidP="00987157">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3D1522">
              <w:rPr>
                <w:sz w:val="18"/>
                <w:lang w:val="en-GB"/>
              </w:rPr>
              <w:t>8</w:t>
            </w:r>
          </w:p>
        </w:tc>
        <w:tc>
          <w:tcPr>
            <w:tcW w:w="1337" w:type="dxa"/>
            <w:tcBorders>
              <w:top w:val="single" w:sz="12" w:space="0" w:color="auto"/>
              <w:bottom w:val="none" w:sz="0" w:space="0" w:color="auto"/>
            </w:tcBorders>
            <w:shd w:val="clear" w:color="auto" w:fill="auto"/>
            <w:noWrap/>
            <w:vAlign w:val="bottom"/>
            <w:hideMark/>
          </w:tcPr>
          <w:p w:rsidR="002246AD" w:rsidRPr="003D1522" w:rsidRDefault="002246AD" w:rsidP="00987157">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3D1522">
              <w:rPr>
                <w:sz w:val="18"/>
                <w:lang w:val="en-GB"/>
              </w:rPr>
              <w:t>120</w:t>
            </w:r>
          </w:p>
        </w:tc>
        <w:tc>
          <w:tcPr>
            <w:tcW w:w="1337" w:type="dxa"/>
            <w:tcBorders>
              <w:top w:val="single" w:sz="12" w:space="0" w:color="auto"/>
              <w:bottom w:val="none" w:sz="0" w:space="0" w:color="auto"/>
            </w:tcBorders>
            <w:shd w:val="clear" w:color="auto" w:fill="auto"/>
            <w:noWrap/>
            <w:vAlign w:val="bottom"/>
            <w:hideMark/>
          </w:tcPr>
          <w:p w:rsidR="002246AD" w:rsidRPr="003D1522" w:rsidRDefault="002246AD" w:rsidP="00987157">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3D1522">
              <w:rPr>
                <w:sz w:val="18"/>
                <w:lang w:val="en-GB"/>
              </w:rPr>
              <w:t>1</w:t>
            </w:r>
            <w:r w:rsidR="00393796" w:rsidRPr="003D1522">
              <w:rPr>
                <w:sz w:val="18"/>
                <w:lang w:val="en-GB"/>
              </w:rPr>
              <w:t xml:space="preserve"> </w:t>
            </w:r>
            <w:r w:rsidRPr="003D1522">
              <w:rPr>
                <w:sz w:val="18"/>
                <w:lang w:val="en-GB"/>
              </w:rPr>
              <w:t>807</w:t>
            </w:r>
          </w:p>
        </w:tc>
        <w:tc>
          <w:tcPr>
            <w:tcW w:w="1337" w:type="dxa"/>
            <w:tcBorders>
              <w:top w:val="single" w:sz="12" w:space="0" w:color="auto"/>
              <w:bottom w:val="none" w:sz="0" w:space="0" w:color="auto"/>
            </w:tcBorders>
            <w:shd w:val="clear" w:color="auto" w:fill="auto"/>
            <w:noWrap/>
            <w:vAlign w:val="bottom"/>
            <w:hideMark/>
          </w:tcPr>
          <w:p w:rsidR="002246AD" w:rsidRPr="003D1522" w:rsidRDefault="002246AD" w:rsidP="00987157">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3D1522">
              <w:rPr>
                <w:sz w:val="18"/>
                <w:lang w:val="en-GB"/>
              </w:rPr>
              <w:t>6</w:t>
            </w:r>
            <w:r w:rsidR="00393796" w:rsidRPr="003D1522">
              <w:rPr>
                <w:sz w:val="18"/>
                <w:lang w:val="en-GB"/>
              </w:rPr>
              <w:t xml:space="preserve"> </w:t>
            </w:r>
            <w:r w:rsidRPr="003D1522">
              <w:rPr>
                <w:sz w:val="18"/>
                <w:lang w:val="en-GB"/>
              </w:rPr>
              <w:t>284</w:t>
            </w:r>
          </w:p>
        </w:tc>
        <w:tc>
          <w:tcPr>
            <w:tcW w:w="1337" w:type="dxa"/>
            <w:tcBorders>
              <w:top w:val="single" w:sz="12" w:space="0" w:color="auto"/>
              <w:bottom w:val="none" w:sz="0" w:space="0" w:color="auto"/>
            </w:tcBorders>
            <w:shd w:val="clear" w:color="auto" w:fill="auto"/>
            <w:noWrap/>
            <w:vAlign w:val="bottom"/>
            <w:hideMark/>
          </w:tcPr>
          <w:p w:rsidR="002246AD" w:rsidRPr="003D1522" w:rsidRDefault="002246AD" w:rsidP="00987157">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3D1522">
              <w:rPr>
                <w:sz w:val="18"/>
                <w:lang w:val="en-GB"/>
              </w:rPr>
              <w:t>8</w:t>
            </w:r>
            <w:r w:rsidR="00393796" w:rsidRPr="003D1522">
              <w:rPr>
                <w:sz w:val="18"/>
                <w:lang w:val="en-GB"/>
              </w:rPr>
              <w:t xml:space="preserve"> </w:t>
            </w:r>
            <w:r w:rsidRPr="003D1522">
              <w:rPr>
                <w:sz w:val="18"/>
                <w:lang w:val="en-GB"/>
              </w:rPr>
              <w:t>219</w:t>
            </w:r>
          </w:p>
        </w:tc>
      </w:tr>
      <w:tr w:rsidR="002246AD" w:rsidRPr="003D1522" w:rsidTr="00987157">
        <w:tc>
          <w:tcPr>
            <w:cnfStyle w:val="001000000000" w:firstRow="0" w:lastRow="0" w:firstColumn="1" w:lastColumn="0" w:oddVBand="0" w:evenVBand="0" w:oddHBand="0" w:evenHBand="0" w:firstRowFirstColumn="0" w:firstRowLastColumn="0" w:lastRowFirstColumn="0" w:lastRowLastColumn="0"/>
            <w:tcW w:w="1337" w:type="dxa"/>
            <w:shd w:val="clear" w:color="auto" w:fill="auto"/>
            <w:noWrap/>
            <w:hideMark/>
          </w:tcPr>
          <w:p w:rsidR="002246AD" w:rsidRPr="003D1522" w:rsidRDefault="002246AD" w:rsidP="00987157">
            <w:pPr>
              <w:pStyle w:val="SingleTxtG"/>
              <w:spacing w:before="40" w:after="40" w:line="220" w:lineRule="exact"/>
              <w:ind w:left="0" w:right="113"/>
              <w:jc w:val="left"/>
              <w:rPr>
                <w:b w:val="0"/>
                <w:bCs w:val="0"/>
                <w:sz w:val="18"/>
                <w:lang w:val="en-GB"/>
              </w:rPr>
            </w:pPr>
            <w:r w:rsidRPr="003D1522">
              <w:rPr>
                <w:b w:val="0"/>
                <w:bCs w:val="0"/>
                <w:sz w:val="18"/>
                <w:lang w:val="en-GB"/>
              </w:rPr>
              <w:t>2013</w:t>
            </w:r>
          </w:p>
        </w:tc>
        <w:tc>
          <w:tcPr>
            <w:tcW w:w="1337" w:type="dxa"/>
            <w:shd w:val="clear" w:color="auto" w:fill="auto"/>
            <w:noWrap/>
            <w:vAlign w:val="bottom"/>
            <w:hideMark/>
          </w:tcPr>
          <w:p w:rsidR="002246AD" w:rsidRPr="003D1522" w:rsidRDefault="002246AD" w:rsidP="00987157">
            <w:pPr>
              <w:pStyle w:val="SingleTxtG"/>
              <w:spacing w:before="40" w:after="40" w:line="220" w:lineRule="exact"/>
              <w:ind w:left="0"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3D1522">
              <w:rPr>
                <w:sz w:val="18"/>
                <w:lang w:val="en-GB"/>
              </w:rPr>
              <w:t>11</w:t>
            </w:r>
          </w:p>
        </w:tc>
        <w:tc>
          <w:tcPr>
            <w:tcW w:w="1337" w:type="dxa"/>
            <w:shd w:val="clear" w:color="auto" w:fill="auto"/>
            <w:noWrap/>
            <w:vAlign w:val="bottom"/>
            <w:hideMark/>
          </w:tcPr>
          <w:p w:rsidR="002246AD" w:rsidRPr="003D1522" w:rsidRDefault="002246AD" w:rsidP="00987157">
            <w:pPr>
              <w:pStyle w:val="SingleTxtG"/>
              <w:spacing w:before="40" w:after="40" w:line="220" w:lineRule="exact"/>
              <w:ind w:left="0"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3D1522">
              <w:rPr>
                <w:sz w:val="18"/>
                <w:lang w:val="en-GB"/>
              </w:rPr>
              <w:t>112</w:t>
            </w:r>
          </w:p>
        </w:tc>
        <w:tc>
          <w:tcPr>
            <w:tcW w:w="1337" w:type="dxa"/>
            <w:shd w:val="clear" w:color="auto" w:fill="auto"/>
            <w:noWrap/>
            <w:vAlign w:val="bottom"/>
            <w:hideMark/>
          </w:tcPr>
          <w:p w:rsidR="002246AD" w:rsidRPr="003D1522" w:rsidRDefault="002246AD" w:rsidP="00987157">
            <w:pPr>
              <w:pStyle w:val="SingleTxtG"/>
              <w:spacing w:before="40" w:after="40" w:line="220" w:lineRule="exact"/>
              <w:ind w:left="0"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3D1522">
              <w:rPr>
                <w:sz w:val="18"/>
                <w:lang w:val="en-GB"/>
              </w:rPr>
              <w:t>1</w:t>
            </w:r>
            <w:r w:rsidR="00393796" w:rsidRPr="003D1522">
              <w:rPr>
                <w:sz w:val="18"/>
                <w:lang w:val="en-GB"/>
              </w:rPr>
              <w:t xml:space="preserve"> </w:t>
            </w:r>
            <w:r w:rsidRPr="003D1522">
              <w:rPr>
                <w:sz w:val="18"/>
                <w:lang w:val="en-GB"/>
              </w:rPr>
              <w:t>882</w:t>
            </w:r>
          </w:p>
        </w:tc>
        <w:tc>
          <w:tcPr>
            <w:tcW w:w="1337" w:type="dxa"/>
            <w:shd w:val="clear" w:color="auto" w:fill="auto"/>
            <w:noWrap/>
            <w:vAlign w:val="bottom"/>
            <w:hideMark/>
          </w:tcPr>
          <w:p w:rsidR="002246AD" w:rsidRPr="003D1522" w:rsidRDefault="002246AD" w:rsidP="00987157">
            <w:pPr>
              <w:pStyle w:val="SingleTxtG"/>
              <w:spacing w:before="40" w:after="40" w:line="220" w:lineRule="exact"/>
              <w:ind w:left="0"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3D1522">
              <w:rPr>
                <w:sz w:val="18"/>
                <w:lang w:val="en-GB"/>
              </w:rPr>
              <w:t>6</w:t>
            </w:r>
            <w:r w:rsidR="00393796" w:rsidRPr="003D1522">
              <w:rPr>
                <w:sz w:val="18"/>
                <w:lang w:val="en-GB"/>
              </w:rPr>
              <w:t xml:space="preserve"> </w:t>
            </w:r>
            <w:r w:rsidRPr="003D1522">
              <w:rPr>
                <w:sz w:val="18"/>
                <w:lang w:val="en-GB"/>
              </w:rPr>
              <w:t>609</w:t>
            </w:r>
          </w:p>
        </w:tc>
        <w:tc>
          <w:tcPr>
            <w:tcW w:w="1337" w:type="dxa"/>
            <w:shd w:val="clear" w:color="auto" w:fill="auto"/>
            <w:noWrap/>
            <w:vAlign w:val="bottom"/>
            <w:hideMark/>
          </w:tcPr>
          <w:p w:rsidR="002246AD" w:rsidRPr="003D1522" w:rsidRDefault="002246AD" w:rsidP="00987157">
            <w:pPr>
              <w:pStyle w:val="SingleTxtG"/>
              <w:spacing w:before="40" w:after="40" w:line="220" w:lineRule="exact"/>
              <w:ind w:left="0"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3D1522">
              <w:rPr>
                <w:sz w:val="18"/>
                <w:lang w:val="en-GB"/>
              </w:rPr>
              <w:t>8</w:t>
            </w:r>
            <w:r w:rsidR="00393796" w:rsidRPr="003D1522">
              <w:rPr>
                <w:sz w:val="18"/>
                <w:lang w:val="en-GB"/>
              </w:rPr>
              <w:t xml:space="preserve"> </w:t>
            </w:r>
            <w:r w:rsidRPr="003D1522">
              <w:rPr>
                <w:sz w:val="18"/>
                <w:lang w:val="en-GB"/>
              </w:rPr>
              <w:t>614</w:t>
            </w:r>
          </w:p>
        </w:tc>
      </w:tr>
      <w:tr w:rsidR="002246AD" w:rsidRPr="003D1522" w:rsidTr="00987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7" w:type="dxa"/>
            <w:tcBorders>
              <w:top w:val="none" w:sz="0" w:space="0" w:color="auto"/>
              <w:bottom w:val="none" w:sz="0" w:space="0" w:color="auto"/>
            </w:tcBorders>
            <w:shd w:val="clear" w:color="auto" w:fill="auto"/>
            <w:noWrap/>
            <w:hideMark/>
          </w:tcPr>
          <w:p w:rsidR="002246AD" w:rsidRPr="003D1522" w:rsidRDefault="002246AD" w:rsidP="00987157">
            <w:pPr>
              <w:pStyle w:val="SingleTxtG"/>
              <w:spacing w:before="40" w:after="40" w:line="220" w:lineRule="exact"/>
              <w:ind w:left="0" w:right="113"/>
              <w:jc w:val="left"/>
              <w:rPr>
                <w:b w:val="0"/>
                <w:bCs w:val="0"/>
                <w:sz w:val="18"/>
                <w:lang w:val="en-GB"/>
              </w:rPr>
            </w:pPr>
            <w:r w:rsidRPr="003D1522">
              <w:rPr>
                <w:b w:val="0"/>
                <w:bCs w:val="0"/>
                <w:sz w:val="18"/>
                <w:lang w:val="en-GB"/>
              </w:rPr>
              <w:t>2014</w:t>
            </w:r>
          </w:p>
        </w:tc>
        <w:tc>
          <w:tcPr>
            <w:tcW w:w="1337" w:type="dxa"/>
            <w:tcBorders>
              <w:top w:val="none" w:sz="0" w:space="0" w:color="auto"/>
              <w:bottom w:val="none" w:sz="0" w:space="0" w:color="auto"/>
            </w:tcBorders>
            <w:shd w:val="clear" w:color="auto" w:fill="auto"/>
            <w:noWrap/>
            <w:vAlign w:val="bottom"/>
            <w:hideMark/>
          </w:tcPr>
          <w:p w:rsidR="002246AD" w:rsidRPr="003D1522" w:rsidRDefault="002246AD" w:rsidP="00987157">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3D1522">
              <w:rPr>
                <w:sz w:val="18"/>
                <w:lang w:val="en-GB"/>
              </w:rPr>
              <w:t>8</w:t>
            </w:r>
          </w:p>
        </w:tc>
        <w:tc>
          <w:tcPr>
            <w:tcW w:w="1337" w:type="dxa"/>
            <w:tcBorders>
              <w:top w:val="none" w:sz="0" w:space="0" w:color="auto"/>
              <w:bottom w:val="none" w:sz="0" w:space="0" w:color="auto"/>
            </w:tcBorders>
            <w:shd w:val="clear" w:color="auto" w:fill="auto"/>
            <w:noWrap/>
            <w:vAlign w:val="bottom"/>
            <w:hideMark/>
          </w:tcPr>
          <w:p w:rsidR="002246AD" w:rsidRPr="003D1522" w:rsidRDefault="002246AD" w:rsidP="00987157">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3D1522">
              <w:rPr>
                <w:sz w:val="18"/>
                <w:lang w:val="en-GB"/>
              </w:rPr>
              <w:t>165</w:t>
            </w:r>
          </w:p>
        </w:tc>
        <w:tc>
          <w:tcPr>
            <w:tcW w:w="1337" w:type="dxa"/>
            <w:tcBorders>
              <w:top w:val="none" w:sz="0" w:space="0" w:color="auto"/>
              <w:bottom w:val="none" w:sz="0" w:space="0" w:color="auto"/>
            </w:tcBorders>
            <w:shd w:val="clear" w:color="auto" w:fill="auto"/>
            <w:noWrap/>
            <w:vAlign w:val="bottom"/>
            <w:hideMark/>
          </w:tcPr>
          <w:p w:rsidR="002246AD" w:rsidRPr="003D1522" w:rsidRDefault="002246AD" w:rsidP="00987157">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3D1522">
              <w:rPr>
                <w:sz w:val="18"/>
                <w:lang w:val="en-GB"/>
              </w:rPr>
              <w:t>2</w:t>
            </w:r>
            <w:r w:rsidR="00393796" w:rsidRPr="003D1522">
              <w:rPr>
                <w:sz w:val="18"/>
                <w:lang w:val="en-GB"/>
              </w:rPr>
              <w:t xml:space="preserve"> </w:t>
            </w:r>
            <w:r w:rsidRPr="003D1522">
              <w:rPr>
                <w:sz w:val="18"/>
                <w:lang w:val="en-GB"/>
              </w:rPr>
              <w:t>055</w:t>
            </w:r>
          </w:p>
        </w:tc>
        <w:tc>
          <w:tcPr>
            <w:tcW w:w="1337" w:type="dxa"/>
            <w:tcBorders>
              <w:top w:val="none" w:sz="0" w:space="0" w:color="auto"/>
              <w:bottom w:val="none" w:sz="0" w:space="0" w:color="auto"/>
            </w:tcBorders>
            <w:shd w:val="clear" w:color="auto" w:fill="auto"/>
            <w:noWrap/>
            <w:vAlign w:val="bottom"/>
            <w:hideMark/>
          </w:tcPr>
          <w:p w:rsidR="002246AD" w:rsidRPr="003D1522" w:rsidRDefault="002246AD" w:rsidP="00987157">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3D1522">
              <w:rPr>
                <w:sz w:val="18"/>
                <w:lang w:val="en-GB"/>
              </w:rPr>
              <w:t>7</w:t>
            </w:r>
            <w:r w:rsidR="00393796" w:rsidRPr="003D1522">
              <w:rPr>
                <w:sz w:val="18"/>
                <w:lang w:val="en-GB"/>
              </w:rPr>
              <w:t xml:space="preserve"> </w:t>
            </w:r>
            <w:r w:rsidRPr="003D1522">
              <w:rPr>
                <w:sz w:val="18"/>
                <w:lang w:val="en-GB"/>
              </w:rPr>
              <w:t>902</w:t>
            </w:r>
          </w:p>
        </w:tc>
        <w:tc>
          <w:tcPr>
            <w:tcW w:w="1337" w:type="dxa"/>
            <w:tcBorders>
              <w:top w:val="none" w:sz="0" w:space="0" w:color="auto"/>
              <w:bottom w:val="none" w:sz="0" w:space="0" w:color="auto"/>
            </w:tcBorders>
            <w:shd w:val="clear" w:color="auto" w:fill="auto"/>
            <w:noWrap/>
            <w:vAlign w:val="bottom"/>
            <w:hideMark/>
          </w:tcPr>
          <w:p w:rsidR="002246AD" w:rsidRPr="003D1522" w:rsidRDefault="002246AD" w:rsidP="00987157">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3D1522">
              <w:rPr>
                <w:sz w:val="18"/>
                <w:lang w:val="en-GB"/>
              </w:rPr>
              <w:t>10</w:t>
            </w:r>
            <w:r w:rsidR="00393796" w:rsidRPr="003D1522">
              <w:rPr>
                <w:sz w:val="18"/>
                <w:lang w:val="en-GB"/>
              </w:rPr>
              <w:t xml:space="preserve"> </w:t>
            </w:r>
            <w:r w:rsidRPr="003D1522">
              <w:rPr>
                <w:sz w:val="18"/>
                <w:lang w:val="en-GB"/>
              </w:rPr>
              <w:t>130</w:t>
            </w:r>
          </w:p>
        </w:tc>
      </w:tr>
      <w:tr w:rsidR="002246AD" w:rsidRPr="003D1522" w:rsidTr="00987157">
        <w:tc>
          <w:tcPr>
            <w:cnfStyle w:val="001000000000" w:firstRow="0" w:lastRow="0" w:firstColumn="1" w:lastColumn="0" w:oddVBand="0" w:evenVBand="0" w:oddHBand="0" w:evenHBand="0" w:firstRowFirstColumn="0" w:firstRowLastColumn="0" w:lastRowFirstColumn="0" w:lastRowLastColumn="0"/>
            <w:tcW w:w="1337" w:type="dxa"/>
            <w:shd w:val="clear" w:color="auto" w:fill="auto"/>
            <w:noWrap/>
            <w:hideMark/>
          </w:tcPr>
          <w:p w:rsidR="002246AD" w:rsidRPr="003D1522" w:rsidRDefault="002246AD" w:rsidP="00987157">
            <w:pPr>
              <w:pStyle w:val="SingleTxtG"/>
              <w:spacing w:before="40" w:after="40" w:line="220" w:lineRule="exact"/>
              <w:ind w:left="0" w:right="113"/>
              <w:jc w:val="left"/>
              <w:rPr>
                <w:b w:val="0"/>
                <w:bCs w:val="0"/>
                <w:sz w:val="18"/>
                <w:lang w:val="en-GB"/>
              </w:rPr>
            </w:pPr>
            <w:r w:rsidRPr="003D1522">
              <w:rPr>
                <w:b w:val="0"/>
                <w:bCs w:val="0"/>
                <w:sz w:val="18"/>
                <w:lang w:val="en-GB"/>
              </w:rPr>
              <w:t>2015</w:t>
            </w:r>
          </w:p>
        </w:tc>
        <w:tc>
          <w:tcPr>
            <w:tcW w:w="1337" w:type="dxa"/>
            <w:shd w:val="clear" w:color="auto" w:fill="auto"/>
            <w:noWrap/>
            <w:vAlign w:val="bottom"/>
            <w:hideMark/>
          </w:tcPr>
          <w:p w:rsidR="002246AD" w:rsidRPr="003D1522" w:rsidRDefault="002246AD" w:rsidP="00987157">
            <w:pPr>
              <w:pStyle w:val="SingleTxtG"/>
              <w:spacing w:before="40" w:after="40" w:line="220" w:lineRule="exact"/>
              <w:ind w:left="0"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3D1522">
              <w:rPr>
                <w:sz w:val="18"/>
                <w:lang w:val="en-GB"/>
              </w:rPr>
              <w:t>8</w:t>
            </w:r>
          </w:p>
        </w:tc>
        <w:tc>
          <w:tcPr>
            <w:tcW w:w="1337" w:type="dxa"/>
            <w:shd w:val="clear" w:color="auto" w:fill="auto"/>
            <w:noWrap/>
            <w:vAlign w:val="bottom"/>
            <w:hideMark/>
          </w:tcPr>
          <w:p w:rsidR="002246AD" w:rsidRPr="003D1522" w:rsidRDefault="002246AD" w:rsidP="00987157">
            <w:pPr>
              <w:pStyle w:val="SingleTxtG"/>
              <w:spacing w:before="40" w:after="40" w:line="220" w:lineRule="exact"/>
              <w:ind w:left="0"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3D1522">
              <w:rPr>
                <w:sz w:val="18"/>
                <w:lang w:val="en-GB"/>
              </w:rPr>
              <w:t>151</w:t>
            </w:r>
          </w:p>
        </w:tc>
        <w:tc>
          <w:tcPr>
            <w:tcW w:w="1337" w:type="dxa"/>
            <w:shd w:val="clear" w:color="auto" w:fill="auto"/>
            <w:noWrap/>
            <w:vAlign w:val="bottom"/>
            <w:hideMark/>
          </w:tcPr>
          <w:p w:rsidR="002246AD" w:rsidRPr="003D1522" w:rsidRDefault="002246AD" w:rsidP="00987157">
            <w:pPr>
              <w:pStyle w:val="SingleTxtG"/>
              <w:spacing w:before="40" w:after="40" w:line="220" w:lineRule="exact"/>
              <w:ind w:left="0"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3D1522">
              <w:rPr>
                <w:sz w:val="18"/>
                <w:lang w:val="en-GB"/>
              </w:rPr>
              <w:t>2</w:t>
            </w:r>
            <w:r w:rsidR="00393796" w:rsidRPr="003D1522">
              <w:rPr>
                <w:sz w:val="18"/>
                <w:lang w:val="en-GB"/>
              </w:rPr>
              <w:t xml:space="preserve"> </w:t>
            </w:r>
            <w:r w:rsidRPr="003D1522">
              <w:rPr>
                <w:sz w:val="18"/>
                <w:lang w:val="en-GB"/>
              </w:rPr>
              <w:t>039</w:t>
            </w:r>
          </w:p>
        </w:tc>
        <w:tc>
          <w:tcPr>
            <w:tcW w:w="1337" w:type="dxa"/>
            <w:shd w:val="clear" w:color="auto" w:fill="auto"/>
            <w:noWrap/>
            <w:vAlign w:val="bottom"/>
            <w:hideMark/>
          </w:tcPr>
          <w:p w:rsidR="002246AD" w:rsidRPr="003D1522" w:rsidRDefault="002246AD" w:rsidP="00987157">
            <w:pPr>
              <w:pStyle w:val="SingleTxtG"/>
              <w:spacing w:before="40" w:after="40" w:line="220" w:lineRule="exact"/>
              <w:ind w:left="0"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3D1522">
              <w:rPr>
                <w:sz w:val="18"/>
                <w:lang w:val="en-GB"/>
              </w:rPr>
              <w:t>8</w:t>
            </w:r>
            <w:r w:rsidR="00393796" w:rsidRPr="003D1522">
              <w:rPr>
                <w:sz w:val="18"/>
                <w:lang w:val="en-GB"/>
              </w:rPr>
              <w:t xml:space="preserve"> </w:t>
            </w:r>
            <w:r w:rsidRPr="003D1522">
              <w:rPr>
                <w:sz w:val="18"/>
                <w:lang w:val="en-GB"/>
              </w:rPr>
              <w:t>663</w:t>
            </w:r>
          </w:p>
        </w:tc>
        <w:tc>
          <w:tcPr>
            <w:tcW w:w="1337" w:type="dxa"/>
            <w:shd w:val="clear" w:color="auto" w:fill="auto"/>
            <w:noWrap/>
            <w:vAlign w:val="bottom"/>
            <w:hideMark/>
          </w:tcPr>
          <w:p w:rsidR="002246AD" w:rsidRPr="003D1522" w:rsidRDefault="002246AD" w:rsidP="00987157">
            <w:pPr>
              <w:pStyle w:val="SingleTxtG"/>
              <w:spacing w:before="40" w:after="40" w:line="220" w:lineRule="exact"/>
              <w:ind w:left="0"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3D1522">
              <w:rPr>
                <w:sz w:val="18"/>
                <w:lang w:val="en-GB"/>
              </w:rPr>
              <w:t>10</w:t>
            </w:r>
            <w:r w:rsidR="00393796" w:rsidRPr="003D1522">
              <w:rPr>
                <w:sz w:val="18"/>
                <w:lang w:val="en-GB"/>
              </w:rPr>
              <w:t xml:space="preserve"> </w:t>
            </w:r>
            <w:r w:rsidRPr="003D1522">
              <w:rPr>
                <w:sz w:val="18"/>
                <w:lang w:val="en-GB"/>
              </w:rPr>
              <w:t>861</w:t>
            </w:r>
          </w:p>
        </w:tc>
      </w:tr>
      <w:tr w:rsidR="002246AD" w:rsidRPr="003D1522" w:rsidTr="00987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7" w:type="dxa"/>
            <w:tcBorders>
              <w:top w:val="none" w:sz="0" w:space="0" w:color="auto"/>
              <w:bottom w:val="none" w:sz="0" w:space="0" w:color="auto"/>
            </w:tcBorders>
            <w:shd w:val="clear" w:color="auto" w:fill="auto"/>
            <w:noWrap/>
            <w:hideMark/>
          </w:tcPr>
          <w:p w:rsidR="002246AD" w:rsidRPr="003D1522" w:rsidRDefault="002246AD" w:rsidP="00987157">
            <w:pPr>
              <w:pStyle w:val="SingleTxtG"/>
              <w:spacing w:before="40" w:after="40" w:line="220" w:lineRule="exact"/>
              <w:ind w:left="0" w:right="113"/>
              <w:jc w:val="left"/>
              <w:rPr>
                <w:b w:val="0"/>
                <w:bCs w:val="0"/>
                <w:sz w:val="18"/>
                <w:lang w:val="en-GB"/>
              </w:rPr>
            </w:pPr>
            <w:r w:rsidRPr="003D1522">
              <w:rPr>
                <w:b w:val="0"/>
                <w:bCs w:val="0"/>
                <w:sz w:val="18"/>
                <w:lang w:val="en-GB"/>
              </w:rPr>
              <w:t>2016</w:t>
            </w:r>
          </w:p>
        </w:tc>
        <w:tc>
          <w:tcPr>
            <w:tcW w:w="1337" w:type="dxa"/>
            <w:tcBorders>
              <w:top w:val="none" w:sz="0" w:space="0" w:color="auto"/>
              <w:bottom w:val="none" w:sz="0" w:space="0" w:color="auto"/>
            </w:tcBorders>
            <w:shd w:val="clear" w:color="auto" w:fill="auto"/>
            <w:noWrap/>
            <w:vAlign w:val="bottom"/>
            <w:hideMark/>
          </w:tcPr>
          <w:p w:rsidR="002246AD" w:rsidRPr="003D1522" w:rsidRDefault="002246AD" w:rsidP="00987157">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3D1522">
              <w:rPr>
                <w:sz w:val="18"/>
                <w:lang w:val="en-GB"/>
              </w:rPr>
              <w:t>7</w:t>
            </w:r>
          </w:p>
        </w:tc>
        <w:tc>
          <w:tcPr>
            <w:tcW w:w="1337" w:type="dxa"/>
            <w:tcBorders>
              <w:top w:val="none" w:sz="0" w:space="0" w:color="auto"/>
              <w:bottom w:val="none" w:sz="0" w:space="0" w:color="auto"/>
            </w:tcBorders>
            <w:shd w:val="clear" w:color="auto" w:fill="auto"/>
            <w:noWrap/>
            <w:vAlign w:val="bottom"/>
            <w:hideMark/>
          </w:tcPr>
          <w:p w:rsidR="002246AD" w:rsidRPr="003D1522" w:rsidRDefault="002246AD" w:rsidP="00987157">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3D1522">
              <w:rPr>
                <w:sz w:val="18"/>
                <w:lang w:val="en-GB"/>
              </w:rPr>
              <w:t>155</w:t>
            </w:r>
          </w:p>
        </w:tc>
        <w:tc>
          <w:tcPr>
            <w:tcW w:w="1337" w:type="dxa"/>
            <w:tcBorders>
              <w:top w:val="none" w:sz="0" w:space="0" w:color="auto"/>
              <w:bottom w:val="none" w:sz="0" w:space="0" w:color="auto"/>
            </w:tcBorders>
            <w:shd w:val="clear" w:color="auto" w:fill="auto"/>
            <w:noWrap/>
            <w:vAlign w:val="bottom"/>
            <w:hideMark/>
          </w:tcPr>
          <w:p w:rsidR="002246AD" w:rsidRPr="003D1522" w:rsidRDefault="002246AD" w:rsidP="00987157">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3D1522">
              <w:rPr>
                <w:sz w:val="18"/>
                <w:lang w:val="en-GB"/>
              </w:rPr>
              <w:t>2</w:t>
            </w:r>
            <w:r w:rsidR="00393796" w:rsidRPr="003D1522">
              <w:rPr>
                <w:sz w:val="18"/>
                <w:lang w:val="en-GB"/>
              </w:rPr>
              <w:t xml:space="preserve"> </w:t>
            </w:r>
            <w:r w:rsidRPr="003D1522">
              <w:rPr>
                <w:sz w:val="18"/>
                <w:lang w:val="en-GB"/>
              </w:rPr>
              <w:t>039</w:t>
            </w:r>
          </w:p>
        </w:tc>
        <w:tc>
          <w:tcPr>
            <w:tcW w:w="1337" w:type="dxa"/>
            <w:tcBorders>
              <w:top w:val="none" w:sz="0" w:space="0" w:color="auto"/>
              <w:bottom w:val="none" w:sz="0" w:space="0" w:color="auto"/>
            </w:tcBorders>
            <w:shd w:val="clear" w:color="auto" w:fill="auto"/>
            <w:noWrap/>
            <w:vAlign w:val="bottom"/>
            <w:hideMark/>
          </w:tcPr>
          <w:p w:rsidR="002246AD" w:rsidRPr="003D1522" w:rsidRDefault="002246AD" w:rsidP="00987157">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3D1522">
              <w:rPr>
                <w:sz w:val="18"/>
                <w:lang w:val="en-GB"/>
              </w:rPr>
              <w:t>8</w:t>
            </w:r>
            <w:r w:rsidR="00393796" w:rsidRPr="003D1522">
              <w:rPr>
                <w:sz w:val="18"/>
                <w:lang w:val="en-GB"/>
              </w:rPr>
              <w:t xml:space="preserve"> </w:t>
            </w:r>
            <w:r w:rsidRPr="003D1522">
              <w:rPr>
                <w:sz w:val="18"/>
                <w:lang w:val="en-GB"/>
              </w:rPr>
              <w:t>849</w:t>
            </w:r>
          </w:p>
        </w:tc>
        <w:tc>
          <w:tcPr>
            <w:tcW w:w="1337" w:type="dxa"/>
            <w:tcBorders>
              <w:top w:val="none" w:sz="0" w:space="0" w:color="auto"/>
              <w:bottom w:val="none" w:sz="0" w:space="0" w:color="auto"/>
            </w:tcBorders>
            <w:shd w:val="clear" w:color="auto" w:fill="auto"/>
            <w:noWrap/>
            <w:vAlign w:val="bottom"/>
            <w:hideMark/>
          </w:tcPr>
          <w:p w:rsidR="002246AD" w:rsidRPr="003D1522" w:rsidRDefault="002246AD" w:rsidP="00987157">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3D1522">
              <w:rPr>
                <w:sz w:val="18"/>
                <w:lang w:val="en-GB"/>
              </w:rPr>
              <w:t>11</w:t>
            </w:r>
            <w:r w:rsidR="00393796" w:rsidRPr="003D1522">
              <w:rPr>
                <w:sz w:val="18"/>
                <w:lang w:val="en-GB"/>
              </w:rPr>
              <w:t xml:space="preserve"> </w:t>
            </w:r>
            <w:r w:rsidRPr="003D1522">
              <w:rPr>
                <w:sz w:val="18"/>
                <w:lang w:val="en-GB"/>
              </w:rPr>
              <w:t>050</w:t>
            </w:r>
          </w:p>
        </w:tc>
      </w:tr>
      <w:tr w:rsidR="002246AD" w:rsidRPr="003D1522" w:rsidTr="00987157">
        <w:tc>
          <w:tcPr>
            <w:cnfStyle w:val="001000000000" w:firstRow="0" w:lastRow="0" w:firstColumn="1" w:lastColumn="0" w:oddVBand="0" w:evenVBand="0" w:oddHBand="0" w:evenHBand="0" w:firstRowFirstColumn="0" w:firstRowLastColumn="0" w:lastRowFirstColumn="0" w:lastRowLastColumn="0"/>
            <w:tcW w:w="1337" w:type="dxa"/>
            <w:shd w:val="clear" w:color="auto" w:fill="auto"/>
            <w:noWrap/>
            <w:hideMark/>
          </w:tcPr>
          <w:p w:rsidR="002246AD" w:rsidRPr="003D1522" w:rsidRDefault="002246AD" w:rsidP="00987157">
            <w:pPr>
              <w:pStyle w:val="SingleTxtG"/>
              <w:spacing w:before="40" w:after="40" w:line="220" w:lineRule="exact"/>
              <w:ind w:left="0" w:right="113"/>
              <w:jc w:val="left"/>
              <w:rPr>
                <w:b w:val="0"/>
                <w:bCs w:val="0"/>
                <w:sz w:val="18"/>
                <w:lang w:val="en-GB"/>
              </w:rPr>
            </w:pPr>
            <w:r w:rsidRPr="003D1522">
              <w:rPr>
                <w:b w:val="0"/>
                <w:bCs w:val="0"/>
                <w:sz w:val="18"/>
                <w:lang w:val="en-GB"/>
              </w:rPr>
              <w:t>2017</w:t>
            </w:r>
          </w:p>
        </w:tc>
        <w:tc>
          <w:tcPr>
            <w:tcW w:w="1337" w:type="dxa"/>
            <w:shd w:val="clear" w:color="auto" w:fill="auto"/>
            <w:noWrap/>
            <w:vAlign w:val="bottom"/>
            <w:hideMark/>
          </w:tcPr>
          <w:p w:rsidR="002246AD" w:rsidRPr="003D1522" w:rsidRDefault="002246AD" w:rsidP="00987157">
            <w:pPr>
              <w:pStyle w:val="SingleTxtG"/>
              <w:spacing w:before="40" w:after="40" w:line="220" w:lineRule="exact"/>
              <w:ind w:left="0"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3D1522">
              <w:rPr>
                <w:sz w:val="18"/>
                <w:lang w:val="en-GB"/>
              </w:rPr>
              <w:t>10</w:t>
            </w:r>
          </w:p>
        </w:tc>
        <w:tc>
          <w:tcPr>
            <w:tcW w:w="1337" w:type="dxa"/>
            <w:shd w:val="clear" w:color="auto" w:fill="auto"/>
            <w:noWrap/>
            <w:vAlign w:val="bottom"/>
            <w:hideMark/>
          </w:tcPr>
          <w:p w:rsidR="002246AD" w:rsidRPr="003D1522" w:rsidRDefault="002246AD" w:rsidP="00987157">
            <w:pPr>
              <w:pStyle w:val="SingleTxtG"/>
              <w:spacing w:before="40" w:after="40" w:line="220" w:lineRule="exact"/>
              <w:ind w:left="0"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3D1522">
              <w:rPr>
                <w:sz w:val="18"/>
                <w:lang w:val="en-GB"/>
              </w:rPr>
              <w:t>119</w:t>
            </w:r>
          </w:p>
        </w:tc>
        <w:tc>
          <w:tcPr>
            <w:tcW w:w="1337" w:type="dxa"/>
            <w:shd w:val="clear" w:color="auto" w:fill="auto"/>
            <w:noWrap/>
            <w:vAlign w:val="bottom"/>
            <w:hideMark/>
          </w:tcPr>
          <w:p w:rsidR="002246AD" w:rsidRPr="003D1522" w:rsidRDefault="002246AD" w:rsidP="00987157">
            <w:pPr>
              <w:pStyle w:val="SingleTxtG"/>
              <w:spacing w:before="40" w:after="40" w:line="220" w:lineRule="exact"/>
              <w:ind w:left="0"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3D1522">
              <w:rPr>
                <w:sz w:val="18"/>
                <w:lang w:val="en-GB"/>
              </w:rPr>
              <w:t>2</w:t>
            </w:r>
            <w:r w:rsidR="00393796" w:rsidRPr="003D1522">
              <w:rPr>
                <w:sz w:val="18"/>
                <w:lang w:val="en-GB"/>
              </w:rPr>
              <w:t xml:space="preserve"> </w:t>
            </w:r>
            <w:r w:rsidRPr="003D1522">
              <w:rPr>
                <w:sz w:val="18"/>
                <w:lang w:val="en-GB"/>
              </w:rPr>
              <w:t>146</w:t>
            </w:r>
          </w:p>
        </w:tc>
        <w:tc>
          <w:tcPr>
            <w:tcW w:w="1337" w:type="dxa"/>
            <w:shd w:val="clear" w:color="auto" w:fill="auto"/>
            <w:noWrap/>
            <w:vAlign w:val="bottom"/>
            <w:hideMark/>
          </w:tcPr>
          <w:p w:rsidR="002246AD" w:rsidRPr="003D1522" w:rsidRDefault="002246AD" w:rsidP="00987157">
            <w:pPr>
              <w:pStyle w:val="SingleTxtG"/>
              <w:spacing w:before="40" w:after="40" w:line="220" w:lineRule="exact"/>
              <w:ind w:left="0"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3D1522">
              <w:rPr>
                <w:sz w:val="18"/>
                <w:lang w:val="en-GB"/>
              </w:rPr>
              <w:t>10</w:t>
            </w:r>
            <w:r w:rsidR="00393796" w:rsidRPr="003D1522">
              <w:rPr>
                <w:sz w:val="18"/>
                <w:lang w:val="en-GB"/>
              </w:rPr>
              <w:t xml:space="preserve"> </w:t>
            </w:r>
            <w:r w:rsidRPr="003D1522">
              <w:rPr>
                <w:sz w:val="18"/>
                <w:lang w:val="en-GB"/>
              </w:rPr>
              <w:t>359</w:t>
            </w:r>
          </w:p>
        </w:tc>
        <w:tc>
          <w:tcPr>
            <w:tcW w:w="1337" w:type="dxa"/>
            <w:shd w:val="clear" w:color="auto" w:fill="auto"/>
            <w:noWrap/>
            <w:vAlign w:val="bottom"/>
            <w:hideMark/>
          </w:tcPr>
          <w:p w:rsidR="002246AD" w:rsidRPr="003D1522" w:rsidRDefault="002246AD" w:rsidP="00987157">
            <w:pPr>
              <w:pStyle w:val="SingleTxtG"/>
              <w:spacing w:before="40" w:after="40" w:line="220" w:lineRule="exact"/>
              <w:ind w:left="0"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3D1522">
              <w:rPr>
                <w:sz w:val="18"/>
                <w:lang w:val="en-GB"/>
              </w:rPr>
              <w:t>12</w:t>
            </w:r>
            <w:r w:rsidR="00393796" w:rsidRPr="003D1522">
              <w:rPr>
                <w:sz w:val="18"/>
                <w:lang w:val="en-GB"/>
              </w:rPr>
              <w:t xml:space="preserve"> </w:t>
            </w:r>
            <w:r w:rsidRPr="003D1522">
              <w:rPr>
                <w:sz w:val="18"/>
                <w:lang w:val="en-GB"/>
              </w:rPr>
              <w:t>634</w:t>
            </w:r>
          </w:p>
        </w:tc>
      </w:tr>
    </w:tbl>
    <w:p w:rsidR="002246AD" w:rsidRPr="003D1522" w:rsidRDefault="002246AD" w:rsidP="00393796">
      <w:pPr>
        <w:spacing w:before="120" w:after="240"/>
        <w:ind w:left="1134" w:right="1134" w:firstLine="170"/>
        <w:rPr>
          <w:sz w:val="18"/>
        </w:rPr>
      </w:pPr>
      <w:r w:rsidRPr="003D1522">
        <w:rPr>
          <w:i/>
          <w:iCs/>
          <w:sz w:val="18"/>
        </w:rPr>
        <w:t>Source</w:t>
      </w:r>
      <w:r w:rsidRPr="003D1522">
        <w:rPr>
          <w:sz w:val="18"/>
        </w:rPr>
        <w:t>: Tax and Customs Board.</w:t>
      </w:r>
    </w:p>
    <w:p w:rsidR="002246AD" w:rsidRPr="003D1522" w:rsidRDefault="002246AD" w:rsidP="00786798">
      <w:pPr>
        <w:pStyle w:val="Heading1"/>
        <w:spacing w:after="240"/>
      </w:pPr>
      <w:r w:rsidRPr="003D1522">
        <w:t>Table 2</w:t>
      </w:r>
      <w:r w:rsidRPr="003D1522">
        <w:br/>
      </w:r>
      <w:r w:rsidRPr="003D1522">
        <w:rPr>
          <w:rStyle w:val="SingleTxtGChar"/>
          <w:b/>
          <w:bCs/>
        </w:rPr>
        <w:t>Working minors by sex and age groups, all contract types, 2017</w:t>
      </w:r>
    </w:p>
    <w:tbl>
      <w:tblPr>
        <w:tblStyle w:val="PlainTable2"/>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29"/>
        <w:gridCol w:w="1229"/>
        <w:gridCol w:w="1228"/>
        <w:gridCol w:w="1228"/>
        <w:gridCol w:w="1228"/>
        <w:gridCol w:w="1228"/>
      </w:tblGrid>
      <w:tr w:rsidR="00393796" w:rsidRPr="003D1522" w:rsidTr="003937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33" w:type="dxa"/>
            <w:tcBorders>
              <w:top w:val="single" w:sz="4" w:space="0" w:color="auto"/>
              <w:bottom w:val="single" w:sz="12" w:space="0" w:color="auto"/>
            </w:tcBorders>
            <w:shd w:val="clear" w:color="auto" w:fill="auto"/>
            <w:noWrap/>
            <w:vAlign w:val="bottom"/>
            <w:hideMark/>
          </w:tcPr>
          <w:p w:rsidR="002246AD" w:rsidRPr="003D1522" w:rsidRDefault="002246AD" w:rsidP="00393796">
            <w:pPr>
              <w:pStyle w:val="SingleTxtG"/>
              <w:spacing w:before="80" w:after="80" w:line="200" w:lineRule="exact"/>
              <w:ind w:left="0" w:right="113"/>
              <w:jc w:val="left"/>
              <w:rPr>
                <w:b w:val="0"/>
                <w:i/>
                <w:sz w:val="16"/>
                <w:lang w:val="en-GB"/>
              </w:rPr>
            </w:pPr>
            <w:r w:rsidRPr="003D1522">
              <w:rPr>
                <w:b w:val="0"/>
                <w:i/>
                <w:sz w:val="16"/>
                <w:lang w:val="en-GB"/>
              </w:rPr>
              <w:t>Sex</w:t>
            </w:r>
          </w:p>
        </w:tc>
        <w:tc>
          <w:tcPr>
            <w:tcW w:w="1333" w:type="dxa"/>
            <w:tcBorders>
              <w:top w:val="single" w:sz="4" w:space="0" w:color="auto"/>
              <w:bottom w:val="single" w:sz="12" w:space="0" w:color="auto"/>
            </w:tcBorders>
            <w:shd w:val="clear" w:color="auto" w:fill="auto"/>
            <w:noWrap/>
            <w:vAlign w:val="bottom"/>
            <w:hideMark/>
          </w:tcPr>
          <w:p w:rsidR="002246AD" w:rsidRPr="003D1522" w:rsidRDefault="002246AD" w:rsidP="00393796">
            <w:pPr>
              <w:pStyle w:val="SingleTxtG"/>
              <w:spacing w:before="80" w:after="80" w:line="200" w:lineRule="exact"/>
              <w:ind w:left="0" w:right="113"/>
              <w:jc w:val="right"/>
              <w:cnfStyle w:val="100000000000" w:firstRow="1" w:lastRow="0" w:firstColumn="0" w:lastColumn="0" w:oddVBand="0" w:evenVBand="0" w:oddHBand="0" w:evenHBand="0" w:firstRowFirstColumn="0" w:firstRowLastColumn="0" w:lastRowFirstColumn="0" w:lastRowLastColumn="0"/>
              <w:rPr>
                <w:b w:val="0"/>
                <w:i/>
                <w:sz w:val="16"/>
                <w:lang w:val="en-GB"/>
              </w:rPr>
            </w:pPr>
            <w:r w:rsidRPr="003D1522">
              <w:rPr>
                <w:b w:val="0"/>
                <w:i/>
                <w:sz w:val="16"/>
                <w:lang w:val="en-GB"/>
              </w:rPr>
              <w:t>Age &lt; 7</w:t>
            </w:r>
          </w:p>
        </w:tc>
        <w:tc>
          <w:tcPr>
            <w:tcW w:w="1333" w:type="dxa"/>
            <w:tcBorders>
              <w:top w:val="single" w:sz="4" w:space="0" w:color="auto"/>
              <w:bottom w:val="single" w:sz="12" w:space="0" w:color="auto"/>
            </w:tcBorders>
            <w:shd w:val="clear" w:color="auto" w:fill="auto"/>
            <w:noWrap/>
            <w:vAlign w:val="bottom"/>
            <w:hideMark/>
          </w:tcPr>
          <w:p w:rsidR="002246AD" w:rsidRPr="003D1522" w:rsidRDefault="002246AD" w:rsidP="00393796">
            <w:pPr>
              <w:pStyle w:val="SingleTxtG"/>
              <w:spacing w:before="80" w:after="80" w:line="200" w:lineRule="exact"/>
              <w:ind w:left="0" w:right="113"/>
              <w:jc w:val="right"/>
              <w:cnfStyle w:val="100000000000" w:firstRow="1" w:lastRow="0" w:firstColumn="0" w:lastColumn="0" w:oddVBand="0" w:evenVBand="0" w:oddHBand="0" w:evenHBand="0" w:firstRowFirstColumn="0" w:firstRowLastColumn="0" w:lastRowFirstColumn="0" w:lastRowLastColumn="0"/>
              <w:rPr>
                <w:b w:val="0"/>
                <w:i/>
                <w:sz w:val="16"/>
                <w:lang w:val="en-GB"/>
              </w:rPr>
            </w:pPr>
            <w:r w:rsidRPr="003D1522">
              <w:rPr>
                <w:b w:val="0"/>
                <w:i/>
                <w:sz w:val="16"/>
                <w:lang w:val="en-GB"/>
              </w:rPr>
              <w:t>Age 7</w:t>
            </w:r>
            <w:r w:rsidR="0049318D" w:rsidRPr="003D1522">
              <w:rPr>
                <w:lang w:val="en-GB"/>
              </w:rPr>
              <w:t>–</w:t>
            </w:r>
            <w:r w:rsidRPr="003D1522">
              <w:rPr>
                <w:b w:val="0"/>
                <w:i/>
                <w:sz w:val="16"/>
                <w:lang w:val="en-GB"/>
              </w:rPr>
              <w:t>11</w:t>
            </w:r>
          </w:p>
        </w:tc>
        <w:tc>
          <w:tcPr>
            <w:tcW w:w="1333" w:type="dxa"/>
            <w:tcBorders>
              <w:top w:val="single" w:sz="4" w:space="0" w:color="auto"/>
              <w:bottom w:val="single" w:sz="12" w:space="0" w:color="auto"/>
            </w:tcBorders>
            <w:shd w:val="clear" w:color="auto" w:fill="auto"/>
            <w:noWrap/>
            <w:vAlign w:val="bottom"/>
            <w:hideMark/>
          </w:tcPr>
          <w:p w:rsidR="002246AD" w:rsidRPr="003D1522" w:rsidRDefault="002246AD" w:rsidP="00393796">
            <w:pPr>
              <w:pStyle w:val="SingleTxtG"/>
              <w:spacing w:before="80" w:after="80" w:line="200" w:lineRule="exact"/>
              <w:ind w:left="0" w:right="113"/>
              <w:jc w:val="right"/>
              <w:cnfStyle w:val="100000000000" w:firstRow="1" w:lastRow="0" w:firstColumn="0" w:lastColumn="0" w:oddVBand="0" w:evenVBand="0" w:oddHBand="0" w:evenHBand="0" w:firstRowFirstColumn="0" w:firstRowLastColumn="0" w:lastRowFirstColumn="0" w:lastRowLastColumn="0"/>
              <w:rPr>
                <w:b w:val="0"/>
                <w:i/>
                <w:sz w:val="16"/>
                <w:lang w:val="en-GB"/>
              </w:rPr>
            </w:pPr>
            <w:r w:rsidRPr="003D1522">
              <w:rPr>
                <w:b w:val="0"/>
                <w:i/>
                <w:sz w:val="16"/>
                <w:lang w:val="en-GB"/>
              </w:rPr>
              <w:t>Age 12</w:t>
            </w:r>
            <w:r w:rsidR="0049318D" w:rsidRPr="003D1522">
              <w:rPr>
                <w:lang w:val="en-GB"/>
              </w:rPr>
              <w:t>–</w:t>
            </w:r>
            <w:r w:rsidRPr="003D1522">
              <w:rPr>
                <w:b w:val="0"/>
                <w:i/>
                <w:sz w:val="16"/>
                <w:lang w:val="en-GB"/>
              </w:rPr>
              <w:t>14</w:t>
            </w:r>
          </w:p>
        </w:tc>
        <w:tc>
          <w:tcPr>
            <w:tcW w:w="1333" w:type="dxa"/>
            <w:tcBorders>
              <w:top w:val="single" w:sz="4" w:space="0" w:color="auto"/>
              <w:bottom w:val="single" w:sz="12" w:space="0" w:color="auto"/>
            </w:tcBorders>
            <w:shd w:val="clear" w:color="auto" w:fill="auto"/>
            <w:noWrap/>
            <w:vAlign w:val="bottom"/>
            <w:hideMark/>
          </w:tcPr>
          <w:p w:rsidR="002246AD" w:rsidRPr="003D1522" w:rsidRDefault="002246AD" w:rsidP="00393796">
            <w:pPr>
              <w:pStyle w:val="SingleTxtG"/>
              <w:spacing w:before="80" w:after="80" w:line="200" w:lineRule="exact"/>
              <w:ind w:left="0" w:right="113"/>
              <w:jc w:val="right"/>
              <w:cnfStyle w:val="100000000000" w:firstRow="1" w:lastRow="0" w:firstColumn="0" w:lastColumn="0" w:oddVBand="0" w:evenVBand="0" w:oddHBand="0" w:evenHBand="0" w:firstRowFirstColumn="0" w:firstRowLastColumn="0" w:lastRowFirstColumn="0" w:lastRowLastColumn="0"/>
              <w:rPr>
                <w:b w:val="0"/>
                <w:i/>
                <w:sz w:val="16"/>
                <w:lang w:val="en-GB"/>
              </w:rPr>
            </w:pPr>
            <w:r w:rsidRPr="003D1522">
              <w:rPr>
                <w:b w:val="0"/>
                <w:i/>
                <w:sz w:val="16"/>
                <w:lang w:val="en-GB"/>
              </w:rPr>
              <w:t>Age 15</w:t>
            </w:r>
            <w:r w:rsidR="0049318D" w:rsidRPr="003D1522">
              <w:rPr>
                <w:lang w:val="en-GB"/>
              </w:rPr>
              <w:t>–</w:t>
            </w:r>
            <w:r w:rsidRPr="003D1522">
              <w:rPr>
                <w:b w:val="0"/>
                <w:i/>
                <w:sz w:val="16"/>
                <w:lang w:val="en-GB"/>
              </w:rPr>
              <w:t>17</w:t>
            </w:r>
          </w:p>
        </w:tc>
        <w:tc>
          <w:tcPr>
            <w:tcW w:w="1333" w:type="dxa"/>
            <w:tcBorders>
              <w:top w:val="single" w:sz="4" w:space="0" w:color="auto"/>
              <w:bottom w:val="single" w:sz="12" w:space="0" w:color="auto"/>
            </w:tcBorders>
            <w:shd w:val="clear" w:color="auto" w:fill="auto"/>
            <w:noWrap/>
            <w:vAlign w:val="bottom"/>
            <w:hideMark/>
          </w:tcPr>
          <w:p w:rsidR="002246AD" w:rsidRPr="003D1522" w:rsidRDefault="002246AD" w:rsidP="00393796">
            <w:pPr>
              <w:pStyle w:val="SingleTxtG"/>
              <w:spacing w:before="80" w:after="80" w:line="200" w:lineRule="exact"/>
              <w:ind w:left="0" w:right="113"/>
              <w:jc w:val="right"/>
              <w:cnfStyle w:val="100000000000" w:firstRow="1" w:lastRow="0" w:firstColumn="0" w:lastColumn="0" w:oddVBand="0" w:evenVBand="0" w:oddHBand="0" w:evenHBand="0" w:firstRowFirstColumn="0" w:firstRowLastColumn="0" w:lastRowFirstColumn="0" w:lastRowLastColumn="0"/>
              <w:rPr>
                <w:b w:val="0"/>
                <w:i/>
                <w:sz w:val="16"/>
                <w:lang w:val="en-GB"/>
              </w:rPr>
            </w:pPr>
            <w:r w:rsidRPr="003D1522">
              <w:rPr>
                <w:b w:val="0"/>
                <w:i/>
                <w:sz w:val="16"/>
                <w:lang w:val="en-GB"/>
              </w:rPr>
              <w:t>Total</w:t>
            </w:r>
          </w:p>
        </w:tc>
      </w:tr>
      <w:tr w:rsidR="002246AD" w:rsidRPr="003D1522" w:rsidTr="003937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Borders>
              <w:top w:val="single" w:sz="12" w:space="0" w:color="auto"/>
              <w:bottom w:val="none" w:sz="0" w:space="0" w:color="auto"/>
            </w:tcBorders>
            <w:shd w:val="clear" w:color="auto" w:fill="auto"/>
            <w:noWrap/>
            <w:hideMark/>
          </w:tcPr>
          <w:p w:rsidR="002246AD" w:rsidRPr="003D1522" w:rsidRDefault="002246AD" w:rsidP="00393796">
            <w:pPr>
              <w:pStyle w:val="SingleTxtG"/>
              <w:spacing w:before="40" w:after="40" w:line="220" w:lineRule="exact"/>
              <w:ind w:left="0" w:right="113"/>
              <w:jc w:val="left"/>
              <w:rPr>
                <w:b w:val="0"/>
                <w:bCs w:val="0"/>
                <w:sz w:val="18"/>
                <w:lang w:val="en-GB"/>
              </w:rPr>
            </w:pPr>
            <w:r w:rsidRPr="003D1522">
              <w:rPr>
                <w:b w:val="0"/>
                <w:bCs w:val="0"/>
                <w:sz w:val="18"/>
                <w:lang w:val="en-GB"/>
              </w:rPr>
              <w:t>Male</w:t>
            </w:r>
          </w:p>
        </w:tc>
        <w:tc>
          <w:tcPr>
            <w:tcW w:w="1333" w:type="dxa"/>
            <w:tcBorders>
              <w:top w:val="single" w:sz="12" w:space="0" w:color="auto"/>
              <w:bottom w:val="none" w:sz="0" w:space="0" w:color="auto"/>
            </w:tcBorders>
            <w:shd w:val="clear" w:color="auto" w:fill="auto"/>
            <w:noWrap/>
            <w:vAlign w:val="bottom"/>
            <w:hideMark/>
          </w:tcPr>
          <w:p w:rsidR="002246AD" w:rsidRPr="003D1522" w:rsidRDefault="002246AD" w:rsidP="00393796">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3D1522">
              <w:rPr>
                <w:sz w:val="18"/>
                <w:lang w:val="en-GB"/>
              </w:rPr>
              <w:t>6</w:t>
            </w:r>
          </w:p>
        </w:tc>
        <w:tc>
          <w:tcPr>
            <w:tcW w:w="1333" w:type="dxa"/>
            <w:tcBorders>
              <w:top w:val="single" w:sz="12" w:space="0" w:color="auto"/>
              <w:bottom w:val="none" w:sz="0" w:space="0" w:color="auto"/>
            </w:tcBorders>
            <w:shd w:val="clear" w:color="auto" w:fill="auto"/>
            <w:noWrap/>
            <w:vAlign w:val="bottom"/>
            <w:hideMark/>
          </w:tcPr>
          <w:p w:rsidR="002246AD" w:rsidRPr="003D1522" w:rsidRDefault="002246AD" w:rsidP="00393796">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3D1522">
              <w:rPr>
                <w:sz w:val="18"/>
                <w:lang w:val="en-GB"/>
              </w:rPr>
              <w:t>67</w:t>
            </w:r>
          </w:p>
        </w:tc>
        <w:tc>
          <w:tcPr>
            <w:tcW w:w="1333" w:type="dxa"/>
            <w:tcBorders>
              <w:top w:val="single" w:sz="12" w:space="0" w:color="auto"/>
              <w:bottom w:val="none" w:sz="0" w:space="0" w:color="auto"/>
            </w:tcBorders>
            <w:shd w:val="clear" w:color="auto" w:fill="auto"/>
            <w:noWrap/>
            <w:vAlign w:val="bottom"/>
            <w:hideMark/>
          </w:tcPr>
          <w:p w:rsidR="002246AD" w:rsidRPr="003D1522" w:rsidRDefault="002246AD" w:rsidP="00393796">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3D1522">
              <w:rPr>
                <w:sz w:val="18"/>
                <w:lang w:val="en-GB"/>
              </w:rPr>
              <w:t>992</w:t>
            </w:r>
          </w:p>
        </w:tc>
        <w:tc>
          <w:tcPr>
            <w:tcW w:w="1333" w:type="dxa"/>
            <w:tcBorders>
              <w:top w:val="single" w:sz="12" w:space="0" w:color="auto"/>
              <w:bottom w:val="none" w:sz="0" w:space="0" w:color="auto"/>
            </w:tcBorders>
            <w:shd w:val="clear" w:color="auto" w:fill="auto"/>
            <w:noWrap/>
            <w:vAlign w:val="bottom"/>
            <w:hideMark/>
          </w:tcPr>
          <w:p w:rsidR="002246AD" w:rsidRPr="003D1522" w:rsidRDefault="002246AD" w:rsidP="00393796">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3D1522">
              <w:rPr>
                <w:sz w:val="18"/>
                <w:lang w:val="en-GB"/>
              </w:rPr>
              <w:t>4</w:t>
            </w:r>
            <w:r w:rsidR="00393796" w:rsidRPr="003D1522">
              <w:rPr>
                <w:sz w:val="18"/>
                <w:lang w:val="en-GB"/>
              </w:rPr>
              <w:t xml:space="preserve"> </w:t>
            </w:r>
            <w:r w:rsidRPr="003D1522">
              <w:rPr>
                <w:sz w:val="18"/>
                <w:lang w:val="en-GB"/>
              </w:rPr>
              <w:t>413</w:t>
            </w:r>
          </w:p>
        </w:tc>
        <w:tc>
          <w:tcPr>
            <w:tcW w:w="1333" w:type="dxa"/>
            <w:tcBorders>
              <w:top w:val="single" w:sz="12" w:space="0" w:color="auto"/>
              <w:bottom w:val="none" w:sz="0" w:space="0" w:color="auto"/>
            </w:tcBorders>
            <w:shd w:val="clear" w:color="auto" w:fill="auto"/>
            <w:noWrap/>
            <w:vAlign w:val="bottom"/>
            <w:hideMark/>
          </w:tcPr>
          <w:p w:rsidR="002246AD" w:rsidRPr="003D1522" w:rsidRDefault="002246AD" w:rsidP="00393796">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sz w:val="18"/>
                <w:lang w:val="en-GB"/>
              </w:rPr>
            </w:pPr>
            <w:r w:rsidRPr="003D1522">
              <w:rPr>
                <w:sz w:val="18"/>
                <w:lang w:val="en-GB"/>
              </w:rPr>
              <w:t>5</w:t>
            </w:r>
            <w:r w:rsidR="00393796" w:rsidRPr="003D1522">
              <w:rPr>
                <w:sz w:val="18"/>
                <w:lang w:val="en-GB"/>
              </w:rPr>
              <w:t xml:space="preserve"> </w:t>
            </w:r>
            <w:r w:rsidRPr="003D1522">
              <w:rPr>
                <w:sz w:val="18"/>
                <w:lang w:val="en-GB"/>
              </w:rPr>
              <w:t>478</w:t>
            </w:r>
          </w:p>
        </w:tc>
      </w:tr>
      <w:tr w:rsidR="002246AD" w:rsidRPr="003D1522" w:rsidTr="00624918">
        <w:tc>
          <w:tcPr>
            <w:cnfStyle w:val="001000000000" w:firstRow="0" w:lastRow="0" w:firstColumn="1" w:lastColumn="0" w:oddVBand="0" w:evenVBand="0" w:oddHBand="0" w:evenHBand="0" w:firstRowFirstColumn="0" w:firstRowLastColumn="0" w:lastRowFirstColumn="0" w:lastRowLastColumn="0"/>
            <w:tcW w:w="1333" w:type="dxa"/>
            <w:tcBorders>
              <w:bottom w:val="single" w:sz="4" w:space="0" w:color="auto"/>
            </w:tcBorders>
            <w:shd w:val="clear" w:color="auto" w:fill="auto"/>
            <w:noWrap/>
            <w:hideMark/>
          </w:tcPr>
          <w:p w:rsidR="002246AD" w:rsidRPr="003D1522" w:rsidRDefault="002246AD" w:rsidP="00393796">
            <w:pPr>
              <w:pStyle w:val="SingleTxtG"/>
              <w:spacing w:before="40" w:after="40" w:line="220" w:lineRule="exact"/>
              <w:ind w:left="0" w:right="113"/>
              <w:jc w:val="left"/>
              <w:rPr>
                <w:b w:val="0"/>
                <w:bCs w:val="0"/>
                <w:sz w:val="18"/>
                <w:lang w:val="en-GB"/>
              </w:rPr>
            </w:pPr>
            <w:r w:rsidRPr="003D1522">
              <w:rPr>
                <w:b w:val="0"/>
                <w:bCs w:val="0"/>
                <w:sz w:val="18"/>
                <w:lang w:val="en-GB"/>
              </w:rPr>
              <w:t>Female</w:t>
            </w:r>
          </w:p>
        </w:tc>
        <w:tc>
          <w:tcPr>
            <w:tcW w:w="1333" w:type="dxa"/>
            <w:tcBorders>
              <w:bottom w:val="single" w:sz="4" w:space="0" w:color="auto"/>
            </w:tcBorders>
            <w:shd w:val="clear" w:color="auto" w:fill="auto"/>
            <w:noWrap/>
            <w:vAlign w:val="bottom"/>
            <w:hideMark/>
          </w:tcPr>
          <w:p w:rsidR="002246AD" w:rsidRPr="003D1522" w:rsidRDefault="002246AD" w:rsidP="00393796">
            <w:pPr>
              <w:pStyle w:val="SingleTxtG"/>
              <w:spacing w:before="40" w:after="40" w:line="220" w:lineRule="exact"/>
              <w:ind w:left="0"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3D1522">
              <w:rPr>
                <w:sz w:val="18"/>
                <w:lang w:val="en-GB"/>
              </w:rPr>
              <w:t>4</w:t>
            </w:r>
          </w:p>
        </w:tc>
        <w:tc>
          <w:tcPr>
            <w:tcW w:w="1333" w:type="dxa"/>
            <w:tcBorders>
              <w:bottom w:val="single" w:sz="4" w:space="0" w:color="auto"/>
            </w:tcBorders>
            <w:shd w:val="clear" w:color="auto" w:fill="auto"/>
            <w:noWrap/>
            <w:vAlign w:val="bottom"/>
            <w:hideMark/>
          </w:tcPr>
          <w:p w:rsidR="002246AD" w:rsidRPr="003D1522" w:rsidRDefault="002246AD" w:rsidP="00393796">
            <w:pPr>
              <w:pStyle w:val="SingleTxtG"/>
              <w:spacing w:before="40" w:after="40" w:line="220" w:lineRule="exact"/>
              <w:ind w:left="0"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3D1522">
              <w:rPr>
                <w:sz w:val="18"/>
                <w:lang w:val="en-GB"/>
              </w:rPr>
              <w:t>51</w:t>
            </w:r>
          </w:p>
        </w:tc>
        <w:tc>
          <w:tcPr>
            <w:tcW w:w="1333" w:type="dxa"/>
            <w:tcBorders>
              <w:bottom w:val="single" w:sz="4" w:space="0" w:color="auto"/>
            </w:tcBorders>
            <w:shd w:val="clear" w:color="auto" w:fill="auto"/>
            <w:noWrap/>
            <w:vAlign w:val="bottom"/>
            <w:hideMark/>
          </w:tcPr>
          <w:p w:rsidR="002246AD" w:rsidRPr="003D1522" w:rsidRDefault="002246AD" w:rsidP="00393796">
            <w:pPr>
              <w:pStyle w:val="SingleTxtG"/>
              <w:spacing w:before="40" w:after="40" w:line="220" w:lineRule="exact"/>
              <w:ind w:left="0"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3D1522">
              <w:rPr>
                <w:sz w:val="18"/>
                <w:lang w:val="en-GB"/>
              </w:rPr>
              <w:t>1</w:t>
            </w:r>
            <w:r w:rsidR="00393796" w:rsidRPr="003D1522">
              <w:rPr>
                <w:sz w:val="18"/>
                <w:lang w:val="en-GB"/>
              </w:rPr>
              <w:t xml:space="preserve"> </w:t>
            </w:r>
            <w:r w:rsidRPr="003D1522">
              <w:rPr>
                <w:sz w:val="18"/>
                <w:lang w:val="en-GB"/>
              </w:rPr>
              <w:t>154</w:t>
            </w:r>
          </w:p>
        </w:tc>
        <w:tc>
          <w:tcPr>
            <w:tcW w:w="1333" w:type="dxa"/>
            <w:tcBorders>
              <w:bottom w:val="single" w:sz="4" w:space="0" w:color="auto"/>
            </w:tcBorders>
            <w:shd w:val="clear" w:color="auto" w:fill="auto"/>
            <w:noWrap/>
            <w:vAlign w:val="bottom"/>
            <w:hideMark/>
          </w:tcPr>
          <w:p w:rsidR="002246AD" w:rsidRPr="003D1522" w:rsidRDefault="002246AD" w:rsidP="00393796">
            <w:pPr>
              <w:pStyle w:val="SingleTxtG"/>
              <w:spacing w:before="40" w:after="40" w:line="220" w:lineRule="exact"/>
              <w:ind w:left="0"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3D1522">
              <w:rPr>
                <w:sz w:val="18"/>
                <w:lang w:val="en-GB"/>
              </w:rPr>
              <w:t>5</w:t>
            </w:r>
            <w:r w:rsidR="00393796" w:rsidRPr="003D1522">
              <w:rPr>
                <w:sz w:val="18"/>
                <w:lang w:val="en-GB"/>
              </w:rPr>
              <w:t xml:space="preserve"> </w:t>
            </w:r>
            <w:r w:rsidRPr="003D1522">
              <w:rPr>
                <w:sz w:val="18"/>
                <w:lang w:val="en-GB"/>
              </w:rPr>
              <w:t>946</w:t>
            </w:r>
          </w:p>
        </w:tc>
        <w:tc>
          <w:tcPr>
            <w:tcW w:w="1333" w:type="dxa"/>
            <w:tcBorders>
              <w:bottom w:val="single" w:sz="4" w:space="0" w:color="auto"/>
            </w:tcBorders>
            <w:shd w:val="clear" w:color="auto" w:fill="auto"/>
            <w:noWrap/>
            <w:vAlign w:val="bottom"/>
            <w:hideMark/>
          </w:tcPr>
          <w:p w:rsidR="002246AD" w:rsidRPr="003D1522" w:rsidRDefault="002246AD" w:rsidP="00393796">
            <w:pPr>
              <w:pStyle w:val="SingleTxtG"/>
              <w:spacing w:before="40" w:after="40" w:line="220" w:lineRule="exact"/>
              <w:ind w:left="0" w:right="113"/>
              <w:jc w:val="right"/>
              <w:cnfStyle w:val="000000000000" w:firstRow="0" w:lastRow="0" w:firstColumn="0" w:lastColumn="0" w:oddVBand="0" w:evenVBand="0" w:oddHBand="0" w:evenHBand="0" w:firstRowFirstColumn="0" w:firstRowLastColumn="0" w:lastRowFirstColumn="0" w:lastRowLastColumn="0"/>
              <w:rPr>
                <w:sz w:val="18"/>
                <w:lang w:val="en-GB"/>
              </w:rPr>
            </w:pPr>
            <w:r w:rsidRPr="003D1522">
              <w:rPr>
                <w:sz w:val="18"/>
                <w:lang w:val="en-GB"/>
              </w:rPr>
              <w:t>7</w:t>
            </w:r>
            <w:r w:rsidR="00393796" w:rsidRPr="003D1522">
              <w:rPr>
                <w:sz w:val="18"/>
                <w:lang w:val="en-GB"/>
              </w:rPr>
              <w:t xml:space="preserve"> </w:t>
            </w:r>
            <w:r w:rsidRPr="003D1522">
              <w:rPr>
                <w:sz w:val="18"/>
                <w:lang w:val="en-GB"/>
              </w:rPr>
              <w:t>155</w:t>
            </w:r>
          </w:p>
        </w:tc>
      </w:tr>
      <w:tr w:rsidR="002246AD" w:rsidRPr="003D1522" w:rsidTr="00624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Borders>
              <w:top w:val="single" w:sz="4" w:space="0" w:color="auto"/>
              <w:bottom w:val="single" w:sz="12" w:space="0" w:color="auto"/>
            </w:tcBorders>
            <w:shd w:val="clear" w:color="auto" w:fill="auto"/>
            <w:noWrap/>
            <w:hideMark/>
          </w:tcPr>
          <w:p w:rsidR="002246AD" w:rsidRPr="003D1522" w:rsidRDefault="002246AD" w:rsidP="00C45231">
            <w:pPr>
              <w:pStyle w:val="SingleTxtG"/>
              <w:spacing w:before="80" w:after="80" w:line="220" w:lineRule="exact"/>
              <w:ind w:left="283" w:right="0"/>
              <w:rPr>
                <w:bCs w:val="0"/>
                <w:sz w:val="18"/>
                <w:lang w:val="en-GB"/>
              </w:rPr>
            </w:pPr>
            <w:r w:rsidRPr="003D1522">
              <w:rPr>
                <w:bCs w:val="0"/>
                <w:sz w:val="18"/>
                <w:lang w:val="en-GB"/>
              </w:rPr>
              <w:t>Total</w:t>
            </w:r>
          </w:p>
        </w:tc>
        <w:tc>
          <w:tcPr>
            <w:tcW w:w="1333" w:type="dxa"/>
            <w:tcBorders>
              <w:top w:val="single" w:sz="4" w:space="0" w:color="auto"/>
              <w:bottom w:val="single" w:sz="12" w:space="0" w:color="auto"/>
            </w:tcBorders>
            <w:shd w:val="clear" w:color="auto" w:fill="auto"/>
            <w:noWrap/>
            <w:vAlign w:val="bottom"/>
            <w:hideMark/>
          </w:tcPr>
          <w:p w:rsidR="002246AD" w:rsidRPr="003D1522" w:rsidRDefault="002246AD" w:rsidP="00393796">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b/>
                <w:bCs/>
                <w:sz w:val="18"/>
                <w:lang w:val="en-GB"/>
              </w:rPr>
            </w:pPr>
            <w:r w:rsidRPr="003D1522">
              <w:rPr>
                <w:b/>
                <w:bCs/>
                <w:sz w:val="18"/>
                <w:lang w:val="en-GB"/>
              </w:rPr>
              <w:t>10</w:t>
            </w:r>
          </w:p>
        </w:tc>
        <w:tc>
          <w:tcPr>
            <w:tcW w:w="1333" w:type="dxa"/>
            <w:tcBorders>
              <w:top w:val="single" w:sz="4" w:space="0" w:color="auto"/>
              <w:bottom w:val="single" w:sz="12" w:space="0" w:color="auto"/>
            </w:tcBorders>
            <w:shd w:val="clear" w:color="auto" w:fill="auto"/>
            <w:noWrap/>
            <w:vAlign w:val="bottom"/>
            <w:hideMark/>
          </w:tcPr>
          <w:p w:rsidR="002246AD" w:rsidRPr="003D1522" w:rsidRDefault="002246AD" w:rsidP="00393796">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b/>
                <w:bCs/>
                <w:sz w:val="18"/>
                <w:lang w:val="en-GB"/>
              </w:rPr>
            </w:pPr>
            <w:r w:rsidRPr="003D1522">
              <w:rPr>
                <w:b/>
                <w:bCs/>
                <w:sz w:val="18"/>
                <w:lang w:val="en-GB"/>
              </w:rPr>
              <w:t>118</w:t>
            </w:r>
          </w:p>
        </w:tc>
        <w:tc>
          <w:tcPr>
            <w:tcW w:w="1333" w:type="dxa"/>
            <w:tcBorders>
              <w:top w:val="single" w:sz="4" w:space="0" w:color="auto"/>
              <w:bottom w:val="single" w:sz="12" w:space="0" w:color="auto"/>
            </w:tcBorders>
            <w:shd w:val="clear" w:color="auto" w:fill="auto"/>
            <w:noWrap/>
            <w:vAlign w:val="bottom"/>
            <w:hideMark/>
          </w:tcPr>
          <w:p w:rsidR="002246AD" w:rsidRPr="003D1522" w:rsidRDefault="002246AD" w:rsidP="00393796">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b/>
                <w:bCs/>
                <w:sz w:val="18"/>
                <w:lang w:val="en-GB"/>
              </w:rPr>
            </w:pPr>
            <w:r w:rsidRPr="003D1522">
              <w:rPr>
                <w:b/>
                <w:bCs/>
                <w:sz w:val="18"/>
                <w:lang w:val="en-GB"/>
              </w:rPr>
              <w:t>2</w:t>
            </w:r>
            <w:r w:rsidR="00393796" w:rsidRPr="003D1522">
              <w:rPr>
                <w:b/>
                <w:bCs/>
                <w:sz w:val="18"/>
                <w:lang w:val="en-GB"/>
              </w:rPr>
              <w:t xml:space="preserve"> </w:t>
            </w:r>
            <w:r w:rsidRPr="003D1522">
              <w:rPr>
                <w:b/>
                <w:bCs/>
                <w:sz w:val="18"/>
                <w:lang w:val="en-GB"/>
              </w:rPr>
              <w:t>146</w:t>
            </w:r>
          </w:p>
        </w:tc>
        <w:tc>
          <w:tcPr>
            <w:tcW w:w="1333" w:type="dxa"/>
            <w:tcBorders>
              <w:top w:val="single" w:sz="4" w:space="0" w:color="auto"/>
              <w:bottom w:val="single" w:sz="12" w:space="0" w:color="auto"/>
            </w:tcBorders>
            <w:shd w:val="clear" w:color="auto" w:fill="auto"/>
            <w:noWrap/>
            <w:vAlign w:val="bottom"/>
            <w:hideMark/>
          </w:tcPr>
          <w:p w:rsidR="002246AD" w:rsidRPr="003D1522" w:rsidRDefault="002246AD" w:rsidP="00393796">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b/>
                <w:bCs/>
                <w:sz w:val="18"/>
                <w:lang w:val="en-GB"/>
              </w:rPr>
            </w:pPr>
            <w:r w:rsidRPr="003D1522">
              <w:rPr>
                <w:b/>
                <w:bCs/>
                <w:sz w:val="18"/>
                <w:lang w:val="en-GB"/>
              </w:rPr>
              <w:t>10</w:t>
            </w:r>
            <w:r w:rsidR="00393796" w:rsidRPr="003D1522">
              <w:rPr>
                <w:b/>
                <w:bCs/>
                <w:sz w:val="18"/>
                <w:lang w:val="en-GB"/>
              </w:rPr>
              <w:t xml:space="preserve"> </w:t>
            </w:r>
            <w:r w:rsidRPr="003D1522">
              <w:rPr>
                <w:b/>
                <w:bCs/>
                <w:sz w:val="18"/>
                <w:lang w:val="en-GB"/>
              </w:rPr>
              <w:t>359</w:t>
            </w:r>
          </w:p>
        </w:tc>
        <w:tc>
          <w:tcPr>
            <w:tcW w:w="1333" w:type="dxa"/>
            <w:tcBorders>
              <w:top w:val="single" w:sz="4" w:space="0" w:color="auto"/>
              <w:bottom w:val="single" w:sz="12" w:space="0" w:color="auto"/>
            </w:tcBorders>
            <w:shd w:val="clear" w:color="auto" w:fill="auto"/>
            <w:noWrap/>
            <w:vAlign w:val="bottom"/>
            <w:hideMark/>
          </w:tcPr>
          <w:p w:rsidR="002246AD" w:rsidRPr="003D1522" w:rsidRDefault="002246AD" w:rsidP="00393796">
            <w:pPr>
              <w:pStyle w:val="SingleTxtG"/>
              <w:spacing w:before="40" w:after="40" w:line="220" w:lineRule="exact"/>
              <w:ind w:left="0" w:right="113"/>
              <w:jc w:val="right"/>
              <w:cnfStyle w:val="000000100000" w:firstRow="0" w:lastRow="0" w:firstColumn="0" w:lastColumn="0" w:oddVBand="0" w:evenVBand="0" w:oddHBand="1" w:evenHBand="0" w:firstRowFirstColumn="0" w:firstRowLastColumn="0" w:lastRowFirstColumn="0" w:lastRowLastColumn="0"/>
              <w:rPr>
                <w:b/>
                <w:bCs/>
                <w:sz w:val="18"/>
                <w:lang w:val="en-GB"/>
              </w:rPr>
            </w:pPr>
            <w:r w:rsidRPr="003D1522">
              <w:rPr>
                <w:b/>
                <w:bCs/>
                <w:sz w:val="18"/>
                <w:lang w:val="en-GB"/>
              </w:rPr>
              <w:t>12</w:t>
            </w:r>
            <w:r w:rsidR="00393796" w:rsidRPr="003D1522">
              <w:rPr>
                <w:b/>
                <w:bCs/>
                <w:sz w:val="18"/>
                <w:lang w:val="en-GB"/>
              </w:rPr>
              <w:t xml:space="preserve"> </w:t>
            </w:r>
            <w:r w:rsidRPr="003D1522">
              <w:rPr>
                <w:b/>
                <w:bCs/>
                <w:sz w:val="18"/>
                <w:lang w:val="en-GB"/>
              </w:rPr>
              <w:t>633</w:t>
            </w:r>
          </w:p>
        </w:tc>
      </w:tr>
    </w:tbl>
    <w:p w:rsidR="002246AD" w:rsidRPr="003D1522" w:rsidRDefault="002246AD" w:rsidP="00134B8A">
      <w:pPr>
        <w:spacing w:before="120" w:after="240"/>
        <w:ind w:left="1134" w:right="1134" w:firstLine="170"/>
        <w:rPr>
          <w:sz w:val="18"/>
        </w:rPr>
      </w:pPr>
      <w:r w:rsidRPr="003D1522">
        <w:rPr>
          <w:i/>
          <w:iCs/>
          <w:sz w:val="18"/>
        </w:rPr>
        <w:t>Source</w:t>
      </w:r>
      <w:r w:rsidR="00134B8A" w:rsidRPr="003D1522">
        <w:rPr>
          <w:sz w:val="18"/>
        </w:rPr>
        <w:t xml:space="preserve">: </w:t>
      </w:r>
      <w:r w:rsidRPr="003D1522">
        <w:rPr>
          <w:sz w:val="18"/>
        </w:rPr>
        <w:t>Tax and Customs Board.</w:t>
      </w:r>
    </w:p>
    <w:p w:rsidR="002246AD" w:rsidRPr="003D1522" w:rsidRDefault="002246AD" w:rsidP="007566D9">
      <w:pPr>
        <w:pStyle w:val="SingleTxtG"/>
      </w:pPr>
      <w:r w:rsidRPr="003D1522">
        <w:t>73.</w:t>
      </w:r>
      <w:r w:rsidRPr="003D1522">
        <w:tab/>
        <w:t xml:space="preserve">In addition to regular inspections, the Labour Inspectorate conducts targeted inspections on working minors during the summer. As a result of more attention to minors in recent years the violations concerning working conditions of minors have significantly decreased since 2008. It is difficult to bring out concrete number of inspections concerning minors, since in addition to target inspections, working conditions of minors are also inspected during the routine inspections. </w:t>
      </w:r>
    </w:p>
    <w:p w:rsidR="002246AD" w:rsidRPr="003D1522" w:rsidRDefault="002246AD" w:rsidP="004579D1">
      <w:pPr>
        <w:pStyle w:val="Heading1"/>
        <w:spacing w:after="120"/>
      </w:pPr>
      <w:r w:rsidRPr="003D1522">
        <w:t>Table 3</w:t>
      </w:r>
      <w:r w:rsidRPr="003D1522">
        <w:br/>
      </w:r>
      <w:r w:rsidRPr="003D1522">
        <w:rPr>
          <w:rStyle w:val="SingleTxtGChar"/>
          <w:b/>
          <w:bCs/>
        </w:rPr>
        <w:t>Violations regarding working conditions of minors, 2014</w:t>
      </w:r>
      <w:r w:rsidR="00134B8A" w:rsidRPr="003D1522">
        <w:rPr>
          <w:rStyle w:val="SingleTxtGChar"/>
          <w:b/>
          <w:bCs/>
        </w:rPr>
        <w:t>–</w:t>
      </w:r>
      <w:r w:rsidRPr="003D1522">
        <w:rPr>
          <w:rStyle w:val="SingleTxtGChar"/>
          <w:b/>
          <w:bCs/>
        </w:rPr>
        <w:t>2017</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44"/>
        <w:gridCol w:w="956"/>
        <w:gridCol w:w="957"/>
        <w:gridCol w:w="956"/>
        <w:gridCol w:w="957"/>
      </w:tblGrid>
      <w:tr w:rsidR="00134B8A" w:rsidRPr="003D1522" w:rsidTr="00036219">
        <w:trPr>
          <w:tblHeader/>
        </w:trPr>
        <w:tc>
          <w:tcPr>
            <w:tcW w:w="3544" w:type="dxa"/>
            <w:tcBorders>
              <w:top w:val="single" w:sz="4" w:space="0" w:color="auto"/>
              <w:bottom w:val="single" w:sz="12" w:space="0" w:color="auto"/>
            </w:tcBorders>
            <w:shd w:val="clear" w:color="auto" w:fill="auto"/>
            <w:vAlign w:val="bottom"/>
          </w:tcPr>
          <w:p w:rsidR="002246AD" w:rsidRPr="003D1522" w:rsidRDefault="002246AD" w:rsidP="00134B8A">
            <w:pPr>
              <w:pStyle w:val="SingleTxtG"/>
              <w:spacing w:before="80" w:after="80" w:line="200" w:lineRule="exact"/>
              <w:ind w:left="0" w:right="113"/>
              <w:jc w:val="left"/>
              <w:rPr>
                <w:i/>
                <w:sz w:val="16"/>
              </w:rPr>
            </w:pPr>
          </w:p>
        </w:tc>
        <w:tc>
          <w:tcPr>
            <w:tcW w:w="956" w:type="dxa"/>
            <w:tcBorders>
              <w:top w:val="single" w:sz="4" w:space="0" w:color="auto"/>
              <w:bottom w:val="single" w:sz="12" w:space="0" w:color="auto"/>
            </w:tcBorders>
            <w:shd w:val="clear" w:color="auto" w:fill="auto"/>
            <w:vAlign w:val="bottom"/>
            <w:hideMark/>
          </w:tcPr>
          <w:p w:rsidR="002246AD" w:rsidRPr="003D1522" w:rsidRDefault="002246AD" w:rsidP="00134B8A">
            <w:pPr>
              <w:pStyle w:val="SingleTxtG"/>
              <w:spacing w:before="80" w:after="80" w:line="200" w:lineRule="exact"/>
              <w:ind w:left="0" w:right="113"/>
              <w:jc w:val="right"/>
              <w:rPr>
                <w:i/>
                <w:sz w:val="16"/>
              </w:rPr>
            </w:pPr>
            <w:r w:rsidRPr="003D1522">
              <w:rPr>
                <w:i/>
                <w:sz w:val="16"/>
              </w:rPr>
              <w:t>2014</w:t>
            </w:r>
          </w:p>
        </w:tc>
        <w:tc>
          <w:tcPr>
            <w:tcW w:w="957" w:type="dxa"/>
            <w:tcBorders>
              <w:top w:val="single" w:sz="4" w:space="0" w:color="auto"/>
              <w:bottom w:val="single" w:sz="12" w:space="0" w:color="auto"/>
            </w:tcBorders>
            <w:shd w:val="clear" w:color="auto" w:fill="auto"/>
            <w:vAlign w:val="bottom"/>
            <w:hideMark/>
          </w:tcPr>
          <w:p w:rsidR="002246AD" w:rsidRPr="003D1522" w:rsidRDefault="002246AD" w:rsidP="00134B8A">
            <w:pPr>
              <w:pStyle w:val="SingleTxtG"/>
              <w:spacing w:before="80" w:after="80" w:line="200" w:lineRule="exact"/>
              <w:ind w:left="0" w:right="113"/>
              <w:jc w:val="right"/>
              <w:rPr>
                <w:i/>
                <w:sz w:val="16"/>
              </w:rPr>
            </w:pPr>
            <w:r w:rsidRPr="003D1522">
              <w:rPr>
                <w:i/>
                <w:sz w:val="16"/>
              </w:rPr>
              <w:t>2015</w:t>
            </w:r>
          </w:p>
        </w:tc>
        <w:tc>
          <w:tcPr>
            <w:tcW w:w="956" w:type="dxa"/>
            <w:tcBorders>
              <w:top w:val="single" w:sz="4" w:space="0" w:color="auto"/>
              <w:bottom w:val="single" w:sz="12" w:space="0" w:color="auto"/>
            </w:tcBorders>
            <w:shd w:val="clear" w:color="auto" w:fill="auto"/>
            <w:vAlign w:val="bottom"/>
            <w:hideMark/>
          </w:tcPr>
          <w:p w:rsidR="002246AD" w:rsidRPr="003D1522" w:rsidRDefault="002246AD" w:rsidP="00134B8A">
            <w:pPr>
              <w:pStyle w:val="SingleTxtG"/>
              <w:spacing w:before="80" w:after="80" w:line="200" w:lineRule="exact"/>
              <w:ind w:left="0" w:right="113"/>
              <w:jc w:val="right"/>
              <w:rPr>
                <w:i/>
                <w:sz w:val="16"/>
              </w:rPr>
            </w:pPr>
            <w:r w:rsidRPr="003D1522">
              <w:rPr>
                <w:i/>
                <w:sz w:val="16"/>
              </w:rPr>
              <w:t>2016</w:t>
            </w:r>
          </w:p>
        </w:tc>
        <w:tc>
          <w:tcPr>
            <w:tcW w:w="957" w:type="dxa"/>
            <w:tcBorders>
              <w:top w:val="single" w:sz="4" w:space="0" w:color="auto"/>
              <w:bottom w:val="single" w:sz="12" w:space="0" w:color="auto"/>
            </w:tcBorders>
            <w:shd w:val="clear" w:color="auto" w:fill="auto"/>
            <w:vAlign w:val="bottom"/>
            <w:hideMark/>
          </w:tcPr>
          <w:p w:rsidR="002246AD" w:rsidRPr="003D1522" w:rsidRDefault="002246AD" w:rsidP="00134B8A">
            <w:pPr>
              <w:pStyle w:val="SingleTxtG"/>
              <w:spacing w:before="80" w:after="80" w:line="200" w:lineRule="exact"/>
              <w:ind w:left="0" w:right="113"/>
              <w:jc w:val="right"/>
              <w:rPr>
                <w:i/>
                <w:sz w:val="16"/>
              </w:rPr>
            </w:pPr>
            <w:r w:rsidRPr="003D1522">
              <w:rPr>
                <w:i/>
                <w:sz w:val="16"/>
              </w:rPr>
              <w:t>2017</w:t>
            </w:r>
          </w:p>
        </w:tc>
      </w:tr>
      <w:tr w:rsidR="002246AD" w:rsidRPr="003D1522" w:rsidTr="00036219">
        <w:tc>
          <w:tcPr>
            <w:tcW w:w="3544" w:type="dxa"/>
            <w:tcBorders>
              <w:top w:val="single" w:sz="12" w:space="0" w:color="auto"/>
            </w:tcBorders>
            <w:shd w:val="clear" w:color="auto" w:fill="auto"/>
            <w:hideMark/>
          </w:tcPr>
          <w:p w:rsidR="002246AD" w:rsidRPr="003D1522" w:rsidRDefault="002246AD" w:rsidP="00134B8A">
            <w:pPr>
              <w:pStyle w:val="SingleTxtG"/>
              <w:spacing w:before="40" w:after="40" w:line="220" w:lineRule="exact"/>
              <w:ind w:left="0" w:right="113"/>
              <w:jc w:val="left"/>
              <w:rPr>
                <w:sz w:val="18"/>
              </w:rPr>
            </w:pPr>
            <w:r w:rsidRPr="003D1522">
              <w:rPr>
                <w:sz w:val="18"/>
              </w:rPr>
              <w:t>Entry into an employment contract or the admission of a minor to work that is prohibited</w:t>
            </w:r>
          </w:p>
        </w:tc>
        <w:tc>
          <w:tcPr>
            <w:tcW w:w="956" w:type="dxa"/>
            <w:tcBorders>
              <w:top w:val="single" w:sz="12" w:space="0" w:color="auto"/>
            </w:tcBorders>
            <w:shd w:val="clear" w:color="auto" w:fill="auto"/>
            <w:vAlign w:val="bottom"/>
            <w:hideMark/>
          </w:tcPr>
          <w:p w:rsidR="002246AD" w:rsidRPr="003D1522" w:rsidRDefault="002246AD" w:rsidP="00134B8A">
            <w:pPr>
              <w:pStyle w:val="SingleTxtG"/>
              <w:spacing w:before="40" w:after="40" w:line="220" w:lineRule="exact"/>
              <w:ind w:left="0" w:right="113"/>
              <w:jc w:val="right"/>
              <w:rPr>
                <w:sz w:val="18"/>
              </w:rPr>
            </w:pPr>
            <w:r w:rsidRPr="003D1522">
              <w:rPr>
                <w:sz w:val="18"/>
              </w:rPr>
              <w:t>2</w:t>
            </w:r>
          </w:p>
        </w:tc>
        <w:tc>
          <w:tcPr>
            <w:tcW w:w="957" w:type="dxa"/>
            <w:tcBorders>
              <w:top w:val="single" w:sz="12" w:space="0" w:color="auto"/>
            </w:tcBorders>
            <w:shd w:val="clear" w:color="auto" w:fill="auto"/>
            <w:vAlign w:val="bottom"/>
            <w:hideMark/>
          </w:tcPr>
          <w:p w:rsidR="002246AD" w:rsidRPr="003D1522" w:rsidRDefault="002246AD" w:rsidP="00134B8A">
            <w:pPr>
              <w:pStyle w:val="SingleTxtG"/>
              <w:spacing w:before="40" w:after="40" w:line="220" w:lineRule="exact"/>
              <w:ind w:left="0" w:right="113"/>
              <w:jc w:val="right"/>
              <w:rPr>
                <w:sz w:val="18"/>
              </w:rPr>
            </w:pPr>
            <w:r w:rsidRPr="003D1522">
              <w:rPr>
                <w:sz w:val="18"/>
              </w:rPr>
              <w:t>1</w:t>
            </w:r>
          </w:p>
        </w:tc>
        <w:tc>
          <w:tcPr>
            <w:tcW w:w="956" w:type="dxa"/>
            <w:tcBorders>
              <w:top w:val="single" w:sz="12" w:space="0" w:color="auto"/>
            </w:tcBorders>
            <w:shd w:val="clear" w:color="auto" w:fill="auto"/>
            <w:vAlign w:val="bottom"/>
            <w:hideMark/>
          </w:tcPr>
          <w:p w:rsidR="002246AD" w:rsidRPr="003D1522" w:rsidRDefault="002246AD" w:rsidP="00134B8A">
            <w:pPr>
              <w:pStyle w:val="SingleTxtG"/>
              <w:spacing w:before="40" w:after="40" w:line="220" w:lineRule="exact"/>
              <w:ind w:left="0" w:right="113"/>
              <w:jc w:val="right"/>
              <w:rPr>
                <w:sz w:val="18"/>
              </w:rPr>
            </w:pPr>
            <w:r w:rsidRPr="003D1522">
              <w:rPr>
                <w:sz w:val="18"/>
              </w:rPr>
              <w:t>-</w:t>
            </w:r>
          </w:p>
        </w:tc>
        <w:tc>
          <w:tcPr>
            <w:tcW w:w="957" w:type="dxa"/>
            <w:tcBorders>
              <w:top w:val="single" w:sz="12" w:space="0" w:color="auto"/>
            </w:tcBorders>
            <w:shd w:val="clear" w:color="auto" w:fill="auto"/>
            <w:vAlign w:val="bottom"/>
            <w:hideMark/>
          </w:tcPr>
          <w:p w:rsidR="002246AD" w:rsidRPr="003D1522" w:rsidRDefault="002246AD" w:rsidP="00134B8A">
            <w:pPr>
              <w:pStyle w:val="SingleTxtG"/>
              <w:spacing w:before="40" w:after="40" w:line="220" w:lineRule="exact"/>
              <w:ind w:left="0" w:right="113"/>
              <w:jc w:val="right"/>
              <w:rPr>
                <w:sz w:val="18"/>
              </w:rPr>
            </w:pPr>
            <w:r w:rsidRPr="003D1522">
              <w:rPr>
                <w:sz w:val="18"/>
              </w:rPr>
              <w:t>-</w:t>
            </w:r>
          </w:p>
        </w:tc>
      </w:tr>
      <w:tr w:rsidR="002246AD" w:rsidRPr="003D1522" w:rsidTr="00036219">
        <w:tc>
          <w:tcPr>
            <w:tcW w:w="3544" w:type="dxa"/>
            <w:tcBorders>
              <w:bottom w:val="nil"/>
            </w:tcBorders>
            <w:shd w:val="clear" w:color="auto" w:fill="auto"/>
            <w:hideMark/>
          </w:tcPr>
          <w:p w:rsidR="002246AD" w:rsidRPr="003D1522" w:rsidRDefault="002246AD" w:rsidP="00134B8A">
            <w:pPr>
              <w:pStyle w:val="SingleTxtG"/>
              <w:spacing w:before="40" w:after="40" w:line="220" w:lineRule="exact"/>
              <w:ind w:left="0" w:right="113"/>
              <w:jc w:val="left"/>
              <w:rPr>
                <w:sz w:val="18"/>
              </w:rPr>
            </w:pPr>
            <w:r w:rsidRPr="003D1522">
              <w:rPr>
                <w:sz w:val="18"/>
              </w:rPr>
              <w:t>Entry into an employment contract with a minor without the prior consent of a legal representative</w:t>
            </w:r>
          </w:p>
        </w:tc>
        <w:tc>
          <w:tcPr>
            <w:tcW w:w="956" w:type="dxa"/>
            <w:tcBorders>
              <w:bottom w:val="nil"/>
            </w:tcBorders>
            <w:shd w:val="clear" w:color="auto" w:fill="auto"/>
            <w:vAlign w:val="bottom"/>
            <w:hideMark/>
          </w:tcPr>
          <w:p w:rsidR="002246AD" w:rsidRPr="003D1522" w:rsidRDefault="002246AD" w:rsidP="00134B8A">
            <w:pPr>
              <w:pStyle w:val="SingleTxtG"/>
              <w:spacing w:before="40" w:after="40" w:line="220" w:lineRule="exact"/>
              <w:ind w:left="0" w:right="113"/>
              <w:jc w:val="right"/>
              <w:rPr>
                <w:sz w:val="18"/>
              </w:rPr>
            </w:pPr>
            <w:r w:rsidRPr="003D1522">
              <w:rPr>
                <w:sz w:val="18"/>
              </w:rPr>
              <w:t>-</w:t>
            </w:r>
          </w:p>
        </w:tc>
        <w:tc>
          <w:tcPr>
            <w:tcW w:w="957" w:type="dxa"/>
            <w:tcBorders>
              <w:bottom w:val="nil"/>
            </w:tcBorders>
            <w:shd w:val="clear" w:color="auto" w:fill="auto"/>
            <w:vAlign w:val="bottom"/>
            <w:hideMark/>
          </w:tcPr>
          <w:p w:rsidR="002246AD" w:rsidRPr="003D1522" w:rsidRDefault="002246AD" w:rsidP="00134B8A">
            <w:pPr>
              <w:pStyle w:val="SingleTxtG"/>
              <w:spacing w:before="40" w:after="40" w:line="220" w:lineRule="exact"/>
              <w:ind w:left="0" w:right="113"/>
              <w:jc w:val="right"/>
              <w:rPr>
                <w:sz w:val="18"/>
              </w:rPr>
            </w:pPr>
            <w:r w:rsidRPr="003D1522">
              <w:rPr>
                <w:sz w:val="18"/>
              </w:rPr>
              <w:t>2</w:t>
            </w:r>
          </w:p>
        </w:tc>
        <w:tc>
          <w:tcPr>
            <w:tcW w:w="956" w:type="dxa"/>
            <w:tcBorders>
              <w:bottom w:val="nil"/>
            </w:tcBorders>
            <w:shd w:val="clear" w:color="auto" w:fill="auto"/>
            <w:vAlign w:val="bottom"/>
            <w:hideMark/>
          </w:tcPr>
          <w:p w:rsidR="002246AD" w:rsidRPr="003D1522" w:rsidRDefault="002246AD" w:rsidP="00134B8A">
            <w:pPr>
              <w:pStyle w:val="SingleTxtG"/>
              <w:spacing w:before="40" w:after="40" w:line="220" w:lineRule="exact"/>
              <w:ind w:left="0" w:right="113"/>
              <w:jc w:val="right"/>
              <w:rPr>
                <w:sz w:val="18"/>
              </w:rPr>
            </w:pPr>
            <w:r w:rsidRPr="003D1522">
              <w:rPr>
                <w:sz w:val="18"/>
              </w:rPr>
              <w:t>-</w:t>
            </w:r>
          </w:p>
        </w:tc>
        <w:tc>
          <w:tcPr>
            <w:tcW w:w="957" w:type="dxa"/>
            <w:tcBorders>
              <w:bottom w:val="nil"/>
            </w:tcBorders>
            <w:shd w:val="clear" w:color="auto" w:fill="auto"/>
            <w:vAlign w:val="bottom"/>
            <w:hideMark/>
          </w:tcPr>
          <w:p w:rsidR="002246AD" w:rsidRPr="003D1522" w:rsidRDefault="002246AD" w:rsidP="00134B8A">
            <w:pPr>
              <w:pStyle w:val="SingleTxtG"/>
              <w:spacing w:before="40" w:after="40" w:line="220" w:lineRule="exact"/>
              <w:ind w:left="0" w:right="113"/>
              <w:jc w:val="right"/>
              <w:rPr>
                <w:sz w:val="18"/>
              </w:rPr>
            </w:pPr>
            <w:r w:rsidRPr="003D1522">
              <w:rPr>
                <w:sz w:val="18"/>
              </w:rPr>
              <w:t>1</w:t>
            </w:r>
          </w:p>
        </w:tc>
      </w:tr>
      <w:tr w:rsidR="002246AD" w:rsidRPr="003D1522" w:rsidTr="00036219">
        <w:tc>
          <w:tcPr>
            <w:tcW w:w="3544" w:type="dxa"/>
            <w:tcBorders>
              <w:top w:val="nil"/>
              <w:bottom w:val="nil"/>
            </w:tcBorders>
            <w:shd w:val="clear" w:color="auto" w:fill="auto"/>
            <w:hideMark/>
          </w:tcPr>
          <w:p w:rsidR="002246AD" w:rsidRPr="003D1522" w:rsidRDefault="002246AD" w:rsidP="00134B8A">
            <w:pPr>
              <w:pStyle w:val="SingleTxtG"/>
              <w:spacing w:before="40" w:after="40" w:line="220" w:lineRule="exact"/>
              <w:ind w:left="0" w:right="113"/>
              <w:jc w:val="left"/>
              <w:rPr>
                <w:sz w:val="18"/>
              </w:rPr>
            </w:pPr>
            <w:r w:rsidRPr="003D1522">
              <w:rPr>
                <w:sz w:val="18"/>
              </w:rPr>
              <w:t>Entry into an employment contract without the consent of the labour inspector</w:t>
            </w:r>
          </w:p>
        </w:tc>
        <w:tc>
          <w:tcPr>
            <w:tcW w:w="956" w:type="dxa"/>
            <w:tcBorders>
              <w:top w:val="nil"/>
              <w:bottom w:val="nil"/>
            </w:tcBorders>
            <w:shd w:val="clear" w:color="auto" w:fill="auto"/>
            <w:vAlign w:val="bottom"/>
          </w:tcPr>
          <w:p w:rsidR="002246AD" w:rsidRPr="003D1522" w:rsidRDefault="002246AD" w:rsidP="00134B8A">
            <w:pPr>
              <w:pStyle w:val="SingleTxtG"/>
              <w:spacing w:before="40" w:after="40" w:line="220" w:lineRule="exact"/>
              <w:ind w:left="0" w:right="113"/>
              <w:jc w:val="right"/>
              <w:rPr>
                <w:sz w:val="18"/>
              </w:rPr>
            </w:pPr>
          </w:p>
        </w:tc>
        <w:tc>
          <w:tcPr>
            <w:tcW w:w="957" w:type="dxa"/>
            <w:tcBorders>
              <w:top w:val="nil"/>
              <w:bottom w:val="nil"/>
            </w:tcBorders>
            <w:shd w:val="clear" w:color="auto" w:fill="auto"/>
            <w:vAlign w:val="bottom"/>
            <w:hideMark/>
          </w:tcPr>
          <w:p w:rsidR="002246AD" w:rsidRPr="003D1522" w:rsidRDefault="002246AD" w:rsidP="00134B8A">
            <w:pPr>
              <w:pStyle w:val="SingleTxtG"/>
              <w:spacing w:before="40" w:after="40" w:line="220" w:lineRule="exact"/>
              <w:ind w:left="0" w:right="113"/>
              <w:jc w:val="right"/>
              <w:rPr>
                <w:sz w:val="18"/>
              </w:rPr>
            </w:pPr>
            <w:r w:rsidRPr="003D1522">
              <w:rPr>
                <w:sz w:val="18"/>
              </w:rPr>
              <w:t>-</w:t>
            </w:r>
          </w:p>
        </w:tc>
        <w:tc>
          <w:tcPr>
            <w:tcW w:w="956" w:type="dxa"/>
            <w:tcBorders>
              <w:top w:val="nil"/>
              <w:bottom w:val="nil"/>
            </w:tcBorders>
            <w:shd w:val="clear" w:color="auto" w:fill="auto"/>
            <w:vAlign w:val="bottom"/>
            <w:hideMark/>
          </w:tcPr>
          <w:p w:rsidR="002246AD" w:rsidRPr="003D1522" w:rsidRDefault="002246AD" w:rsidP="00134B8A">
            <w:pPr>
              <w:pStyle w:val="SingleTxtG"/>
              <w:spacing w:before="40" w:after="40" w:line="220" w:lineRule="exact"/>
              <w:ind w:left="0" w:right="113"/>
              <w:jc w:val="right"/>
              <w:rPr>
                <w:sz w:val="18"/>
              </w:rPr>
            </w:pPr>
            <w:r w:rsidRPr="003D1522">
              <w:rPr>
                <w:sz w:val="18"/>
              </w:rPr>
              <w:t>-</w:t>
            </w:r>
          </w:p>
        </w:tc>
        <w:tc>
          <w:tcPr>
            <w:tcW w:w="957" w:type="dxa"/>
            <w:tcBorders>
              <w:top w:val="nil"/>
              <w:bottom w:val="nil"/>
            </w:tcBorders>
            <w:shd w:val="clear" w:color="auto" w:fill="auto"/>
            <w:vAlign w:val="bottom"/>
            <w:hideMark/>
          </w:tcPr>
          <w:p w:rsidR="002246AD" w:rsidRPr="003D1522" w:rsidRDefault="002246AD" w:rsidP="00134B8A">
            <w:pPr>
              <w:pStyle w:val="SingleTxtG"/>
              <w:spacing w:before="40" w:after="40" w:line="220" w:lineRule="exact"/>
              <w:ind w:left="0" w:right="113"/>
              <w:jc w:val="right"/>
              <w:rPr>
                <w:sz w:val="18"/>
              </w:rPr>
            </w:pPr>
            <w:r w:rsidRPr="003D1522">
              <w:rPr>
                <w:sz w:val="18"/>
              </w:rPr>
              <w:t>-</w:t>
            </w:r>
          </w:p>
        </w:tc>
      </w:tr>
      <w:tr w:rsidR="002246AD" w:rsidRPr="003D1522" w:rsidTr="00036219">
        <w:tc>
          <w:tcPr>
            <w:tcW w:w="3544" w:type="dxa"/>
            <w:tcBorders>
              <w:top w:val="nil"/>
              <w:bottom w:val="nil"/>
            </w:tcBorders>
            <w:shd w:val="clear" w:color="auto" w:fill="auto"/>
            <w:hideMark/>
          </w:tcPr>
          <w:p w:rsidR="002246AD" w:rsidRPr="003D1522" w:rsidRDefault="002246AD" w:rsidP="00134B8A">
            <w:pPr>
              <w:pStyle w:val="SingleTxtG"/>
              <w:spacing w:before="40" w:after="40" w:line="220" w:lineRule="exact"/>
              <w:ind w:left="0" w:right="113"/>
              <w:jc w:val="left"/>
              <w:rPr>
                <w:sz w:val="18"/>
              </w:rPr>
            </w:pPr>
            <w:r w:rsidRPr="003D1522">
              <w:rPr>
                <w:sz w:val="18"/>
              </w:rPr>
              <w:t>Working time of minor is more than allowed by law</w:t>
            </w:r>
          </w:p>
        </w:tc>
        <w:tc>
          <w:tcPr>
            <w:tcW w:w="956" w:type="dxa"/>
            <w:tcBorders>
              <w:top w:val="nil"/>
              <w:bottom w:val="nil"/>
            </w:tcBorders>
            <w:shd w:val="clear" w:color="auto" w:fill="auto"/>
            <w:vAlign w:val="bottom"/>
            <w:hideMark/>
          </w:tcPr>
          <w:p w:rsidR="002246AD" w:rsidRPr="003D1522" w:rsidRDefault="002246AD" w:rsidP="00134B8A">
            <w:pPr>
              <w:pStyle w:val="SingleTxtG"/>
              <w:spacing w:before="40" w:after="40" w:line="220" w:lineRule="exact"/>
              <w:ind w:left="0" w:right="113"/>
              <w:jc w:val="right"/>
              <w:rPr>
                <w:sz w:val="18"/>
              </w:rPr>
            </w:pPr>
            <w:r w:rsidRPr="003D1522">
              <w:rPr>
                <w:sz w:val="18"/>
              </w:rPr>
              <w:t>3</w:t>
            </w:r>
          </w:p>
        </w:tc>
        <w:tc>
          <w:tcPr>
            <w:tcW w:w="957" w:type="dxa"/>
            <w:tcBorders>
              <w:top w:val="nil"/>
              <w:bottom w:val="nil"/>
            </w:tcBorders>
            <w:shd w:val="clear" w:color="auto" w:fill="auto"/>
            <w:vAlign w:val="bottom"/>
            <w:hideMark/>
          </w:tcPr>
          <w:p w:rsidR="002246AD" w:rsidRPr="003D1522" w:rsidRDefault="002246AD" w:rsidP="00134B8A">
            <w:pPr>
              <w:pStyle w:val="SingleTxtG"/>
              <w:spacing w:before="40" w:after="40" w:line="220" w:lineRule="exact"/>
              <w:ind w:left="0" w:right="113"/>
              <w:jc w:val="right"/>
              <w:rPr>
                <w:sz w:val="18"/>
              </w:rPr>
            </w:pPr>
            <w:r w:rsidRPr="003D1522">
              <w:rPr>
                <w:sz w:val="18"/>
              </w:rPr>
              <w:t>3</w:t>
            </w:r>
          </w:p>
        </w:tc>
        <w:tc>
          <w:tcPr>
            <w:tcW w:w="956" w:type="dxa"/>
            <w:tcBorders>
              <w:top w:val="nil"/>
              <w:bottom w:val="nil"/>
            </w:tcBorders>
            <w:shd w:val="clear" w:color="auto" w:fill="auto"/>
            <w:vAlign w:val="bottom"/>
            <w:hideMark/>
          </w:tcPr>
          <w:p w:rsidR="002246AD" w:rsidRPr="003D1522" w:rsidRDefault="002246AD" w:rsidP="00134B8A">
            <w:pPr>
              <w:pStyle w:val="SingleTxtG"/>
              <w:spacing w:before="40" w:after="40" w:line="220" w:lineRule="exact"/>
              <w:ind w:left="0" w:right="113"/>
              <w:jc w:val="right"/>
              <w:rPr>
                <w:sz w:val="18"/>
              </w:rPr>
            </w:pPr>
            <w:r w:rsidRPr="003D1522">
              <w:rPr>
                <w:sz w:val="18"/>
              </w:rPr>
              <w:t>1</w:t>
            </w:r>
          </w:p>
        </w:tc>
        <w:tc>
          <w:tcPr>
            <w:tcW w:w="957" w:type="dxa"/>
            <w:tcBorders>
              <w:top w:val="nil"/>
              <w:bottom w:val="nil"/>
            </w:tcBorders>
            <w:shd w:val="clear" w:color="auto" w:fill="auto"/>
            <w:vAlign w:val="bottom"/>
            <w:hideMark/>
          </w:tcPr>
          <w:p w:rsidR="002246AD" w:rsidRPr="003D1522" w:rsidRDefault="002246AD" w:rsidP="00134B8A">
            <w:pPr>
              <w:pStyle w:val="SingleTxtG"/>
              <w:spacing w:before="40" w:after="40" w:line="220" w:lineRule="exact"/>
              <w:ind w:left="0" w:right="113"/>
              <w:jc w:val="right"/>
              <w:rPr>
                <w:sz w:val="18"/>
              </w:rPr>
            </w:pPr>
            <w:r w:rsidRPr="003D1522">
              <w:rPr>
                <w:sz w:val="18"/>
              </w:rPr>
              <w:t>4</w:t>
            </w:r>
          </w:p>
        </w:tc>
      </w:tr>
      <w:tr w:rsidR="002246AD" w:rsidRPr="003D1522" w:rsidTr="00036219">
        <w:tc>
          <w:tcPr>
            <w:tcW w:w="3544" w:type="dxa"/>
            <w:tcBorders>
              <w:top w:val="nil"/>
              <w:bottom w:val="nil"/>
            </w:tcBorders>
            <w:shd w:val="clear" w:color="auto" w:fill="auto"/>
            <w:hideMark/>
          </w:tcPr>
          <w:p w:rsidR="002246AD" w:rsidRPr="003D1522" w:rsidRDefault="002246AD" w:rsidP="00134B8A">
            <w:pPr>
              <w:pStyle w:val="SingleTxtG"/>
              <w:spacing w:before="40" w:after="40" w:line="220" w:lineRule="exact"/>
              <w:ind w:left="0" w:right="113"/>
              <w:jc w:val="left"/>
              <w:rPr>
                <w:sz w:val="18"/>
              </w:rPr>
            </w:pPr>
            <w:r w:rsidRPr="003D1522">
              <w:rPr>
                <w:sz w:val="18"/>
              </w:rPr>
              <w:t>An overtime work agreement with a minor</w:t>
            </w:r>
          </w:p>
        </w:tc>
        <w:tc>
          <w:tcPr>
            <w:tcW w:w="956" w:type="dxa"/>
            <w:tcBorders>
              <w:top w:val="nil"/>
              <w:bottom w:val="nil"/>
            </w:tcBorders>
            <w:shd w:val="clear" w:color="auto" w:fill="auto"/>
            <w:vAlign w:val="bottom"/>
            <w:hideMark/>
          </w:tcPr>
          <w:p w:rsidR="002246AD" w:rsidRPr="003D1522" w:rsidRDefault="002246AD" w:rsidP="00134B8A">
            <w:pPr>
              <w:pStyle w:val="SingleTxtG"/>
              <w:spacing w:before="40" w:after="40" w:line="220" w:lineRule="exact"/>
              <w:ind w:left="0" w:right="113"/>
              <w:jc w:val="right"/>
              <w:rPr>
                <w:sz w:val="18"/>
              </w:rPr>
            </w:pPr>
            <w:r w:rsidRPr="003D1522">
              <w:rPr>
                <w:sz w:val="18"/>
              </w:rPr>
              <w:t>-</w:t>
            </w:r>
          </w:p>
        </w:tc>
        <w:tc>
          <w:tcPr>
            <w:tcW w:w="957" w:type="dxa"/>
            <w:tcBorders>
              <w:top w:val="nil"/>
              <w:bottom w:val="nil"/>
            </w:tcBorders>
            <w:shd w:val="clear" w:color="auto" w:fill="auto"/>
            <w:vAlign w:val="bottom"/>
            <w:hideMark/>
          </w:tcPr>
          <w:p w:rsidR="002246AD" w:rsidRPr="003D1522" w:rsidRDefault="002246AD" w:rsidP="00134B8A">
            <w:pPr>
              <w:pStyle w:val="SingleTxtG"/>
              <w:spacing w:before="40" w:after="40" w:line="220" w:lineRule="exact"/>
              <w:ind w:left="0" w:right="113"/>
              <w:jc w:val="right"/>
              <w:rPr>
                <w:sz w:val="18"/>
              </w:rPr>
            </w:pPr>
            <w:r w:rsidRPr="003D1522">
              <w:rPr>
                <w:sz w:val="18"/>
              </w:rPr>
              <w:t>1</w:t>
            </w:r>
          </w:p>
        </w:tc>
        <w:tc>
          <w:tcPr>
            <w:tcW w:w="956" w:type="dxa"/>
            <w:tcBorders>
              <w:top w:val="nil"/>
              <w:bottom w:val="nil"/>
            </w:tcBorders>
            <w:shd w:val="clear" w:color="auto" w:fill="auto"/>
            <w:vAlign w:val="bottom"/>
            <w:hideMark/>
          </w:tcPr>
          <w:p w:rsidR="002246AD" w:rsidRPr="003D1522" w:rsidRDefault="002246AD" w:rsidP="00134B8A">
            <w:pPr>
              <w:pStyle w:val="SingleTxtG"/>
              <w:spacing w:before="40" w:after="40" w:line="220" w:lineRule="exact"/>
              <w:ind w:left="0" w:right="113"/>
              <w:jc w:val="right"/>
              <w:rPr>
                <w:sz w:val="18"/>
              </w:rPr>
            </w:pPr>
            <w:r w:rsidRPr="003D1522">
              <w:rPr>
                <w:sz w:val="18"/>
              </w:rPr>
              <w:t>-</w:t>
            </w:r>
          </w:p>
        </w:tc>
        <w:tc>
          <w:tcPr>
            <w:tcW w:w="957" w:type="dxa"/>
            <w:tcBorders>
              <w:top w:val="nil"/>
              <w:bottom w:val="nil"/>
            </w:tcBorders>
            <w:shd w:val="clear" w:color="auto" w:fill="auto"/>
            <w:vAlign w:val="bottom"/>
            <w:hideMark/>
          </w:tcPr>
          <w:p w:rsidR="002246AD" w:rsidRPr="003D1522" w:rsidRDefault="002246AD" w:rsidP="00134B8A">
            <w:pPr>
              <w:pStyle w:val="SingleTxtG"/>
              <w:spacing w:before="40" w:after="40" w:line="220" w:lineRule="exact"/>
              <w:ind w:left="0" w:right="113"/>
              <w:jc w:val="right"/>
              <w:rPr>
                <w:sz w:val="18"/>
              </w:rPr>
            </w:pPr>
            <w:r w:rsidRPr="003D1522">
              <w:rPr>
                <w:sz w:val="18"/>
              </w:rPr>
              <w:t>-</w:t>
            </w:r>
          </w:p>
        </w:tc>
      </w:tr>
      <w:tr w:rsidR="002246AD" w:rsidRPr="003D1522" w:rsidTr="00036219">
        <w:tc>
          <w:tcPr>
            <w:tcW w:w="3544" w:type="dxa"/>
            <w:tcBorders>
              <w:top w:val="nil"/>
            </w:tcBorders>
            <w:shd w:val="clear" w:color="auto" w:fill="auto"/>
            <w:hideMark/>
          </w:tcPr>
          <w:p w:rsidR="002246AD" w:rsidRPr="003D1522" w:rsidRDefault="002246AD" w:rsidP="00134B8A">
            <w:pPr>
              <w:pStyle w:val="SingleTxtG"/>
              <w:spacing w:before="40" w:after="40" w:line="220" w:lineRule="exact"/>
              <w:ind w:left="0" w:right="113"/>
              <w:jc w:val="left"/>
              <w:rPr>
                <w:sz w:val="18"/>
              </w:rPr>
            </w:pPr>
            <w:r w:rsidRPr="003D1522">
              <w:rPr>
                <w:sz w:val="18"/>
              </w:rPr>
              <w:lastRenderedPageBreak/>
              <w:t>Break for a minor is less than 30 minutes for work at least 4.5 hours</w:t>
            </w:r>
          </w:p>
        </w:tc>
        <w:tc>
          <w:tcPr>
            <w:tcW w:w="956" w:type="dxa"/>
            <w:tcBorders>
              <w:top w:val="nil"/>
            </w:tcBorders>
            <w:shd w:val="clear" w:color="auto" w:fill="auto"/>
            <w:vAlign w:val="bottom"/>
            <w:hideMark/>
          </w:tcPr>
          <w:p w:rsidR="002246AD" w:rsidRPr="003D1522" w:rsidRDefault="002246AD" w:rsidP="00134B8A">
            <w:pPr>
              <w:pStyle w:val="SingleTxtG"/>
              <w:spacing w:before="40" w:after="40" w:line="220" w:lineRule="exact"/>
              <w:ind w:left="0" w:right="113"/>
              <w:jc w:val="right"/>
              <w:rPr>
                <w:sz w:val="18"/>
              </w:rPr>
            </w:pPr>
            <w:r w:rsidRPr="003D1522">
              <w:rPr>
                <w:sz w:val="18"/>
              </w:rPr>
              <w:t>1</w:t>
            </w:r>
          </w:p>
        </w:tc>
        <w:tc>
          <w:tcPr>
            <w:tcW w:w="957" w:type="dxa"/>
            <w:tcBorders>
              <w:top w:val="nil"/>
            </w:tcBorders>
            <w:shd w:val="clear" w:color="auto" w:fill="auto"/>
            <w:vAlign w:val="bottom"/>
            <w:hideMark/>
          </w:tcPr>
          <w:p w:rsidR="002246AD" w:rsidRPr="003D1522" w:rsidRDefault="002246AD" w:rsidP="00134B8A">
            <w:pPr>
              <w:pStyle w:val="SingleTxtG"/>
              <w:spacing w:before="40" w:after="40" w:line="220" w:lineRule="exact"/>
              <w:ind w:left="0" w:right="113"/>
              <w:jc w:val="right"/>
              <w:rPr>
                <w:sz w:val="18"/>
              </w:rPr>
            </w:pPr>
            <w:r w:rsidRPr="003D1522">
              <w:rPr>
                <w:sz w:val="18"/>
              </w:rPr>
              <w:t>3</w:t>
            </w:r>
          </w:p>
        </w:tc>
        <w:tc>
          <w:tcPr>
            <w:tcW w:w="956" w:type="dxa"/>
            <w:tcBorders>
              <w:top w:val="nil"/>
            </w:tcBorders>
            <w:shd w:val="clear" w:color="auto" w:fill="auto"/>
            <w:vAlign w:val="bottom"/>
            <w:hideMark/>
          </w:tcPr>
          <w:p w:rsidR="002246AD" w:rsidRPr="003D1522" w:rsidRDefault="002246AD" w:rsidP="00134B8A">
            <w:pPr>
              <w:pStyle w:val="SingleTxtG"/>
              <w:spacing w:before="40" w:after="40" w:line="220" w:lineRule="exact"/>
              <w:ind w:left="0" w:right="113"/>
              <w:jc w:val="right"/>
              <w:rPr>
                <w:sz w:val="18"/>
              </w:rPr>
            </w:pPr>
            <w:r w:rsidRPr="003D1522">
              <w:rPr>
                <w:sz w:val="18"/>
              </w:rPr>
              <w:t>-</w:t>
            </w:r>
          </w:p>
        </w:tc>
        <w:tc>
          <w:tcPr>
            <w:tcW w:w="957" w:type="dxa"/>
            <w:tcBorders>
              <w:top w:val="nil"/>
            </w:tcBorders>
            <w:shd w:val="clear" w:color="auto" w:fill="auto"/>
            <w:vAlign w:val="bottom"/>
            <w:hideMark/>
          </w:tcPr>
          <w:p w:rsidR="002246AD" w:rsidRPr="003D1522" w:rsidRDefault="002246AD" w:rsidP="00134B8A">
            <w:pPr>
              <w:pStyle w:val="SingleTxtG"/>
              <w:spacing w:before="40" w:after="40" w:line="220" w:lineRule="exact"/>
              <w:ind w:left="0" w:right="113"/>
              <w:jc w:val="right"/>
              <w:rPr>
                <w:sz w:val="18"/>
              </w:rPr>
            </w:pPr>
            <w:r w:rsidRPr="003D1522">
              <w:rPr>
                <w:sz w:val="18"/>
              </w:rPr>
              <w:t>1</w:t>
            </w:r>
          </w:p>
        </w:tc>
      </w:tr>
      <w:tr w:rsidR="002246AD" w:rsidRPr="003D1522" w:rsidTr="00036219">
        <w:tc>
          <w:tcPr>
            <w:tcW w:w="3544" w:type="dxa"/>
            <w:shd w:val="clear" w:color="auto" w:fill="auto"/>
            <w:hideMark/>
          </w:tcPr>
          <w:p w:rsidR="002246AD" w:rsidRPr="003D1522" w:rsidRDefault="002246AD" w:rsidP="00134B8A">
            <w:pPr>
              <w:pStyle w:val="SingleTxtG"/>
              <w:spacing w:before="40" w:after="40" w:line="220" w:lineRule="exact"/>
              <w:ind w:left="0" w:right="113"/>
              <w:jc w:val="left"/>
              <w:rPr>
                <w:sz w:val="18"/>
              </w:rPr>
            </w:pPr>
            <w:r w:rsidRPr="003D1522">
              <w:rPr>
                <w:sz w:val="18"/>
              </w:rPr>
              <w:t>Violations of restriction on requiring minor to work</w:t>
            </w:r>
          </w:p>
        </w:tc>
        <w:tc>
          <w:tcPr>
            <w:tcW w:w="956" w:type="dxa"/>
            <w:shd w:val="clear" w:color="auto" w:fill="auto"/>
            <w:vAlign w:val="bottom"/>
            <w:hideMark/>
          </w:tcPr>
          <w:p w:rsidR="002246AD" w:rsidRPr="003D1522" w:rsidRDefault="002246AD" w:rsidP="00134B8A">
            <w:pPr>
              <w:pStyle w:val="SingleTxtG"/>
              <w:spacing w:before="40" w:after="40" w:line="220" w:lineRule="exact"/>
              <w:ind w:left="0" w:right="113"/>
              <w:jc w:val="right"/>
              <w:rPr>
                <w:sz w:val="18"/>
              </w:rPr>
            </w:pPr>
            <w:r w:rsidRPr="003D1522">
              <w:rPr>
                <w:sz w:val="18"/>
              </w:rPr>
              <w:t>2</w:t>
            </w:r>
          </w:p>
        </w:tc>
        <w:tc>
          <w:tcPr>
            <w:tcW w:w="957" w:type="dxa"/>
            <w:shd w:val="clear" w:color="auto" w:fill="auto"/>
            <w:vAlign w:val="bottom"/>
            <w:hideMark/>
          </w:tcPr>
          <w:p w:rsidR="002246AD" w:rsidRPr="003D1522" w:rsidRDefault="002246AD" w:rsidP="00134B8A">
            <w:pPr>
              <w:pStyle w:val="SingleTxtG"/>
              <w:spacing w:before="40" w:after="40" w:line="220" w:lineRule="exact"/>
              <w:ind w:left="0" w:right="113"/>
              <w:jc w:val="right"/>
              <w:rPr>
                <w:sz w:val="18"/>
              </w:rPr>
            </w:pPr>
            <w:r w:rsidRPr="003D1522">
              <w:rPr>
                <w:sz w:val="18"/>
              </w:rPr>
              <w:t>4</w:t>
            </w:r>
          </w:p>
        </w:tc>
        <w:tc>
          <w:tcPr>
            <w:tcW w:w="956" w:type="dxa"/>
            <w:shd w:val="clear" w:color="auto" w:fill="auto"/>
            <w:vAlign w:val="bottom"/>
            <w:hideMark/>
          </w:tcPr>
          <w:p w:rsidR="002246AD" w:rsidRPr="003D1522" w:rsidRDefault="002246AD" w:rsidP="00134B8A">
            <w:pPr>
              <w:pStyle w:val="SingleTxtG"/>
              <w:spacing w:before="40" w:after="40" w:line="220" w:lineRule="exact"/>
              <w:ind w:left="0" w:right="113"/>
              <w:jc w:val="right"/>
              <w:rPr>
                <w:sz w:val="18"/>
              </w:rPr>
            </w:pPr>
            <w:r w:rsidRPr="003D1522">
              <w:rPr>
                <w:sz w:val="18"/>
              </w:rPr>
              <w:t>1</w:t>
            </w:r>
          </w:p>
        </w:tc>
        <w:tc>
          <w:tcPr>
            <w:tcW w:w="957" w:type="dxa"/>
            <w:shd w:val="clear" w:color="auto" w:fill="auto"/>
            <w:vAlign w:val="bottom"/>
            <w:hideMark/>
          </w:tcPr>
          <w:p w:rsidR="002246AD" w:rsidRPr="003D1522" w:rsidRDefault="002246AD" w:rsidP="00134B8A">
            <w:pPr>
              <w:pStyle w:val="SingleTxtG"/>
              <w:spacing w:before="40" w:after="40" w:line="220" w:lineRule="exact"/>
              <w:ind w:left="0" w:right="113"/>
              <w:jc w:val="right"/>
              <w:rPr>
                <w:sz w:val="18"/>
              </w:rPr>
            </w:pPr>
            <w:r w:rsidRPr="003D1522">
              <w:rPr>
                <w:sz w:val="18"/>
              </w:rPr>
              <w:t>1</w:t>
            </w:r>
          </w:p>
        </w:tc>
      </w:tr>
      <w:tr w:rsidR="002246AD" w:rsidRPr="003D1522" w:rsidTr="00036219">
        <w:tc>
          <w:tcPr>
            <w:tcW w:w="3544" w:type="dxa"/>
            <w:shd w:val="clear" w:color="auto" w:fill="auto"/>
            <w:hideMark/>
          </w:tcPr>
          <w:p w:rsidR="002246AD" w:rsidRPr="003D1522" w:rsidRDefault="002246AD" w:rsidP="00134B8A">
            <w:pPr>
              <w:pStyle w:val="SingleTxtG"/>
              <w:spacing w:before="40" w:after="40" w:line="220" w:lineRule="exact"/>
              <w:ind w:left="0" w:right="113"/>
              <w:jc w:val="left"/>
              <w:rPr>
                <w:sz w:val="18"/>
              </w:rPr>
            </w:pPr>
            <w:r w:rsidRPr="003D1522">
              <w:rPr>
                <w:sz w:val="18"/>
              </w:rPr>
              <w:t>Violations of daily rest time requirements</w:t>
            </w:r>
          </w:p>
        </w:tc>
        <w:tc>
          <w:tcPr>
            <w:tcW w:w="956" w:type="dxa"/>
            <w:shd w:val="clear" w:color="auto" w:fill="auto"/>
            <w:vAlign w:val="bottom"/>
            <w:hideMark/>
          </w:tcPr>
          <w:p w:rsidR="002246AD" w:rsidRPr="003D1522" w:rsidRDefault="002246AD" w:rsidP="00134B8A">
            <w:pPr>
              <w:pStyle w:val="SingleTxtG"/>
              <w:spacing w:before="40" w:after="40" w:line="220" w:lineRule="exact"/>
              <w:ind w:left="0" w:right="113"/>
              <w:jc w:val="right"/>
              <w:rPr>
                <w:sz w:val="18"/>
              </w:rPr>
            </w:pPr>
            <w:r w:rsidRPr="003D1522">
              <w:rPr>
                <w:sz w:val="18"/>
              </w:rPr>
              <w:t>1</w:t>
            </w:r>
          </w:p>
        </w:tc>
        <w:tc>
          <w:tcPr>
            <w:tcW w:w="957" w:type="dxa"/>
            <w:shd w:val="clear" w:color="auto" w:fill="auto"/>
            <w:vAlign w:val="bottom"/>
            <w:hideMark/>
          </w:tcPr>
          <w:p w:rsidR="002246AD" w:rsidRPr="003D1522" w:rsidRDefault="002246AD" w:rsidP="00134B8A">
            <w:pPr>
              <w:pStyle w:val="SingleTxtG"/>
              <w:spacing w:before="40" w:after="40" w:line="220" w:lineRule="exact"/>
              <w:ind w:left="0" w:right="113"/>
              <w:jc w:val="right"/>
              <w:rPr>
                <w:sz w:val="18"/>
              </w:rPr>
            </w:pPr>
            <w:r w:rsidRPr="003D1522">
              <w:rPr>
                <w:sz w:val="18"/>
              </w:rPr>
              <w:t>7</w:t>
            </w:r>
          </w:p>
        </w:tc>
        <w:tc>
          <w:tcPr>
            <w:tcW w:w="956" w:type="dxa"/>
            <w:shd w:val="clear" w:color="auto" w:fill="auto"/>
            <w:vAlign w:val="bottom"/>
            <w:hideMark/>
          </w:tcPr>
          <w:p w:rsidR="002246AD" w:rsidRPr="003D1522" w:rsidRDefault="002246AD" w:rsidP="00134B8A">
            <w:pPr>
              <w:pStyle w:val="SingleTxtG"/>
              <w:spacing w:before="40" w:after="40" w:line="220" w:lineRule="exact"/>
              <w:ind w:left="0" w:right="113"/>
              <w:jc w:val="right"/>
              <w:rPr>
                <w:sz w:val="18"/>
              </w:rPr>
            </w:pPr>
            <w:r w:rsidRPr="003D1522">
              <w:rPr>
                <w:sz w:val="18"/>
              </w:rPr>
              <w:t>1</w:t>
            </w:r>
          </w:p>
        </w:tc>
        <w:tc>
          <w:tcPr>
            <w:tcW w:w="957" w:type="dxa"/>
            <w:shd w:val="clear" w:color="auto" w:fill="auto"/>
            <w:vAlign w:val="bottom"/>
            <w:hideMark/>
          </w:tcPr>
          <w:p w:rsidR="002246AD" w:rsidRPr="003D1522" w:rsidRDefault="002246AD" w:rsidP="00134B8A">
            <w:pPr>
              <w:pStyle w:val="SingleTxtG"/>
              <w:spacing w:before="40" w:after="40" w:line="220" w:lineRule="exact"/>
              <w:ind w:left="0" w:right="113"/>
              <w:jc w:val="right"/>
              <w:rPr>
                <w:sz w:val="18"/>
              </w:rPr>
            </w:pPr>
            <w:r w:rsidRPr="003D1522">
              <w:rPr>
                <w:sz w:val="18"/>
              </w:rPr>
              <w:t>1</w:t>
            </w:r>
          </w:p>
        </w:tc>
      </w:tr>
      <w:tr w:rsidR="002246AD" w:rsidRPr="003D1522" w:rsidTr="00036219">
        <w:tc>
          <w:tcPr>
            <w:tcW w:w="3544" w:type="dxa"/>
            <w:shd w:val="clear" w:color="auto" w:fill="auto"/>
            <w:hideMark/>
          </w:tcPr>
          <w:p w:rsidR="002246AD" w:rsidRPr="003D1522" w:rsidRDefault="002246AD" w:rsidP="00134B8A">
            <w:pPr>
              <w:pStyle w:val="SingleTxtG"/>
              <w:spacing w:before="40" w:after="40" w:line="220" w:lineRule="exact"/>
              <w:ind w:left="0" w:right="113"/>
              <w:jc w:val="left"/>
              <w:rPr>
                <w:sz w:val="18"/>
              </w:rPr>
            </w:pPr>
            <w:r w:rsidRPr="003D1522">
              <w:rPr>
                <w:sz w:val="18"/>
              </w:rPr>
              <w:t>Total</w:t>
            </w:r>
          </w:p>
        </w:tc>
        <w:tc>
          <w:tcPr>
            <w:tcW w:w="956" w:type="dxa"/>
            <w:shd w:val="clear" w:color="auto" w:fill="auto"/>
            <w:vAlign w:val="bottom"/>
            <w:hideMark/>
          </w:tcPr>
          <w:p w:rsidR="002246AD" w:rsidRPr="003D1522" w:rsidRDefault="002246AD" w:rsidP="00134B8A">
            <w:pPr>
              <w:pStyle w:val="SingleTxtG"/>
              <w:spacing w:before="40" w:after="40" w:line="220" w:lineRule="exact"/>
              <w:ind w:left="0" w:right="113"/>
              <w:jc w:val="right"/>
              <w:rPr>
                <w:sz w:val="18"/>
              </w:rPr>
            </w:pPr>
            <w:r w:rsidRPr="003D1522">
              <w:rPr>
                <w:sz w:val="18"/>
              </w:rPr>
              <w:t>9</w:t>
            </w:r>
          </w:p>
        </w:tc>
        <w:tc>
          <w:tcPr>
            <w:tcW w:w="957" w:type="dxa"/>
            <w:shd w:val="clear" w:color="auto" w:fill="auto"/>
            <w:vAlign w:val="bottom"/>
            <w:hideMark/>
          </w:tcPr>
          <w:p w:rsidR="002246AD" w:rsidRPr="003D1522" w:rsidRDefault="002246AD" w:rsidP="00134B8A">
            <w:pPr>
              <w:pStyle w:val="SingleTxtG"/>
              <w:spacing w:before="40" w:after="40" w:line="220" w:lineRule="exact"/>
              <w:ind w:left="0" w:right="113"/>
              <w:jc w:val="right"/>
              <w:rPr>
                <w:sz w:val="18"/>
              </w:rPr>
            </w:pPr>
            <w:r w:rsidRPr="003D1522">
              <w:rPr>
                <w:sz w:val="18"/>
              </w:rPr>
              <w:t>21</w:t>
            </w:r>
          </w:p>
        </w:tc>
        <w:tc>
          <w:tcPr>
            <w:tcW w:w="956" w:type="dxa"/>
            <w:shd w:val="clear" w:color="auto" w:fill="auto"/>
            <w:vAlign w:val="bottom"/>
            <w:hideMark/>
          </w:tcPr>
          <w:p w:rsidR="002246AD" w:rsidRPr="003D1522" w:rsidRDefault="002246AD" w:rsidP="00134B8A">
            <w:pPr>
              <w:pStyle w:val="SingleTxtG"/>
              <w:spacing w:before="40" w:after="40" w:line="220" w:lineRule="exact"/>
              <w:ind w:left="0" w:right="113"/>
              <w:jc w:val="right"/>
              <w:rPr>
                <w:sz w:val="18"/>
              </w:rPr>
            </w:pPr>
            <w:r w:rsidRPr="003D1522">
              <w:rPr>
                <w:sz w:val="18"/>
              </w:rPr>
              <w:t>3</w:t>
            </w:r>
          </w:p>
        </w:tc>
        <w:tc>
          <w:tcPr>
            <w:tcW w:w="957" w:type="dxa"/>
            <w:shd w:val="clear" w:color="auto" w:fill="auto"/>
            <w:vAlign w:val="bottom"/>
            <w:hideMark/>
          </w:tcPr>
          <w:p w:rsidR="002246AD" w:rsidRPr="003D1522" w:rsidRDefault="002246AD" w:rsidP="00134B8A">
            <w:pPr>
              <w:pStyle w:val="SingleTxtG"/>
              <w:spacing w:before="40" w:after="40" w:line="220" w:lineRule="exact"/>
              <w:ind w:left="0" w:right="113"/>
              <w:jc w:val="right"/>
              <w:rPr>
                <w:sz w:val="18"/>
              </w:rPr>
            </w:pPr>
            <w:r w:rsidRPr="003D1522">
              <w:rPr>
                <w:sz w:val="18"/>
              </w:rPr>
              <w:t>8</w:t>
            </w:r>
          </w:p>
        </w:tc>
      </w:tr>
    </w:tbl>
    <w:p w:rsidR="002246AD" w:rsidRPr="003D1522" w:rsidRDefault="002246AD" w:rsidP="00544FCA">
      <w:pPr>
        <w:spacing w:before="120" w:after="240"/>
        <w:ind w:left="1134" w:right="1134" w:firstLine="170"/>
        <w:rPr>
          <w:sz w:val="18"/>
        </w:rPr>
      </w:pPr>
      <w:r w:rsidRPr="003D1522">
        <w:rPr>
          <w:i/>
          <w:iCs/>
          <w:sz w:val="18"/>
        </w:rPr>
        <w:t>Source:</w:t>
      </w:r>
      <w:r w:rsidRPr="003D1522">
        <w:rPr>
          <w:sz w:val="18"/>
        </w:rPr>
        <w:t xml:space="preserve"> Labour Inspectorate.</w:t>
      </w:r>
    </w:p>
    <w:p w:rsidR="002246AD" w:rsidRPr="003D1522" w:rsidRDefault="002246AD" w:rsidP="007566D9">
      <w:pPr>
        <w:pStyle w:val="SingleTxtG"/>
      </w:pPr>
      <w:r w:rsidRPr="003D1522">
        <w:t>74.</w:t>
      </w:r>
      <w:r w:rsidRPr="003D1522">
        <w:tab/>
        <w:t>The sanctions for violations of restriction on requiring minor to work, have been as follows:</w:t>
      </w:r>
    </w:p>
    <w:p w:rsidR="002246AD" w:rsidRPr="003D1522" w:rsidRDefault="002246AD" w:rsidP="00036219">
      <w:pPr>
        <w:pStyle w:val="SingleTxtG"/>
      </w:pPr>
      <w:r w:rsidRPr="003D1522">
        <w:tab/>
      </w:r>
      <w:r w:rsidRPr="003D1522">
        <w:rPr>
          <w:i/>
          <w:iCs/>
        </w:rPr>
        <w:t>Natural person misdemeanour procedures</w:t>
      </w:r>
      <w:r w:rsidRPr="003D1522">
        <w:t>:</w:t>
      </w:r>
    </w:p>
    <w:p w:rsidR="002246AD" w:rsidRPr="003D1522" w:rsidRDefault="00D66FF2" w:rsidP="00D66FF2">
      <w:pPr>
        <w:pStyle w:val="Bullet2G"/>
        <w:numPr>
          <w:ilvl w:val="0"/>
          <w:numId w:val="0"/>
        </w:numPr>
        <w:tabs>
          <w:tab w:val="left" w:pos="2268"/>
        </w:tabs>
        <w:ind w:left="2268" w:hanging="170"/>
      </w:pPr>
      <w:r w:rsidRPr="003D1522">
        <w:t>•</w:t>
      </w:r>
      <w:r w:rsidRPr="003D1522">
        <w:tab/>
      </w:r>
      <w:r w:rsidR="002246AD" w:rsidRPr="003D1522">
        <w:t xml:space="preserve">2014 </w:t>
      </w:r>
      <w:r w:rsidR="00435F07" w:rsidRPr="003D1522">
        <w:t>–</w:t>
      </w:r>
      <w:r w:rsidR="002246AD" w:rsidRPr="003D1522">
        <w:t xml:space="preserve"> 1 expedited procedure, fine 140 euros;</w:t>
      </w:r>
    </w:p>
    <w:p w:rsidR="002246AD" w:rsidRPr="003D1522" w:rsidRDefault="00D66FF2" w:rsidP="00D66FF2">
      <w:pPr>
        <w:pStyle w:val="Bullet2G"/>
        <w:numPr>
          <w:ilvl w:val="0"/>
          <w:numId w:val="0"/>
        </w:numPr>
        <w:tabs>
          <w:tab w:val="left" w:pos="2268"/>
        </w:tabs>
        <w:ind w:left="2268" w:hanging="170"/>
      </w:pPr>
      <w:r w:rsidRPr="003D1522">
        <w:t>•</w:t>
      </w:r>
      <w:r w:rsidRPr="003D1522">
        <w:tab/>
      </w:r>
      <w:r w:rsidR="002246AD" w:rsidRPr="003D1522">
        <w:tab/>
        <w:t xml:space="preserve">2015 </w:t>
      </w:r>
      <w:r w:rsidR="00435F07" w:rsidRPr="003D1522">
        <w:t>–</w:t>
      </w:r>
      <w:r w:rsidR="002246AD" w:rsidRPr="003D1522">
        <w:t xml:space="preserve"> 1 expedited procedure, fine 120 euros;</w:t>
      </w:r>
    </w:p>
    <w:p w:rsidR="002246AD" w:rsidRPr="003D1522" w:rsidRDefault="00D66FF2" w:rsidP="00D66FF2">
      <w:pPr>
        <w:pStyle w:val="Bullet2G"/>
        <w:numPr>
          <w:ilvl w:val="0"/>
          <w:numId w:val="0"/>
        </w:numPr>
        <w:tabs>
          <w:tab w:val="left" w:pos="2268"/>
        </w:tabs>
        <w:ind w:left="2268" w:hanging="170"/>
      </w:pPr>
      <w:r w:rsidRPr="003D1522">
        <w:t>•</w:t>
      </w:r>
      <w:r w:rsidRPr="003D1522">
        <w:tab/>
      </w:r>
      <w:r w:rsidR="002246AD" w:rsidRPr="003D1522">
        <w:tab/>
        <w:t xml:space="preserve">2017 </w:t>
      </w:r>
      <w:r w:rsidR="00435F07" w:rsidRPr="003D1522">
        <w:t>–</w:t>
      </w:r>
      <w:r w:rsidR="002246AD" w:rsidRPr="003D1522">
        <w:t xml:space="preserve"> 1 expedited procedure, fine 300 euros.</w:t>
      </w:r>
    </w:p>
    <w:p w:rsidR="002246AD" w:rsidRPr="003D1522" w:rsidRDefault="002246AD" w:rsidP="00036219">
      <w:pPr>
        <w:pStyle w:val="SingleTxtG"/>
      </w:pPr>
      <w:r w:rsidRPr="003D1522">
        <w:tab/>
      </w:r>
      <w:r w:rsidRPr="003D1522">
        <w:rPr>
          <w:i/>
          <w:iCs/>
        </w:rPr>
        <w:t>Legal person misdemeanour procedures</w:t>
      </w:r>
      <w:r w:rsidRPr="003D1522">
        <w:t>:</w:t>
      </w:r>
    </w:p>
    <w:p w:rsidR="002246AD" w:rsidRPr="003D1522" w:rsidRDefault="00D66FF2" w:rsidP="00D66FF2">
      <w:pPr>
        <w:pStyle w:val="Bullet2G"/>
        <w:numPr>
          <w:ilvl w:val="0"/>
          <w:numId w:val="0"/>
        </w:numPr>
        <w:tabs>
          <w:tab w:val="left" w:pos="2268"/>
        </w:tabs>
        <w:ind w:left="2268" w:hanging="170"/>
      </w:pPr>
      <w:r w:rsidRPr="003D1522">
        <w:t>•</w:t>
      </w:r>
      <w:r w:rsidRPr="003D1522">
        <w:tab/>
      </w:r>
      <w:r w:rsidR="002246AD" w:rsidRPr="003D1522">
        <w:tab/>
        <w:t xml:space="preserve">2016 </w:t>
      </w:r>
      <w:r w:rsidR="00435F07" w:rsidRPr="003D1522">
        <w:t>–</w:t>
      </w:r>
      <w:r w:rsidR="002246AD" w:rsidRPr="003D1522">
        <w:t xml:space="preserve"> 1 general procedure, fine 500 euros;</w:t>
      </w:r>
    </w:p>
    <w:p w:rsidR="002246AD" w:rsidRPr="003D1522" w:rsidRDefault="00D66FF2" w:rsidP="00D66FF2">
      <w:pPr>
        <w:pStyle w:val="Bullet2G"/>
        <w:numPr>
          <w:ilvl w:val="0"/>
          <w:numId w:val="0"/>
        </w:numPr>
        <w:tabs>
          <w:tab w:val="left" w:pos="2268"/>
        </w:tabs>
        <w:ind w:left="2268" w:hanging="170"/>
      </w:pPr>
      <w:r w:rsidRPr="003D1522">
        <w:t>•</w:t>
      </w:r>
      <w:r w:rsidRPr="003D1522">
        <w:tab/>
      </w:r>
      <w:r w:rsidR="002246AD" w:rsidRPr="003D1522">
        <w:tab/>
        <w:t xml:space="preserve">2017 </w:t>
      </w:r>
      <w:r w:rsidR="00435F07" w:rsidRPr="003D1522">
        <w:t>–</w:t>
      </w:r>
      <w:r w:rsidR="002246AD" w:rsidRPr="003D1522">
        <w:t xml:space="preserve"> 1 misdemeanour procedure, but closed due to limitation period ending. </w:t>
      </w:r>
    </w:p>
    <w:p w:rsidR="002246AD" w:rsidRPr="003D1522" w:rsidRDefault="002246AD" w:rsidP="00544FCA">
      <w:pPr>
        <w:pStyle w:val="H1G"/>
      </w:pPr>
      <w:r w:rsidRPr="003D1522">
        <w:tab/>
      </w:r>
      <w:r w:rsidRPr="003D1522">
        <w:tab/>
        <w:t xml:space="preserve">Right to an adequate standard of living (art. 11) </w:t>
      </w:r>
    </w:p>
    <w:p w:rsidR="002246AD" w:rsidRPr="003D1522" w:rsidRDefault="00544FCA" w:rsidP="00544FCA">
      <w:pPr>
        <w:pStyle w:val="H23G"/>
      </w:pPr>
      <w:r w:rsidRPr="003D1522">
        <w:tab/>
      </w:r>
      <w:r w:rsidR="002246AD" w:rsidRPr="003D1522">
        <w:tab/>
        <w:t>Reduction of poverty</w:t>
      </w:r>
    </w:p>
    <w:p w:rsidR="002246AD" w:rsidRPr="003D1522" w:rsidRDefault="002246AD" w:rsidP="007566D9">
      <w:pPr>
        <w:pStyle w:val="SingleTxtG"/>
      </w:pPr>
      <w:r w:rsidRPr="003D1522">
        <w:t>75.</w:t>
      </w:r>
      <w:r w:rsidRPr="003D1522">
        <w:tab/>
        <w:t xml:space="preserve">Subsistence benefit, consisting of the subsistence level and housing expenses, is a social benefit for people living in poverty paid from the state </w:t>
      </w:r>
      <w:r w:rsidR="00544FCA" w:rsidRPr="003D1522">
        <w:t>budget.</w:t>
      </w:r>
      <w:r w:rsidRPr="003D1522">
        <w:t xml:space="preserve"> People whose income after the payment of housing expenses falls below the subsistence level are eligible for subsistence benefit. The benefit is not limited in time and the amount of the benefit varies monthly depending on family composition and housing expenses. </w:t>
      </w:r>
    </w:p>
    <w:p w:rsidR="002246AD" w:rsidRPr="003D1522" w:rsidRDefault="002246AD" w:rsidP="007566D9">
      <w:pPr>
        <w:pStyle w:val="SingleTxtG"/>
      </w:pPr>
      <w:r w:rsidRPr="003D1522">
        <w:t>76.</w:t>
      </w:r>
      <w:r w:rsidRPr="003D1522">
        <w:tab/>
        <w:t>The subsistence level is established and revised each budgetary year by the Parliament taking into account minimum expenditure on food, clothing, footwear and other goods and services to satisfy persons</w:t>
      </w:r>
      <w:r w:rsidR="00C62389" w:rsidRPr="003D1522">
        <w:t>’</w:t>
      </w:r>
      <w:r w:rsidRPr="003D1522">
        <w:t xml:space="preserve"> basic needs. </w:t>
      </w:r>
    </w:p>
    <w:p w:rsidR="002246AD" w:rsidRPr="003D1522" w:rsidRDefault="002246AD" w:rsidP="007566D9">
      <w:pPr>
        <w:pStyle w:val="SingleTxtG"/>
      </w:pPr>
      <w:r w:rsidRPr="003D1522">
        <w:t>77.</w:t>
      </w:r>
      <w:r w:rsidRPr="003D1522">
        <w:tab/>
        <w:t>In 2018 the subsistence level for the first or only family member is 140 euros, for each subsequent grown-up family member it is 80% thereof (112 euros) and for each child up to 18 years of age it is 120% thereof (168 euros) per month. The subsistence level of children has been raised remarkably from 80% before 2016 to 120% in 2018.</w:t>
      </w:r>
    </w:p>
    <w:p w:rsidR="002246AD" w:rsidRPr="003D1522" w:rsidRDefault="002246AD" w:rsidP="007566D9">
      <w:pPr>
        <w:pStyle w:val="SingleTxtG"/>
      </w:pPr>
      <w:r w:rsidRPr="003D1522">
        <w:t>78.</w:t>
      </w:r>
      <w:r w:rsidRPr="003D1522">
        <w:tab/>
        <w:t xml:space="preserve">In 2016 Estonia endorsed the </w:t>
      </w:r>
      <w:r w:rsidR="00C62389" w:rsidRPr="003D1522">
        <w:t>“</w:t>
      </w:r>
      <w:r w:rsidRPr="003D1522">
        <w:t>Welfare Development Plan 2016</w:t>
      </w:r>
      <w:r w:rsidR="000044BB" w:rsidRPr="003D1522">
        <w:t>–</w:t>
      </w:r>
      <w:r w:rsidRPr="003D1522">
        <w:t>2023</w:t>
      </w:r>
      <w:r w:rsidR="00C62389" w:rsidRPr="003D1522">
        <w:t>”</w:t>
      </w:r>
      <w:r w:rsidRPr="003D1522">
        <w:t xml:space="preserve"> where the purpose of having the subsistence level in line with the subsistence minimum was set as a priority. In 2018 the subsistence level for a single or first family member is 8 euros higher than the subsistence minimum without housing expenses. The Welfare Development Plan highlights, that the method of subsistence minimum needs to be up to date and taken into account while annually establishing the subsistence level. In the end of 2018, the analysis of subsistence minimum level will be published and taken into account while establishing the new subsistence level. A single parent family has the right to receive an additional social benefit of 15 euros accompanying the subsistence benefit.</w:t>
      </w:r>
    </w:p>
    <w:p w:rsidR="002246AD" w:rsidRPr="003D1522" w:rsidRDefault="002246AD" w:rsidP="007566D9">
      <w:pPr>
        <w:pStyle w:val="SingleTxtG"/>
      </w:pPr>
      <w:r w:rsidRPr="003D1522">
        <w:t>79.</w:t>
      </w:r>
      <w:r w:rsidRPr="003D1522">
        <w:tab/>
        <w:t xml:space="preserve">Majority of the subsistence benefit receivers also receive other allowances and benefits covered by different social security schemes such as unemployment benefits and allowances, disability benefits, child benefits etc. Therefore, their effect on the inactivity or poverty trap must be viewed in combination. In addition to the help provided by the state, local authorities provide social welfare services and pay different universal and needs-based social benefits to people in need. For example, they compensate the cost for </w:t>
      </w:r>
      <w:r w:rsidRPr="003D1522">
        <w:lastRenderedPageBreak/>
        <w:t xml:space="preserve">pharmaceuticals, unexpected expenses; and they also offer food aid (in co-operation with NGO-s and the Fund for European Aid to the Most Deprived). </w:t>
      </w:r>
    </w:p>
    <w:p w:rsidR="002246AD" w:rsidRPr="003D1522" w:rsidRDefault="002246AD" w:rsidP="007566D9">
      <w:pPr>
        <w:pStyle w:val="SingleTxtG"/>
      </w:pPr>
      <w:r w:rsidRPr="003D1522">
        <w:t>80.</w:t>
      </w:r>
      <w:r w:rsidRPr="003D1522">
        <w:tab/>
        <w:t>The subsistence benefit continues to be an important social transfer for reducing poverty, but at the same time, it is crucial to avoid the formation of poverty, inactivity and low-income trap while paying subsistence benefit. The main expected impact of the aforementioned amendments is that people participate in the labour market more actively, the absolute poverty rate decreases and the economic independency of people improves.</w:t>
      </w:r>
    </w:p>
    <w:p w:rsidR="002246AD" w:rsidRPr="003D1522" w:rsidRDefault="002246AD" w:rsidP="000044BB">
      <w:pPr>
        <w:pStyle w:val="H23G"/>
      </w:pPr>
      <w:r w:rsidRPr="003D1522">
        <w:tab/>
      </w:r>
      <w:r w:rsidRPr="003D1522">
        <w:tab/>
        <w:t xml:space="preserve">Adequate housing </w:t>
      </w:r>
    </w:p>
    <w:p w:rsidR="002246AD" w:rsidRPr="003D1522" w:rsidRDefault="002246AD" w:rsidP="007566D9">
      <w:pPr>
        <w:pStyle w:val="SingleTxtG"/>
      </w:pPr>
      <w:r w:rsidRPr="003D1522">
        <w:t>81.</w:t>
      </w:r>
      <w:r w:rsidRPr="003D1522">
        <w:tab/>
        <w:t>The activities in the housing sector are based on the Estonian Energy Development Plan 2030. The previous Housing Development Plan 2008</w:t>
      </w:r>
      <w:r w:rsidR="0049318D" w:rsidRPr="003D1522">
        <w:t>–</w:t>
      </w:r>
      <w:r w:rsidRPr="003D1522">
        <w:t xml:space="preserve">2013 aimed to ensure better access to and a sustainable supply of housing units and a secure living environment. The development plan was implemented at the time of recession and the funds planned for the area of housing were re-allocated, which is why several measures were not executed. For example, the number of municipal housing units for rent was not increased and activities related to the accessibility of housing units were not completed. The focus was mainly on reducing the energy costs of the supply of housing units and the creation of favourable conditions for the renovation of apartment buildings. </w:t>
      </w:r>
    </w:p>
    <w:p w:rsidR="002246AD" w:rsidRPr="003D1522" w:rsidRDefault="002246AD" w:rsidP="007566D9">
      <w:pPr>
        <w:pStyle w:val="SingleTxtG"/>
      </w:pPr>
      <w:r w:rsidRPr="003D1522">
        <w:t>82.</w:t>
      </w:r>
      <w:r w:rsidRPr="003D1522">
        <w:tab/>
        <w:t>Housing investment support for local governments was developed in 2017 in order to increase the number of municipal housing units, including social housing units, and it is used to finance the construction of new rental buildings and the reconstruction of existing municipal apartment buildings. Local governments are given support of up to 50% within the scope of this measure. The state has planned to allocate 60 million euros for the measure from 2017</w:t>
      </w:r>
      <w:r w:rsidR="00261967" w:rsidRPr="003D1522">
        <w:t>–</w:t>
      </w:r>
      <w:r w:rsidRPr="003D1522">
        <w:t>2020.</w:t>
      </w:r>
    </w:p>
    <w:p w:rsidR="002246AD" w:rsidRPr="003D1522" w:rsidRDefault="002246AD" w:rsidP="007566D9">
      <w:pPr>
        <w:pStyle w:val="SingleTxtG"/>
      </w:pPr>
      <w:r w:rsidRPr="003D1522">
        <w:t>83.</w:t>
      </w:r>
      <w:r w:rsidRPr="003D1522">
        <w:tab/>
        <w:t>Pursuant to the Social Welfare Act, a local government is obliged to assess a person</w:t>
      </w:r>
      <w:r w:rsidR="00C62389" w:rsidRPr="003D1522">
        <w:t>’</w:t>
      </w:r>
      <w:r w:rsidRPr="003D1522">
        <w:t>s need for help comprehensively and to consequently offer them social services and support that guarantee their subsistence. Ensuring housing is a mandatory service to a person who is unable to find housing that meets their needs due to their socioeconomic status. A local government may use the shelter or safe house service as an interim stage with the person</w:t>
      </w:r>
      <w:r w:rsidR="00C62389" w:rsidRPr="003D1522">
        <w:t>’</w:t>
      </w:r>
      <w:r w:rsidRPr="003D1522">
        <w:t>s consent when looking for more permanent and suitable housing for the person. The objective of the shelter service is to ensure accommodation for adults in need who are unable to find accommodation for themselves. The shelter service can be used in emergencies as well as over a longer period of time. The objective of the safe house service is to ensure temporary housing, a safe environment and primary help (incl. crisis support) to people in need. The service is mainly meant for children, but also for adults who accompany them and in certain cases for adults who need a safe environment (e.g. victims of domestic violence).</w:t>
      </w:r>
    </w:p>
    <w:p w:rsidR="002246AD" w:rsidRPr="003D1522" w:rsidRDefault="002246AD" w:rsidP="007566D9">
      <w:pPr>
        <w:pStyle w:val="SingleTxtG"/>
      </w:pPr>
      <w:r w:rsidRPr="003D1522">
        <w:t>84.</w:t>
      </w:r>
      <w:r w:rsidRPr="003D1522">
        <w:tab/>
        <w:t>An eviction is carried out in an enforcement procedure according to the Code of Enforcement Procedure</w:t>
      </w:r>
      <w:r w:rsidRPr="003D1522">
        <w:rPr>
          <w:rStyle w:val="FootnoteReference"/>
        </w:rPr>
        <w:footnoteReference w:id="15"/>
      </w:r>
      <w:r w:rsidRPr="003D1522">
        <w:t xml:space="preserve"> (CEP). Only claims arising from an enforcement instrument are fulfilled in an enforcement procedure. In case of eviction such an enforcement instrument can either be an effective court judgment or a statement of compulsory auctions on the basis of which a person who purchases an immovable is registered in the land register as the owner of the immovable, upon reclamation of possession of the immovable. Evictions, therefore, are carried out either in an enforcement proceeding for the release of immovable without the transfer of ownership, or in a separate enforcement proceeding after the immovable has been sold in a prior enforcement proceeding. The eviction process in both cases is carried out according to section 180 of the CEP.</w:t>
      </w:r>
    </w:p>
    <w:p w:rsidR="002246AD" w:rsidRPr="003D1522" w:rsidRDefault="002246AD" w:rsidP="007566D9">
      <w:pPr>
        <w:pStyle w:val="SingleTxtG"/>
      </w:pPr>
      <w:r w:rsidRPr="003D1522">
        <w:t>85.</w:t>
      </w:r>
      <w:r w:rsidRPr="003D1522">
        <w:tab/>
        <w:t xml:space="preserve">In case it is determined that the immovable is in possession of a person that lacks the necessary legal basis, a bailiff shall grant a term of up to three months to the person being evicted for voluntary compliance with the enforcement instrument. When determining the term of voluntary compliance facts such as whether the person evicted will lose a home, whether the person has a possibility to move somewhere else, the size of the immovable and even the weather conditions at the time of the eviction, etc. The person being evicted can apply for a suspension of the enforcement proceedings or extension or deferment of </w:t>
      </w:r>
      <w:r w:rsidRPr="003D1522">
        <w:lastRenderedPageBreak/>
        <w:t>enforcement if continuation of the proceedings is unfair in respect of him or her. The interests of the claimant and other circumstances shall be taken into account, including the family and economic situation of the person being evicted.</w:t>
      </w:r>
    </w:p>
    <w:p w:rsidR="002246AD" w:rsidRPr="003D1522" w:rsidRDefault="002246AD" w:rsidP="00261967">
      <w:pPr>
        <w:pStyle w:val="H23G"/>
      </w:pPr>
      <w:r w:rsidRPr="003D1522">
        <w:tab/>
      </w:r>
      <w:r w:rsidRPr="003D1522">
        <w:tab/>
        <w:t xml:space="preserve">Safe public water supplies </w:t>
      </w:r>
    </w:p>
    <w:p w:rsidR="002246AD" w:rsidRPr="003D1522" w:rsidRDefault="002246AD" w:rsidP="007566D9">
      <w:pPr>
        <w:pStyle w:val="SingleTxtG"/>
      </w:pPr>
      <w:r w:rsidRPr="003D1522">
        <w:t>86.</w:t>
      </w:r>
      <w:r w:rsidRPr="003D1522">
        <w:tab/>
        <w:t xml:space="preserve">Estonia continuously invests into measures targeted at ensuring quality drinking water to all inhabitants. Investments include finances from the state funded Environmental Investment Centre Environmental Programme, EU funds, as well as local municipalities and water utilities. </w:t>
      </w:r>
    </w:p>
    <w:p w:rsidR="002246AD" w:rsidRPr="003D1522" w:rsidRDefault="002246AD" w:rsidP="007566D9">
      <w:pPr>
        <w:pStyle w:val="SingleTxtG"/>
      </w:pPr>
      <w:r w:rsidRPr="003D1522">
        <w:t>87.</w:t>
      </w:r>
      <w:r w:rsidRPr="003D1522">
        <w:tab/>
        <w:t>To ensure high-quality drinking water, new infrastructure for water supply has been built and existing ones expanded, modern water treatment plants have been built, primarily to remove fluorides, iron and manganese and improve the organoleptic quality of the water, mainly with funds from European Union and Environmental Programme. As the result of the installation and application of reverse osmosis devices, progress has been made in improving drinking water quality where excessive fluoride and boron content is present in natural waters. It is the responsibility of water supplier to ensure the quality of drinking water in coordination with the Health Board. checking the quality of drinking water.</w:t>
      </w:r>
    </w:p>
    <w:p w:rsidR="002246AD" w:rsidRPr="003D1522" w:rsidRDefault="002246AD" w:rsidP="007566D9">
      <w:pPr>
        <w:pStyle w:val="SingleTxtG"/>
      </w:pPr>
      <w:r w:rsidRPr="003D1522">
        <w:t>88.</w:t>
      </w:r>
      <w:r w:rsidRPr="003D1522">
        <w:tab/>
        <w:t>According to the 2016 data, 88</w:t>
      </w:r>
      <w:r w:rsidR="00261967" w:rsidRPr="003D1522">
        <w:t>–</w:t>
      </w:r>
      <w:r w:rsidRPr="003D1522">
        <w:t xml:space="preserve">89% of the population in Estonia is connected to the public drinking water supply where quality of drinking water is ensured and controlled. The compliance with the requirements of water quality in public drinking water supply has risen to 98% within the same time frame. 11 % of the population get drinking water from their own well. Requirements for construction and maintenance of wells is regulated in legal provisions. Since 2007, Estonia has invested with state funding more than 39 MEUR to modernization of private water supply and sewage systems in rural areas. These grants have improved the quality of life for about 20,000 people. The Ministry of the Environment has started a project to widen the knowledge of the quality of drinking water abstracted from private wells and technical situation of the individual drinking water systems. The project covers the whole country with ca 1000 private wells. Project will be finished by spring 2020. Early results show that there is a strong need for additional investments with over 100 MEUR to improve the quality of individual drinking water systems. </w:t>
      </w:r>
    </w:p>
    <w:p w:rsidR="002246AD" w:rsidRPr="003D1522" w:rsidRDefault="002246AD" w:rsidP="007566D9">
      <w:pPr>
        <w:pStyle w:val="SingleTxtG"/>
      </w:pPr>
      <w:r w:rsidRPr="003D1522">
        <w:t>89.</w:t>
      </w:r>
      <w:r w:rsidRPr="003D1522">
        <w:tab/>
        <w:t>The total number of public drinking water supplies in 2016 was 1316.</w:t>
      </w:r>
    </w:p>
    <w:p w:rsidR="002246AD" w:rsidRPr="003D1522" w:rsidRDefault="002246AD" w:rsidP="007566D9">
      <w:pPr>
        <w:pStyle w:val="SingleTxtG"/>
      </w:pPr>
      <w:r w:rsidRPr="003D1522">
        <w:t>90.</w:t>
      </w:r>
      <w:r w:rsidRPr="003D1522">
        <w:tab/>
        <w:t xml:space="preserve">According to 2016 data the content of fluorides and boron in drinking water continued to improve resulting from installation of several reverse osmosis devices or due to connecting problematic small drinking water supplies with bigger ones where the limit value was met. </w:t>
      </w:r>
    </w:p>
    <w:p w:rsidR="002246AD" w:rsidRPr="003D1522" w:rsidRDefault="002246AD" w:rsidP="007566D9">
      <w:pPr>
        <w:pStyle w:val="SingleTxtG"/>
      </w:pPr>
      <w:r w:rsidRPr="003D1522">
        <w:t>91.</w:t>
      </w:r>
      <w:r w:rsidRPr="003D1522">
        <w:tab/>
        <w:t xml:space="preserve">In 2016 the fluoride limit value was met in all bigger drinking water supplies (over </w:t>
      </w:r>
      <w:r w:rsidR="00261967" w:rsidRPr="003D1522">
        <w:t>2000 consumers)</w:t>
      </w:r>
      <w:r w:rsidRPr="003D1522">
        <w:t xml:space="preserve">. The permitted limit value of fluoride content in smaller drinking water supplies was exceeded in 11 public drinking water supplies. In 2016, 927 permanent consumers used water exceeding the fluoride limit value. </w:t>
      </w:r>
    </w:p>
    <w:p w:rsidR="002246AD" w:rsidRPr="003D1522" w:rsidRDefault="002246AD" w:rsidP="007566D9">
      <w:pPr>
        <w:pStyle w:val="SingleTxtG"/>
      </w:pPr>
      <w:r w:rsidRPr="003D1522">
        <w:t>92.</w:t>
      </w:r>
      <w:r w:rsidRPr="003D1522">
        <w:tab/>
        <w:t xml:space="preserve">In 2016, boron exceeded the limit value in 4 drinking water supplies. In total, 595 consumers used water with excessive boron. </w:t>
      </w:r>
    </w:p>
    <w:p w:rsidR="002246AD" w:rsidRPr="003D1522" w:rsidRDefault="002246AD" w:rsidP="007566D9">
      <w:pPr>
        <w:pStyle w:val="SingleTxtG"/>
      </w:pPr>
      <w:r w:rsidRPr="003D1522">
        <w:t>93.</w:t>
      </w:r>
      <w:r w:rsidRPr="003D1522">
        <w:tab/>
        <w:t>The Health Board has commenced proceedings regarding all drinking water supplies where fluoride or boron limit value was exceeded.</w:t>
      </w:r>
    </w:p>
    <w:p w:rsidR="002246AD" w:rsidRPr="003D1522" w:rsidRDefault="002246AD" w:rsidP="007566D9">
      <w:pPr>
        <w:pStyle w:val="SingleTxtG"/>
      </w:pPr>
      <w:r w:rsidRPr="003D1522">
        <w:t>94.</w:t>
      </w:r>
      <w:r w:rsidRPr="003D1522">
        <w:tab/>
        <w:t>The radioactivity of the drinking water produced from the Western and Northern Estonian Cambrian-Vendian aquifer system is in high concentration due to naturally occurring radionuclides in specific groundwater layers. The health risk assessment with cost-benefit analysis finalized in 2018 by Tartu University analyzed the scale of the risk posed to health by the radioactive substances in drinking water and explained when it will be necessary to start taking measures for health protection. One of the project</w:t>
      </w:r>
      <w:r w:rsidR="00C62389" w:rsidRPr="003D1522">
        <w:t>’</w:t>
      </w:r>
      <w:r w:rsidRPr="003D1522">
        <w:t>s output was a formula that water producers can use to calculate whether remedial actions are justified. Each water producer who supplies water with indicative dose over 0.1 mSv/year, can calculate their possible cost for removal of radionuclides, if the cost would exceed potential health benefits to general public, no further actions are necessary.</w:t>
      </w:r>
    </w:p>
    <w:p w:rsidR="002246AD" w:rsidRPr="003D1522" w:rsidRDefault="002246AD" w:rsidP="00261967">
      <w:pPr>
        <w:pStyle w:val="H1G"/>
      </w:pPr>
      <w:r w:rsidRPr="003D1522">
        <w:lastRenderedPageBreak/>
        <w:tab/>
      </w:r>
      <w:r w:rsidRPr="003D1522">
        <w:tab/>
        <w:t xml:space="preserve">Right to physical and mental health (art. 12) </w:t>
      </w:r>
    </w:p>
    <w:p w:rsidR="002246AD" w:rsidRPr="003D1522" w:rsidRDefault="002246AD" w:rsidP="00261967">
      <w:pPr>
        <w:pStyle w:val="H23G"/>
      </w:pPr>
      <w:r w:rsidRPr="003D1522">
        <w:tab/>
      </w:r>
      <w:r w:rsidRPr="003D1522">
        <w:tab/>
        <w:t xml:space="preserve">Sexual and reproductive health education and services </w:t>
      </w:r>
    </w:p>
    <w:p w:rsidR="002246AD" w:rsidRPr="003D1522" w:rsidRDefault="002246AD" w:rsidP="007566D9">
      <w:pPr>
        <w:pStyle w:val="SingleTxtG"/>
      </w:pPr>
      <w:r w:rsidRPr="003D1522">
        <w:t>95.</w:t>
      </w:r>
      <w:r w:rsidRPr="003D1522">
        <w:tab/>
        <w:t xml:space="preserve">Sexual and reproductive health education is integrated in the national curricula of basic schools and upper secondary schools and is one of their mandatory components. The youth counselling centres are accessible free of charge to everyone irrespective of gender up to the age of 26. </w:t>
      </w:r>
    </w:p>
    <w:p w:rsidR="002246AD" w:rsidRPr="003D1522" w:rsidRDefault="002246AD" w:rsidP="007566D9">
      <w:pPr>
        <w:pStyle w:val="SingleTxtG"/>
      </w:pPr>
      <w:r w:rsidRPr="003D1522">
        <w:t>96.</w:t>
      </w:r>
      <w:r w:rsidRPr="003D1522">
        <w:tab/>
        <w:t>Estonian Ministry of Education and Research does not gather or process data on pregnant adolescents in education system. Statistics Estonia gathers information on the age of the mother but her education level is not included in the data set.</w:t>
      </w:r>
    </w:p>
    <w:p w:rsidR="002246AD" w:rsidRPr="003D1522" w:rsidRDefault="002246AD" w:rsidP="007566D9">
      <w:pPr>
        <w:pStyle w:val="SingleTxtG"/>
      </w:pPr>
      <w:r w:rsidRPr="003D1522">
        <w:t>97.</w:t>
      </w:r>
      <w:r w:rsidRPr="003D1522">
        <w:tab/>
        <w:t>All contraceptives are accessible to all women irrespective of their place of residence or disability. Condoms are sold in all grocery and convenience stores. Long-acting reversible contraceptives (spirals, implants, pills, etc.) require a doctor</w:t>
      </w:r>
      <w:r w:rsidR="00C62389" w:rsidRPr="003D1522">
        <w:t>’</w:t>
      </w:r>
      <w:r w:rsidRPr="003D1522">
        <w:t>s or obstetrician</w:t>
      </w:r>
      <w:r w:rsidR="00C62389" w:rsidRPr="003D1522">
        <w:t>’</w:t>
      </w:r>
      <w:r w:rsidRPr="003D1522">
        <w:t>s prescription. A discount of 50% is applied to long-acting reversible contraceptives, i.e. 50% is paid by the user and 50% is paid from the health insurance budget.</w:t>
      </w:r>
    </w:p>
    <w:p w:rsidR="002246AD" w:rsidRPr="003D1522" w:rsidRDefault="00261967" w:rsidP="00261967">
      <w:pPr>
        <w:pStyle w:val="H23G"/>
      </w:pPr>
      <w:r w:rsidRPr="003D1522">
        <w:tab/>
      </w:r>
      <w:r w:rsidRPr="003D1522">
        <w:tab/>
      </w:r>
      <w:r w:rsidR="002246AD" w:rsidRPr="003D1522">
        <w:t>Abortions, abs figures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77"/>
        <w:gridCol w:w="1711"/>
        <w:gridCol w:w="1591"/>
        <w:gridCol w:w="1591"/>
      </w:tblGrid>
      <w:tr w:rsidR="003467B2" w:rsidRPr="003D1522" w:rsidTr="00DF2C9B">
        <w:trPr>
          <w:tblHeader/>
        </w:trPr>
        <w:tc>
          <w:tcPr>
            <w:tcW w:w="2477" w:type="dxa"/>
            <w:vMerge w:val="restart"/>
            <w:tcBorders>
              <w:top w:val="single" w:sz="4" w:space="0" w:color="auto"/>
            </w:tcBorders>
            <w:shd w:val="clear" w:color="auto" w:fill="auto"/>
            <w:noWrap/>
            <w:tcMar>
              <w:top w:w="0" w:type="dxa"/>
              <w:left w:w="70" w:type="dxa"/>
              <w:bottom w:w="0" w:type="dxa"/>
              <w:right w:w="70" w:type="dxa"/>
            </w:tcMar>
            <w:vAlign w:val="bottom"/>
            <w:hideMark/>
          </w:tcPr>
          <w:p w:rsidR="003467B2" w:rsidRPr="003D1522" w:rsidRDefault="003467B2" w:rsidP="003467B2">
            <w:pPr>
              <w:pStyle w:val="SingleTxtG"/>
              <w:spacing w:before="80" w:after="80" w:line="200" w:lineRule="exact"/>
              <w:ind w:left="0" w:right="113"/>
              <w:jc w:val="left"/>
              <w:rPr>
                <w:i/>
                <w:sz w:val="16"/>
              </w:rPr>
            </w:pPr>
            <w:r w:rsidRPr="003D1522">
              <w:rPr>
                <w:i/>
                <w:sz w:val="16"/>
              </w:rPr>
              <w:t>Year</w:t>
            </w:r>
          </w:p>
        </w:tc>
        <w:tc>
          <w:tcPr>
            <w:tcW w:w="4893" w:type="dxa"/>
            <w:gridSpan w:val="3"/>
            <w:tcBorders>
              <w:top w:val="single" w:sz="4" w:space="0" w:color="auto"/>
              <w:bottom w:val="single" w:sz="4" w:space="0" w:color="auto"/>
            </w:tcBorders>
            <w:shd w:val="clear" w:color="auto" w:fill="auto"/>
            <w:noWrap/>
            <w:tcMar>
              <w:top w:w="0" w:type="dxa"/>
              <w:left w:w="70" w:type="dxa"/>
              <w:bottom w:w="0" w:type="dxa"/>
              <w:right w:w="70" w:type="dxa"/>
            </w:tcMar>
            <w:vAlign w:val="bottom"/>
            <w:hideMark/>
          </w:tcPr>
          <w:p w:rsidR="003467B2" w:rsidRPr="003D1522" w:rsidRDefault="003467B2" w:rsidP="00260739">
            <w:pPr>
              <w:pStyle w:val="SingleTxtG"/>
              <w:spacing w:before="80" w:after="80" w:line="200" w:lineRule="exact"/>
              <w:ind w:left="0" w:right="113"/>
              <w:jc w:val="center"/>
              <w:rPr>
                <w:i/>
                <w:sz w:val="16"/>
              </w:rPr>
            </w:pPr>
            <w:r w:rsidRPr="003D1522">
              <w:rPr>
                <w:i/>
                <w:sz w:val="16"/>
              </w:rPr>
              <w:t>Age group</w:t>
            </w:r>
          </w:p>
        </w:tc>
      </w:tr>
      <w:tr w:rsidR="003467B2" w:rsidRPr="003D1522" w:rsidTr="00DF2C9B">
        <w:tc>
          <w:tcPr>
            <w:tcW w:w="2477" w:type="dxa"/>
            <w:vMerge/>
            <w:tcBorders>
              <w:bottom w:val="single" w:sz="12" w:space="0" w:color="auto"/>
            </w:tcBorders>
            <w:shd w:val="clear" w:color="auto" w:fill="auto"/>
            <w:noWrap/>
            <w:tcMar>
              <w:top w:w="0" w:type="dxa"/>
              <w:left w:w="70" w:type="dxa"/>
              <w:bottom w:w="0" w:type="dxa"/>
              <w:right w:w="70" w:type="dxa"/>
            </w:tcMar>
          </w:tcPr>
          <w:p w:rsidR="003467B2" w:rsidRPr="003D1522" w:rsidRDefault="003467B2" w:rsidP="00260739">
            <w:pPr>
              <w:pStyle w:val="SingleTxtG"/>
              <w:spacing w:before="40" w:after="40" w:line="220" w:lineRule="exact"/>
              <w:ind w:left="0" w:right="113"/>
              <w:jc w:val="center"/>
              <w:rPr>
                <w:i/>
                <w:sz w:val="18"/>
              </w:rPr>
            </w:pPr>
          </w:p>
        </w:tc>
        <w:tc>
          <w:tcPr>
            <w:tcW w:w="1711"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3467B2" w:rsidRPr="003D1522" w:rsidRDefault="003467B2" w:rsidP="00260739">
            <w:pPr>
              <w:pStyle w:val="SingleTxtG"/>
              <w:spacing w:before="40" w:after="40" w:line="220" w:lineRule="exact"/>
              <w:ind w:left="0" w:right="113"/>
              <w:jc w:val="right"/>
              <w:rPr>
                <w:i/>
                <w:sz w:val="18"/>
              </w:rPr>
            </w:pPr>
            <w:r w:rsidRPr="003D1522">
              <w:rPr>
                <w:i/>
                <w:sz w:val="18"/>
              </w:rPr>
              <w:t>10–14</w:t>
            </w:r>
          </w:p>
        </w:tc>
        <w:tc>
          <w:tcPr>
            <w:tcW w:w="1591"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3467B2" w:rsidRPr="003D1522" w:rsidRDefault="003467B2" w:rsidP="00260739">
            <w:pPr>
              <w:pStyle w:val="SingleTxtG"/>
              <w:spacing w:before="40" w:after="40" w:line="220" w:lineRule="exact"/>
              <w:ind w:left="0" w:right="113"/>
              <w:jc w:val="right"/>
              <w:rPr>
                <w:i/>
                <w:sz w:val="18"/>
              </w:rPr>
            </w:pPr>
            <w:r w:rsidRPr="003D1522">
              <w:rPr>
                <w:i/>
                <w:sz w:val="18"/>
              </w:rPr>
              <w:t>15–17</w:t>
            </w:r>
          </w:p>
        </w:tc>
        <w:tc>
          <w:tcPr>
            <w:tcW w:w="1591"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3467B2" w:rsidRPr="003D1522" w:rsidRDefault="003467B2" w:rsidP="00260739">
            <w:pPr>
              <w:pStyle w:val="SingleTxtG"/>
              <w:spacing w:before="40" w:after="40" w:line="220" w:lineRule="exact"/>
              <w:ind w:left="0" w:right="113"/>
              <w:jc w:val="right"/>
              <w:rPr>
                <w:i/>
                <w:sz w:val="18"/>
              </w:rPr>
            </w:pPr>
            <w:r w:rsidRPr="003D1522">
              <w:rPr>
                <w:i/>
                <w:sz w:val="18"/>
              </w:rPr>
              <w:t>18–19</w:t>
            </w:r>
          </w:p>
        </w:tc>
      </w:tr>
      <w:tr w:rsidR="002246AD" w:rsidRPr="003D1522" w:rsidTr="00260739">
        <w:tc>
          <w:tcPr>
            <w:tcW w:w="2477" w:type="dxa"/>
            <w:tcBorders>
              <w:top w:val="single" w:sz="12" w:space="0" w:color="auto"/>
            </w:tcBorders>
            <w:shd w:val="clear" w:color="auto" w:fill="auto"/>
            <w:noWrap/>
            <w:tcMar>
              <w:top w:w="0" w:type="dxa"/>
              <w:left w:w="70" w:type="dxa"/>
              <w:bottom w:w="0" w:type="dxa"/>
              <w:right w:w="70" w:type="dxa"/>
            </w:tcMar>
            <w:hideMark/>
          </w:tcPr>
          <w:p w:rsidR="002246AD" w:rsidRPr="003D1522" w:rsidRDefault="002246AD" w:rsidP="00261967">
            <w:pPr>
              <w:pStyle w:val="SingleTxtG"/>
              <w:spacing w:before="40" w:after="40" w:line="220" w:lineRule="exact"/>
              <w:ind w:left="0" w:right="113"/>
              <w:jc w:val="left"/>
              <w:rPr>
                <w:sz w:val="18"/>
              </w:rPr>
            </w:pPr>
            <w:r w:rsidRPr="003D1522">
              <w:rPr>
                <w:sz w:val="18"/>
              </w:rPr>
              <w:t>2015</w:t>
            </w:r>
          </w:p>
        </w:tc>
        <w:tc>
          <w:tcPr>
            <w:tcW w:w="1711" w:type="dxa"/>
            <w:tcBorders>
              <w:top w:val="single" w:sz="12" w:space="0" w:color="auto"/>
            </w:tcBorders>
            <w:shd w:val="clear" w:color="auto" w:fill="auto"/>
            <w:noWrap/>
            <w:tcMar>
              <w:top w:w="0" w:type="dxa"/>
              <w:left w:w="70" w:type="dxa"/>
              <w:bottom w:w="0" w:type="dxa"/>
              <w:right w:w="70" w:type="dxa"/>
            </w:tcMar>
            <w:vAlign w:val="bottom"/>
            <w:hideMark/>
          </w:tcPr>
          <w:p w:rsidR="002246AD" w:rsidRPr="003D1522" w:rsidRDefault="002246AD" w:rsidP="00261967">
            <w:pPr>
              <w:pStyle w:val="SingleTxtG"/>
              <w:spacing w:before="40" w:after="40" w:line="220" w:lineRule="exact"/>
              <w:ind w:left="0" w:right="113"/>
              <w:jc w:val="right"/>
              <w:rPr>
                <w:sz w:val="18"/>
              </w:rPr>
            </w:pPr>
            <w:r w:rsidRPr="003D1522">
              <w:rPr>
                <w:sz w:val="18"/>
              </w:rPr>
              <w:t>13</w:t>
            </w:r>
          </w:p>
        </w:tc>
        <w:tc>
          <w:tcPr>
            <w:tcW w:w="1591" w:type="dxa"/>
            <w:tcBorders>
              <w:top w:val="single" w:sz="12" w:space="0" w:color="auto"/>
            </w:tcBorders>
            <w:shd w:val="clear" w:color="auto" w:fill="auto"/>
            <w:noWrap/>
            <w:tcMar>
              <w:top w:w="0" w:type="dxa"/>
              <w:left w:w="70" w:type="dxa"/>
              <w:bottom w:w="0" w:type="dxa"/>
              <w:right w:w="70" w:type="dxa"/>
            </w:tcMar>
            <w:vAlign w:val="bottom"/>
            <w:hideMark/>
          </w:tcPr>
          <w:p w:rsidR="002246AD" w:rsidRPr="003D1522" w:rsidRDefault="002246AD" w:rsidP="00261967">
            <w:pPr>
              <w:pStyle w:val="SingleTxtG"/>
              <w:spacing w:before="40" w:after="40" w:line="220" w:lineRule="exact"/>
              <w:ind w:left="0" w:right="113"/>
              <w:jc w:val="right"/>
              <w:rPr>
                <w:sz w:val="18"/>
              </w:rPr>
            </w:pPr>
            <w:r w:rsidRPr="003D1522">
              <w:rPr>
                <w:sz w:val="18"/>
              </w:rPr>
              <w:t>165</w:t>
            </w:r>
          </w:p>
        </w:tc>
        <w:tc>
          <w:tcPr>
            <w:tcW w:w="1591" w:type="dxa"/>
            <w:tcBorders>
              <w:top w:val="single" w:sz="12" w:space="0" w:color="auto"/>
            </w:tcBorders>
            <w:shd w:val="clear" w:color="auto" w:fill="auto"/>
            <w:noWrap/>
            <w:tcMar>
              <w:top w:w="0" w:type="dxa"/>
              <w:left w:w="70" w:type="dxa"/>
              <w:bottom w:w="0" w:type="dxa"/>
              <w:right w:w="70" w:type="dxa"/>
            </w:tcMar>
            <w:vAlign w:val="bottom"/>
            <w:hideMark/>
          </w:tcPr>
          <w:p w:rsidR="002246AD" w:rsidRPr="003D1522" w:rsidRDefault="002246AD" w:rsidP="00261967">
            <w:pPr>
              <w:pStyle w:val="SingleTxtG"/>
              <w:spacing w:before="40" w:after="40" w:line="220" w:lineRule="exact"/>
              <w:ind w:left="0" w:right="113"/>
              <w:jc w:val="right"/>
              <w:rPr>
                <w:sz w:val="18"/>
              </w:rPr>
            </w:pPr>
            <w:r w:rsidRPr="003D1522">
              <w:rPr>
                <w:sz w:val="18"/>
              </w:rPr>
              <w:t>322</w:t>
            </w:r>
          </w:p>
        </w:tc>
      </w:tr>
      <w:tr w:rsidR="002246AD" w:rsidRPr="003D1522" w:rsidTr="00260739">
        <w:tc>
          <w:tcPr>
            <w:tcW w:w="2477" w:type="dxa"/>
            <w:shd w:val="clear" w:color="auto" w:fill="auto"/>
            <w:noWrap/>
            <w:tcMar>
              <w:top w:w="0" w:type="dxa"/>
              <w:left w:w="70" w:type="dxa"/>
              <w:bottom w:w="0" w:type="dxa"/>
              <w:right w:w="70" w:type="dxa"/>
            </w:tcMar>
            <w:hideMark/>
          </w:tcPr>
          <w:p w:rsidR="002246AD" w:rsidRPr="003D1522" w:rsidRDefault="002246AD" w:rsidP="00261967">
            <w:pPr>
              <w:pStyle w:val="SingleTxtG"/>
              <w:spacing w:before="40" w:after="40" w:line="220" w:lineRule="exact"/>
              <w:ind w:left="0" w:right="113"/>
              <w:jc w:val="left"/>
              <w:rPr>
                <w:sz w:val="18"/>
              </w:rPr>
            </w:pPr>
            <w:r w:rsidRPr="003D1522">
              <w:rPr>
                <w:sz w:val="18"/>
              </w:rPr>
              <w:t>2016</w:t>
            </w:r>
          </w:p>
        </w:tc>
        <w:tc>
          <w:tcPr>
            <w:tcW w:w="1711" w:type="dxa"/>
            <w:shd w:val="clear" w:color="auto" w:fill="auto"/>
            <w:noWrap/>
            <w:tcMar>
              <w:top w:w="0" w:type="dxa"/>
              <w:left w:w="70" w:type="dxa"/>
              <w:bottom w:w="0" w:type="dxa"/>
              <w:right w:w="70" w:type="dxa"/>
            </w:tcMar>
            <w:vAlign w:val="bottom"/>
            <w:hideMark/>
          </w:tcPr>
          <w:p w:rsidR="002246AD" w:rsidRPr="003D1522" w:rsidRDefault="002246AD" w:rsidP="00261967">
            <w:pPr>
              <w:pStyle w:val="SingleTxtG"/>
              <w:spacing w:before="40" w:after="40" w:line="220" w:lineRule="exact"/>
              <w:ind w:left="0" w:right="113"/>
              <w:jc w:val="right"/>
              <w:rPr>
                <w:sz w:val="18"/>
              </w:rPr>
            </w:pPr>
            <w:r w:rsidRPr="003D1522">
              <w:rPr>
                <w:sz w:val="18"/>
              </w:rPr>
              <w:t>20</w:t>
            </w:r>
          </w:p>
        </w:tc>
        <w:tc>
          <w:tcPr>
            <w:tcW w:w="1591" w:type="dxa"/>
            <w:shd w:val="clear" w:color="auto" w:fill="auto"/>
            <w:noWrap/>
            <w:tcMar>
              <w:top w:w="0" w:type="dxa"/>
              <w:left w:w="70" w:type="dxa"/>
              <w:bottom w:w="0" w:type="dxa"/>
              <w:right w:w="70" w:type="dxa"/>
            </w:tcMar>
            <w:vAlign w:val="bottom"/>
            <w:hideMark/>
          </w:tcPr>
          <w:p w:rsidR="002246AD" w:rsidRPr="003D1522" w:rsidRDefault="002246AD" w:rsidP="00261967">
            <w:pPr>
              <w:pStyle w:val="SingleTxtG"/>
              <w:spacing w:before="40" w:after="40" w:line="220" w:lineRule="exact"/>
              <w:ind w:left="0" w:right="113"/>
              <w:jc w:val="right"/>
              <w:rPr>
                <w:sz w:val="18"/>
              </w:rPr>
            </w:pPr>
            <w:r w:rsidRPr="003D1522">
              <w:rPr>
                <w:sz w:val="18"/>
              </w:rPr>
              <w:t>146</w:t>
            </w:r>
          </w:p>
        </w:tc>
        <w:tc>
          <w:tcPr>
            <w:tcW w:w="1591" w:type="dxa"/>
            <w:shd w:val="clear" w:color="auto" w:fill="auto"/>
            <w:noWrap/>
            <w:tcMar>
              <w:top w:w="0" w:type="dxa"/>
              <w:left w:w="70" w:type="dxa"/>
              <w:bottom w:w="0" w:type="dxa"/>
              <w:right w:w="70" w:type="dxa"/>
            </w:tcMar>
            <w:vAlign w:val="bottom"/>
            <w:hideMark/>
          </w:tcPr>
          <w:p w:rsidR="002246AD" w:rsidRPr="003D1522" w:rsidRDefault="002246AD" w:rsidP="00261967">
            <w:pPr>
              <w:pStyle w:val="SingleTxtG"/>
              <w:spacing w:before="40" w:after="40" w:line="220" w:lineRule="exact"/>
              <w:ind w:left="0" w:right="113"/>
              <w:jc w:val="right"/>
              <w:rPr>
                <w:sz w:val="18"/>
              </w:rPr>
            </w:pPr>
            <w:r w:rsidRPr="003D1522">
              <w:rPr>
                <w:sz w:val="18"/>
              </w:rPr>
              <w:t>287</w:t>
            </w:r>
          </w:p>
        </w:tc>
      </w:tr>
      <w:tr w:rsidR="002246AD" w:rsidRPr="003D1522" w:rsidTr="00260739">
        <w:tc>
          <w:tcPr>
            <w:tcW w:w="2477" w:type="dxa"/>
            <w:shd w:val="clear" w:color="auto" w:fill="auto"/>
            <w:noWrap/>
            <w:tcMar>
              <w:top w:w="0" w:type="dxa"/>
              <w:left w:w="70" w:type="dxa"/>
              <w:bottom w:w="0" w:type="dxa"/>
              <w:right w:w="70" w:type="dxa"/>
            </w:tcMar>
            <w:hideMark/>
          </w:tcPr>
          <w:p w:rsidR="002246AD" w:rsidRPr="003D1522" w:rsidRDefault="002246AD" w:rsidP="00261967">
            <w:pPr>
              <w:pStyle w:val="SingleTxtG"/>
              <w:spacing w:before="40" w:after="40" w:line="220" w:lineRule="exact"/>
              <w:ind w:left="0" w:right="113"/>
              <w:jc w:val="left"/>
              <w:rPr>
                <w:sz w:val="18"/>
              </w:rPr>
            </w:pPr>
            <w:r w:rsidRPr="003D1522">
              <w:rPr>
                <w:sz w:val="18"/>
              </w:rPr>
              <w:t>2017</w:t>
            </w:r>
          </w:p>
        </w:tc>
        <w:tc>
          <w:tcPr>
            <w:tcW w:w="1711" w:type="dxa"/>
            <w:shd w:val="clear" w:color="auto" w:fill="auto"/>
            <w:noWrap/>
            <w:tcMar>
              <w:top w:w="0" w:type="dxa"/>
              <w:left w:w="70" w:type="dxa"/>
              <w:bottom w:w="0" w:type="dxa"/>
              <w:right w:w="70" w:type="dxa"/>
            </w:tcMar>
            <w:vAlign w:val="bottom"/>
            <w:hideMark/>
          </w:tcPr>
          <w:p w:rsidR="002246AD" w:rsidRPr="003D1522" w:rsidRDefault="002246AD" w:rsidP="00261967">
            <w:pPr>
              <w:pStyle w:val="SingleTxtG"/>
              <w:spacing w:before="40" w:after="40" w:line="220" w:lineRule="exact"/>
              <w:ind w:left="0" w:right="113"/>
              <w:jc w:val="right"/>
              <w:rPr>
                <w:sz w:val="18"/>
              </w:rPr>
            </w:pPr>
            <w:r w:rsidRPr="003D1522">
              <w:rPr>
                <w:sz w:val="18"/>
              </w:rPr>
              <w:t>8</w:t>
            </w:r>
          </w:p>
        </w:tc>
        <w:tc>
          <w:tcPr>
            <w:tcW w:w="1591" w:type="dxa"/>
            <w:shd w:val="clear" w:color="auto" w:fill="auto"/>
            <w:noWrap/>
            <w:tcMar>
              <w:top w:w="0" w:type="dxa"/>
              <w:left w:w="70" w:type="dxa"/>
              <w:bottom w:w="0" w:type="dxa"/>
              <w:right w:w="70" w:type="dxa"/>
            </w:tcMar>
            <w:vAlign w:val="bottom"/>
            <w:hideMark/>
          </w:tcPr>
          <w:p w:rsidR="002246AD" w:rsidRPr="003D1522" w:rsidRDefault="002246AD" w:rsidP="00261967">
            <w:pPr>
              <w:pStyle w:val="SingleTxtG"/>
              <w:spacing w:before="40" w:after="40" w:line="220" w:lineRule="exact"/>
              <w:ind w:left="0" w:right="113"/>
              <w:jc w:val="right"/>
              <w:rPr>
                <w:sz w:val="18"/>
              </w:rPr>
            </w:pPr>
            <w:r w:rsidRPr="003D1522">
              <w:rPr>
                <w:sz w:val="18"/>
              </w:rPr>
              <w:t>120</w:t>
            </w:r>
          </w:p>
        </w:tc>
        <w:tc>
          <w:tcPr>
            <w:tcW w:w="1591" w:type="dxa"/>
            <w:shd w:val="clear" w:color="auto" w:fill="auto"/>
            <w:noWrap/>
            <w:tcMar>
              <w:top w:w="0" w:type="dxa"/>
              <w:left w:w="70" w:type="dxa"/>
              <w:bottom w:w="0" w:type="dxa"/>
              <w:right w:w="70" w:type="dxa"/>
            </w:tcMar>
            <w:vAlign w:val="bottom"/>
            <w:hideMark/>
          </w:tcPr>
          <w:p w:rsidR="002246AD" w:rsidRPr="003D1522" w:rsidRDefault="002246AD" w:rsidP="00261967">
            <w:pPr>
              <w:pStyle w:val="SingleTxtG"/>
              <w:spacing w:before="40" w:after="40" w:line="220" w:lineRule="exact"/>
              <w:ind w:left="0" w:right="113"/>
              <w:jc w:val="right"/>
              <w:rPr>
                <w:sz w:val="18"/>
              </w:rPr>
            </w:pPr>
            <w:r w:rsidRPr="003D1522">
              <w:rPr>
                <w:sz w:val="18"/>
              </w:rPr>
              <w:t>226</w:t>
            </w:r>
          </w:p>
        </w:tc>
      </w:tr>
    </w:tbl>
    <w:p w:rsidR="002246AD" w:rsidRPr="003D1522" w:rsidRDefault="00260739" w:rsidP="00260739">
      <w:pPr>
        <w:pStyle w:val="H23G"/>
      </w:pPr>
      <w:r w:rsidRPr="003D1522">
        <w:tab/>
      </w:r>
      <w:r w:rsidRPr="003D1522">
        <w:tab/>
      </w:r>
      <w:r w:rsidR="002246AD" w:rsidRPr="003D1522">
        <w:t>Births, abs figures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82"/>
        <w:gridCol w:w="1715"/>
        <w:gridCol w:w="1577"/>
        <w:gridCol w:w="1596"/>
      </w:tblGrid>
      <w:tr w:rsidR="003467B2" w:rsidRPr="003D1522" w:rsidTr="00DF2C9B">
        <w:trPr>
          <w:tblHeader/>
        </w:trPr>
        <w:tc>
          <w:tcPr>
            <w:tcW w:w="2482" w:type="dxa"/>
            <w:vMerge w:val="restart"/>
            <w:tcBorders>
              <w:top w:val="single" w:sz="4" w:space="0" w:color="auto"/>
            </w:tcBorders>
            <w:shd w:val="clear" w:color="auto" w:fill="auto"/>
            <w:noWrap/>
            <w:tcMar>
              <w:top w:w="0" w:type="dxa"/>
              <w:left w:w="70" w:type="dxa"/>
              <w:bottom w:w="0" w:type="dxa"/>
              <w:right w:w="70" w:type="dxa"/>
            </w:tcMar>
            <w:vAlign w:val="bottom"/>
            <w:hideMark/>
          </w:tcPr>
          <w:p w:rsidR="003467B2" w:rsidRPr="003D1522" w:rsidRDefault="003467B2" w:rsidP="003467B2">
            <w:pPr>
              <w:pStyle w:val="SingleTxtG"/>
              <w:spacing w:before="80" w:after="80" w:line="200" w:lineRule="exact"/>
              <w:ind w:left="0" w:right="113"/>
              <w:jc w:val="left"/>
              <w:rPr>
                <w:i/>
                <w:sz w:val="16"/>
              </w:rPr>
            </w:pPr>
            <w:r w:rsidRPr="003D1522">
              <w:rPr>
                <w:i/>
                <w:sz w:val="16"/>
              </w:rPr>
              <w:t>Year</w:t>
            </w:r>
          </w:p>
        </w:tc>
        <w:tc>
          <w:tcPr>
            <w:tcW w:w="4888" w:type="dxa"/>
            <w:gridSpan w:val="3"/>
            <w:tcBorders>
              <w:top w:val="single" w:sz="4" w:space="0" w:color="auto"/>
              <w:bottom w:val="single" w:sz="4" w:space="0" w:color="auto"/>
            </w:tcBorders>
            <w:shd w:val="clear" w:color="auto" w:fill="auto"/>
            <w:noWrap/>
            <w:tcMar>
              <w:top w:w="0" w:type="dxa"/>
              <w:left w:w="70" w:type="dxa"/>
              <w:bottom w:w="0" w:type="dxa"/>
              <w:right w:w="70" w:type="dxa"/>
            </w:tcMar>
            <w:vAlign w:val="bottom"/>
            <w:hideMark/>
          </w:tcPr>
          <w:p w:rsidR="003467B2" w:rsidRPr="003D1522" w:rsidRDefault="003467B2" w:rsidP="00260739">
            <w:pPr>
              <w:pStyle w:val="SingleTxtG"/>
              <w:spacing w:before="80" w:after="80" w:line="200" w:lineRule="exact"/>
              <w:ind w:left="0" w:right="113"/>
              <w:jc w:val="center"/>
              <w:rPr>
                <w:i/>
                <w:sz w:val="16"/>
              </w:rPr>
            </w:pPr>
            <w:r w:rsidRPr="003D1522">
              <w:rPr>
                <w:i/>
                <w:sz w:val="16"/>
              </w:rPr>
              <w:t>Age group</w:t>
            </w:r>
          </w:p>
        </w:tc>
      </w:tr>
      <w:tr w:rsidR="003467B2" w:rsidRPr="003D1522" w:rsidTr="00DF2C9B">
        <w:tc>
          <w:tcPr>
            <w:tcW w:w="2482" w:type="dxa"/>
            <w:vMerge/>
            <w:tcBorders>
              <w:bottom w:val="single" w:sz="12" w:space="0" w:color="auto"/>
            </w:tcBorders>
            <w:shd w:val="clear" w:color="auto" w:fill="auto"/>
            <w:noWrap/>
            <w:tcMar>
              <w:top w:w="0" w:type="dxa"/>
              <w:left w:w="70" w:type="dxa"/>
              <w:bottom w:w="0" w:type="dxa"/>
              <w:right w:w="70" w:type="dxa"/>
            </w:tcMar>
          </w:tcPr>
          <w:p w:rsidR="003467B2" w:rsidRPr="003D1522" w:rsidRDefault="003467B2" w:rsidP="00260739">
            <w:pPr>
              <w:pStyle w:val="SingleTxtG"/>
              <w:spacing w:before="40" w:after="40" w:line="220" w:lineRule="exact"/>
              <w:ind w:left="0" w:right="113"/>
              <w:jc w:val="left"/>
              <w:rPr>
                <w:i/>
                <w:sz w:val="18"/>
              </w:rPr>
            </w:pPr>
          </w:p>
        </w:tc>
        <w:tc>
          <w:tcPr>
            <w:tcW w:w="1715"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3467B2" w:rsidRPr="003D1522" w:rsidRDefault="003467B2" w:rsidP="00260739">
            <w:pPr>
              <w:pStyle w:val="SingleTxtG"/>
              <w:spacing w:before="40" w:after="40" w:line="220" w:lineRule="exact"/>
              <w:ind w:left="0" w:right="113"/>
              <w:jc w:val="right"/>
              <w:rPr>
                <w:i/>
                <w:sz w:val="18"/>
              </w:rPr>
            </w:pPr>
            <w:r w:rsidRPr="003D1522">
              <w:rPr>
                <w:i/>
                <w:sz w:val="18"/>
              </w:rPr>
              <w:t>10–14</w:t>
            </w:r>
          </w:p>
        </w:tc>
        <w:tc>
          <w:tcPr>
            <w:tcW w:w="1577"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3467B2" w:rsidRPr="003D1522" w:rsidRDefault="003467B2" w:rsidP="00260739">
            <w:pPr>
              <w:pStyle w:val="SingleTxtG"/>
              <w:spacing w:before="40" w:after="40" w:line="220" w:lineRule="exact"/>
              <w:ind w:left="0" w:right="113"/>
              <w:jc w:val="right"/>
              <w:rPr>
                <w:i/>
                <w:sz w:val="18"/>
              </w:rPr>
            </w:pPr>
            <w:r w:rsidRPr="003D1522">
              <w:rPr>
                <w:i/>
                <w:sz w:val="18"/>
              </w:rPr>
              <w:t>15–17</w:t>
            </w:r>
          </w:p>
        </w:tc>
        <w:tc>
          <w:tcPr>
            <w:tcW w:w="1596"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3467B2" w:rsidRPr="003D1522" w:rsidRDefault="003467B2" w:rsidP="00260739">
            <w:pPr>
              <w:pStyle w:val="SingleTxtG"/>
              <w:spacing w:before="40" w:after="40" w:line="220" w:lineRule="exact"/>
              <w:ind w:left="0" w:right="113"/>
              <w:jc w:val="right"/>
              <w:rPr>
                <w:i/>
                <w:sz w:val="18"/>
              </w:rPr>
            </w:pPr>
            <w:r w:rsidRPr="003D1522">
              <w:rPr>
                <w:i/>
                <w:sz w:val="18"/>
              </w:rPr>
              <w:t>18–19</w:t>
            </w:r>
          </w:p>
        </w:tc>
      </w:tr>
      <w:tr w:rsidR="002246AD" w:rsidRPr="003D1522" w:rsidTr="003467B2">
        <w:tc>
          <w:tcPr>
            <w:tcW w:w="2482" w:type="dxa"/>
            <w:tcBorders>
              <w:top w:val="single" w:sz="12" w:space="0" w:color="auto"/>
            </w:tcBorders>
            <w:shd w:val="clear" w:color="auto" w:fill="auto"/>
            <w:noWrap/>
            <w:tcMar>
              <w:top w:w="0" w:type="dxa"/>
              <w:left w:w="70" w:type="dxa"/>
              <w:bottom w:w="0" w:type="dxa"/>
              <w:right w:w="70" w:type="dxa"/>
            </w:tcMar>
            <w:hideMark/>
          </w:tcPr>
          <w:p w:rsidR="002246AD" w:rsidRPr="003D1522" w:rsidRDefault="002246AD" w:rsidP="00260739">
            <w:pPr>
              <w:pStyle w:val="SingleTxtG"/>
              <w:spacing w:before="40" w:after="40" w:line="220" w:lineRule="exact"/>
              <w:ind w:left="0" w:right="113"/>
              <w:jc w:val="left"/>
              <w:rPr>
                <w:sz w:val="18"/>
              </w:rPr>
            </w:pPr>
            <w:r w:rsidRPr="003D1522">
              <w:rPr>
                <w:sz w:val="18"/>
              </w:rPr>
              <w:t>2015</w:t>
            </w:r>
          </w:p>
        </w:tc>
        <w:tc>
          <w:tcPr>
            <w:tcW w:w="1715" w:type="dxa"/>
            <w:tcBorders>
              <w:top w:val="single" w:sz="12" w:space="0" w:color="auto"/>
            </w:tcBorders>
            <w:shd w:val="clear" w:color="auto" w:fill="auto"/>
            <w:noWrap/>
            <w:tcMar>
              <w:top w:w="0" w:type="dxa"/>
              <w:left w:w="70" w:type="dxa"/>
              <w:bottom w:w="0" w:type="dxa"/>
              <w:right w:w="70" w:type="dxa"/>
            </w:tcMar>
            <w:vAlign w:val="bottom"/>
            <w:hideMark/>
          </w:tcPr>
          <w:p w:rsidR="002246AD" w:rsidRPr="003D1522" w:rsidRDefault="002246AD" w:rsidP="00260739">
            <w:pPr>
              <w:pStyle w:val="SingleTxtG"/>
              <w:spacing w:before="40" w:after="40" w:line="220" w:lineRule="exact"/>
              <w:ind w:left="0" w:right="113"/>
              <w:jc w:val="right"/>
              <w:rPr>
                <w:sz w:val="18"/>
              </w:rPr>
            </w:pPr>
            <w:r w:rsidRPr="003D1522">
              <w:rPr>
                <w:sz w:val="18"/>
              </w:rPr>
              <w:t>2</w:t>
            </w:r>
          </w:p>
        </w:tc>
        <w:tc>
          <w:tcPr>
            <w:tcW w:w="1577" w:type="dxa"/>
            <w:tcBorders>
              <w:top w:val="single" w:sz="12" w:space="0" w:color="auto"/>
            </w:tcBorders>
            <w:shd w:val="clear" w:color="auto" w:fill="auto"/>
            <w:noWrap/>
            <w:tcMar>
              <w:top w:w="0" w:type="dxa"/>
              <w:left w:w="70" w:type="dxa"/>
              <w:bottom w:w="0" w:type="dxa"/>
              <w:right w:w="70" w:type="dxa"/>
            </w:tcMar>
            <w:vAlign w:val="bottom"/>
            <w:hideMark/>
          </w:tcPr>
          <w:p w:rsidR="002246AD" w:rsidRPr="003D1522" w:rsidRDefault="002246AD" w:rsidP="00260739">
            <w:pPr>
              <w:pStyle w:val="SingleTxtG"/>
              <w:spacing w:before="40" w:after="40" w:line="220" w:lineRule="exact"/>
              <w:ind w:left="0" w:right="113"/>
              <w:jc w:val="right"/>
              <w:rPr>
                <w:sz w:val="18"/>
              </w:rPr>
            </w:pPr>
            <w:r w:rsidRPr="003D1522">
              <w:rPr>
                <w:sz w:val="18"/>
              </w:rPr>
              <w:t>96</w:t>
            </w:r>
          </w:p>
        </w:tc>
        <w:tc>
          <w:tcPr>
            <w:tcW w:w="1596" w:type="dxa"/>
            <w:tcBorders>
              <w:top w:val="single" w:sz="12" w:space="0" w:color="auto"/>
            </w:tcBorders>
            <w:shd w:val="clear" w:color="auto" w:fill="auto"/>
            <w:noWrap/>
            <w:tcMar>
              <w:top w:w="0" w:type="dxa"/>
              <w:left w:w="70" w:type="dxa"/>
              <w:bottom w:w="0" w:type="dxa"/>
              <w:right w:w="70" w:type="dxa"/>
            </w:tcMar>
            <w:vAlign w:val="bottom"/>
            <w:hideMark/>
          </w:tcPr>
          <w:p w:rsidR="002246AD" w:rsidRPr="003D1522" w:rsidRDefault="002246AD" w:rsidP="00260739">
            <w:pPr>
              <w:pStyle w:val="SingleTxtG"/>
              <w:spacing w:before="40" w:after="40" w:line="220" w:lineRule="exact"/>
              <w:ind w:left="0" w:right="113"/>
              <w:jc w:val="right"/>
              <w:rPr>
                <w:sz w:val="18"/>
              </w:rPr>
            </w:pPr>
            <w:r w:rsidRPr="003D1522">
              <w:rPr>
                <w:sz w:val="18"/>
              </w:rPr>
              <w:t>269</w:t>
            </w:r>
          </w:p>
        </w:tc>
      </w:tr>
      <w:tr w:rsidR="002246AD" w:rsidRPr="003D1522" w:rsidTr="00260739">
        <w:tc>
          <w:tcPr>
            <w:tcW w:w="2482" w:type="dxa"/>
            <w:shd w:val="clear" w:color="auto" w:fill="auto"/>
            <w:noWrap/>
            <w:tcMar>
              <w:top w:w="0" w:type="dxa"/>
              <w:left w:w="70" w:type="dxa"/>
              <w:bottom w:w="0" w:type="dxa"/>
              <w:right w:w="70" w:type="dxa"/>
            </w:tcMar>
            <w:hideMark/>
          </w:tcPr>
          <w:p w:rsidR="002246AD" w:rsidRPr="003D1522" w:rsidRDefault="002246AD" w:rsidP="00260739">
            <w:pPr>
              <w:pStyle w:val="SingleTxtG"/>
              <w:spacing w:before="40" w:after="40" w:line="220" w:lineRule="exact"/>
              <w:ind w:left="0" w:right="113"/>
              <w:jc w:val="left"/>
              <w:rPr>
                <w:sz w:val="18"/>
              </w:rPr>
            </w:pPr>
            <w:r w:rsidRPr="003D1522">
              <w:rPr>
                <w:sz w:val="18"/>
              </w:rPr>
              <w:t>2016</w:t>
            </w:r>
          </w:p>
        </w:tc>
        <w:tc>
          <w:tcPr>
            <w:tcW w:w="1715" w:type="dxa"/>
            <w:shd w:val="clear" w:color="auto" w:fill="auto"/>
            <w:noWrap/>
            <w:tcMar>
              <w:top w:w="0" w:type="dxa"/>
              <w:left w:w="70" w:type="dxa"/>
              <w:bottom w:w="0" w:type="dxa"/>
              <w:right w:w="70" w:type="dxa"/>
            </w:tcMar>
            <w:vAlign w:val="bottom"/>
            <w:hideMark/>
          </w:tcPr>
          <w:p w:rsidR="002246AD" w:rsidRPr="003D1522" w:rsidRDefault="002246AD" w:rsidP="00260739">
            <w:pPr>
              <w:pStyle w:val="SingleTxtG"/>
              <w:spacing w:before="40" w:after="40" w:line="220" w:lineRule="exact"/>
              <w:ind w:left="0" w:right="113"/>
              <w:jc w:val="right"/>
              <w:rPr>
                <w:sz w:val="18"/>
              </w:rPr>
            </w:pPr>
            <w:r w:rsidRPr="003D1522">
              <w:rPr>
                <w:sz w:val="18"/>
              </w:rPr>
              <w:t>5</w:t>
            </w:r>
          </w:p>
        </w:tc>
        <w:tc>
          <w:tcPr>
            <w:tcW w:w="1577" w:type="dxa"/>
            <w:shd w:val="clear" w:color="auto" w:fill="auto"/>
            <w:noWrap/>
            <w:tcMar>
              <w:top w:w="0" w:type="dxa"/>
              <w:left w:w="70" w:type="dxa"/>
              <w:bottom w:w="0" w:type="dxa"/>
              <w:right w:w="70" w:type="dxa"/>
            </w:tcMar>
            <w:vAlign w:val="bottom"/>
            <w:hideMark/>
          </w:tcPr>
          <w:p w:rsidR="002246AD" w:rsidRPr="003D1522" w:rsidRDefault="002246AD" w:rsidP="00260739">
            <w:pPr>
              <w:pStyle w:val="SingleTxtG"/>
              <w:spacing w:before="40" w:after="40" w:line="220" w:lineRule="exact"/>
              <w:ind w:left="0" w:right="113"/>
              <w:jc w:val="right"/>
              <w:rPr>
                <w:sz w:val="18"/>
              </w:rPr>
            </w:pPr>
            <w:r w:rsidRPr="003D1522">
              <w:rPr>
                <w:sz w:val="18"/>
              </w:rPr>
              <w:t>77</w:t>
            </w:r>
          </w:p>
        </w:tc>
        <w:tc>
          <w:tcPr>
            <w:tcW w:w="1596" w:type="dxa"/>
            <w:shd w:val="clear" w:color="auto" w:fill="auto"/>
            <w:noWrap/>
            <w:tcMar>
              <w:top w:w="0" w:type="dxa"/>
              <w:left w:w="70" w:type="dxa"/>
              <w:bottom w:w="0" w:type="dxa"/>
              <w:right w:w="70" w:type="dxa"/>
            </w:tcMar>
            <w:vAlign w:val="bottom"/>
            <w:hideMark/>
          </w:tcPr>
          <w:p w:rsidR="002246AD" w:rsidRPr="003D1522" w:rsidRDefault="002246AD" w:rsidP="00260739">
            <w:pPr>
              <w:pStyle w:val="SingleTxtG"/>
              <w:spacing w:before="40" w:after="40" w:line="220" w:lineRule="exact"/>
              <w:ind w:left="0" w:right="113"/>
              <w:jc w:val="right"/>
              <w:rPr>
                <w:sz w:val="18"/>
              </w:rPr>
            </w:pPr>
            <w:r w:rsidRPr="003D1522">
              <w:rPr>
                <w:sz w:val="18"/>
              </w:rPr>
              <w:t>228</w:t>
            </w:r>
          </w:p>
        </w:tc>
      </w:tr>
      <w:tr w:rsidR="002246AD" w:rsidRPr="003D1522" w:rsidTr="00260739">
        <w:tc>
          <w:tcPr>
            <w:tcW w:w="2482" w:type="dxa"/>
            <w:shd w:val="clear" w:color="auto" w:fill="auto"/>
            <w:noWrap/>
            <w:tcMar>
              <w:top w:w="0" w:type="dxa"/>
              <w:left w:w="70" w:type="dxa"/>
              <w:bottom w:w="0" w:type="dxa"/>
              <w:right w:w="70" w:type="dxa"/>
            </w:tcMar>
            <w:hideMark/>
          </w:tcPr>
          <w:p w:rsidR="002246AD" w:rsidRPr="003D1522" w:rsidRDefault="002246AD" w:rsidP="00260739">
            <w:pPr>
              <w:pStyle w:val="SingleTxtG"/>
              <w:spacing w:before="40" w:after="40" w:line="220" w:lineRule="exact"/>
              <w:ind w:left="0" w:right="113"/>
              <w:jc w:val="left"/>
              <w:rPr>
                <w:sz w:val="18"/>
              </w:rPr>
            </w:pPr>
            <w:r w:rsidRPr="003D1522">
              <w:rPr>
                <w:sz w:val="18"/>
              </w:rPr>
              <w:t>2017</w:t>
            </w:r>
          </w:p>
        </w:tc>
        <w:tc>
          <w:tcPr>
            <w:tcW w:w="1715" w:type="dxa"/>
            <w:shd w:val="clear" w:color="auto" w:fill="auto"/>
            <w:noWrap/>
            <w:tcMar>
              <w:top w:w="0" w:type="dxa"/>
              <w:left w:w="70" w:type="dxa"/>
              <w:bottom w:w="0" w:type="dxa"/>
              <w:right w:w="70" w:type="dxa"/>
            </w:tcMar>
            <w:vAlign w:val="bottom"/>
            <w:hideMark/>
          </w:tcPr>
          <w:p w:rsidR="002246AD" w:rsidRPr="003D1522" w:rsidRDefault="002246AD" w:rsidP="00260739">
            <w:pPr>
              <w:pStyle w:val="SingleTxtG"/>
              <w:spacing w:before="40" w:after="40" w:line="220" w:lineRule="exact"/>
              <w:ind w:left="0" w:right="113"/>
              <w:jc w:val="right"/>
              <w:rPr>
                <w:sz w:val="18"/>
              </w:rPr>
            </w:pPr>
            <w:r w:rsidRPr="003D1522">
              <w:rPr>
                <w:sz w:val="18"/>
              </w:rPr>
              <w:t>1</w:t>
            </w:r>
          </w:p>
        </w:tc>
        <w:tc>
          <w:tcPr>
            <w:tcW w:w="1577" w:type="dxa"/>
            <w:shd w:val="clear" w:color="auto" w:fill="auto"/>
            <w:noWrap/>
            <w:tcMar>
              <w:top w:w="0" w:type="dxa"/>
              <w:left w:w="70" w:type="dxa"/>
              <w:bottom w:w="0" w:type="dxa"/>
              <w:right w:w="70" w:type="dxa"/>
            </w:tcMar>
            <w:vAlign w:val="bottom"/>
            <w:hideMark/>
          </w:tcPr>
          <w:p w:rsidR="002246AD" w:rsidRPr="003D1522" w:rsidRDefault="002246AD" w:rsidP="00260739">
            <w:pPr>
              <w:pStyle w:val="SingleTxtG"/>
              <w:spacing w:before="40" w:after="40" w:line="220" w:lineRule="exact"/>
              <w:ind w:left="0" w:right="113"/>
              <w:jc w:val="right"/>
              <w:rPr>
                <w:sz w:val="18"/>
              </w:rPr>
            </w:pPr>
            <w:r w:rsidRPr="003D1522">
              <w:rPr>
                <w:sz w:val="18"/>
              </w:rPr>
              <w:t>74</w:t>
            </w:r>
          </w:p>
        </w:tc>
        <w:tc>
          <w:tcPr>
            <w:tcW w:w="1596" w:type="dxa"/>
            <w:shd w:val="clear" w:color="auto" w:fill="auto"/>
            <w:noWrap/>
            <w:tcMar>
              <w:top w:w="0" w:type="dxa"/>
              <w:left w:w="70" w:type="dxa"/>
              <w:bottom w:w="0" w:type="dxa"/>
              <w:right w:w="70" w:type="dxa"/>
            </w:tcMar>
            <w:vAlign w:val="bottom"/>
            <w:hideMark/>
          </w:tcPr>
          <w:p w:rsidR="002246AD" w:rsidRPr="003D1522" w:rsidRDefault="002246AD" w:rsidP="00260739">
            <w:pPr>
              <w:pStyle w:val="SingleTxtG"/>
              <w:spacing w:before="40" w:after="40" w:line="220" w:lineRule="exact"/>
              <w:ind w:left="0" w:right="113"/>
              <w:jc w:val="right"/>
              <w:rPr>
                <w:sz w:val="18"/>
              </w:rPr>
            </w:pPr>
            <w:r w:rsidRPr="003D1522">
              <w:rPr>
                <w:sz w:val="18"/>
              </w:rPr>
              <w:t>220</w:t>
            </w:r>
          </w:p>
        </w:tc>
      </w:tr>
    </w:tbl>
    <w:p w:rsidR="002246AD" w:rsidRPr="003D1522" w:rsidRDefault="002246AD" w:rsidP="003467B2">
      <w:pPr>
        <w:pStyle w:val="SingleTxtG"/>
        <w:spacing w:before="240"/>
      </w:pPr>
      <w:r w:rsidRPr="003D1522">
        <w:t>98.</w:t>
      </w:r>
      <w:r w:rsidRPr="003D1522">
        <w:tab/>
        <w:t xml:space="preserve">School attendance is compulsory for children up to the age of 17. There are alternative options available if a student cannot attend the school, such as individual study programme; home schooling; studying in an upper secondary school for adults in the daytime form of study. </w:t>
      </w:r>
    </w:p>
    <w:p w:rsidR="002246AD" w:rsidRPr="003D1522" w:rsidRDefault="002246AD" w:rsidP="003467B2">
      <w:pPr>
        <w:pStyle w:val="H23G"/>
      </w:pPr>
      <w:r w:rsidRPr="003D1522">
        <w:tab/>
      </w:r>
      <w:r w:rsidRPr="003D1522">
        <w:tab/>
        <w:t>Mental Health</w:t>
      </w:r>
    </w:p>
    <w:p w:rsidR="002246AD" w:rsidRPr="003D1522" w:rsidRDefault="002246AD" w:rsidP="007566D9">
      <w:pPr>
        <w:pStyle w:val="SingleTxtG"/>
      </w:pPr>
      <w:r w:rsidRPr="003D1522">
        <w:t>99.</w:t>
      </w:r>
      <w:r w:rsidRPr="003D1522">
        <w:tab/>
        <w:t>Health insurance system covers the costs of psychiatric assistance to everyone covered by health insurance and like other medical assistance everyone has the right to psychiatric assistance, which has to be based on informed consent with the exception of cases of involuntary nature as strictly based on law and on the permission of the court. Emergency psychiatric assistance is guaranteed to everyone.</w:t>
      </w:r>
    </w:p>
    <w:p w:rsidR="002246AD" w:rsidRPr="003D1522" w:rsidRDefault="002246AD" w:rsidP="007566D9">
      <w:pPr>
        <w:pStyle w:val="SingleTxtG"/>
      </w:pPr>
      <w:r w:rsidRPr="003D1522">
        <w:t>100.</w:t>
      </w:r>
      <w:r w:rsidRPr="003D1522">
        <w:tab/>
        <w:t xml:space="preserve">The state follows the voluntary document </w:t>
      </w:r>
      <w:r w:rsidR="00C62389" w:rsidRPr="003D1522">
        <w:t>“</w:t>
      </w:r>
      <w:r w:rsidRPr="003D1522">
        <w:t>Mental Health Strategy for 2016</w:t>
      </w:r>
      <w:r w:rsidR="00036005" w:rsidRPr="003D1522">
        <w:t>–</w:t>
      </w:r>
      <w:r w:rsidRPr="003D1522">
        <w:t>2025</w:t>
      </w:r>
      <w:r w:rsidR="00C62389" w:rsidRPr="003D1522">
        <w:t>”</w:t>
      </w:r>
      <w:r w:rsidRPr="003D1522">
        <w:t xml:space="preserve"> and finances the activities of the Mental Health Coalition that is also implementing the goals of the said strategy. This strategy is not a development document approved at the state level that would bring about obligations; it is a document created by Estonian mental health experts that can and is used as a pointer in planning activities in the area of mental health.</w:t>
      </w:r>
    </w:p>
    <w:p w:rsidR="002246AD" w:rsidRPr="003D1522" w:rsidRDefault="002246AD" w:rsidP="007566D9">
      <w:pPr>
        <w:pStyle w:val="SingleTxtG"/>
      </w:pPr>
      <w:r w:rsidRPr="003D1522">
        <w:t>101.</w:t>
      </w:r>
      <w:r w:rsidRPr="003D1522">
        <w:tab/>
        <w:t xml:space="preserve">As the media performs an important role in informing and educating the public about suicide, different trainings and seminars on how to report suicide in the media has been carried out for journalists. Also web counselling is funded, because it´s easily </w:t>
      </w:r>
      <w:r w:rsidRPr="003D1522">
        <w:lastRenderedPageBreak/>
        <w:t>accessible to all those who wish to use it and it overcomes barriers that may preclude others from seeking therapy.</w:t>
      </w:r>
    </w:p>
    <w:p w:rsidR="002246AD" w:rsidRPr="003D1522" w:rsidRDefault="006D208A" w:rsidP="006D208A">
      <w:pPr>
        <w:pStyle w:val="H23G"/>
      </w:pPr>
      <w:r w:rsidRPr="003D1522">
        <w:tab/>
      </w:r>
      <w:r w:rsidRPr="003D1522">
        <w:tab/>
      </w:r>
      <w:r w:rsidR="002246AD" w:rsidRPr="003D1522">
        <w:t>White Paper on drug prevention policy</w:t>
      </w:r>
    </w:p>
    <w:p w:rsidR="002246AD" w:rsidRPr="003D1522" w:rsidRDefault="002246AD" w:rsidP="007566D9">
      <w:pPr>
        <w:pStyle w:val="SingleTxtG"/>
      </w:pPr>
      <w:r w:rsidRPr="003D1522">
        <w:t>102.</w:t>
      </w:r>
      <w:r w:rsidRPr="003D1522">
        <w:tab/>
        <w:t xml:space="preserve">Indicator 1: Drug overdose deaths are reduced. The goal of less than 80 drug overdose deaths per year has not been reached. In 2017, the number of deaths was 110 and it has been stable over the last years, mainly due to the use of fentanyl and it´s analogues. Despite of the availability of naloxone take-home program it is difficult to fight against constantly changing high potency synthetic opioid illicit drug market. </w:t>
      </w:r>
    </w:p>
    <w:p w:rsidR="002246AD" w:rsidRPr="003D1522" w:rsidRDefault="002246AD" w:rsidP="007566D9">
      <w:pPr>
        <w:pStyle w:val="SingleTxtG"/>
      </w:pPr>
      <w:r w:rsidRPr="003D1522">
        <w:t>103.</w:t>
      </w:r>
      <w:r w:rsidRPr="003D1522">
        <w:tab/>
        <w:t>Indicator 2: By 2015 the percentage of 15</w:t>
      </w:r>
      <w:r w:rsidR="00AB4D33" w:rsidRPr="003D1522">
        <w:t>–</w:t>
      </w:r>
      <w:r w:rsidRPr="003D1522">
        <w:t>16-year-olds who have used drugs in their lifetime will be reduced. The goal to reach levels of 24% of 15</w:t>
      </w:r>
      <w:r w:rsidR="003F21A6" w:rsidRPr="003D1522">
        <w:t>–</w:t>
      </w:r>
      <w:r w:rsidR="00AB4D33" w:rsidRPr="003D1522">
        <w:t>16-year-olds</w:t>
      </w:r>
      <w:r w:rsidRPr="003D1522">
        <w:t xml:space="preserve"> who have used drugs during their life (and more specifically, 10% for cannabis) has not been reached. The most popular substances among 15−16 years old students are cannabis (18.9%), inhalants and sedatives (without a doctor</w:t>
      </w:r>
      <w:r w:rsidR="00C62389" w:rsidRPr="003D1522">
        <w:t>’</w:t>
      </w:r>
      <w:r w:rsidRPr="003D1522">
        <w:t>s prescription). In 2015, 3% of students used Ecstasy and 2% used amphetamines (ESPAD 2015</w:t>
      </w:r>
      <w:r w:rsidRPr="003D1522">
        <w:rPr>
          <w:rStyle w:val="FootnoteReference"/>
        </w:rPr>
        <w:footnoteReference w:id="16"/>
      </w:r>
      <w:r w:rsidRPr="003D1522">
        <w:t xml:space="preserve">). </w:t>
      </w:r>
    </w:p>
    <w:p w:rsidR="002246AD" w:rsidRPr="003D1522" w:rsidRDefault="002246AD" w:rsidP="00C1218D">
      <w:pPr>
        <w:pStyle w:val="Heading1"/>
        <w:spacing w:after="120"/>
      </w:pPr>
      <w:r w:rsidRPr="003D1522">
        <w:t>Figure 1</w:t>
      </w:r>
      <w:r w:rsidRPr="003D1522">
        <w:br/>
      </w:r>
      <w:r w:rsidRPr="003D1522">
        <w:rPr>
          <w:rStyle w:val="SingleTxtGChar"/>
          <w:b/>
          <w:bCs/>
        </w:rPr>
        <w:t xml:space="preserve">The use of illegal drugs by 15- to 16-year-olds throughout their lifetimes (%) </w:t>
      </w:r>
      <w:r w:rsidRPr="003D1522">
        <w:rPr>
          <w:rStyle w:val="SingleTxtGChar"/>
          <w:b/>
          <w:bCs/>
        </w:rPr>
        <w:br/>
        <w:t>1995−2015 (ESPAD 20152)</w:t>
      </w:r>
    </w:p>
    <w:p w:rsidR="002246AD" w:rsidRPr="003D1522" w:rsidRDefault="002246AD" w:rsidP="007566D9">
      <w:pPr>
        <w:pStyle w:val="SingleTxtG"/>
      </w:pPr>
      <w:r w:rsidRPr="003D1522">
        <w:rPr>
          <w:noProof/>
          <w:lang w:val="en-US"/>
        </w:rPr>
        <w:drawing>
          <wp:inline distT="0" distB="0" distL="0" distR="0" wp14:anchorId="6FA3B664" wp14:editId="76990180">
            <wp:extent cx="4649190" cy="2345055"/>
            <wp:effectExtent l="0" t="0" r="18415" b="1714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246AD" w:rsidRPr="003D1522" w:rsidRDefault="002246AD" w:rsidP="006D208A">
      <w:pPr>
        <w:pStyle w:val="SingleTxtG"/>
        <w:spacing w:before="240"/>
      </w:pPr>
      <w:r w:rsidRPr="003D1522">
        <w:t>104.</w:t>
      </w:r>
      <w:r w:rsidRPr="003D1522">
        <w:tab/>
        <w:t>Indicator 3 and 4: Every year will show a two percent decrease in the use of drugs during the last 12 months among the adult population (18</w:t>
      </w:r>
      <w:r w:rsidR="006D208A" w:rsidRPr="003D1522">
        <w:t>–</w:t>
      </w:r>
      <w:r w:rsidR="00AB4D33" w:rsidRPr="003D1522">
        <w:t>74-year-olds</w:t>
      </w:r>
      <w:r w:rsidRPr="003D1522">
        <w:t xml:space="preserve">). </w:t>
      </w:r>
    </w:p>
    <w:p w:rsidR="002246AD" w:rsidRPr="003D1522" w:rsidRDefault="002246AD" w:rsidP="007566D9">
      <w:pPr>
        <w:pStyle w:val="SingleTxtG"/>
      </w:pPr>
      <w:r w:rsidRPr="003D1522">
        <w:t>105.</w:t>
      </w:r>
      <w:r w:rsidRPr="003D1522">
        <w:tab/>
        <w:t>Indicator: Every year will show a two percent decrease in the use of drugs in their lifetime among minors (7</w:t>
      </w:r>
      <w:r w:rsidR="006D208A" w:rsidRPr="003D1522">
        <w:t>–</w:t>
      </w:r>
      <w:r w:rsidR="00AB4D33" w:rsidRPr="003D1522">
        <w:t>17-year-olds</w:t>
      </w:r>
      <w:r w:rsidRPr="003D1522">
        <w:t>).</w:t>
      </w:r>
    </w:p>
    <w:p w:rsidR="002246AD" w:rsidRPr="003D1522" w:rsidRDefault="002246AD" w:rsidP="007566D9">
      <w:pPr>
        <w:pStyle w:val="SingleTxtG"/>
      </w:pPr>
      <w:r w:rsidRPr="003D1522">
        <w:t>106.</w:t>
      </w:r>
      <w:r w:rsidRPr="003D1522">
        <w:tab/>
        <w:t>These indicators were not measured during the period of 2012−2018 due to the lack of general population survey.</w:t>
      </w:r>
    </w:p>
    <w:p w:rsidR="002246AD" w:rsidRPr="003D1522" w:rsidRDefault="002246AD" w:rsidP="007566D9">
      <w:pPr>
        <w:pStyle w:val="SingleTxtG"/>
      </w:pPr>
      <w:r w:rsidRPr="003D1522">
        <w:t>107.</w:t>
      </w:r>
      <w:r w:rsidRPr="003D1522">
        <w:tab/>
        <w:t>Most of the drug treatment services are accessible for both gender (except one long term rehabilitation center is Sillamäe).</w:t>
      </w:r>
      <w:r w:rsidR="006D208A" w:rsidRPr="003D1522">
        <w:t xml:space="preserve"> </w:t>
      </w:r>
      <w:r w:rsidRPr="003D1522">
        <w:t>Treatment services are free for everybody who needs them regardless of health insurance status.</w:t>
      </w:r>
    </w:p>
    <w:p w:rsidR="002246AD" w:rsidRPr="003D1522" w:rsidRDefault="002246AD" w:rsidP="007566D9">
      <w:pPr>
        <w:pStyle w:val="SingleTxtG"/>
      </w:pPr>
      <w:r w:rsidRPr="003D1522">
        <w:t>108.</w:t>
      </w:r>
      <w:r w:rsidRPr="003D1522">
        <w:tab/>
        <w:t>Estonia has one center for people involved in commercial sex services. Many of the clients of the center also use illicit drugs. This center provides counselling services, rapid HIV testing, condoms, pregnancy tests, and syringes if needed.</w:t>
      </w:r>
    </w:p>
    <w:p w:rsidR="002246AD" w:rsidRPr="003D1522" w:rsidRDefault="002246AD" w:rsidP="007566D9">
      <w:pPr>
        <w:pStyle w:val="SingleTxtG"/>
      </w:pPr>
      <w:r w:rsidRPr="003D1522">
        <w:t>109.</w:t>
      </w:r>
      <w:r w:rsidRPr="003D1522">
        <w:tab/>
        <w:t xml:space="preserve">At the end of the 2017, nine organisations in Estonia provided services for harm reduction. A total of 34 service centres exist in various regions of Estonia, of which 14 were stationary centres and 20 were based on outreach work. Since November 2018 two extra mobile harm reduction buses are providing service. Most of the services are located in </w:t>
      </w:r>
      <w:r w:rsidRPr="003D1522">
        <w:lastRenderedPageBreak/>
        <w:t xml:space="preserve">Harju County and East Viru County, although services are also provided in Tapa, Pärnu and Paide (fig. 2). </w:t>
      </w:r>
    </w:p>
    <w:p w:rsidR="002246AD" w:rsidRPr="003D1522" w:rsidRDefault="002246AD" w:rsidP="00C1218D">
      <w:pPr>
        <w:pStyle w:val="Heading1"/>
        <w:spacing w:before="240" w:after="120"/>
      </w:pPr>
      <w:r w:rsidRPr="003D1522">
        <w:t>Figure 2</w:t>
      </w:r>
      <w:r w:rsidRPr="003D1522">
        <w:br/>
      </w:r>
      <w:r w:rsidRPr="003D1522">
        <w:rPr>
          <w:rStyle w:val="SingleTxtGChar"/>
          <w:b/>
          <w:bCs/>
        </w:rPr>
        <w:t>Location of harm reduction services in Estonia, 2017</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2246AD" w:rsidRPr="003D1522" w:rsidTr="00344797">
        <w:trPr>
          <w:tblHeader/>
        </w:trPr>
        <w:tc>
          <w:tcPr>
            <w:tcW w:w="3685" w:type="dxa"/>
            <w:shd w:val="clear" w:color="auto" w:fill="auto"/>
            <w:vAlign w:val="bottom"/>
          </w:tcPr>
          <w:p w:rsidR="002246AD" w:rsidRPr="003D1522" w:rsidRDefault="002246AD" w:rsidP="00344797">
            <w:pPr>
              <w:pStyle w:val="SingleTxtG"/>
              <w:spacing w:before="80" w:after="80" w:line="200" w:lineRule="exact"/>
              <w:ind w:left="0" w:right="113"/>
              <w:jc w:val="left"/>
              <w:rPr>
                <w:i/>
                <w:sz w:val="16"/>
              </w:rPr>
            </w:pPr>
            <w:r w:rsidRPr="003D1522">
              <w:rPr>
                <w:i/>
                <w:sz w:val="16"/>
              </w:rPr>
              <w:t>Stationary</w:t>
            </w:r>
          </w:p>
        </w:tc>
        <w:tc>
          <w:tcPr>
            <w:tcW w:w="3685" w:type="dxa"/>
            <w:shd w:val="clear" w:color="auto" w:fill="auto"/>
            <w:vAlign w:val="bottom"/>
          </w:tcPr>
          <w:p w:rsidR="002246AD" w:rsidRPr="003D1522" w:rsidRDefault="002246AD" w:rsidP="00344797">
            <w:pPr>
              <w:pStyle w:val="SingleTxtG"/>
              <w:spacing w:before="80" w:after="80" w:line="200" w:lineRule="exact"/>
              <w:ind w:left="0" w:right="113"/>
              <w:jc w:val="right"/>
              <w:rPr>
                <w:i/>
                <w:sz w:val="16"/>
              </w:rPr>
            </w:pPr>
            <w:r w:rsidRPr="003D1522">
              <w:rPr>
                <w:i/>
                <w:sz w:val="16"/>
              </w:rPr>
              <w:t>Out-reach units</w:t>
            </w:r>
          </w:p>
        </w:tc>
      </w:tr>
    </w:tbl>
    <w:p w:rsidR="002246AD" w:rsidRPr="003D1522" w:rsidRDefault="002246AD" w:rsidP="007566D9">
      <w:pPr>
        <w:pStyle w:val="SingleTxtG"/>
      </w:pPr>
      <w:r w:rsidRPr="003D1522">
        <w:rPr>
          <w:noProof/>
          <w:lang w:val="en-US"/>
        </w:rPr>
        <w:drawing>
          <wp:inline distT="0" distB="0" distL="0" distR="0" wp14:anchorId="66DB9059" wp14:editId="103D821F">
            <wp:extent cx="4678878" cy="2675854"/>
            <wp:effectExtent l="0" t="0" r="7620" b="0"/>
            <wp:docPr id="11" name="Picture 11" descr="Narko2017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rko2017_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00881" cy="2688438"/>
                    </a:xfrm>
                    <a:prstGeom prst="rect">
                      <a:avLst/>
                    </a:prstGeom>
                    <a:noFill/>
                    <a:ln>
                      <a:noFill/>
                    </a:ln>
                  </pic:spPr>
                </pic:pic>
              </a:graphicData>
            </a:graphic>
          </wp:inline>
        </w:drawing>
      </w:r>
    </w:p>
    <w:p w:rsidR="002246AD" w:rsidRPr="003D1522" w:rsidRDefault="002246AD" w:rsidP="00C1218D">
      <w:pPr>
        <w:pStyle w:val="Heading1"/>
        <w:spacing w:after="120"/>
      </w:pPr>
      <w:r w:rsidRPr="003D1522">
        <w:t>Table 1</w:t>
      </w:r>
      <w:r w:rsidRPr="003D1522">
        <w:br/>
      </w:r>
      <w:r w:rsidRPr="003D1522">
        <w:rPr>
          <w:rStyle w:val="SingleTxtGChar"/>
          <w:b/>
          <w:bCs/>
        </w:rPr>
        <w:t>Statistics on the use of harm reduction services, 2015–2017</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9"/>
        <w:gridCol w:w="1417"/>
        <w:gridCol w:w="1417"/>
        <w:gridCol w:w="1417"/>
      </w:tblGrid>
      <w:tr w:rsidR="002246AD" w:rsidRPr="003D1522" w:rsidTr="00DC37D0">
        <w:trPr>
          <w:tblHeader/>
        </w:trPr>
        <w:tc>
          <w:tcPr>
            <w:tcW w:w="3119" w:type="dxa"/>
            <w:tcBorders>
              <w:top w:val="single" w:sz="4" w:space="0" w:color="auto"/>
              <w:bottom w:val="single" w:sz="12" w:space="0" w:color="auto"/>
            </w:tcBorders>
            <w:shd w:val="clear" w:color="auto" w:fill="auto"/>
            <w:vAlign w:val="bottom"/>
          </w:tcPr>
          <w:p w:rsidR="002246AD" w:rsidRPr="003D1522" w:rsidRDefault="002246AD" w:rsidP="00344797">
            <w:pPr>
              <w:pStyle w:val="SingleTxtG"/>
              <w:spacing w:before="80" w:after="80" w:line="200" w:lineRule="exact"/>
              <w:ind w:left="0" w:right="113"/>
              <w:jc w:val="left"/>
              <w:rPr>
                <w:i/>
                <w:sz w:val="16"/>
              </w:rPr>
            </w:pPr>
          </w:p>
        </w:tc>
        <w:tc>
          <w:tcPr>
            <w:tcW w:w="1417" w:type="dxa"/>
            <w:tcBorders>
              <w:top w:val="single" w:sz="4" w:space="0" w:color="auto"/>
              <w:bottom w:val="single" w:sz="12" w:space="0" w:color="auto"/>
            </w:tcBorders>
            <w:shd w:val="clear" w:color="auto" w:fill="auto"/>
            <w:vAlign w:val="bottom"/>
            <w:hideMark/>
          </w:tcPr>
          <w:p w:rsidR="002246AD" w:rsidRPr="003D1522" w:rsidRDefault="002246AD" w:rsidP="00344797">
            <w:pPr>
              <w:pStyle w:val="SingleTxtG"/>
              <w:spacing w:before="80" w:after="80" w:line="200" w:lineRule="exact"/>
              <w:ind w:left="0" w:right="113"/>
              <w:jc w:val="right"/>
              <w:rPr>
                <w:i/>
                <w:sz w:val="16"/>
              </w:rPr>
            </w:pPr>
            <w:r w:rsidRPr="003D1522">
              <w:rPr>
                <w:i/>
                <w:sz w:val="16"/>
              </w:rPr>
              <w:t>2015</w:t>
            </w:r>
          </w:p>
        </w:tc>
        <w:tc>
          <w:tcPr>
            <w:tcW w:w="1417" w:type="dxa"/>
            <w:tcBorders>
              <w:top w:val="single" w:sz="4" w:space="0" w:color="auto"/>
              <w:bottom w:val="single" w:sz="12" w:space="0" w:color="auto"/>
            </w:tcBorders>
            <w:shd w:val="clear" w:color="auto" w:fill="auto"/>
            <w:vAlign w:val="bottom"/>
            <w:hideMark/>
          </w:tcPr>
          <w:p w:rsidR="002246AD" w:rsidRPr="003D1522" w:rsidRDefault="002246AD" w:rsidP="00344797">
            <w:pPr>
              <w:pStyle w:val="SingleTxtG"/>
              <w:spacing w:before="80" w:after="80" w:line="200" w:lineRule="exact"/>
              <w:ind w:left="0" w:right="113"/>
              <w:jc w:val="right"/>
              <w:rPr>
                <w:i/>
                <w:sz w:val="16"/>
              </w:rPr>
            </w:pPr>
            <w:r w:rsidRPr="003D1522">
              <w:rPr>
                <w:i/>
                <w:sz w:val="16"/>
              </w:rPr>
              <w:t>2016</w:t>
            </w:r>
          </w:p>
        </w:tc>
        <w:tc>
          <w:tcPr>
            <w:tcW w:w="1417" w:type="dxa"/>
            <w:tcBorders>
              <w:top w:val="single" w:sz="4" w:space="0" w:color="auto"/>
              <w:bottom w:val="single" w:sz="12" w:space="0" w:color="auto"/>
            </w:tcBorders>
            <w:shd w:val="clear" w:color="auto" w:fill="auto"/>
            <w:vAlign w:val="bottom"/>
            <w:hideMark/>
          </w:tcPr>
          <w:p w:rsidR="002246AD" w:rsidRPr="003D1522" w:rsidRDefault="002246AD" w:rsidP="00344797">
            <w:pPr>
              <w:pStyle w:val="SingleTxtG"/>
              <w:spacing w:before="80" w:after="80" w:line="200" w:lineRule="exact"/>
              <w:ind w:left="0" w:right="113"/>
              <w:jc w:val="right"/>
              <w:rPr>
                <w:i/>
                <w:sz w:val="16"/>
              </w:rPr>
            </w:pPr>
            <w:r w:rsidRPr="003D1522">
              <w:rPr>
                <w:i/>
                <w:sz w:val="16"/>
              </w:rPr>
              <w:t>2017</w:t>
            </w:r>
          </w:p>
        </w:tc>
      </w:tr>
      <w:tr w:rsidR="002246AD" w:rsidRPr="003D1522" w:rsidTr="00DC37D0">
        <w:tc>
          <w:tcPr>
            <w:tcW w:w="3119" w:type="dxa"/>
            <w:tcBorders>
              <w:top w:val="single" w:sz="12" w:space="0" w:color="auto"/>
            </w:tcBorders>
            <w:shd w:val="clear" w:color="auto" w:fill="auto"/>
            <w:hideMark/>
          </w:tcPr>
          <w:p w:rsidR="002246AD" w:rsidRPr="003D1522" w:rsidRDefault="002246AD" w:rsidP="00344797">
            <w:pPr>
              <w:pStyle w:val="SingleTxtG"/>
              <w:spacing w:before="40" w:after="40" w:line="220" w:lineRule="exact"/>
              <w:ind w:left="0" w:right="113"/>
              <w:jc w:val="left"/>
              <w:rPr>
                <w:sz w:val="18"/>
              </w:rPr>
            </w:pPr>
            <w:r w:rsidRPr="003D1522">
              <w:rPr>
                <w:sz w:val="18"/>
              </w:rPr>
              <w:t>Total service users (with a client code)</w:t>
            </w:r>
          </w:p>
        </w:tc>
        <w:tc>
          <w:tcPr>
            <w:tcW w:w="1417" w:type="dxa"/>
            <w:tcBorders>
              <w:top w:val="single" w:sz="12" w:space="0" w:color="auto"/>
            </w:tcBorders>
            <w:shd w:val="clear" w:color="auto" w:fill="auto"/>
            <w:vAlign w:val="bottom"/>
            <w:hideMark/>
          </w:tcPr>
          <w:p w:rsidR="002246AD" w:rsidRPr="003D1522" w:rsidRDefault="002246AD" w:rsidP="00344797">
            <w:pPr>
              <w:pStyle w:val="SingleTxtG"/>
              <w:spacing w:before="40" w:after="40" w:line="220" w:lineRule="exact"/>
              <w:ind w:left="0" w:right="113"/>
              <w:jc w:val="right"/>
              <w:rPr>
                <w:sz w:val="18"/>
              </w:rPr>
            </w:pPr>
            <w:r w:rsidRPr="003D1522">
              <w:rPr>
                <w:sz w:val="18"/>
              </w:rPr>
              <w:t>5</w:t>
            </w:r>
            <w:r w:rsidR="00E11746" w:rsidRPr="003D1522">
              <w:rPr>
                <w:sz w:val="18"/>
              </w:rPr>
              <w:t xml:space="preserve"> </w:t>
            </w:r>
            <w:r w:rsidRPr="003D1522">
              <w:rPr>
                <w:sz w:val="18"/>
              </w:rPr>
              <w:t>810</w:t>
            </w:r>
          </w:p>
        </w:tc>
        <w:tc>
          <w:tcPr>
            <w:tcW w:w="1417" w:type="dxa"/>
            <w:tcBorders>
              <w:top w:val="single" w:sz="12" w:space="0" w:color="auto"/>
            </w:tcBorders>
            <w:shd w:val="clear" w:color="auto" w:fill="auto"/>
            <w:vAlign w:val="bottom"/>
            <w:hideMark/>
          </w:tcPr>
          <w:p w:rsidR="002246AD" w:rsidRPr="003D1522" w:rsidRDefault="002246AD" w:rsidP="00344797">
            <w:pPr>
              <w:pStyle w:val="SingleTxtG"/>
              <w:spacing w:before="40" w:after="40" w:line="220" w:lineRule="exact"/>
              <w:ind w:left="0" w:right="113"/>
              <w:jc w:val="right"/>
              <w:rPr>
                <w:sz w:val="18"/>
              </w:rPr>
            </w:pPr>
            <w:r w:rsidRPr="003D1522">
              <w:rPr>
                <w:sz w:val="18"/>
              </w:rPr>
              <w:t>5</w:t>
            </w:r>
            <w:r w:rsidR="00E11746" w:rsidRPr="003D1522">
              <w:rPr>
                <w:sz w:val="18"/>
              </w:rPr>
              <w:t xml:space="preserve"> </w:t>
            </w:r>
            <w:r w:rsidRPr="003D1522">
              <w:rPr>
                <w:sz w:val="18"/>
              </w:rPr>
              <w:t>608</w:t>
            </w:r>
          </w:p>
        </w:tc>
        <w:tc>
          <w:tcPr>
            <w:tcW w:w="1417" w:type="dxa"/>
            <w:tcBorders>
              <w:top w:val="single" w:sz="12" w:space="0" w:color="auto"/>
            </w:tcBorders>
            <w:shd w:val="clear" w:color="auto" w:fill="auto"/>
            <w:vAlign w:val="bottom"/>
            <w:hideMark/>
          </w:tcPr>
          <w:p w:rsidR="002246AD" w:rsidRPr="003D1522" w:rsidRDefault="002246AD" w:rsidP="00344797">
            <w:pPr>
              <w:pStyle w:val="SingleTxtG"/>
              <w:spacing w:before="40" w:after="40" w:line="220" w:lineRule="exact"/>
              <w:ind w:left="0" w:right="113"/>
              <w:jc w:val="right"/>
              <w:rPr>
                <w:sz w:val="18"/>
              </w:rPr>
            </w:pPr>
            <w:r w:rsidRPr="003D1522">
              <w:rPr>
                <w:sz w:val="18"/>
              </w:rPr>
              <w:t>5</w:t>
            </w:r>
            <w:r w:rsidR="00E11746" w:rsidRPr="003D1522">
              <w:rPr>
                <w:sz w:val="18"/>
              </w:rPr>
              <w:t xml:space="preserve"> </w:t>
            </w:r>
            <w:r w:rsidRPr="003D1522">
              <w:rPr>
                <w:sz w:val="18"/>
              </w:rPr>
              <w:t>465</w:t>
            </w:r>
          </w:p>
        </w:tc>
      </w:tr>
      <w:tr w:rsidR="002246AD" w:rsidRPr="003D1522" w:rsidTr="00DC37D0">
        <w:tc>
          <w:tcPr>
            <w:tcW w:w="3119" w:type="dxa"/>
            <w:shd w:val="clear" w:color="auto" w:fill="auto"/>
            <w:hideMark/>
          </w:tcPr>
          <w:p w:rsidR="002246AD" w:rsidRPr="003D1522" w:rsidRDefault="002246AD" w:rsidP="00344797">
            <w:pPr>
              <w:pStyle w:val="SingleTxtG"/>
              <w:spacing w:before="40" w:after="40" w:line="220" w:lineRule="exact"/>
              <w:ind w:left="0" w:right="113"/>
              <w:jc w:val="left"/>
              <w:rPr>
                <w:sz w:val="18"/>
              </w:rPr>
            </w:pPr>
            <w:r w:rsidRPr="003D1522">
              <w:rPr>
                <w:sz w:val="18"/>
              </w:rPr>
              <w:t>Number of times the service is used annually</w:t>
            </w:r>
          </w:p>
        </w:tc>
        <w:tc>
          <w:tcPr>
            <w:tcW w:w="1417" w:type="dxa"/>
            <w:shd w:val="clear" w:color="auto" w:fill="auto"/>
            <w:vAlign w:val="bottom"/>
            <w:hideMark/>
          </w:tcPr>
          <w:p w:rsidR="002246AD" w:rsidRPr="003D1522" w:rsidRDefault="002246AD" w:rsidP="00344797">
            <w:pPr>
              <w:pStyle w:val="SingleTxtG"/>
              <w:spacing w:before="40" w:after="40" w:line="220" w:lineRule="exact"/>
              <w:ind w:left="0" w:right="113"/>
              <w:jc w:val="right"/>
              <w:rPr>
                <w:sz w:val="18"/>
              </w:rPr>
            </w:pPr>
            <w:r w:rsidRPr="003D1522">
              <w:rPr>
                <w:sz w:val="18"/>
              </w:rPr>
              <w:t>138</w:t>
            </w:r>
            <w:r w:rsidR="00E11746" w:rsidRPr="003D1522">
              <w:rPr>
                <w:sz w:val="18"/>
              </w:rPr>
              <w:t xml:space="preserve"> </w:t>
            </w:r>
            <w:r w:rsidRPr="003D1522">
              <w:rPr>
                <w:sz w:val="18"/>
              </w:rPr>
              <w:t>325</w:t>
            </w:r>
          </w:p>
        </w:tc>
        <w:tc>
          <w:tcPr>
            <w:tcW w:w="1417" w:type="dxa"/>
            <w:shd w:val="clear" w:color="auto" w:fill="auto"/>
            <w:vAlign w:val="bottom"/>
            <w:hideMark/>
          </w:tcPr>
          <w:p w:rsidR="002246AD" w:rsidRPr="003D1522" w:rsidRDefault="002246AD" w:rsidP="00344797">
            <w:pPr>
              <w:pStyle w:val="SingleTxtG"/>
              <w:spacing w:before="40" w:after="40" w:line="220" w:lineRule="exact"/>
              <w:ind w:left="0" w:right="113"/>
              <w:jc w:val="right"/>
              <w:rPr>
                <w:sz w:val="18"/>
              </w:rPr>
            </w:pPr>
            <w:r w:rsidRPr="003D1522">
              <w:rPr>
                <w:sz w:val="18"/>
              </w:rPr>
              <w:t>132</w:t>
            </w:r>
            <w:r w:rsidR="00E11746" w:rsidRPr="003D1522">
              <w:rPr>
                <w:sz w:val="18"/>
              </w:rPr>
              <w:t xml:space="preserve"> </w:t>
            </w:r>
            <w:r w:rsidRPr="003D1522">
              <w:rPr>
                <w:sz w:val="18"/>
              </w:rPr>
              <w:t>325</w:t>
            </w:r>
          </w:p>
        </w:tc>
        <w:tc>
          <w:tcPr>
            <w:tcW w:w="1417" w:type="dxa"/>
            <w:shd w:val="clear" w:color="auto" w:fill="auto"/>
            <w:vAlign w:val="bottom"/>
            <w:hideMark/>
          </w:tcPr>
          <w:p w:rsidR="002246AD" w:rsidRPr="003D1522" w:rsidRDefault="002246AD" w:rsidP="00344797">
            <w:pPr>
              <w:pStyle w:val="SingleTxtG"/>
              <w:spacing w:before="40" w:after="40" w:line="220" w:lineRule="exact"/>
              <w:ind w:left="0" w:right="113"/>
              <w:jc w:val="right"/>
              <w:rPr>
                <w:sz w:val="18"/>
              </w:rPr>
            </w:pPr>
            <w:r w:rsidRPr="003D1522">
              <w:rPr>
                <w:sz w:val="18"/>
              </w:rPr>
              <w:t>110</w:t>
            </w:r>
            <w:r w:rsidR="00E11746" w:rsidRPr="003D1522">
              <w:rPr>
                <w:sz w:val="18"/>
              </w:rPr>
              <w:t xml:space="preserve"> </w:t>
            </w:r>
            <w:r w:rsidRPr="003D1522">
              <w:rPr>
                <w:sz w:val="18"/>
              </w:rPr>
              <w:t>636</w:t>
            </w:r>
          </w:p>
        </w:tc>
      </w:tr>
      <w:tr w:rsidR="002246AD" w:rsidRPr="003D1522" w:rsidTr="00DC37D0">
        <w:tc>
          <w:tcPr>
            <w:tcW w:w="3119" w:type="dxa"/>
            <w:shd w:val="clear" w:color="auto" w:fill="auto"/>
            <w:hideMark/>
          </w:tcPr>
          <w:p w:rsidR="002246AD" w:rsidRPr="003D1522" w:rsidRDefault="002246AD" w:rsidP="00344797">
            <w:pPr>
              <w:pStyle w:val="SingleTxtG"/>
              <w:spacing w:before="40" w:after="40" w:line="220" w:lineRule="exact"/>
              <w:ind w:left="0" w:right="113"/>
              <w:jc w:val="left"/>
              <w:rPr>
                <w:sz w:val="18"/>
              </w:rPr>
            </w:pPr>
            <w:r w:rsidRPr="003D1522">
              <w:rPr>
                <w:sz w:val="18"/>
              </w:rPr>
              <w:t>Number of consultations with harm reduction specialists</w:t>
            </w:r>
          </w:p>
        </w:tc>
        <w:tc>
          <w:tcPr>
            <w:tcW w:w="1417" w:type="dxa"/>
            <w:shd w:val="clear" w:color="auto" w:fill="auto"/>
            <w:vAlign w:val="bottom"/>
            <w:hideMark/>
          </w:tcPr>
          <w:p w:rsidR="002246AD" w:rsidRPr="003D1522" w:rsidRDefault="002246AD" w:rsidP="00344797">
            <w:pPr>
              <w:pStyle w:val="SingleTxtG"/>
              <w:spacing w:before="40" w:after="40" w:line="220" w:lineRule="exact"/>
              <w:ind w:left="0" w:right="113"/>
              <w:jc w:val="right"/>
              <w:rPr>
                <w:sz w:val="18"/>
              </w:rPr>
            </w:pPr>
            <w:r w:rsidRPr="003D1522">
              <w:rPr>
                <w:sz w:val="18"/>
              </w:rPr>
              <w:t>50</w:t>
            </w:r>
            <w:r w:rsidR="00E11746" w:rsidRPr="003D1522">
              <w:rPr>
                <w:sz w:val="18"/>
              </w:rPr>
              <w:t xml:space="preserve"> </w:t>
            </w:r>
            <w:r w:rsidRPr="003D1522">
              <w:rPr>
                <w:sz w:val="18"/>
              </w:rPr>
              <w:t>822</w:t>
            </w:r>
          </w:p>
        </w:tc>
        <w:tc>
          <w:tcPr>
            <w:tcW w:w="1417" w:type="dxa"/>
            <w:shd w:val="clear" w:color="auto" w:fill="auto"/>
            <w:vAlign w:val="bottom"/>
            <w:hideMark/>
          </w:tcPr>
          <w:p w:rsidR="002246AD" w:rsidRPr="003D1522" w:rsidRDefault="002246AD" w:rsidP="00344797">
            <w:pPr>
              <w:pStyle w:val="SingleTxtG"/>
              <w:spacing w:before="40" w:after="40" w:line="220" w:lineRule="exact"/>
              <w:ind w:left="0" w:right="113"/>
              <w:jc w:val="right"/>
              <w:rPr>
                <w:sz w:val="18"/>
              </w:rPr>
            </w:pPr>
            <w:r w:rsidRPr="003D1522">
              <w:rPr>
                <w:sz w:val="18"/>
              </w:rPr>
              <w:t>47</w:t>
            </w:r>
            <w:r w:rsidR="00E11746" w:rsidRPr="003D1522">
              <w:rPr>
                <w:sz w:val="18"/>
              </w:rPr>
              <w:t xml:space="preserve"> </w:t>
            </w:r>
            <w:r w:rsidRPr="003D1522">
              <w:rPr>
                <w:sz w:val="18"/>
              </w:rPr>
              <w:t>417</w:t>
            </w:r>
          </w:p>
        </w:tc>
        <w:tc>
          <w:tcPr>
            <w:tcW w:w="1417" w:type="dxa"/>
            <w:shd w:val="clear" w:color="auto" w:fill="auto"/>
            <w:vAlign w:val="bottom"/>
            <w:hideMark/>
          </w:tcPr>
          <w:p w:rsidR="002246AD" w:rsidRPr="003D1522" w:rsidRDefault="002246AD" w:rsidP="00344797">
            <w:pPr>
              <w:pStyle w:val="SingleTxtG"/>
              <w:spacing w:before="40" w:after="40" w:line="220" w:lineRule="exact"/>
              <w:ind w:left="0" w:right="113"/>
              <w:jc w:val="right"/>
              <w:rPr>
                <w:sz w:val="18"/>
              </w:rPr>
            </w:pPr>
            <w:r w:rsidRPr="003D1522">
              <w:rPr>
                <w:sz w:val="18"/>
              </w:rPr>
              <w:t>43</w:t>
            </w:r>
            <w:r w:rsidR="00E11746" w:rsidRPr="003D1522">
              <w:rPr>
                <w:sz w:val="18"/>
              </w:rPr>
              <w:t xml:space="preserve"> </w:t>
            </w:r>
            <w:r w:rsidRPr="003D1522">
              <w:rPr>
                <w:sz w:val="18"/>
              </w:rPr>
              <w:t>896</w:t>
            </w:r>
          </w:p>
        </w:tc>
      </w:tr>
      <w:tr w:rsidR="002246AD" w:rsidRPr="003D1522" w:rsidTr="00DC37D0">
        <w:tc>
          <w:tcPr>
            <w:tcW w:w="3119" w:type="dxa"/>
            <w:shd w:val="clear" w:color="auto" w:fill="auto"/>
            <w:hideMark/>
          </w:tcPr>
          <w:p w:rsidR="002246AD" w:rsidRPr="003D1522" w:rsidRDefault="002246AD" w:rsidP="00344797">
            <w:pPr>
              <w:pStyle w:val="SingleTxtG"/>
              <w:spacing w:before="40" w:after="40" w:line="220" w:lineRule="exact"/>
              <w:ind w:left="0" w:right="113"/>
              <w:jc w:val="left"/>
              <w:rPr>
                <w:sz w:val="18"/>
              </w:rPr>
            </w:pPr>
            <w:r w:rsidRPr="003D1522">
              <w:rPr>
                <w:sz w:val="18"/>
              </w:rPr>
              <w:t>Number of consultations with social workers</w:t>
            </w:r>
          </w:p>
        </w:tc>
        <w:tc>
          <w:tcPr>
            <w:tcW w:w="1417" w:type="dxa"/>
            <w:shd w:val="clear" w:color="auto" w:fill="auto"/>
            <w:vAlign w:val="bottom"/>
            <w:hideMark/>
          </w:tcPr>
          <w:p w:rsidR="002246AD" w:rsidRPr="003D1522" w:rsidRDefault="002246AD" w:rsidP="00344797">
            <w:pPr>
              <w:pStyle w:val="SingleTxtG"/>
              <w:spacing w:before="40" w:after="40" w:line="220" w:lineRule="exact"/>
              <w:ind w:left="0" w:right="113"/>
              <w:jc w:val="right"/>
              <w:rPr>
                <w:sz w:val="18"/>
              </w:rPr>
            </w:pPr>
            <w:r w:rsidRPr="003D1522">
              <w:rPr>
                <w:sz w:val="18"/>
              </w:rPr>
              <w:t>6</w:t>
            </w:r>
            <w:r w:rsidR="00E11746" w:rsidRPr="003D1522">
              <w:rPr>
                <w:sz w:val="18"/>
              </w:rPr>
              <w:t xml:space="preserve"> </w:t>
            </w:r>
            <w:r w:rsidRPr="003D1522">
              <w:rPr>
                <w:sz w:val="18"/>
              </w:rPr>
              <w:t>868</w:t>
            </w:r>
          </w:p>
        </w:tc>
        <w:tc>
          <w:tcPr>
            <w:tcW w:w="1417" w:type="dxa"/>
            <w:shd w:val="clear" w:color="auto" w:fill="auto"/>
            <w:vAlign w:val="bottom"/>
            <w:hideMark/>
          </w:tcPr>
          <w:p w:rsidR="002246AD" w:rsidRPr="003D1522" w:rsidRDefault="002246AD" w:rsidP="00344797">
            <w:pPr>
              <w:pStyle w:val="SingleTxtG"/>
              <w:spacing w:before="40" w:after="40" w:line="220" w:lineRule="exact"/>
              <w:ind w:left="0" w:right="113"/>
              <w:jc w:val="right"/>
              <w:rPr>
                <w:sz w:val="18"/>
              </w:rPr>
            </w:pPr>
            <w:r w:rsidRPr="003D1522">
              <w:rPr>
                <w:sz w:val="18"/>
              </w:rPr>
              <w:t>7</w:t>
            </w:r>
            <w:r w:rsidR="00E11746" w:rsidRPr="003D1522">
              <w:rPr>
                <w:sz w:val="18"/>
              </w:rPr>
              <w:t xml:space="preserve"> </w:t>
            </w:r>
            <w:r w:rsidRPr="003D1522">
              <w:rPr>
                <w:sz w:val="18"/>
              </w:rPr>
              <w:t>734</w:t>
            </w:r>
          </w:p>
        </w:tc>
        <w:tc>
          <w:tcPr>
            <w:tcW w:w="1417" w:type="dxa"/>
            <w:shd w:val="clear" w:color="auto" w:fill="auto"/>
            <w:vAlign w:val="bottom"/>
            <w:hideMark/>
          </w:tcPr>
          <w:p w:rsidR="002246AD" w:rsidRPr="003D1522" w:rsidRDefault="002246AD" w:rsidP="00344797">
            <w:pPr>
              <w:pStyle w:val="SingleTxtG"/>
              <w:spacing w:before="40" w:after="40" w:line="220" w:lineRule="exact"/>
              <w:ind w:left="0" w:right="113"/>
              <w:jc w:val="right"/>
              <w:rPr>
                <w:sz w:val="18"/>
              </w:rPr>
            </w:pPr>
            <w:r w:rsidRPr="003D1522">
              <w:rPr>
                <w:sz w:val="18"/>
              </w:rPr>
              <w:t>7</w:t>
            </w:r>
            <w:r w:rsidR="00E11746" w:rsidRPr="003D1522">
              <w:rPr>
                <w:sz w:val="18"/>
              </w:rPr>
              <w:t xml:space="preserve"> </w:t>
            </w:r>
            <w:r w:rsidRPr="003D1522">
              <w:rPr>
                <w:sz w:val="18"/>
              </w:rPr>
              <w:t>794</w:t>
            </w:r>
          </w:p>
        </w:tc>
      </w:tr>
      <w:tr w:rsidR="002246AD" w:rsidRPr="003D1522" w:rsidTr="00DC37D0">
        <w:tc>
          <w:tcPr>
            <w:tcW w:w="3119" w:type="dxa"/>
            <w:shd w:val="clear" w:color="auto" w:fill="auto"/>
            <w:hideMark/>
          </w:tcPr>
          <w:p w:rsidR="002246AD" w:rsidRPr="003D1522" w:rsidRDefault="002246AD" w:rsidP="00344797">
            <w:pPr>
              <w:pStyle w:val="SingleTxtG"/>
              <w:spacing w:before="40" w:after="40" w:line="220" w:lineRule="exact"/>
              <w:ind w:left="0" w:right="113"/>
              <w:jc w:val="left"/>
              <w:rPr>
                <w:sz w:val="18"/>
              </w:rPr>
            </w:pPr>
            <w:r w:rsidRPr="003D1522">
              <w:rPr>
                <w:sz w:val="18"/>
              </w:rPr>
              <w:t>Number of psychological consultations</w:t>
            </w:r>
          </w:p>
        </w:tc>
        <w:tc>
          <w:tcPr>
            <w:tcW w:w="1417" w:type="dxa"/>
            <w:shd w:val="clear" w:color="auto" w:fill="auto"/>
            <w:vAlign w:val="bottom"/>
            <w:hideMark/>
          </w:tcPr>
          <w:p w:rsidR="002246AD" w:rsidRPr="003D1522" w:rsidRDefault="002246AD" w:rsidP="00344797">
            <w:pPr>
              <w:pStyle w:val="SingleTxtG"/>
              <w:spacing w:before="40" w:after="40" w:line="220" w:lineRule="exact"/>
              <w:ind w:left="0" w:right="113"/>
              <w:jc w:val="right"/>
              <w:rPr>
                <w:sz w:val="18"/>
              </w:rPr>
            </w:pPr>
            <w:r w:rsidRPr="003D1522">
              <w:rPr>
                <w:sz w:val="18"/>
              </w:rPr>
              <w:t>1</w:t>
            </w:r>
            <w:r w:rsidR="00E11746" w:rsidRPr="003D1522">
              <w:rPr>
                <w:sz w:val="18"/>
              </w:rPr>
              <w:t xml:space="preserve"> </w:t>
            </w:r>
            <w:r w:rsidRPr="003D1522">
              <w:rPr>
                <w:sz w:val="18"/>
              </w:rPr>
              <w:t>047</w:t>
            </w:r>
          </w:p>
        </w:tc>
        <w:tc>
          <w:tcPr>
            <w:tcW w:w="1417" w:type="dxa"/>
            <w:shd w:val="clear" w:color="auto" w:fill="auto"/>
            <w:vAlign w:val="bottom"/>
            <w:hideMark/>
          </w:tcPr>
          <w:p w:rsidR="002246AD" w:rsidRPr="003D1522" w:rsidRDefault="002246AD" w:rsidP="00344797">
            <w:pPr>
              <w:pStyle w:val="SingleTxtG"/>
              <w:spacing w:before="40" w:after="40" w:line="220" w:lineRule="exact"/>
              <w:ind w:left="0" w:right="113"/>
              <w:jc w:val="right"/>
              <w:rPr>
                <w:sz w:val="18"/>
              </w:rPr>
            </w:pPr>
            <w:r w:rsidRPr="003D1522">
              <w:rPr>
                <w:sz w:val="18"/>
              </w:rPr>
              <w:t>1</w:t>
            </w:r>
            <w:r w:rsidR="00E11746" w:rsidRPr="003D1522">
              <w:rPr>
                <w:sz w:val="18"/>
              </w:rPr>
              <w:t xml:space="preserve"> </w:t>
            </w:r>
            <w:r w:rsidRPr="003D1522">
              <w:rPr>
                <w:sz w:val="18"/>
              </w:rPr>
              <w:t>494</w:t>
            </w:r>
          </w:p>
        </w:tc>
        <w:tc>
          <w:tcPr>
            <w:tcW w:w="1417" w:type="dxa"/>
            <w:shd w:val="clear" w:color="auto" w:fill="auto"/>
            <w:vAlign w:val="bottom"/>
            <w:hideMark/>
          </w:tcPr>
          <w:p w:rsidR="002246AD" w:rsidRPr="003D1522" w:rsidRDefault="002246AD" w:rsidP="00344797">
            <w:pPr>
              <w:pStyle w:val="SingleTxtG"/>
              <w:spacing w:before="40" w:after="40" w:line="220" w:lineRule="exact"/>
              <w:ind w:left="0" w:right="113"/>
              <w:jc w:val="right"/>
              <w:rPr>
                <w:sz w:val="18"/>
              </w:rPr>
            </w:pPr>
            <w:r w:rsidRPr="003D1522">
              <w:rPr>
                <w:sz w:val="18"/>
              </w:rPr>
              <w:t>1</w:t>
            </w:r>
            <w:r w:rsidR="00E11746" w:rsidRPr="003D1522">
              <w:rPr>
                <w:sz w:val="18"/>
              </w:rPr>
              <w:t xml:space="preserve"> </w:t>
            </w:r>
            <w:r w:rsidRPr="003D1522">
              <w:rPr>
                <w:sz w:val="18"/>
              </w:rPr>
              <w:t>210</w:t>
            </w:r>
          </w:p>
        </w:tc>
      </w:tr>
      <w:tr w:rsidR="002246AD" w:rsidRPr="003D1522" w:rsidTr="00DC37D0">
        <w:tc>
          <w:tcPr>
            <w:tcW w:w="3119" w:type="dxa"/>
            <w:shd w:val="clear" w:color="auto" w:fill="auto"/>
          </w:tcPr>
          <w:p w:rsidR="002246AD" w:rsidRPr="003D1522" w:rsidRDefault="002246AD" w:rsidP="00344797">
            <w:pPr>
              <w:pStyle w:val="SingleTxtG"/>
              <w:spacing w:before="40" w:after="40" w:line="220" w:lineRule="exact"/>
              <w:ind w:left="0" w:right="113"/>
              <w:jc w:val="left"/>
              <w:rPr>
                <w:sz w:val="18"/>
              </w:rPr>
            </w:pPr>
            <w:r w:rsidRPr="003D1522">
              <w:rPr>
                <w:sz w:val="18"/>
              </w:rPr>
              <w:t>Health-related counselling</w:t>
            </w:r>
          </w:p>
        </w:tc>
        <w:tc>
          <w:tcPr>
            <w:tcW w:w="1417" w:type="dxa"/>
            <w:shd w:val="clear" w:color="auto" w:fill="auto"/>
            <w:vAlign w:val="bottom"/>
          </w:tcPr>
          <w:p w:rsidR="002246AD" w:rsidRPr="003D1522" w:rsidRDefault="002246AD" w:rsidP="00344797">
            <w:pPr>
              <w:pStyle w:val="SingleTxtG"/>
              <w:spacing w:before="40" w:after="40" w:line="220" w:lineRule="exact"/>
              <w:ind w:left="0" w:right="113"/>
              <w:jc w:val="right"/>
              <w:rPr>
                <w:sz w:val="18"/>
              </w:rPr>
            </w:pPr>
            <w:r w:rsidRPr="003D1522">
              <w:rPr>
                <w:sz w:val="18"/>
              </w:rPr>
              <w:t>5</w:t>
            </w:r>
            <w:r w:rsidR="00E11746" w:rsidRPr="003D1522">
              <w:rPr>
                <w:sz w:val="18"/>
              </w:rPr>
              <w:t xml:space="preserve"> </w:t>
            </w:r>
            <w:r w:rsidRPr="003D1522">
              <w:rPr>
                <w:sz w:val="18"/>
              </w:rPr>
              <w:t>558</w:t>
            </w:r>
          </w:p>
        </w:tc>
        <w:tc>
          <w:tcPr>
            <w:tcW w:w="1417" w:type="dxa"/>
            <w:shd w:val="clear" w:color="auto" w:fill="auto"/>
            <w:vAlign w:val="bottom"/>
          </w:tcPr>
          <w:p w:rsidR="002246AD" w:rsidRPr="003D1522" w:rsidRDefault="002246AD" w:rsidP="00344797">
            <w:pPr>
              <w:pStyle w:val="SingleTxtG"/>
              <w:spacing w:before="40" w:after="40" w:line="220" w:lineRule="exact"/>
              <w:ind w:left="0" w:right="113"/>
              <w:jc w:val="right"/>
              <w:rPr>
                <w:sz w:val="18"/>
              </w:rPr>
            </w:pPr>
            <w:r w:rsidRPr="003D1522">
              <w:rPr>
                <w:sz w:val="18"/>
              </w:rPr>
              <w:t>6</w:t>
            </w:r>
            <w:r w:rsidR="00E11746" w:rsidRPr="003D1522">
              <w:rPr>
                <w:sz w:val="18"/>
              </w:rPr>
              <w:t xml:space="preserve"> </w:t>
            </w:r>
            <w:r w:rsidRPr="003D1522">
              <w:rPr>
                <w:sz w:val="18"/>
              </w:rPr>
              <w:t>199</w:t>
            </w:r>
          </w:p>
        </w:tc>
        <w:tc>
          <w:tcPr>
            <w:tcW w:w="1417" w:type="dxa"/>
            <w:shd w:val="clear" w:color="auto" w:fill="auto"/>
            <w:vAlign w:val="bottom"/>
            <w:hideMark/>
          </w:tcPr>
          <w:p w:rsidR="002246AD" w:rsidRPr="003D1522" w:rsidRDefault="002246AD" w:rsidP="00344797">
            <w:pPr>
              <w:pStyle w:val="SingleTxtG"/>
              <w:spacing w:before="40" w:after="40" w:line="220" w:lineRule="exact"/>
              <w:ind w:left="0" w:right="113"/>
              <w:jc w:val="right"/>
              <w:rPr>
                <w:sz w:val="18"/>
              </w:rPr>
            </w:pPr>
            <w:r w:rsidRPr="003D1522">
              <w:rPr>
                <w:sz w:val="18"/>
              </w:rPr>
              <w:t>5</w:t>
            </w:r>
            <w:r w:rsidR="00E11746" w:rsidRPr="003D1522">
              <w:rPr>
                <w:sz w:val="18"/>
              </w:rPr>
              <w:t xml:space="preserve"> </w:t>
            </w:r>
            <w:r w:rsidRPr="003D1522">
              <w:rPr>
                <w:sz w:val="18"/>
              </w:rPr>
              <w:t>837</w:t>
            </w:r>
          </w:p>
        </w:tc>
      </w:tr>
      <w:tr w:rsidR="002246AD" w:rsidRPr="003D1522" w:rsidTr="00DC37D0">
        <w:tc>
          <w:tcPr>
            <w:tcW w:w="3119" w:type="dxa"/>
            <w:shd w:val="clear" w:color="auto" w:fill="auto"/>
            <w:hideMark/>
          </w:tcPr>
          <w:p w:rsidR="002246AD" w:rsidRPr="003D1522" w:rsidRDefault="002246AD" w:rsidP="00344797">
            <w:pPr>
              <w:pStyle w:val="SingleTxtG"/>
              <w:spacing w:before="40" w:after="40" w:line="220" w:lineRule="exact"/>
              <w:ind w:left="0" w:right="113"/>
              <w:jc w:val="left"/>
              <w:rPr>
                <w:sz w:val="18"/>
              </w:rPr>
            </w:pPr>
            <w:r w:rsidRPr="003D1522">
              <w:rPr>
                <w:sz w:val="18"/>
              </w:rPr>
              <w:t>Number of distributed syringes</w:t>
            </w:r>
          </w:p>
        </w:tc>
        <w:tc>
          <w:tcPr>
            <w:tcW w:w="1417" w:type="dxa"/>
            <w:shd w:val="clear" w:color="auto" w:fill="auto"/>
            <w:vAlign w:val="bottom"/>
            <w:hideMark/>
          </w:tcPr>
          <w:p w:rsidR="002246AD" w:rsidRPr="003D1522" w:rsidRDefault="002246AD" w:rsidP="00344797">
            <w:pPr>
              <w:pStyle w:val="SingleTxtG"/>
              <w:spacing w:before="40" w:after="40" w:line="220" w:lineRule="exact"/>
              <w:ind w:left="0" w:right="113"/>
              <w:jc w:val="right"/>
              <w:rPr>
                <w:sz w:val="18"/>
              </w:rPr>
            </w:pPr>
            <w:r w:rsidRPr="003D1522">
              <w:rPr>
                <w:sz w:val="18"/>
              </w:rPr>
              <w:t>2</w:t>
            </w:r>
            <w:r w:rsidR="00E11746" w:rsidRPr="003D1522">
              <w:rPr>
                <w:sz w:val="18"/>
              </w:rPr>
              <w:t xml:space="preserve"> </w:t>
            </w:r>
            <w:r w:rsidRPr="003D1522">
              <w:rPr>
                <w:sz w:val="18"/>
              </w:rPr>
              <w:t>136</w:t>
            </w:r>
            <w:r w:rsidR="00E11746" w:rsidRPr="003D1522">
              <w:rPr>
                <w:sz w:val="18"/>
              </w:rPr>
              <w:t xml:space="preserve"> </w:t>
            </w:r>
            <w:r w:rsidRPr="003D1522">
              <w:rPr>
                <w:sz w:val="18"/>
              </w:rPr>
              <w:t>691</w:t>
            </w:r>
          </w:p>
        </w:tc>
        <w:tc>
          <w:tcPr>
            <w:tcW w:w="1417" w:type="dxa"/>
            <w:shd w:val="clear" w:color="auto" w:fill="auto"/>
            <w:vAlign w:val="bottom"/>
            <w:hideMark/>
          </w:tcPr>
          <w:p w:rsidR="002246AD" w:rsidRPr="003D1522" w:rsidRDefault="002246AD" w:rsidP="00344797">
            <w:pPr>
              <w:pStyle w:val="SingleTxtG"/>
              <w:spacing w:before="40" w:after="40" w:line="220" w:lineRule="exact"/>
              <w:ind w:left="0" w:right="113"/>
              <w:jc w:val="right"/>
              <w:rPr>
                <w:sz w:val="18"/>
              </w:rPr>
            </w:pPr>
            <w:r w:rsidRPr="003D1522">
              <w:rPr>
                <w:sz w:val="18"/>
              </w:rPr>
              <w:t>2</w:t>
            </w:r>
            <w:r w:rsidR="00E11746" w:rsidRPr="003D1522">
              <w:rPr>
                <w:sz w:val="18"/>
              </w:rPr>
              <w:t xml:space="preserve"> </w:t>
            </w:r>
            <w:r w:rsidRPr="003D1522">
              <w:rPr>
                <w:sz w:val="18"/>
              </w:rPr>
              <w:t>070</w:t>
            </w:r>
            <w:r w:rsidR="00E11746" w:rsidRPr="003D1522">
              <w:rPr>
                <w:sz w:val="18"/>
              </w:rPr>
              <w:t xml:space="preserve"> </w:t>
            </w:r>
            <w:r w:rsidRPr="003D1522">
              <w:rPr>
                <w:sz w:val="18"/>
              </w:rPr>
              <w:t>169</w:t>
            </w:r>
          </w:p>
        </w:tc>
        <w:tc>
          <w:tcPr>
            <w:tcW w:w="1417" w:type="dxa"/>
            <w:shd w:val="clear" w:color="auto" w:fill="auto"/>
            <w:vAlign w:val="bottom"/>
            <w:hideMark/>
          </w:tcPr>
          <w:p w:rsidR="002246AD" w:rsidRPr="003D1522" w:rsidRDefault="002246AD" w:rsidP="00344797">
            <w:pPr>
              <w:pStyle w:val="SingleTxtG"/>
              <w:spacing w:before="40" w:after="40" w:line="220" w:lineRule="exact"/>
              <w:ind w:left="0" w:right="113"/>
              <w:jc w:val="right"/>
              <w:rPr>
                <w:sz w:val="18"/>
              </w:rPr>
            </w:pPr>
            <w:r w:rsidRPr="003D1522">
              <w:rPr>
                <w:sz w:val="18"/>
              </w:rPr>
              <w:t>1</w:t>
            </w:r>
            <w:r w:rsidR="00E11746" w:rsidRPr="003D1522">
              <w:rPr>
                <w:sz w:val="18"/>
              </w:rPr>
              <w:t xml:space="preserve"> </w:t>
            </w:r>
            <w:r w:rsidRPr="003D1522">
              <w:rPr>
                <w:sz w:val="18"/>
              </w:rPr>
              <w:t>997</w:t>
            </w:r>
            <w:r w:rsidR="00E11746" w:rsidRPr="003D1522">
              <w:rPr>
                <w:sz w:val="18"/>
              </w:rPr>
              <w:t xml:space="preserve"> </w:t>
            </w:r>
            <w:r w:rsidRPr="003D1522">
              <w:rPr>
                <w:sz w:val="18"/>
              </w:rPr>
              <w:t>158</w:t>
            </w:r>
          </w:p>
        </w:tc>
      </w:tr>
    </w:tbl>
    <w:p w:rsidR="002246AD" w:rsidRPr="003D1522" w:rsidRDefault="002246AD" w:rsidP="00E11746">
      <w:pPr>
        <w:pStyle w:val="SingleTxtG"/>
        <w:spacing w:before="240"/>
      </w:pPr>
      <w:r w:rsidRPr="003D1522">
        <w:t>110.</w:t>
      </w:r>
      <w:r w:rsidRPr="003D1522">
        <w:tab/>
        <w:t xml:space="preserve">Approximately two million syringes are distributed to injecting drug users every year via the harm reduction services. </w:t>
      </w:r>
    </w:p>
    <w:p w:rsidR="002246AD" w:rsidRPr="003D1522" w:rsidRDefault="002246AD" w:rsidP="007566D9">
      <w:pPr>
        <w:pStyle w:val="SingleTxtG"/>
      </w:pPr>
      <w:r w:rsidRPr="003D1522">
        <w:t>111.</w:t>
      </w:r>
      <w:r w:rsidRPr="003D1522">
        <w:tab/>
        <w:t>The other direct measure to tackle the spread of HIV is free ART for everybody as soon as possible after the diagnosis is confirmed. The treatment is freely accessible for people without health insurance. In every hospital/clinic offering ART, case management services are also provided (includes social worker, psychologist, and depends on the center also peer counselling).</w:t>
      </w:r>
    </w:p>
    <w:p w:rsidR="002246AD" w:rsidRPr="003D1522" w:rsidRDefault="002246AD" w:rsidP="007566D9">
      <w:pPr>
        <w:pStyle w:val="SingleTxtG"/>
      </w:pPr>
      <w:r w:rsidRPr="003D1522">
        <w:t>112.</w:t>
      </w:r>
      <w:r w:rsidRPr="003D1522">
        <w:tab/>
        <w:t>In 2017 4109 patients received ART, in previous years 3941, 3494, 2998, and 2691, respectively for 2016, 2015, 2014 and 2013.</w:t>
      </w:r>
    </w:p>
    <w:p w:rsidR="002246AD" w:rsidRPr="003D1522" w:rsidRDefault="002246AD" w:rsidP="007566D9">
      <w:pPr>
        <w:pStyle w:val="SingleTxtG"/>
      </w:pPr>
      <w:r w:rsidRPr="003D1522">
        <w:t>113.</w:t>
      </w:r>
      <w:r w:rsidRPr="003D1522">
        <w:tab/>
        <w:t>Estonia has a steady decline in new HIV cases that are related to injecting drug use. In 2015, 20.4% of new HIV cases were related to sharing needles. In 2016, the percentage was 13.5% and in 2017 6.4%.</w:t>
      </w:r>
    </w:p>
    <w:p w:rsidR="002246AD" w:rsidRPr="003D1522" w:rsidRDefault="002246AD" w:rsidP="00E11746">
      <w:pPr>
        <w:pStyle w:val="H1G"/>
      </w:pPr>
      <w:r w:rsidRPr="003D1522">
        <w:lastRenderedPageBreak/>
        <w:tab/>
      </w:r>
      <w:r w:rsidRPr="003D1522">
        <w:tab/>
        <w:t xml:space="preserve">Right to education (arts. 13 and 14) </w:t>
      </w:r>
    </w:p>
    <w:p w:rsidR="002246AD" w:rsidRPr="003D1522" w:rsidRDefault="002246AD" w:rsidP="00E11746">
      <w:pPr>
        <w:pStyle w:val="H23G"/>
      </w:pPr>
      <w:r w:rsidRPr="003D1522">
        <w:tab/>
      </w:r>
      <w:r w:rsidRPr="003D1522">
        <w:tab/>
        <w:t xml:space="preserve">Enrolment rates </w:t>
      </w:r>
    </w:p>
    <w:p w:rsidR="002246AD" w:rsidRPr="003D1522" w:rsidRDefault="002246AD" w:rsidP="007566D9">
      <w:pPr>
        <w:pStyle w:val="SingleTxtG"/>
      </w:pPr>
      <w:r w:rsidRPr="003D1522">
        <w:t>114.</w:t>
      </w:r>
      <w:r w:rsidRPr="003D1522">
        <w:tab/>
        <w:t>The enrolment rate at the primary education level has remained constantly high over the last decade. The enrolment rate is not 100% as the dataset includes children who have the permission to start primary school a year later and children attending school abroad.</w:t>
      </w:r>
    </w:p>
    <w:p w:rsidR="002246AD" w:rsidRPr="003D1522" w:rsidRDefault="002246AD" w:rsidP="007566D9">
      <w:pPr>
        <w:pStyle w:val="SingleTxtG"/>
      </w:pPr>
      <w:r w:rsidRPr="003D1522">
        <w:t>115.</w:t>
      </w:r>
      <w:r w:rsidRPr="003D1522">
        <w:tab/>
        <w:t>Comparing enrolment to tertiary education institutions to secondary school graduation rates (ca 60% female and 40% male students) the rates are more proportionate. One of the reasons behind the difference in enrolment rates to higher education lies in earlier education pathway decisions: a higher number of male students enrol into vocational education after basic school. Around 2/3 of vocational school graduates are male, they form the majority in low performers section and are less likely to continue their studies on secondary school level, which is the common pathway to tertiary education.</w:t>
      </w:r>
    </w:p>
    <w:p w:rsidR="002246AD" w:rsidRPr="003D1522" w:rsidRDefault="002246AD" w:rsidP="007566D9">
      <w:pPr>
        <w:pStyle w:val="SingleTxtG"/>
      </w:pPr>
      <w:r w:rsidRPr="003D1522">
        <w:t>116.</w:t>
      </w:r>
      <w:r w:rsidRPr="003D1522">
        <w:tab/>
        <w:t>Since 2012/2013 academic year, higher education is free of charge for those studying full-time and in Estonian. It is difficult to make direct links, but the number of male students enrolled to tertiary education institutions has increased.</w:t>
      </w:r>
    </w:p>
    <w:p w:rsidR="002246AD" w:rsidRPr="003D1522" w:rsidRDefault="002246AD" w:rsidP="007566D9">
      <w:pPr>
        <w:pStyle w:val="SingleTxtG"/>
      </w:pPr>
      <w:r w:rsidRPr="003D1522">
        <w:t>117.</w:t>
      </w:r>
      <w:r w:rsidRPr="003D1522">
        <w:tab/>
        <w:t xml:space="preserve">The dropout rate from upper secondary vocational education has decreased for three consecutive years due to the increasingly targeted activity of educational institutions. </w:t>
      </w:r>
    </w:p>
    <w:p w:rsidR="002246AD" w:rsidRPr="003D1522" w:rsidRDefault="002246AD" w:rsidP="007566D9">
      <w:pPr>
        <w:pStyle w:val="SingleTxtG"/>
      </w:pPr>
      <w:r w:rsidRPr="003D1522">
        <w:t>118.</w:t>
      </w:r>
      <w:r w:rsidRPr="003D1522">
        <w:tab/>
        <w:t xml:space="preserve">The drop-out risk is highest in the first school year and the challenge for VET providers is to keep the most vulnerable learners (those who had low grades in basic school and may not have had positive learning experience or have not developed study habits) in VET programmes. </w:t>
      </w:r>
    </w:p>
    <w:p w:rsidR="002246AD" w:rsidRPr="003D1522" w:rsidRDefault="002246AD" w:rsidP="007566D9">
      <w:pPr>
        <w:pStyle w:val="SingleTxtG"/>
      </w:pPr>
      <w:r w:rsidRPr="003D1522">
        <w:t>119.</w:t>
      </w:r>
      <w:r w:rsidRPr="003D1522">
        <w:tab/>
        <w:t>Developing good quality support services is essential to prevent dropping out. In 2018, the budget of VET institutions was increased by EUR 3.25 million, mostly targeted to financing support services to increase the ability of schools to support learners, including those with special needs.</w:t>
      </w:r>
    </w:p>
    <w:p w:rsidR="002246AD" w:rsidRPr="003D1522" w:rsidRDefault="002246AD" w:rsidP="007566D9">
      <w:pPr>
        <w:pStyle w:val="SingleTxtG"/>
      </w:pPr>
      <w:r w:rsidRPr="003D1522">
        <w:t>120.</w:t>
      </w:r>
      <w:r w:rsidRPr="003D1522">
        <w:tab/>
        <w:t>A vocational orientation programme has been successfully piloted in 2017 and 2018 in three VET institutions. A legal basis will be adopted in 2019 to extend it to other VET institutions.</w:t>
      </w:r>
    </w:p>
    <w:p w:rsidR="002246AD" w:rsidRPr="003D1522" w:rsidRDefault="002246AD" w:rsidP="00E11746">
      <w:pPr>
        <w:pStyle w:val="H23G"/>
      </w:pPr>
      <w:r w:rsidRPr="003D1522">
        <w:tab/>
      </w:r>
      <w:r w:rsidRPr="003D1522">
        <w:tab/>
        <w:t xml:space="preserve">Bilingual and multicultural education </w:t>
      </w:r>
    </w:p>
    <w:p w:rsidR="002246AD" w:rsidRPr="003D1522" w:rsidRDefault="002246AD" w:rsidP="007566D9">
      <w:pPr>
        <w:pStyle w:val="SingleTxtG"/>
      </w:pPr>
      <w:r w:rsidRPr="003D1522">
        <w:t>121.</w:t>
      </w:r>
      <w:r w:rsidRPr="003D1522">
        <w:tab/>
        <w:t xml:space="preserve">According to the Basic Schools and Upper Secondary Schools Act and national curriculum cultural diversity and tolerance, equality and non-discrimination are, among others, considered basic values and topics of Estonian education content. The fundamental principles of education are based on the recognition of universal and national values, freedom of the individual, religion and conscience. </w:t>
      </w:r>
    </w:p>
    <w:p w:rsidR="002246AD" w:rsidRPr="003D1522" w:rsidRDefault="002246AD" w:rsidP="007566D9">
      <w:pPr>
        <w:pStyle w:val="SingleTxtG"/>
      </w:pPr>
      <w:r w:rsidRPr="003D1522">
        <w:t>122.</w:t>
      </w:r>
      <w:r w:rsidRPr="003D1522">
        <w:tab/>
        <w:t xml:space="preserve">Estonia is one of the few Member States of the European Union where the education system makes it possible to acquire an education in a language other than the state language at publicly financed schools. Russian education is accessible in state and private schools at all levels: pre-school, basic school and secondary school, as well as in vocational schools and some institutions of higher education. </w:t>
      </w:r>
    </w:p>
    <w:p w:rsidR="00E11746" w:rsidRPr="003D1522" w:rsidRDefault="002246AD" w:rsidP="007566D9">
      <w:pPr>
        <w:pStyle w:val="SingleTxtG"/>
      </w:pPr>
      <w:r w:rsidRPr="003D1522">
        <w:t>123.</w:t>
      </w:r>
      <w:r w:rsidRPr="003D1522">
        <w:tab/>
        <w:t>Schools organise language and cultural studies for students acquiring basic education whose native language is not Estonian if this is requested by at least 10 students with the same native language or language of communication at home (subsection 21 (5) of the Basic Schools and Upper Secondary Schools Act).</w:t>
      </w:r>
    </w:p>
    <w:p w:rsidR="002246AD" w:rsidRPr="003D1522" w:rsidRDefault="002246AD" w:rsidP="0073248C">
      <w:pPr>
        <w:pStyle w:val="Heading1"/>
        <w:keepNext/>
        <w:spacing w:after="120"/>
      </w:pPr>
      <w:r w:rsidRPr="003D1522">
        <w:lastRenderedPageBreak/>
        <w:t>Table 1</w:t>
      </w:r>
      <w:r w:rsidRPr="003D1522">
        <w:br/>
      </w:r>
      <w:r w:rsidRPr="003D1522">
        <w:rPr>
          <w:rStyle w:val="SingleTxtGChar"/>
          <w:b/>
          <w:bCs/>
        </w:rPr>
        <w:t>Basic Education, 2017/2018 school year (Data: Haridussilm)</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472"/>
        <w:gridCol w:w="1949"/>
        <w:gridCol w:w="1949"/>
      </w:tblGrid>
      <w:tr w:rsidR="002246AD" w:rsidRPr="003D1522" w:rsidTr="00C1218D">
        <w:trPr>
          <w:tblHeader/>
        </w:trPr>
        <w:tc>
          <w:tcPr>
            <w:tcW w:w="3472"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2246AD" w:rsidRPr="003D1522" w:rsidRDefault="002246AD" w:rsidP="0073248C">
            <w:pPr>
              <w:pStyle w:val="SingleTxtG"/>
              <w:keepNext/>
              <w:spacing w:before="80" w:after="80" w:line="200" w:lineRule="exact"/>
              <w:ind w:left="0" w:right="113"/>
              <w:jc w:val="left"/>
              <w:rPr>
                <w:i/>
                <w:sz w:val="16"/>
              </w:rPr>
            </w:pPr>
            <w:r w:rsidRPr="003D1522">
              <w:rPr>
                <w:i/>
                <w:sz w:val="16"/>
              </w:rPr>
              <w:t>Language of instruction</w:t>
            </w:r>
            <w:r w:rsidRPr="003D1522">
              <w:rPr>
                <w:rStyle w:val="FootnoteReference"/>
              </w:rPr>
              <w:footnoteReference w:id="17"/>
            </w:r>
          </w:p>
        </w:tc>
        <w:tc>
          <w:tcPr>
            <w:tcW w:w="1949" w:type="dxa"/>
            <w:tcBorders>
              <w:top w:val="single" w:sz="4" w:space="0" w:color="auto"/>
              <w:bottom w:val="single" w:sz="12" w:space="0" w:color="auto"/>
            </w:tcBorders>
            <w:shd w:val="clear" w:color="auto" w:fill="auto"/>
            <w:vAlign w:val="bottom"/>
            <w:hideMark/>
          </w:tcPr>
          <w:p w:rsidR="002246AD" w:rsidRPr="003D1522" w:rsidRDefault="002246AD" w:rsidP="0073248C">
            <w:pPr>
              <w:pStyle w:val="SingleTxtG"/>
              <w:keepNext/>
              <w:spacing w:before="80" w:after="80" w:line="200" w:lineRule="exact"/>
              <w:ind w:left="0" w:right="113"/>
              <w:jc w:val="right"/>
              <w:rPr>
                <w:i/>
                <w:sz w:val="16"/>
              </w:rPr>
            </w:pPr>
            <w:r w:rsidRPr="003D1522">
              <w:rPr>
                <w:i/>
                <w:sz w:val="16"/>
              </w:rPr>
              <w:t>Number of Schools</w:t>
            </w:r>
          </w:p>
        </w:tc>
        <w:tc>
          <w:tcPr>
            <w:tcW w:w="1949"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2246AD" w:rsidRPr="003D1522" w:rsidRDefault="002246AD" w:rsidP="0073248C">
            <w:pPr>
              <w:pStyle w:val="SingleTxtG"/>
              <w:keepNext/>
              <w:spacing w:before="80" w:after="80" w:line="200" w:lineRule="exact"/>
              <w:ind w:left="0" w:right="113"/>
              <w:jc w:val="right"/>
              <w:rPr>
                <w:i/>
                <w:sz w:val="16"/>
              </w:rPr>
            </w:pPr>
            <w:r w:rsidRPr="003D1522">
              <w:rPr>
                <w:i/>
                <w:sz w:val="16"/>
              </w:rPr>
              <w:t>Number of Students</w:t>
            </w:r>
          </w:p>
        </w:tc>
      </w:tr>
      <w:tr w:rsidR="002246AD" w:rsidRPr="003D1522" w:rsidTr="00C1218D">
        <w:tc>
          <w:tcPr>
            <w:tcW w:w="3472" w:type="dxa"/>
            <w:tcBorders>
              <w:top w:val="single" w:sz="12" w:space="0" w:color="auto"/>
              <w:bottom w:val="nil"/>
            </w:tcBorders>
            <w:shd w:val="clear" w:color="auto" w:fill="auto"/>
            <w:noWrap/>
            <w:tcMar>
              <w:top w:w="0" w:type="dxa"/>
              <w:left w:w="70" w:type="dxa"/>
              <w:bottom w:w="0" w:type="dxa"/>
              <w:right w:w="70" w:type="dxa"/>
            </w:tcMar>
            <w:hideMark/>
          </w:tcPr>
          <w:p w:rsidR="002246AD" w:rsidRPr="003D1522" w:rsidRDefault="002246AD" w:rsidP="0073248C">
            <w:pPr>
              <w:pStyle w:val="SingleTxtG"/>
              <w:keepNext/>
              <w:spacing w:before="40" w:after="40" w:line="220" w:lineRule="exact"/>
              <w:ind w:left="0" w:right="113"/>
              <w:jc w:val="left"/>
              <w:rPr>
                <w:sz w:val="18"/>
              </w:rPr>
            </w:pPr>
            <w:r w:rsidRPr="003D1522">
              <w:rPr>
                <w:sz w:val="18"/>
              </w:rPr>
              <w:t xml:space="preserve">Estonian </w:t>
            </w:r>
          </w:p>
        </w:tc>
        <w:tc>
          <w:tcPr>
            <w:tcW w:w="1949" w:type="dxa"/>
            <w:tcBorders>
              <w:top w:val="single" w:sz="12" w:space="0" w:color="auto"/>
              <w:bottom w:val="nil"/>
            </w:tcBorders>
            <w:shd w:val="clear" w:color="auto" w:fill="auto"/>
            <w:vAlign w:val="bottom"/>
            <w:hideMark/>
          </w:tcPr>
          <w:p w:rsidR="002246AD" w:rsidRPr="003D1522" w:rsidRDefault="002246AD" w:rsidP="0073248C">
            <w:pPr>
              <w:pStyle w:val="SingleTxtG"/>
              <w:keepNext/>
              <w:spacing w:before="40" w:after="40" w:line="220" w:lineRule="exact"/>
              <w:ind w:left="0" w:right="113"/>
              <w:jc w:val="right"/>
              <w:rPr>
                <w:sz w:val="18"/>
              </w:rPr>
            </w:pPr>
            <w:r w:rsidRPr="003D1522">
              <w:rPr>
                <w:sz w:val="18"/>
              </w:rPr>
              <w:t>436</w:t>
            </w:r>
          </w:p>
        </w:tc>
        <w:tc>
          <w:tcPr>
            <w:tcW w:w="1949" w:type="dxa"/>
            <w:tcBorders>
              <w:top w:val="single" w:sz="12" w:space="0" w:color="auto"/>
              <w:bottom w:val="nil"/>
            </w:tcBorders>
            <w:shd w:val="clear" w:color="auto" w:fill="auto"/>
            <w:noWrap/>
            <w:tcMar>
              <w:top w:w="0" w:type="dxa"/>
              <w:left w:w="70" w:type="dxa"/>
              <w:bottom w:w="0" w:type="dxa"/>
              <w:right w:w="70" w:type="dxa"/>
            </w:tcMar>
            <w:vAlign w:val="bottom"/>
            <w:hideMark/>
          </w:tcPr>
          <w:p w:rsidR="002246AD" w:rsidRPr="003D1522" w:rsidRDefault="002246AD" w:rsidP="0073248C">
            <w:pPr>
              <w:pStyle w:val="SingleTxtG"/>
              <w:keepNext/>
              <w:spacing w:before="40" w:after="40" w:line="220" w:lineRule="exact"/>
              <w:ind w:left="0" w:right="113"/>
              <w:jc w:val="right"/>
              <w:rPr>
                <w:sz w:val="18"/>
              </w:rPr>
            </w:pPr>
            <w:r w:rsidRPr="003D1522">
              <w:rPr>
                <w:sz w:val="18"/>
              </w:rPr>
              <w:t>95 876</w:t>
            </w:r>
          </w:p>
        </w:tc>
      </w:tr>
      <w:tr w:rsidR="002246AD" w:rsidRPr="003D1522" w:rsidTr="00C1218D">
        <w:tc>
          <w:tcPr>
            <w:tcW w:w="3472" w:type="dxa"/>
            <w:tcBorders>
              <w:top w:val="nil"/>
            </w:tcBorders>
            <w:shd w:val="clear" w:color="auto" w:fill="auto"/>
            <w:noWrap/>
            <w:tcMar>
              <w:top w:w="0" w:type="dxa"/>
              <w:left w:w="70" w:type="dxa"/>
              <w:bottom w:w="0" w:type="dxa"/>
              <w:right w:w="70" w:type="dxa"/>
            </w:tcMar>
            <w:hideMark/>
          </w:tcPr>
          <w:p w:rsidR="002246AD" w:rsidRPr="003D1522" w:rsidRDefault="002246AD" w:rsidP="00F70195">
            <w:pPr>
              <w:pStyle w:val="SingleTxtG"/>
              <w:spacing w:before="40" w:after="40" w:line="220" w:lineRule="exact"/>
              <w:ind w:left="0" w:right="113"/>
              <w:jc w:val="left"/>
              <w:rPr>
                <w:sz w:val="18"/>
              </w:rPr>
            </w:pPr>
            <w:r w:rsidRPr="003D1522">
              <w:rPr>
                <w:sz w:val="18"/>
              </w:rPr>
              <w:t>Estonian (language immersion programme)</w:t>
            </w:r>
          </w:p>
        </w:tc>
        <w:tc>
          <w:tcPr>
            <w:tcW w:w="1949" w:type="dxa"/>
            <w:tcBorders>
              <w:top w:val="nil"/>
            </w:tcBorders>
            <w:shd w:val="clear" w:color="auto" w:fill="auto"/>
            <w:vAlign w:val="bottom"/>
            <w:hideMark/>
          </w:tcPr>
          <w:p w:rsidR="002246AD" w:rsidRPr="003D1522" w:rsidRDefault="002246AD" w:rsidP="00F70195">
            <w:pPr>
              <w:pStyle w:val="SingleTxtG"/>
              <w:spacing w:before="40" w:after="40" w:line="220" w:lineRule="exact"/>
              <w:ind w:left="0" w:right="113"/>
              <w:jc w:val="right"/>
              <w:rPr>
                <w:sz w:val="18"/>
              </w:rPr>
            </w:pPr>
            <w:r w:rsidRPr="003D1522">
              <w:rPr>
                <w:sz w:val="18"/>
              </w:rPr>
              <w:t>36</w:t>
            </w:r>
          </w:p>
        </w:tc>
        <w:tc>
          <w:tcPr>
            <w:tcW w:w="1949" w:type="dxa"/>
            <w:tcBorders>
              <w:top w:val="nil"/>
            </w:tcBorders>
            <w:shd w:val="clear" w:color="auto" w:fill="auto"/>
            <w:noWrap/>
            <w:tcMar>
              <w:top w:w="0" w:type="dxa"/>
              <w:left w:w="70" w:type="dxa"/>
              <w:bottom w:w="0" w:type="dxa"/>
              <w:right w:w="70" w:type="dxa"/>
            </w:tcMar>
            <w:vAlign w:val="bottom"/>
            <w:hideMark/>
          </w:tcPr>
          <w:p w:rsidR="002246AD" w:rsidRPr="003D1522" w:rsidRDefault="002246AD" w:rsidP="00F70195">
            <w:pPr>
              <w:pStyle w:val="SingleTxtG"/>
              <w:spacing w:before="40" w:after="40" w:line="220" w:lineRule="exact"/>
              <w:ind w:left="0" w:right="113"/>
              <w:jc w:val="right"/>
              <w:rPr>
                <w:sz w:val="18"/>
              </w:rPr>
            </w:pPr>
            <w:r w:rsidRPr="003D1522">
              <w:rPr>
                <w:sz w:val="18"/>
              </w:rPr>
              <w:t>7 099</w:t>
            </w:r>
          </w:p>
        </w:tc>
      </w:tr>
      <w:tr w:rsidR="002246AD" w:rsidRPr="003D1522" w:rsidTr="00F70195">
        <w:tc>
          <w:tcPr>
            <w:tcW w:w="3472" w:type="dxa"/>
            <w:shd w:val="clear" w:color="auto" w:fill="auto"/>
            <w:noWrap/>
            <w:tcMar>
              <w:top w:w="0" w:type="dxa"/>
              <w:left w:w="70" w:type="dxa"/>
              <w:bottom w:w="0" w:type="dxa"/>
              <w:right w:w="70" w:type="dxa"/>
            </w:tcMar>
            <w:hideMark/>
          </w:tcPr>
          <w:p w:rsidR="002246AD" w:rsidRPr="003D1522" w:rsidRDefault="002246AD" w:rsidP="00F70195">
            <w:pPr>
              <w:pStyle w:val="SingleTxtG"/>
              <w:spacing w:before="40" w:after="40" w:line="220" w:lineRule="exact"/>
              <w:ind w:left="0" w:right="113"/>
              <w:jc w:val="left"/>
              <w:rPr>
                <w:sz w:val="18"/>
              </w:rPr>
            </w:pPr>
            <w:r w:rsidRPr="003D1522">
              <w:rPr>
                <w:sz w:val="18"/>
              </w:rPr>
              <w:t>English</w:t>
            </w:r>
          </w:p>
        </w:tc>
        <w:tc>
          <w:tcPr>
            <w:tcW w:w="1949" w:type="dxa"/>
            <w:shd w:val="clear" w:color="auto" w:fill="auto"/>
            <w:vAlign w:val="bottom"/>
            <w:hideMark/>
          </w:tcPr>
          <w:p w:rsidR="002246AD" w:rsidRPr="003D1522" w:rsidRDefault="002246AD" w:rsidP="00F70195">
            <w:pPr>
              <w:pStyle w:val="SingleTxtG"/>
              <w:spacing w:before="40" w:after="40" w:line="220" w:lineRule="exact"/>
              <w:ind w:left="0" w:right="113"/>
              <w:jc w:val="right"/>
              <w:rPr>
                <w:sz w:val="18"/>
              </w:rPr>
            </w:pPr>
            <w:r w:rsidRPr="003D1522">
              <w:rPr>
                <w:sz w:val="18"/>
              </w:rPr>
              <w:t>6</w:t>
            </w:r>
          </w:p>
        </w:tc>
        <w:tc>
          <w:tcPr>
            <w:tcW w:w="1949" w:type="dxa"/>
            <w:shd w:val="clear" w:color="auto" w:fill="auto"/>
            <w:noWrap/>
            <w:tcMar>
              <w:top w:w="0" w:type="dxa"/>
              <w:left w:w="70" w:type="dxa"/>
              <w:bottom w:w="0" w:type="dxa"/>
              <w:right w:w="70" w:type="dxa"/>
            </w:tcMar>
            <w:vAlign w:val="bottom"/>
            <w:hideMark/>
          </w:tcPr>
          <w:p w:rsidR="002246AD" w:rsidRPr="003D1522" w:rsidRDefault="002246AD" w:rsidP="00F70195">
            <w:pPr>
              <w:pStyle w:val="SingleTxtG"/>
              <w:spacing w:before="40" w:after="40" w:line="220" w:lineRule="exact"/>
              <w:ind w:left="0" w:right="113"/>
              <w:jc w:val="right"/>
              <w:rPr>
                <w:sz w:val="18"/>
              </w:rPr>
            </w:pPr>
            <w:r w:rsidRPr="003D1522">
              <w:rPr>
                <w:sz w:val="18"/>
              </w:rPr>
              <w:t>520</w:t>
            </w:r>
          </w:p>
        </w:tc>
      </w:tr>
      <w:tr w:rsidR="002246AD" w:rsidRPr="003D1522" w:rsidTr="00F70195">
        <w:tc>
          <w:tcPr>
            <w:tcW w:w="3472" w:type="dxa"/>
            <w:shd w:val="clear" w:color="auto" w:fill="auto"/>
            <w:noWrap/>
            <w:tcMar>
              <w:top w:w="0" w:type="dxa"/>
              <w:left w:w="70" w:type="dxa"/>
              <w:bottom w:w="0" w:type="dxa"/>
              <w:right w:w="70" w:type="dxa"/>
            </w:tcMar>
            <w:hideMark/>
          </w:tcPr>
          <w:p w:rsidR="002246AD" w:rsidRPr="003D1522" w:rsidRDefault="002246AD" w:rsidP="00F70195">
            <w:pPr>
              <w:pStyle w:val="SingleTxtG"/>
              <w:spacing w:before="40" w:after="40" w:line="220" w:lineRule="exact"/>
              <w:ind w:left="0" w:right="113"/>
              <w:jc w:val="left"/>
              <w:rPr>
                <w:sz w:val="18"/>
              </w:rPr>
            </w:pPr>
            <w:r w:rsidRPr="003D1522">
              <w:rPr>
                <w:sz w:val="18"/>
              </w:rPr>
              <w:t>Finnish</w:t>
            </w:r>
          </w:p>
        </w:tc>
        <w:tc>
          <w:tcPr>
            <w:tcW w:w="1949" w:type="dxa"/>
            <w:shd w:val="clear" w:color="auto" w:fill="auto"/>
            <w:vAlign w:val="bottom"/>
            <w:hideMark/>
          </w:tcPr>
          <w:p w:rsidR="002246AD" w:rsidRPr="003D1522" w:rsidRDefault="002246AD" w:rsidP="00F70195">
            <w:pPr>
              <w:pStyle w:val="SingleTxtG"/>
              <w:spacing w:before="40" w:after="40" w:line="220" w:lineRule="exact"/>
              <w:ind w:left="0" w:right="113"/>
              <w:jc w:val="right"/>
              <w:rPr>
                <w:sz w:val="18"/>
              </w:rPr>
            </w:pPr>
            <w:r w:rsidRPr="003D1522">
              <w:rPr>
                <w:sz w:val="18"/>
              </w:rPr>
              <w:t>1</w:t>
            </w:r>
          </w:p>
        </w:tc>
        <w:tc>
          <w:tcPr>
            <w:tcW w:w="1949" w:type="dxa"/>
            <w:shd w:val="clear" w:color="auto" w:fill="auto"/>
            <w:noWrap/>
            <w:tcMar>
              <w:top w:w="0" w:type="dxa"/>
              <w:left w:w="70" w:type="dxa"/>
              <w:bottom w:w="0" w:type="dxa"/>
              <w:right w:w="70" w:type="dxa"/>
            </w:tcMar>
            <w:vAlign w:val="bottom"/>
            <w:hideMark/>
          </w:tcPr>
          <w:p w:rsidR="002246AD" w:rsidRPr="003D1522" w:rsidRDefault="002246AD" w:rsidP="00F70195">
            <w:pPr>
              <w:pStyle w:val="SingleTxtG"/>
              <w:spacing w:before="40" w:after="40" w:line="220" w:lineRule="exact"/>
              <w:ind w:left="0" w:right="113"/>
              <w:jc w:val="right"/>
              <w:rPr>
                <w:sz w:val="18"/>
              </w:rPr>
            </w:pPr>
            <w:r w:rsidRPr="003D1522">
              <w:rPr>
                <w:sz w:val="18"/>
              </w:rPr>
              <w:t>66</w:t>
            </w:r>
          </w:p>
        </w:tc>
      </w:tr>
      <w:tr w:rsidR="002246AD" w:rsidRPr="003D1522" w:rsidTr="00F70195">
        <w:tc>
          <w:tcPr>
            <w:tcW w:w="3472" w:type="dxa"/>
            <w:shd w:val="clear" w:color="auto" w:fill="auto"/>
            <w:noWrap/>
            <w:tcMar>
              <w:top w:w="0" w:type="dxa"/>
              <w:left w:w="70" w:type="dxa"/>
              <w:bottom w:w="0" w:type="dxa"/>
              <w:right w:w="70" w:type="dxa"/>
            </w:tcMar>
            <w:hideMark/>
          </w:tcPr>
          <w:p w:rsidR="002246AD" w:rsidRPr="003D1522" w:rsidRDefault="002246AD" w:rsidP="00F70195">
            <w:pPr>
              <w:pStyle w:val="SingleTxtG"/>
              <w:spacing w:before="40" w:after="40" w:line="220" w:lineRule="exact"/>
              <w:ind w:left="0" w:right="113"/>
              <w:jc w:val="left"/>
              <w:rPr>
                <w:sz w:val="18"/>
              </w:rPr>
            </w:pPr>
            <w:r w:rsidRPr="003D1522">
              <w:rPr>
                <w:sz w:val="18"/>
              </w:rPr>
              <w:t>Russian</w:t>
            </w:r>
          </w:p>
        </w:tc>
        <w:tc>
          <w:tcPr>
            <w:tcW w:w="1949" w:type="dxa"/>
            <w:shd w:val="clear" w:color="auto" w:fill="auto"/>
            <w:vAlign w:val="bottom"/>
            <w:hideMark/>
          </w:tcPr>
          <w:p w:rsidR="002246AD" w:rsidRPr="003D1522" w:rsidRDefault="002246AD" w:rsidP="00F70195">
            <w:pPr>
              <w:pStyle w:val="SingleTxtG"/>
              <w:spacing w:before="40" w:after="40" w:line="220" w:lineRule="exact"/>
              <w:ind w:left="0" w:right="113"/>
              <w:jc w:val="right"/>
              <w:rPr>
                <w:sz w:val="18"/>
              </w:rPr>
            </w:pPr>
            <w:r w:rsidRPr="003D1522">
              <w:rPr>
                <w:sz w:val="18"/>
              </w:rPr>
              <w:t>70</w:t>
            </w:r>
          </w:p>
        </w:tc>
        <w:tc>
          <w:tcPr>
            <w:tcW w:w="1949" w:type="dxa"/>
            <w:shd w:val="clear" w:color="auto" w:fill="auto"/>
            <w:noWrap/>
            <w:tcMar>
              <w:top w:w="0" w:type="dxa"/>
              <w:left w:w="70" w:type="dxa"/>
              <w:bottom w:w="0" w:type="dxa"/>
              <w:right w:w="70" w:type="dxa"/>
            </w:tcMar>
            <w:vAlign w:val="bottom"/>
            <w:hideMark/>
          </w:tcPr>
          <w:p w:rsidR="002246AD" w:rsidRPr="003D1522" w:rsidRDefault="002246AD" w:rsidP="00F70195">
            <w:pPr>
              <w:pStyle w:val="SingleTxtG"/>
              <w:spacing w:before="40" w:after="40" w:line="220" w:lineRule="exact"/>
              <w:ind w:left="0" w:right="113"/>
              <w:jc w:val="right"/>
              <w:rPr>
                <w:sz w:val="18"/>
              </w:rPr>
            </w:pPr>
            <w:r w:rsidRPr="003D1522">
              <w:rPr>
                <w:sz w:val="18"/>
              </w:rPr>
              <w:t>22 188</w:t>
            </w:r>
          </w:p>
        </w:tc>
      </w:tr>
      <w:tr w:rsidR="002246AD" w:rsidRPr="003D1522" w:rsidTr="00F70195">
        <w:tc>
          <w:tcPr>
            <w:tcW w:w="3472" w:type="dxa"/>
            <w:shd w:val="clear" w:color="auto" w:fill="auto"/>
            <w:noWrap/>
            <w:tcMar>
              <w:top w:w="0" w:type="dxa"/>
              <w:left w:w="70" w:type="dxa"/>
              <w:bottom w:w="0" w:type="dxa"/>
              <w:right w:w="70" w:type="dxa"/>
            </w:tcMar>
            <w:hideMark/>
          </w:tcPr>
          <w:p w:rsidR="002246AD" w:rsidRPr="003D1522" w:rsidRDefault="002246AD" w:rsidP="00F70195">
            <w:pPr>
              <w:pStyle w:val="SingleTxtG"/>
              <w:spacing w:before="40" w:after="40" w:line="220" w:lineRule="exact"/>
              <w:ind w:left="0" w:right="113"/>
              <w:jc w:val="left"/>
              <w:rPr>
                <w:sz w:val="18"/>
              </w:rPr>
            </w:pPr>
            <w:r w:rsidRPr="003D1522">
              <w:rPr>
                <w:sz w:val="18"/>
              </w:rPr>
              <w:t>Sum</w:t>
            </w:r>
          </w:p>
        </w:tc>
        <w:tc>
          <w:tcPr>
            <w:tcW w:w="1949" w:type="dxa"/>
            <w:shd w:val="clear" w:color="auto" w:fill="auto"/>
            <w:vAlign w:val="bottom"/>
            <w:hideMark/>
          </w:tcPr>
          <w:p w:rsidR="002246AD" w:rsidRPr="003D1522" w:rsidRDefault="002246AD" w:rsidP="00F70195">
            <w:pPr>
              <w:pStyle w:val="SingleTxtG"/>
              <w:spacing w:before="40" w:after="40" w:line="220" w:lineRule="exact"/>
              <w:ind w:left="0" w:right="113"/>
              <w:jc w:val="right"/>
              <w:rPr>
                <w:sz w:val="18"/>
              </w:rPr>
            </w:pPr>
            <w:r w:rsidRPr="003D1522">
              <w:rPr>
                <w:sz w:val="18"/>
              </w:rPr>
              <w:t>549</w:t>
            </w:r>
          </w:p>
        </w:tc>
        <w:tc>
          <w:tcPr>
            <w:tcW w:w="1949" w:type="dxa"/>
            <w:shd w:val="clear" w:color="auto" w:fill="auto"/>
            <w:noWrap/>
            <w:tcMar>
              <w:top w:w="0" w:type="dxa"/>
              <w:left w:w="70" w:type="dxa"/>
              <w:bottom w:w="0" w:type="dxa"/>
              <w:right w:w="70" w:type="dxa"/>
            </w:tcMar>
            <w:vAlign w:val="bottom"/>
            <w:hideMark/>
          </w:tcPr>
          <w:p w:rsidR="002246AD" w:rsidRPr="003D1522" w:rsidRDefault="002246AD" w:rsidP="00F70195">
            <w:pPr>
              <w:pStyle w:val="SingleTxtG"/>
              <w:spacing w:before="40" w:after="40" w:line="220" w:lineRule="exact"/>
              <w:ind w:left="0" w:right="113"/>
              <w:jc w:val="right"/>
              <w:rPr>
                <w:sz w:val="18"/>
              </w:rPr>
            </w:pPr>
            <w:r w:rsidRPr="003D1522">
              <w:rPr>
                <w:sz w:val="18"/>
              </w:rPr>
              <w:t>125 749</w:t>
            </w:r>
          </w:p>
        </w:tc>
      </w:tr>
    </w:tbl>
    <w:p w:rsidR="002246AD" w:rsidRPr="003D1522" w:rsidRDefault="002246AD" w:rsidP="00DC37D0">
      <w:pPr>
        <w:pStyle w:val="Heading1"/>
        <w:spacing w:before="240" w:after="120"/>
      </w:pPr>
      <w:r w:rsidRPr="003D1522">
        <w:t>Table 2</w:t>
      </w:r>
      <w:r w:rsidRPr="003D1522">
        <w:br/>
      </w:r>
      <w:r w:rsidRPr="003D1522">
        <w:rPr>
          <w:rStyle w:val="SingleTxtGChar"/>
          <w:b/>
          <w:bCs/>
        </w:rPr>
        <w:t>Vocational Education, 2017/2018 school year (Data: Haridussilm)</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2692"/>
        <w:gridCol w:w="2693"/>
      </w:tblGrid>
      <w:tr w:rsidR="002246AD" w:rsidRPr="003D1522" w:rsidTr="001518DD">
        <w:trPr>
          <w:tblHeader/>
        </w:trPr>
        <w:tc>
          <w:tcPr>
            <w:tcW w:w="1985" w:type="dxa"/>
            <w:tcBorders>
              <w:top w:val="single" w:sz="4" w:space="0" w:color="auto"/>
              <w:bottom w:val="single" w:sz="12" w:space="0" w:color="auto"/>
            </w:tcBorders>
            <w:shd w:val="clear" w:color="auto" w:fill="auto"/>
            <w:noWrap/>
            <w:vAlign w:val="bottom"/>
            <w:hideMark/>
          </w:tcPr>
          <w:p w:rsidR="002246AD" w:rsidRPr="003D1522" w:rsidRDefault="002246AD" w:rsidP="00F70195">
            <w:pPr>
              <w:pStyle w:val="SingleTxtG"/>
              <w:spacing w:before="80" w:after="80" w:line="200" w:lineRule="exact"/>
              <w:ind w:left="0" w:right="113"/>
              <w:jc w:val="left"/>
              <w:rPr>
                <w:i/>
                <w:sz w:val="16"/>
              </w:rPr>
            </w:pPr>
            <w:r w:rsidRPr="003D1522">
              <w:rPr>
                <w:i/>
                <w:sz w:val="16"/>
              </w:rPr>
              <w:t>Language of instruction</w:t>
            </w:r>
          </w:p>
        </w:tc>
        <w:tc>
          <w:tcPr>
            <w:tcW w:w="2692" w:type="dxa"/>
            <w:tcBorders>
              <w:top w:val="single" w:sz="4" w:space="0" w:color="auto"/>
              <w:bottom w:val="single" w:sz="12" w:space="0" w:color="auto"/>
            </w:tcBorders>
            <w:shd w:val="clear" w:color="auto" w:fill="auto"/>
            <w:vAlign w:val="bottom"/>
            <w:hideMark/>
          </w:tcPr>
          <w:p w:rsidR="002246AD" w:rsidRPr="003D1522" w:rsidRDefault="002246AD" w:rsidP="00F70195">
            <w:pPr>
              <w:pStyle w:val="SingleTxtG"/>
              <w:spacing w:before="80" w:after="80" w:line="200" w:lineRule="exact"/>
              <w:ind w:left="0" w:right="113"/>
              <w:jc w:val="right"/>
              <w:rPr>
                <w:i/>
                <w:sz w:val="16"/>
              </w:rPr>
            </w:pPr>
            <w:r w:rsidRPr="003D1522">
              <w:rPr>
                <w:i/>
                <w:sz w:val="16"/>
              </w:rPr>
              <w:t>Number of Schools with programmes</w:t>
            </w:r>
          </w:p>
        </w:tc>
        <w:tc>
          <w:tcPr>
            <w:tcW w:w="2693" w:type="dxa"/>
            <w:tcBorders>
              <w:top w:val="single" w:sz="4" w:space="0" w:color="auto"/>
              <w:bottom w:val="single" w:sz="12" w:space="0" w:color="auto"/>
            </w:tcBorders>
            <w:shd w:val="clear" w:color="auto" w:fill="auto"/>
            <w:noWrap/>
            <w:vAlign w:val="bottom"/>
            <w:hideMark/>
          </w:tcPr>
          <w:p w:rsidR="002246AD" w:rsidRPr="003D1522" w:rsidRDefault="002246AD" w:rsidP="00F70195">
            <w:pPr>
              <w:pStyle w:val="SingleTxtG"/>
              <w:spacing w:before="80" w:after="80" w:line="200" w:lineRule="exact"/>
              <w:ind w:left="0" w:right="113"/>
              <w:jc w:val="right"/>
              <w:rPr>
                <w:i/>
                <w:sz w:val="16"/>
              </w:rPr>
            </w:pPr>
            <w:r w:rsidRPr="003D1522">
              <w:rPr>
                <w:i/>
                <w:sz w:val="16"/>
              </w:rPr>
              <w:t>Number of Students</w:t>
            </w:r>
          </w:p>
        </w:tc>
      </w:tr>
      <w:tr w:rsidR="002246AD" w:rsidRPr="003D1522" w:rsidTr="001518DD">
        <w:tc>
          <w:tcPr>
            <w:tcW w:w="1985" w:type="dxa"/>
            <w:tcBorders>
              <w:top w:val="single" w:sz="12" w:space="0" w:color="auto"/>
            </w:tcBorders>
            <w:shd w:val="clear" w:color="auto" w:fill="auto"/>
            <w:noWrap/>
            <w:hideMark/>
          </w:tcPr>
          <w:p w:rsidR="002246AD" w:rsidRPr="003D1522" w:rsidRDefault="002246AD" w:rsidP="00F70195">
            <w:pPr>
              <w:pStyle w:val="SingleTxtG"/>
              <w:spacing w:before="40" w:after="40" w:line="220" w:lineRule="exact"/>
              <w:ind w:left="0" w:right="113"/>
              <w:jc w:val="left"/>
              <w:rPr>
                <w:sz w:val="18"/>
              </w:rPr>
            </w:pPr>
            <w:r w:rsidRPr="003D1522">
              <w:rPr>
                <w:sz w:val="18"/>
              </w:rPr>
              <w:t>Estonian</w:t>
            </w:r>
          </w:p>
        </w:tc>
        <w:tc>
          <w:tcPr>
            <w:tcW w:w="2692" w:type="dxa"/>
            <w:tcBorders>
              <w:top w:val="single" w:sz="12" w:space="0" w:color="auto"/>
            </w:tcBorders>
            <w:shd w:val="clear" w:color="auto" w:fill="auto"/>
            <w:vAlign w:val="bottom"/>
            <w:hideMark/>
          </w:tcPr>
          <w:p w:rsidR="002246AD" w:rsidRPr="003D1522" w:rsidRDefault="002246AD" w:rsidP="00F70195">
            <w:pPr>
              <w:pStyle w:val="SingleTxtG"/>
              <w:spacing w:before="40" w:after="40" w:line="220" w:lineRule="exact"/>
              <w:ind w:left="0" w:right="113"/>
              <w:jc w:val="right"/>
              <w:rPr>
                <w:sz w:val="18"/>
              </w:rPr>
            </w:pPr>
            <w:r w:rsidRPr="003D1522">
              <w:rPr>
                <w:sz w:val="18"/>
              </w:rPr>
              <w:t>37</w:t>
            </w:r>
          </w:p>
        </w:tc>
        <w:tc>
          <w:tcPr>
            <w:tcW w:w="2693" w:type="dxa"/>
            <w:tcBorders>
              <w:top w:val="single" w:sz="12" w:space="0" w:color="auto"/>
            </w:tcBorders>
            <w:shd w:val="clear" w:color="auto" w:fill="auto"/>
            <w:noWrap/>
            <w:vAlign w:val="bottom"/>
            <w:hideMark/>
          </w:tcPr>
          <w:p w:rsidR="002246AD" w:rsidRPr="003D1522" w:rsidRDefault="002246AD" w:rsidP="00F70195">
            <w:pPr>
              <w:pStyle w:val="SingleTxtG"/>
              <w:spacing w:before="40" w:after="40" w:line="220" w:lineRule="exact"/>
              <w:ind w:left="0" w:right="113"/>
              <w:jc w:val="right"/>
              <w:rPr>
                <w:sz w:val="18"/>
              </w:rPr>
            </w:pPr>
            <w:r w:rsidRPr="003D1522">
              <w:rPr>
                <w:sz w:val="18"/>
              </w:rPr>
              <w:t>19 102</w:t>
            </w:r>
          </w:p>
        </w:tc>
      </w:tr>
      <w:tr w:rsidR="002246AD" w:rsidRPr="003D1522" w:rsidTr="001518DD">
        <w:tc>
          <w:tcPr>
            <w:tcW w:w="1985" w:type="dxa"/>
            <w:shd w:val="clear" w:color="auto" w:fill="auto"/>
            <w:noWrap/>
            <w:hideMark/>
          </w:tcPr>
          <w:p w:rsidR="002246AD" w:rsidRPr="003D1522" w:rsidRDefault="002246AD" w:rsidP="00F70195">
            <w:pPr>
              <w:pStyle w:val="SingleTxtG"/>
              <w:spacing w:before="40" w:after="40" w:line="220" w:lineRule="exact"/>
              <w:ind w:left="0" w:right="113"/>
              <w:jc w:val="left"/>
              <w:rPr>
                <w:sz w:val="18"/>
              </w:rPr>
            </w:pPr>
            <w:r w:rsidRPr="003D1522">
              <w:rPr>
                <w:sz w:val="18"/>
              </w:rPr>
              <w:t>English</w:t>
            </w:r>
          </w:p>
        </w:tc>
        <w:tc>
          <w:tcPr>
            <w:tcW w:w="2692" w:type="dxa"/>
            <w:shd w:val="clear" w:color="auto" w:fill="auto"/>
            <w:vAlign w:val="bottom"/>
            <w:hideMark/>
          </w:tcPr>
          <w:p w:rsidR="002246AD" w:rsidRPr="003D1522" w:rsidRDefault="002246AD" w:rsidP="00F70195">
            <w:pPr>
              <w:pStyle w:val="SingleTxtG"/>
              <w:spacing w:before="40" w:after="40" w:line="220" w:lineRule="exact"/>
              <w:ind w:left="0" w:right="113"/>
              <w:jc w:val="right"/>
              <w:rPr>
                <w:sz w:val="18"/>
              </w:rPr>
            </w:pPr>
            <w:r w:rsidRPr="003D1522">
              <w:rPr>
                <w:sz w:val="18"/>
              </w:rPr>
              <w:t>1</w:t>
            </w:r>
          </w:p>
        </w:tc>
        <w:tc>
          <w:tcPr>
            <w:tcW w:w="2693" w:type="dxa"/>
            <w:shd w:val="clear" w:color="auto" w:fill="auto"/>
            <w:noWrap/>
            <w:vAlign w:val="bottom"/>
            <w:hideMark/>
          </w:tcPr>
          <w:p w:rsidR="002246AD" w:rsidRPr="003D1522" w:rsidRDefault="002246AD" w:rsidP="00F70195">
            <w:pPr>
              <w:pStyle w:val="SingleTxtG"/>
              <w:spacing w:before="40" w:after="40" w:line="220" w:lineRule="exact"/>
              <w:ind w:left="0" w:right="113"/>
              <w:jc w:val="right"/>
              <w:rPr>
                <w:sz w:val="18"/>
              </w:rPr>
            </w:pPr>
            <w:r w:rsidRPr="003D1522">
              <w:rPr>
                <w:sz w:val="18"/>
              </w:rPr>
              <w:t>6</w:t>
            </w:r>
          </w:p>
        </w:tc>
      </w:tr>
      <w:tr w:rsidR="002246AD" w:rsidRPr="003D1522" w:rsidTr="001518DD">
        <w:tc>
          <w:tcPr>
            <w:tcW w:w="1985" w:type="dxa"/>
            <w:shd w:val="clear" w:color="auto" w:fill="auto"/>
            <w:noWrap/>
            <w:hideMark/>
          </w:tcPr>
          <w:p w:rsidR="002246AD" w:rsidRPr="003D1522" w:rsidRDefault="002246AD" w:rsidP="00F70195">
            <w:pPr>
              <w:pStyle w:val="SingleTxtG"/>
              <w:spacing w:before="40" w:after="40" w:line="220" w:lineRule="exact"/>
              <w:ind w:left="0" w:right="113"/>
              <w:jc w:val="left"/>
              <w:rPr>
                <w:sz w:val="18"/>
              </w:rPr>
            </w:pPr>
            <w:r w:rsidRPr="003D1522">
              <w:rPr>
                <w:sz w:val="18"/>
              </w:rPr>
              <w:t>Latvian</w:t>
            </w:r>
          </w:p>
        </w:tc>
        <w:tc>
          <w:tcPr>
            <w:tcW w:w="2692" w:type="dxa"/>
            <w:shd w:val="clear" w:color="auto" w:fill="auto"/>
            <w:vAlign w:val="bottom"/>
            <w:hideMark/>
          </w:tcPr>
          <w:p w:rsidR="002246AD" w:rsidRPr="003D1522" w:rsidRDefault="002246AD" w:rsidP="00F70195">
            <w:pPr>
              <w:pStyle w:val="SingleTxtG"/>
              <w:spacing w:before="40" w:after="40" w:line="220" w:lineRule="exact"/>
              <w:ind w:left="0" w:right="113"/>
              <w:jc w:val="right"/>
              <w:rPr>
                <w:sz w:val="18"/>
              </w:rPr>
            </w:pPr>
            <w:r w:rsidRPr="003D1522">
              <w:rPr>
                <w:sz w:val="18"/>
              </w:rPr>
              <w:t>1</w:t>
            </w:r>
          </w:p>
        </w:tc>
        <w:tc>
          <w:tcPr>
            <w:tcW w:w="2693" w:type="dxa"/>
            <w:shd w:val="clear" w:color="auto" w:fill="auto"/>
            <w:noWrap/>
            <w:vAlign w:val="bottom"/>
            <w:hideMark/>
          </w:tcPr>
          <w:p w:rsidR="002246AD" w:rsidRPr="003D1522" w:rsidRDefault="002246AD" w:rsidP="00F70195">
            <w:pPr>
              <w:pStyle w:val="SingleTxtG"/>
              <w:spacing w:before="40" w:after="40" w:line="220" w:lineRule="exact"/>
              <w:ind w:left="0" w:right="113"/>
              <w:jc w:val="right"/>
              <w:rPr>
                <w:sz w:val="18"/>
              </w:rPr>
            </w:pPr>
            <w:r w:rsidRPr="003D1522">
              <w:rPr>
                <w:sz w:val="18"/>
              </w:rPr>
              <w:t>No data</w:t>
            </w:r>
          </w:p>
        </w:tc>
      </w:tr>
      <w:tr w:rsidR="002246AD" w:rsidRPr="003D1522" w:rsidTr="001518DD">
        <w:tc>
          <w:tcPr>
            <w:tcW w:w="1985" w:type="dxa"/>
            <w:shd w:val="clear" w:color="auto" w:fill="auto"/>
            <w:noWrap/>
            <w:hideMark/>
          </w:tcPr>
          <w:p w:rsidR="002246AD" w:rsidRPr="003D1522" w:rsidRDefault="002246AD" w:rsidP="00F70195">
            <w:pPr>
              <w:pStyle w:val="SingleTxtG"/>
              <w:spacing w:before="40" w:after="40" w:line="220" w:lineRule="exact"/>
              <w:ind w:left="0" w:right="113"/>
              <w:jc w:val="left"/>
              <w:rPr>
                <w:sz w:val="18"/>
              </w:rPr>
            </w:pPr>
            <w:r w:rsidRPr="003D1522">
              <w:rPr>
                <w:sz w:val="18"/>
              </w:rPr>
              <w:t>Russian</w:t>
            </w:r>
          </w:p>
        </w:tc>
        <w:tc>
          <w:tcPr>
            <w:tcW w:w="2692" w:type="dxa"/>
            <w:shd w:val="clear" w:color="auto" w:fill="auto"/>
            <w:vAlign w:val="bottom"/>
            <w:hideMark/>
          </w:tcPr>
          <w:p w:rsidR="002246AD" w:rsidRPr="003D1522" w:rsidRDefault="002246AD" w:rsidP="00F70195">
            <w:pPr>
              <w:pStyle w:val="SingleTxtG"/>
              <w:spacing w:before="40" w:after="40" w:line="220" w:lineRule="exact"/>
              <w:ind w:left="0" w:right="113"/>
              <w:jc w:val="right"/>
              <w:rPr>
                <w:sz w:val="18"/>
              </w:rPr>
            </w:pPr>
            <w:r w:rsidRPr="003D1522">
              <w:rPr>
                <w:sz w:val="18"/>
              </w:rPr>
              <w:t>11</w:t>
            </w:r>
          </w:p>
        </w:tc>
        <w:tc>
          <w:tcPr>
            <w:tcW w:w="2693" w:type="dxa"/>
            <w:shd w:val="clear" w:color="auto" w:fill="auto"/>
            <w:noWrap/>
            <w:vAlign w:val="bottom"/>
            <w:hideMark/>
          </w:tcPr>
          <w:p w:rsidR="002246AD" w:rsidRPr="003D1522" w:rsidRDefault="002246AD" w:rsidP="00F70195">
            <w:pPr>
              <w:pStyle w:val="SingleTxtG"/>
              <w:spacing w:before="40" w:after="40" w:line="220" w:lineRule="exact"/>
              <w:ind w:left="0" w:right="113"/>
              <w:jc w:val="right"/>
              <w:rPr>
                <w:sz w:val="18"/>
              </w:rPr>
            </w:pPr>
            <w:r w:rsidRPr="003D1522">
              <w:rPr>
                <w:sz w:val="18"/>
              </w:rPr>
              <w:t>5 035</w:t>
            </w:r>
          </w:p>
        </w:tc>
      </w:tr>
      <w:tr w:rsidR="002246AD" w:rsidRPr="003D1522" w:rsidTr="001518DD">
        <w:tc>
          <w:tcPr>
            <w:tcW w:w="1985" w:type="dxa"/>
            <w:shd w:val="clear" w:color="auto" w:fill="auto"/>
            <w:noWrap/>
            <w:hideMark/>
          </w:tcPr>
          <w:p w:rsidR="002246AD" w:rsidRPr="003D1522" w:rsidRDefault="002246AD" w:rsidP="00F70195">
            <w:pPr>
              <w:pStyle w:val="SingleTxtG"/>
              <w:spacing w:before="40" w:after="40" w:line="220" w:lineRule="exact"/>
              <w:ind w:left="0" w:right="113"/>
              <w:jc w:val="left"/>
              <w:rPr>
                <w:sz w:val="18"/>
              </w:rPr>
            </w:pPr>
            <w:r w:rsidRPr="003D1522">
              <w:rPr>
                <w:sz w:val="18"/>
              </w:rPr>
              <w:t>Sum</w:t>
            </w:r>
          </w:p>
        </w:tc>
        <w:tc>
          <w:tcPr>
            <w:tcW w:w="2692" w:type="dxa"/>
            <w:shd w:val="clear" w:color="auto" w:fill="auto"/>
            <w:vAlign w:val="bottom"/>
            <w:hideMark/>
          </w:tcPr>
          <w:p w:rsidR="002246AD" w:rsidRPr="003D1522" w:rsidRDefault="002246AD" w:rsidP="00F70195">
            <w:pPr>
              <w:pStyle w:val="SingleTxtG"/>
              <w:spacing w:before="40" w:after="40" w:line="220" w:lineRule="exact"/>
              <w:ind w:left="0" w:right="113"/>
              <w:jc w:val="right"/>
              <w:rPr>
                <w:sz w:val="18"/>
              </w:rPr>
            </w:pPr>
            <w:r w:rsidRPr="003D1522">
              <w:rPr>
                <w:sz w:val="18"/>
              </w:rPr>
              <w:t>38</w:t>
            </w:r>
          </w:p>
        </w:tc>
        <w:tc>
          <w:tcPr>
            <w:tcW w:w="2693" w:type="dxa"/>
            <w:shd w:val="clear" w:color="auto" w:fill="auto"/>
            <w:noWrap/>
            <w:vAlign w:val="bottom"/>
            <w:hideMark/>
          </w:tcPr>
          <w:p w:rsidR="002246AD" w:rsidRPr="003D1522" w:rsidRDefault="002246AD" w:rsidP="00F70195">
            <w:pPr>
              <w:pStyle w:val="SingleTxtG"/>
              <w:spacing w:before="40" w:after="40" w:line="220" w:lineRule="exact"/>
              <w:ind w:left="0" w:right="113"/>
              <w:jc w:val="right"/>
              <w:rPr>
                <w:sz w:val="18"/>
              </w:rPr>
            </w:pPr>
            <w:r w:rsidRPr="003D1522">
              <w:rPr>
                <w:sz w:val="18"/>
              </w:rPr>
              <w:t>24 143</w:t>
            </w:r>
          </w:p>
        </w:tc>
      </w:tr>
    </w:tbl>
    <w:p w:rsidR="002246AD" w:rsidRPr="003D1522" w:rsidRDefault="002246AD" w:rsidP="005D2DCF">
      <w:pPr>
        <w:pStyle w:val="H1G"/>
      </w:pPr>
      <w:r w:rsidRPr="003D1522">
        <w:tab/>
      </w:r>
      <w:r w:rsidRPr="003D1522">
        <w:tab/>
        <w:t xml:space="preserve">Cultural rights (art. 15) </w:t>
      </w:r>
    </w:p>
    <w:p w:rsidR="002246AD" w:rsidRPr="003D1522" w:rsidRDefault="002246AD" w:rsidP="005D2DCF">
      <w:pPr>
        <w:pStyle w:val="H23G"/>
      </w:pPr>
      <w:r w:rsidRPr="003D1522">
        <w:tab/>
      </w:r>
      <w:r w:rsidRPr="003D1522">
        <w:tab/>
        <w:t>Rights of national minorities</w:t>
      </w:r>
    </w:p>
    <w:p w:rsidR="002246AD" w:rsidRPr="003D1522" w:rsidRDefault="002246AD" w:rsidP="007566D9">
      <w:pPr>
        <w:pStyle w:val="SingleTxtG"/>
      </w:pPr>
      <w:r w:rsidRPr="003D1522">
        <w:t>124.</w:t>
      </w:r>
      <w:r w:rsidRPr="003D1522">
        <w:tab/>
        <w:t>Approximately 300 cultural societies and 21 umbrella organisations of national minorities operated in Estonia in 2017, and two national minorities (Swedes and Finns) have cultural autonomy. The cultural societies of national minorities can apply for base financing from the Integration Foundation via umbrella organisations. The Ministry of Culture finances, in addition to umbrella organisations, a support programme for the cultural societies of national minorities aimed at the preservation and development of the cultures and languages of national minorities and supporting integration, and the ministry allocates operating support to cultural autonomy bodies every year.</w:t>
      </w:r>
    </w:p>
    <w:p w:rsidR="002246AD" w:rsidRPr="003D1522" w:rsidRDefault="002246AD" w:rsidP="007566D9">
      <w:pPr>
        <w:pStyle w:val="SingleTxtG"/>
      </w:pPr>
      <w:r w:rsidRPr="003D1522">
        <w:t>125.</w:t>
      </w:r>
      <w:r w:rsidRPr="003D1522">
        <w:tab/>
        <w:t>National minorities may, with the agreement of all parties, use their native languages in oral communication with the employees of state authorities and local government institutions, notaries, bailiffs and sworn translators, and on foreign missions of Estonia. All ministries and state agencies have Russian and English websites. Local government institutions take into account the needs of people belonging to national minorities in the use of language. The newspapers of local governments in Tallinn, Harju County and Ida-Viru County are published in Estonian and Russian. The services of the Employment Office are offered in Russian in regions where the number of persons belonging to national minorities is high. Russian is used in banking, business and medicine as well as in local governments and municipal services in regions where the share of the Russian-speaking population is large.</w:t>
      </w:r>
    </w:p>
    <w:p w:rsidR="002246AD" w:rsidRPr="003D1522" w:rsidRDefault="002246AD" w:rsidP="007566D9">
      <w:pPr>
        <w:pStyle w:val="SingleTxtG"/>
      </w:pPr>
      <w:r w:rsidRPr="003D1522">
        <w:t>126.</w:t>
      </w:r>
      <w:r w:rsidRPr="003D1522">
        <w:tab/>
        <w:t xml:space="preserve">The native languages of ethnic minorities are studied at the Sunday schools of the cultural associations of national minorities, whose mission is to develop and preserve the languages and culture of the ethnic groups. The Ministry of Education and Research finances Sunday schools from the state budget. More than 30 Sunday schools were registered in the Estonian Education Information System in the 2017/2018 academic year. </w:t>
      </w:r>
    </w:p>
    <w:p w:rsidR="002246AD" w:rsidRPr="003D1522" w:rsidRDefault="002246AD" w:rsidP="007566D9">
      <w:pPr>
        <w:pStyle w:val="SingleTxtG"/>
      </w:pPr>
      <w:r w:rsidRPr="003D1522">
        <w:t>127.</w:t>
      </w:r>
      <w:r w:rsidRPr="003D1522">
        <w:tab/>
        <w:t>The objective of the Estonian Society of Teachers of Sunday Schools of National Minorities is to establish Sunday schools and organise courses for Sunday school teachers.</w:t>
      </w:r>
    </w:p>
    <w:p w:rsidR="002246AD" w:rsidRPr="003D1522" w:rsidRDefault="002246AD" w:rsidP="007566D9">
      <w:pPr>
        <w:pStyle w:val="SingleTxtG"/>
      </w:pPr>
      <w:r w:rsidRPr="003D1522">
        <w:lastRenderedPageBreak/>
        <w:t>128.</w:t>
      </w:r>
      <w:r w:rsidRPr="003D1522">
        <w:tab/>
        <w:t>Estonian Public Broadcasting launched the Russian-language TV channel ETV+ in 2015. Private Russian-language channels also operate in Estonia. The most popular Russian radio stations are Russian Radio and Radio 4 (a public channel).</w:t>
      </w:r>
    </w:p>
    <w:p w:rsidR="002246AD" w:rsidRPr="003D1522" w:rsidRDefault="002246AD" w:rsidP="007566D9">
      <w:pPr>
        <w:pStyle w:val="SingleTxtG"/>
      </w:pPr>
      <w:r w:rsidRPr="003D1522">
        <w:t>129.</w:t>
      </w:r>
      <w:r w:rsidRPr="003D1522">
        <w:tab/>
        <w:t>Regional Russian press exists just about everywhere in Estonia where there are residents whose native language is Russian. 17% of books, 157 periodicals, 42 magazines and 36 newspapers (including one national daily newspaper in Russian) ca 20 different commercial magazines are published in Russian. There are also national Russian online media portals: rus.err.ee, delfi.ru, dv.ee, veneportaal.ee, rus.postimees.ee, mke.ee and vecherka.ee.</w:t>
      </w:r>
    </w:p>
    <w:p w:rsidR="002246AD" w:rsidRPr="003D1522" w:rsidRDefault="002246AD" w:rsidP="007566D9">
      <w:pPr>
        <w:pStyle w:val="SingleTxtG"/>
      </w:pPr>
      <w:r w:rsidRPr="003D1522">
        <w:t>130.</w:t>
      </w:r>
      <w:r w:rsidRPr="003D1522">
        <w:tab/>
        <w:t xml:space="preserve">Estonia values the preservation of cultural traditions of national minorities in their authentic forms via various regional cultural programmes. The Peipsiveere cultural programme supports the historical culture of the Russian Old Believers. Festivals, folk culture training events, cultural summer camps for children and a special programme that introduces local cultural heritage in the school curriculum are supported by the programme. </w:t>
      </w:r>
    </w:p>
    <w:p w:rsidR="002246AD" w:rsidRPr="003D1522" w:rsidRDefault="002246AD" w:rsidP="007566D9">
      <w:pPr>
        <w:pStyle w:val="SingleTxtG"/>
      </w:pPr>
      <w:r w:rsidRPr="003D1522">
        <w:t>131.</w:t>
      </w:r>
      <w:r w:rsidRPr="003D1522">
        <w:tab/>
        <w:t>Many national minorities and groups have established museums: the Russian Museum operating in Tallinn and Kohtla-Järve and the Estonian-Swedish, Chuvash and Jewish museums in Tallinn. Russian and Ukrainian cultural centres also operate.</w:t>
      </w:r>
    </w:p>
    <w:p w:rsidR="002246AD" w:rsidRPr="003D1522" w:rsidRDefault="000B1B48" w:rsidP="000B1B48">
      <w:pPr>
        <w:pStyle w:val="H23G"/>
      </w:pPr>
      <w:r w:rsidRPr="003D1522">
        <w:tab/>
      </w:r>
      <w:r w:rsidRPr="003D1522">
        <w:tab/>
      </w:r>
      <w:r w:rsidR="002246AD" w:rsidRPr="003D1522">
        <w:t xml:space="preserve">Scientific research </w:t>
      </w:r>
    </w:p>
    <w:p w:rsidR="007268F9" w:rsidRPr="003D1522" w:rsidRDefault="002246AD" w:rsidP="000B1B48">
      <w:pPr>
        <w:pStyle w:val="SingleTxtG"/>
      </w:pPr>
      <w:r w:rsidRPr="003D1522">
        <w:t>132.</w:t>
      </w:r>
      <w:r w:rsidRPr="003D1522">
        <w:tab/>
        <w:t>Research and development is regulated by the Organisation of Research and Development Act.</w:t>
      </w:r>
      <w:r w:rsidRPr="003D1522">
        <w:rPr>
          <w:rStyle w:val="FootnoteReference"/>
        </w:rPr>
        <w:footnoteReference w:id="18"/>
      </w:r>
      <w:r w:rsidRPr="003D1522">
        <w:t xml:space="preserve"> </w:t>
      </w:r>
    </w:p>
    <w:p w:rsidR="000B1B48" w:rsidRPr="003D1522" w:rsidRDefault="000B1B48" w:rsidP="000B1B48">
      <w:pPr>
        <w:pStyle w:val="SingleTxtG"/>
        <w:jc w:val="center"/>
      </w:pPr>
      <w:r w:rsidRPr="003D1522">
        <w:rPr>
          <w:u w:val="single"/>
        </w:rPr>
        <w:tab/>
      </w:r>
      <w:r w:rsidRPr="003D1522">
        <w:rPr>
          <w:u w:val="single"/>
        </w:rPr>
        <w:tab/>
      </w:r>
      <w:r w:rsidRPr="003D1522">
        <w:rPr>
          <w:u w:val="single"/>
        </w:rPr>
        <w:tab/>
      </w:r>
    </w:p>
    <w:sectPr w:rsidR="000B1B48" w:rsidRPr="003D1522" w:rsidSect="00587690">
      <w:headerReference w:type="even" r:id="rId18"/>
      <w:headerReference w:type="default" r:id="rId19"/>
      <w:footerReference w:type="even" r:id="rId20"/>
      <w:footerReference w:type="default" r:id="rId21"/>
      <w:footerReference w:type="first" r:id="rId2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1D4" w:rsidRPr="00FB1744" w:rsidRDefault="007321D4" w:rsidP="00FB1744">
      <w:pPr>
        <w:pStyle w:val="Footer"/>
      </w:pPr>
    </w:p>
  </w:endnote>
  <w:endnote w:type="continuationSeparator" w:id="0">
    <w:p w:rsidR="007321D4" w:rsidRPr="00FB1744" w:rsidRDefault="007321D4"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1D4" w:rsidRDefault="007321D4" w:rsidP="006447F5">
    <w:pPr>
      <w:pStyle w:val="Footer"/>
      <w:tabs>
        <w:tab w:val="right" w:pos="9638"/>
      </w:tabs>
    </w:pPr>
    <w:r w:rsidRPr="00EC33A7">
      <w:rPr>
        <w:b/>
        <w:bCs/>
        <w:sz w:val="18"/>
      </w:rPr>
      <w:fldChar w:fldCharType="begin"/>
    </w:r>
    <w:r w:rsidRPr="00EC33A7">
      <w:rPr>
        <w:b/>
        <w:bCs/>
        <w:sz w:val="18"/>
      </w:rPr>
      <w:instrText xml:space="preserve"> PAGE  \* MERGEFORMAT </w:instrText>
    </w:r>
    <w:r w:rsidRPr="00EC33A7">
      <w:rPr>
        <w:b/>
        <w:bCs/>
        <w:sz w:val="18"/>
      </w:rPr>
      <w:fldChar w:fldCharType="separate"/>
    </w:r>
    <w:r w:rsidR="00D66FF2">
      <w:rPr>
        <w:b/>
        <w:bCs/>
        <w:noProof/>
        <w:sz w:val="18"/>
      </w:rPr>
      <w:t>20</w:t>
    </w:r>
    <w:r w:rsidRPr="00EC33A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1D4" w:rsidRDefault="007321D4" w:rsidP="00EC33A7">
    <w:pPr>
      <w:pStyle w:val="Footer"/>
      <w:tabs>
        <w:tab w:val="right" w:pos="9638"/>
      </w:tabs>
    </w:pPr>
    <w:r>
      <w:tab/>
    </w:r>
    <w:r w:rsidRPr="00EC33A7">
      <w:rPr>
        <w:b/>
        <w:bCs/>
        <w:sz w:val="18"/>
      </w:rPr>
      <w:fldChar w:fldCharType="begin"/>
    </w:r>
    <w:r w:rsidRPr="00EC33A7">
      <w:rPr>
        <w:b/>
        <w:bCs/>
        <w:sz w:val="18"/>
      </w:rPr>
      <w:instrText xml:space="preserve"> PAGE  \* MERGEFORMAT </w:instrText>
    </w:r>
    <w:r w:rsidRPr="00EC33A7">
      <w:rPr>
        <w:b/>
        <w:bCs/>
        <w:sz w:val="18"/>
      </w:rPr>
      <w:fldChar w:fldCharType="separate"/>
    </w:r>
    <w:r w:rsidR="00D66FF2">
      <w:rPr>
        <w:b/>
        <w:bCs/>
        <w:noProof/>
        <w:sz w:val="18"/>
      </w:rPr>
      <w:t>21</w:t>
    </w:r>
    <w:r w:rsidRPr="00EC33A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FF2" w:rsidRDefault="00D66FF2" w:rsidP="00D66FF2">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66FF2" w:rsidRDefault="00D66FF2" w:rsidP="00D66FF2">
    <w:pPr>
      <w:pStyle w:val="Footer"/>
      <w:ind w:right="1134"/>
      <w:rPr>
        <w:sz w:val="20"/>
      </w:rPr>
    </w:pPr>
    <w:r>
      <w:rPr>
        <w:sz w:val="20"/>
      </w:rPr>
      <w:t>GE.18-22144(E)</w:t>
    </w:r>
  </w:p>
  <w:p w:rsidR="00D66FF2" w:rsidRPr="00D66FF2" w:rsidRDefault="00D66FF2" w:rsidP="00D66FF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12/EST/Q/3/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EST/Q/3/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1D4" w:rsidRPr="00FB1744" w:rsidRDefault="007321D4" w:rsidP="00FB1744">
      <w:pPr>
        <w:tabs>
          <w:tab w:val="right" w:pos="2155"/>
        </w:tabs>
        <w:spacing w:after="80" w:line="240" w:lineRule="auto"/>
        <w:ind w:left="680"/>
      </w:pPr>
      <w:r>
        <w:rPr>
          <w:u w:val="single"/>
        </w:rPr>
        <w:tab/>
      </w:r>
    </w:p>
  </w:footnote>
  <w:footnote w:type="continuationSeparator" w:id="0">
    <w:p w:rsidR="007321D4" w:rsidRPr="00FB1744" w:rsidRDefault="007321D4" w:rsidP="00FB1744">
      <w:pPr>
        <w:tabs>
          <w:tab w:val="right" w:pos="2155"/>
        </w:tabs>
        <w:spacing w:after="80" w:line="240" w:lineRule="auto"/>
        <w:ind w:left="680"/>
      </w:pPr>
      <w:r>
        <w:rPr>
          <w:u w:val="single"/>
        </w:rPr>
        <w:tab/>
      </w:r>
    </w:p>
  </w:footnote>
  <w:footnote w:id="1">
    <w:p w:rsidR="007321D4" w:rsidRPr="00EB5094" w:rsidRDefault="007321D4" w:rsidP="007566D9">
      <w:pPr>
        <w:pStyle w:val="FootnoteText"/>
      </w:pPr>
      <w:r w:rsidRPr="006447F5">
        <w:rPr>
          <w:sz w:val="20"/>
          <w:szCs w:val="22"/>
        </w:rPr>
        <w:tab/>
      </w:r>
      <w:r w:rsidRPr="006447F5">
        <w:rPr>
          <w:rStyle w:val="FootnoteReference"/>
          <w:sz w:val="20"/>
          <w:vertAlign w:val="baseline"/>
        </w:rPr>
        <w:t>*</w:t>
      </w:r>
      <w:r w:rsidRPr="006447F5">
        <w:rPr>
          <w:sz w:val="20"/>
          <w:szCs w:val="22"/>
        </w:rPr>
        <w:tab/>
      </w:r>
      <w:r w:rsidRPr="00EB5094">
        <w:t>The present document is being issued without formal editing.</w:t>
      </w:r>
    </w:p>
  </w:footnote>
  <w:footnote w:id="2">
    <w:p w:rsidR="007321D4" w:rsidRPr="00EB5094" w:rsidRDefault="007321D4" w:rsidP="007566D9">
      <w:pPr>
        <w:pStyle w:val="FootnoteText"/>
      </w:pPr>
      <w:r w:rsidRPr="00EB5094">
        <w:tab/>
      </w:r>
      <w:r w:rsidRPr="0049318D">
        <w:rPr>
          <w:rStyle w:val="FootnoteReference"/>
        </w:rPr>
        <w:footnoteRef/>
      </w:r>
      <w:r w:rsidRPr="00EB5094">
        <w:tab/>
        <w:t xml:space="preserve">Accessible online at: </w:t>
      </w:r>
      <w:hyperlink r:id="rId1" w:history="1">
        <w:r w:rsidRPr="00EB5094">
          <w:t>https://www.riigiteataja.ee/en/eli/ee/509012018008/consolide/current</w:t>
        </w:r>
      </w:hyperlink>
      <w:r>
        <w:t>.</w:t>
      </w:r>
    </w:p>
  </w:footnote>
  <w:footnote w:id="3">
    <w:p w:rsidR="007321D4" w:rsidRPr="00EB5094" w:rsidRDefault="007321D4" w:rsidP="007566D9">
      <w:pPr>
        <w:pStyle w:val="FootnoteText"/>
      </w:pPr>
      <w:r w:rsidRPr="00EB5094">
        <w:tab/>
      </w:r>
      <w:r w:rsidRPr="0049318D">
        <w:rPr>
          <w:rStyle w:val="FootnoteReference"/>
        </w:rPr>
        <w:footnoteRef/>
      </w:r>
      <w:r w:rsidRPr="00EB5094">
        <w:tab/>
        <w:t xml:space="preserve">Accessible online at: </w:t>
      </w:r>
      <w:r w:rsidRPr="008474C4">
        <w:t>https://www.korruptsioon.ee/sites/www.korruptsioon.ee/files/elfinder/dokumendid/estonian_anti-corruption_strategy_2013-2020.pdf</w:t>
      </w:r>
      <w:r w:rsidRPr="00EB5094">
        <w:t xml:space="preserve">. </w:t>
      </w:r>
    </w:p>
  </w:footnote>
  <w:footnote w:id="4">
    <w:p w:rsidR="007321D4" w:rsidRPr="00EB5094" w:rsidRDefault="007321D4" w:rsidP="007566D9">
      <w:pPr>
        <w:pStyle w:val="FootnoteText"/>
      </w:pPr>
      <w:r w:rsidRPr="00EB5094">
        <w:rPr>
          <w:lang w:val="en"/>
        </w:rPr>
        <w:tab/>
      </w:r>
      <w:r w:rsidRPr="0049318D">
        <w:rPr>
          <w:rStyle w:val="FootnoteReference"/>
        </w:rPr>
        <w:footnoteRef/>
      </w:r>
      <w:r w:rsidRPr="00EB5094">
        <w:rPr>
          <w:lang w:val="en"/>
        </w:rPr>
        <w:tab/>
      </w:r>
      <w:r w:rsidRPr="00EB5094">
        <w:t>Since 2014 also on the basis of skin colour.</w:t>
      </w:r>
    </w:p>
  </w:footnote>
  <w:footnote w:id="5">
    <w:p w:rsidR="007321D4" w:rsidRPr="00EB5094" w:rsidRDefault="007321D4" w:rsidP="007566D9">
      <w:pPr>
        <w:pStyle w:val="FootnoteText"/>
      </w:pPr>
      <w:r w:rsidRPr="00EB5094">
        <w:tab/>
      </w:r>
      <w:r w:rsidRPr="0049318D">
        <w:rPr>
          <w:rStyle w:val="FootnoteReference"/>
        </w:rPr>
        <w:footnoteRef/>
      </w:r>
      <w:r w:rsidRPr="00EB5094">
        <w:tab/>
        <w:t>Both sexual orientation and gender identity.</w:t>
      </w:r>
    </w:p>
  </w:footnote>
  <w:footnote w:id="6">
    <w:p w:rsidR="007321D4" w:rsidRPr="00EB5094" w:rsidRDefault="007321D4" w:rsidP="007566D9">
      <w:pPr>
        <w:pStyle w:val="FootnoteText"/>
      </w:pPr>
      <w:r w:rsidRPr="00EB5094">
        <w:tab/>
      </w:r>
      <w:r w:rsidRPr="0049318D">
        <w:rPr>
          <w:rStyle w:val="FootnoteReference"/>
        </w:rPr>
        <w:footnoteRef/>
      </w:r>
      <w:r w:rsidRPr="00EB5094">
        <w:tab/>
        <w:t>Turk, Pirjo; Anniste, Kristi; Masso, Märt; Karu, Marre; Kriger, Tatjana 2015. Study on Implementation of the Gender Equality Act and Developing Indicators to Assess the Impact of the Act. Tallinn: Praxis Centre for Policy Studies. Available online (Executive Summary pp 47-49):</w:t>
      </w:r>
      <w:hyperlink r:id="rId2" w:history="1">
        <w:r w:rsidRPr="00EB5094">
          <w:t>http://www.sm.ee/sites/default/files/content-editors/Ministeerium_kontaktid/Uuringu_ja_</w:t>
        </w:r>
        <w:r w:rsidRPr="00EB5094">
          <w:br/>
          <w:t>analuusid/Sotsiaalvaldkond/uuringuaruanne.pdf</w:t>
        </w:r>
      </w:hyperlink>
      <w:r w:rsidRPr="00EB5094">
        <w:t>.</w:t>
      </w:r>
    </w:p>
  </w:footnote>
  <w:footnote w:id="7">
    <w:p w:rsidR="007321D4" w:rsidRPr="00EB5094" w:rsidRDefault="007321D4" w:rsidP="007566D9">
      <w:pPr>
        <w:pStyle w:val="FootnoteText"/>
      </w:pPr>
      <w:r w:rsidRPr="00EB5094">
        <w:tab/>
      </w:r>
      <w:r w:rsidRPr="0049318D">
        <w:rPr>
          <w:rStyle w:val="FootnoteReference"/>
        </w:rPr>
        <w:footnoteRef/>
      </w:r>
      <w:r w:rsidRPr="00EB5094">
        <w:tab/>
        <w:t xml:space="preserve">Available in english here: </w:t>
      </w:r>
      <w:hyperlink r:id="rId3" w:history="1">
        <w:r w:rsidRPr="00EB5094">
          <w:t>https://www.sm.ee/sites/default/files/content-editors/eesmargid_ja_tegevused/welfare_development_plan_2016-2023.pdf</w:t>
        </w:r>
      </w:hyperlink>
      <w:r w:rsidRPr="00EB5094">
        <w:t xml:space="preserve">. </w:t>
      </w:r>
    </w:p>
  </w:footnote>
  <w:footnote w:id="8">
    <w:p w:rsidR="007321D4" w:rsidRPr="00EB5094" w:rsidRDefault="007321D4" w:rsidP="007566D9">
      <w:pPr>
        <w:pStyle w:val="FootnoteText"/>
      </w:pPr>
      <w:r w:rsidRPr="00EB5094">
        <w:tab/>
      </w:r>
      <w:r w:rsidRPr="0049318D">
        <w:rPr>
          <w:rStyle w:val="FootnoteReference"/>
        </w:rPr>
        <w:footnoteRef/>
      </w:r>
      <w:r w:rsidRPr="00EB5094">
        <w:tab/>
        <w:t>Statistics Estonia.</w:t>
      </w:r>
    </w:p>
  </w:footnote>
  <w:footnote w:id="9">
    <w:p w:rsidR="007321D4" w:rsidRPr="00EB5094" w:rsidRDefault="007321D4" w:rsidP="007566D9">
      <w:pPr>
        <w:pStyle w:val="FootnoteText"/>
      </w:pPr>
      <w:r w:rsidRPr="00EB5094">
        <w:tab/>
      </w:r>
      <w:r w:rsidRPr="0049318D">
        <w:rPr>
          <w:rStyle w:val="FootnoteReference"/>
        </w:rPr>
        <w:footnoteRef/>
      </w:r>
      <w:r w:rsidRPr="00EB5094">
        <w:tab/>
      </w:r>
      <w:hyperlink r:id="rId4" w:history="1">
        <w:r w:rsidRPr="00EB5094">
          <w:t>http://kompetentsikeskus.volinik.ee/wp-content/uploads/2018/02/infoleht_Lapsevanematele_LTT.pdf</w:t>
        </w:r>
      </w:hyperlink>
      <w:r w:rsidRPr="00EB5094">
        <w:t xml:space="preserve">. </w:t>
      </w:r>
    </w:p>
  </w:footnote>
  <w:footnote w:id="10">
    <w:p w:rsidR="007321D4" w:rsidRPr="00EB5094" w:rsidRDefault="007321D4" w:rsidP="007566D9">
      <w:pPr>
        <w:pStyle w:val="FootnoteText"/>
      </w:pPr>
      <w:r w:rsidRPr="00EB5094">
        <w:tab/>
      </w:r>
      <w:r w:rsidRPr="0049318D">
        <w:rPr>
          <w:rStyle w:val="FootnoteReference"/>
        </w:rPr>
        <w:footnoteRef/>
      </w:r>
      <w:r w:rsidRPr="00EB5094">
        <w:tab/>
      </w:r>
      <w:hyperlink r:id="rId5" w:history="1">
        <w:r w:rsidRPr="00EB5094">
          <w:t>http://kompetentsikeskus.volinik.ee/wp-content/uploads/2018/02/Uuringu-aruanne_LTT-huviharidus-sooline-aspekt.pdf</w:t>
        </w:r>
      </w:hyperlink>
      <w:r w:rsidRPr="00EB5094">
        <w:t>.</w:t>
      </w:r>
    </w:p>
  </w:footnote>
  <w:footnote w:id="11">
    <w:p w:rsidR="007321D4" w:rsidRPr="00EB5094" w:rsidRDefault="007321D4" w:rsidP="007566D9">
      <w:pPr>
        <w:pStyle w:val="FootnoteText"/>
      </w:pPr>
      <w:r w:rsidRPr="00EB5094">
        <w:tab/>
      </w:r>
      <w:r w:rsidRPr="0049318D">
        <w:rPr>
          <w:rStyle w:val="FootnoteReference"/>
        </w:rPr>
        <w:footnoteRef/>
      </w:r>
      <w:r w:rsidRPr="00EB5094">
        <w:tab/>
      </w:r>
      <w:r w:rsidRPr="00EB5094">
        <w:rPr>
          <w:lang w:val="en-US"/>
        </w:rPr>
        <w:t>The number of work ability allowance recipients contains persons who received a payment of work ability allowance during the specified month.</w:t>
      </w:r>
    </w:p>
  </w:footnote>
  <w:footnote w:id="12">
    <w:p w:rsidR="007321D4" w:rsidRPr="00EB5094" w:rsidRDefault="007321D4" w:rsidP="007566D9">
      <w:pPr>
        <w:pStyle w:val="FootnoteText"/>
      </w:pPr>
      <w:r w:rsidRPr="00EB5094">
        <w:tab/>
      </w:r>
      <w:r w:rsidRPr="0049318D">
        <w:rPr>
          <w:rStyle w:val="FootnoteReference"/>
        </w:rPr>
        <w:footnoteRef/>
      </w:r>
      <w:r w:rsidRPr="00EB5094">
        <w:tab/>
        <w:t xml:space="preserve">Accessible online at: </w:t>
      </w:r>
      <w:hyperlink r:id="rId6" w:history="1">
        <w:r w:rsidRPr="00EB5094">
          <w:t>https://www.riigiteataja.ee/en/eli/ee/509072018004/consolide/current</w:t>
        </w:r>
      </w:hyperlink>
      <w:r w:rsidRPr="00EB5094">
        <w:t>.</w:t>
      </w:r>
    </w:p>
  </w:footnote>
  <w:footnote w:id="13">
    <w:p w:rsidR="007321D4" w:rsidRPr="00EB5094" w:rsidRDefault="007321D4" w:rsidP="007566D9">
      <w:pPr>
        <w:pStyle w:val="FootnoteText"/>
        <w:rPr>
          <w:rFonts w:cs="Arial"/>
          <w:iCs/>
          <w:lang w:val="en-US"/>
        </w:rPr>
      </w:pPr>
      <w:r w:rsidRPr="00EB5094">
        <w:rPr>
          <w:rFonts w:cs="Arial"/>
        </w:rPr>
        <w:tab/>
      </w:r>
      <w:r w:rsidRPr="0049318D">
        <w:rPr>
          <w:rStyle w:val="FootnoteReference"/>
        </w:rPr>
        <w:footnoteRef/>
      </w:r>
      <w:r w:rsidRPr="00EB5094">
        <w:rPr>
          <w:rFonts w:cs="Arial"/>
        </w:rPr>
        <w:tab/>
      </w:r>
      <w:r w:rsidRPr="00EB5094">
        <w:rPr>
          <w:rFonts w:cs="Arial"/>
          <w:iCs/>
          <w:lang w:val="en-US"/>
        </w:rPr>
        <w:t>Source: Kuritegevus Eestis 2017.</w:t>
      </w:r>
    </w:p>
  </w:footnote>
  <w:footnote w:id="14">
    <w:p w:rsidR="007321D4" w:rsidRPr="00EB5094" w:rsidRDefault="007321D4" w:rsidP="007566D9">
      <w:pPr>
        <w:pStyle w:val="FootnoteText"/>
      </w:pPr>
      <w:r w:rsidRPr="00EB5094">
        <w:tab/>
      </w:r>
      <w:r w:rsidRPr="0049318D">
        <w:rPr>
          <w:rStyle w:val="FootnoteReference"/>
        </w:rPr>
        <w:footnoteRef/>
      </w:r>
      <w:r w:rsidRPr="00EB5094">
        <w:tab/>
        <w:t xml:space="preserve">Accessible online at: </w:t>
      </w:r>
      <w:r w:rsidRPr="006433BB">
        <w:t>http://www.kriminaalpoliitika.ee/sites/krimipoliitika/files/elfinder/dokumendid/strategy_for_</w:t>
      </w:r>
      <w:r w:rsidRPr="006433BB">
        <w:br/>
        <w:t>preventing_violence_for_2015-2020.pdf</w:t>
      </w:r>
      <w:r w:rsidRPr="00EB5094">
        <w:t xml:space="preserve">. </w:t>
      </w:r>
    </w:p>
  </w:footnote>
  <w:footnote w:id="15">
    <w:p w:rsidR="007321D4" w:rsidRPr="00EB5094" w:rsidRDefault="007321D4" w:rsidP="007566D9">
      <w:pPr>
        <w:pStyle w:val="FootnoteText"/>
      </w:pPr>
      <w:r w:rsidRPr="00EB5094">
        <w:tab/>
      </w:r>
      <w:r w:rsidRPr="0049318D">
        <w:rPr>
          <w:rStyle w:val="FootnoteReference"/>
        </w:rPr>
        <w:footnoteRef/>
      </w:r>
      <w:r w:rsidRPr="00EB5094">
        <w:tab/>
        <w:t xml:space="preserve">Accessible online at: </w:t>
      </w:r>
      <w:hyperlink r:id="rId7" w:history="1">
        <w:r w:rsidRPr="00EB5094">
          <w:t>https://www.riigiteataja.ee/en/eli/ee/509072018006/consolide/current</w:t>
        </w:r>
      </w:hyperlink>
      <w:r w:rsidRPr="00EB5094">
        <w:t xml:space="preserve">. </w:t>
      </w:r>
    </w:p>
  </w:footnote>
  <w:footnote w:id="16">
    <w:p w:rsidR="007321D4" w:rsidRPr="00EB5094" w:rsidRDefault="007321D4" w:rsidP="007566D9">
      <w:pPr>
        <w:pStyle w:val="FootnoteText"/>
      </w:pPr>
      <w:r w:rsidRPr="00EB5094">
        <w:tab/>
      </w:r>
      <w:r w:rsidRPr="0049318D">
        <w:rPr>
          <w:rStyle w:val="FootnoteReference"/>
        </w:rPr>
        <w:footnoteRef/>
      </w:r>
      <w:r w:rsidRPr="00EB5094">
        <w:tab/>
        <w:t>The use of drugs among students: The use of illegal drugs by 15- to 16-year-olds in Estonia, 2015, National Institute for Health Development 2016. (ESPAD 2015).</w:t>
      </w:r>
    </w:p>
  </w:footnote>
  <w:footnote w:id="17">
    <w:p w:rsidR="007321D4" w:rsidRPr="00EB5094" w:rsidRDefault="007321D4" w:rsidP="007566D9">
      <w:pPr>
        <w:pStyle w:val="FootnoteText"/>
      </w:pPr>
      <w:r w:rsidRPr="00EB5094">
        <w:tab/>
      </w:r>
      <w:r w:rsidRPr="0049318D">
        <w:rPr>
          <w:rStyle w:val="FootnoteReference"/>
        </w:rPr>
        <w:footnoteRef/>
      </w:r>
      <w:r w:rsidRPr="00EB5094">
        <w:tab/>
        <w:t>One school can have several languages of instruction.</w:t>
      </w:r>
    </w:p>
  </w:footnote>
  <w:footnote w:id="18">
    <w:p w:rsidR="007321D4" w:rsidRPr="00EB5094" w:rsidRDefault="007321D4" w:rsidP="007566D9">
      <w:pPr>
        <w:pStyle w:val="FootnoteText"/>
      </w:pPr>
      <w:r w:rsidRPr="00EB5094">
        <w:tab/>
      </w:r>
      <w:r w:rsidRPr="0049318D">
        <w:rPr>
          <w:rStyle w:val="FootnoteReference"/>
        </w:rPr>
        <w:footnoteRef/>
      </w:r>
      <w:r w:rsidRPr="00EB5094">
        <w:tab/>
      </w:r>
      <w:hyperlink r:id="rId8" w:history="1">
        <w:r w:rsidRPr="00EB5094">
          <w:t>https://www.riigiteataja.ee/en/eli/513042015012/consolide</w:t>
        </w:r>
      </w:hyperlink>
      <w:r w:rsidRPr="00EB509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1D4" w:rsidRDefault="007321D4" w:rsidP="00EC33A7">
    <w:pPr>
      <w:pStyle w:val="Header"/>
    </w:pPr>
    <w:r>
      <w:t>E/C.12/EST/Q/3/Add.1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1D4" w:rsidRDefault="007321D4" w:rsidP="00EC33A7">
    <w:pPr>
      <w:pStyle w:val="Header"/>
      <w:jc w:val="right"/>
    </w:pPr>
    <w:r>
      <w:t>E/C.12/EST/Q/3/Add.1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2C45"/>
    <w:rsid w:val="00002B52"/>
    <w:rsid w:val="000044BB"/>
    <w:rsid w:val="0003192F"/>
    <w:rsid w:val="00036005"/>
    <w:rsid w:val="00036219"/>
    <w:rsid w:val="00046E92"/>
    <w:rsid w:val="0007230F"/>
    <w:rsid w:val="000732E4"/>
    <w:rsid w:val="000972C3"/>
    <w:rsid w:val="000A041F"/>
    <w:rsid w:val="000B1B48"/>
    <w:rsid w:val="000C7CEB"/>
    <w:rsid w:val="000D1B89"/>
    <w:rsid w:val="000D43A2"/>
    <w:rsid w:val="000F23BC"/>
    <w:rsid w:val="00100ACD"/>
    <w:rsid w:val="001170DC"/>
    <w:rsid w:val="00134B8A"/>
    <w:rsid w:val="001518DD"/>
    <w:rsid w:val="00154917"/>
    <w:rsid w:val="00180647"/>
    <w:rsid w:val="00192BE0"/>
    <w:rsid w:val="001A3847"/>
    <w:rsid w:val="001A5BF8"/>
    <w:rsid w:val="001E40E4"/>
    <w:rsid w:val="002246AD"/>
    <w:rsid w:val="00237BC6"/>
    <w:rsid w:val="00247E2C"/>
    <w:rsid w:val="00260739"/>
    <w:rsid w:val="00261967"/>
    <w:rsid w:val="002C3F8E"/>
    <w:rsid w:val="002D6C53"/>
    <w:rsid w:val="002F5595"/>
    <w:rsid w:val="00315441"/>
    <w:rsid w:val="0031712B"/>
    <w:rsid w:val="00334F6A"/>
    <w:rsid w:val="003360D9"/>
    <w:rsid w:val="00342AC8"/>
    <w:rsid w:val="00344797"/>
    <w:rsid w:val="003467B2"/>
    <w:rsid w:val="0038707E"/>
    <w:rsid w:val="00393796"/>
    <w:rsid w:val="003B36C6"/>
    <w:rsid w:val="003B4550"/>
    <w:rsid w:val="003C2C15"/>
    <w:rsid w:val="003D1522"/>
    <w:rsid w:val="003D2DA1"/>
    <w:rsid w:val="003E638F"/>
    <w:rsid w:val="003F21A6"/>
    <w:rsid w:val="00402B30"/>
    <w:rsid w:val="004303F9"/>
    <w:rsid w:val="00435F07"/>
    <w:rsid w:val="0044523E"/>
    <w:rsid w:val="004579D1"/>
    <w:rsid w:val="00461253"/>
    <w:rsid w:val="0049318D"/>
    <w:rsid w:val="004C4128"/>
    <w:rsid w:val="004C7354"/>
    <w:rsid w:val="004D3813"/>
    <w:rsid w:val="005042C2"/>
    <w:rsid w:val="00506C12"/>
    <w:rsid w:val="005122E3"/>
    <w:rsid w:val="005207B9"/>
    <w:rsid w:val="00543E87"/>
    <w:rsid w:val="00544FCA"/>
    <w:rsid w:val="00551955"/>
    <w:rsid w:val="0056599A"/>
    <w:rsid w:val="0057307D"/>
    <w:rsid w:val="00587690"/>
    <w:rsid w:val="005877C7"/>
    <w:rsid w:val="005A6EC3"/>
    <w:rsid w:val="005C7ACB"/>
    <w:rsid w:val="005D2DCF"/>
    <w:rsid w:val="005F12C6"/>
    <w:rsid w:val="005F54F4"/>
    <w:rsid w:val="00617DB9"/>
    <w:rsid w:val="00624918"/>
    <w:rsid w:val="00637150"/>
    <w:rsid w:val="006433BB"/>
    <w:rsid w:val="006447F5"/>
    <w:rsid w:val="00651F9E"/>
    <w:rsid w:val="00671529"/>
    <w:rsid w:val="00697843"/>
    <w:rsid w:val="006B2635"/>
    <w:rsid w:val="006D208A"/>
    <w:rsid w:val="006E1F92"/>
    <w:rsid w:val="00702151"/>
    <w:rsid w:val="00717266"/>
    <w:rsid w:val="007268F9"/>
    <w:rsid w:val="007321D4"/>
    <w:rsid w:val="0073248C"/>
    <w:rsid w:val="007566D9"/>
    <w:rsid w:val="007834B9"/>
    <w:rsid w:val="007837F9"/>
    <w:rsid w:val="00786798"/>
    <w:rsid w:val="007A18E8"/>
    <w:rsid w:val="007C52B0"/>
    <w:rsid w:val="007E47AB"/>
    <w:rsid w:val="007F1BD5"/>
    <w:rsid w:val="007F2C5C"/>
    <w:rsid w:val="008362FD"/>
    <w:rsid w:val="008474C4"/>
    <w:rsid w:val="008807AA"/>
    <w:rsid w:val="008D609B"/>
    <w:rsid w:val="008F5FA4"/>
    <w:rsid w:val="009076E3"/>
    <w:rsid w:val="00912C45"/>
    <w:rsid w:val="009336A6"/>
    <w:rsid w:val="009411B4"/>
    <w:rsid w:val="00951FE4"/>
    <w:rsid w:val="00987157"/>
    <w:rsid w:val="009D0139"/>
    <w:rsid w:val="009F5CDC"/>
    <w:rsid w:val="00A0689A"/>
    <w:rsid w:val="00A07A9C"/>
    <w:rsid w:val="00A234C8"/>
    <w:rsid w:val="00A34F9E"/>
    <w:rsid w:val="00A4787A"/>
    <w:rsid w:val="00A5717B"/>
    <w:rsid w:val="00A775CF"/>
    <w:rsid w:val="00A84A67"/>
    <w:rsid w:val="00AB3C7E"/>
    <w:rsid w:val="00AB4D33"/>
    <w:rsid w:val="00B06045"/>
    <w:rsid w:val="00B83BB8"/>
    <w:rsid w:val="00B91CD7"/>
    <w:rsid w:val="00B972B9"/>
    <w:rsid w:val="00BA738B"/>
    <w:rsid w:val="00C10282"/>
    <w:rsid w:val="00C1218D"/>
    <w:rsid w:val="00C21C76"/>
    <w:rsid w:val="00C35A27"/>
    <w:rsid w:val="00C45231"/>
    <w:rsid w:val="00C608D3"/>
    <w:rsid w:val="00C62389"/>
    <w:rsid w:val="00C6515E"/>
    <w:rsid w:val="00CD544A"/>
    <w:rsid w:val="00CE3DA7"/>
    <w:rsid w:val="00D116DC"/>
    <w:rsid w:val="00D66FF2"/>
    <w:rsid w:val="00DC37D0"/>
    <w:rsid w:val="00DF2C9B"/>
    <w:rsid w:val="00E02C2B"/>
    <w:rsid w:val="00E07B5C"/>
    <w:rsid w:val="00E11746"/>
    <w:rsid w:val="00E45464"/>
    <w:rsid w:val="00E71A86"/>
    <w:rsid w:val="00E87279"/>
    <w:rsid w:val="00E92E53"/>
    <w:rsid w:val="00EC33A7"/>
    <w:rsid w:val="00ED0063"/>
    <w:rsid w:val="00ED3B30"/>
    <w:rsid w:val="00ED6C48"/>
    <w:rsid w:val="00EF5153"/>
    <w:rsid w:val="00F05C80"/>
    <w:rsid w:val="00F107A2"/>
    <w:rsid w:val="00F65F5D"/>
    <w:rsid w:val="00F70195"/>
    <w:rsid w:val="00F86A3A"/>
    <w:rsid w:val="00F95285"/>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DFAEF933-70FF-44CA-BA08-8B1816BC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C21C76"/>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2246AD"/>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2246AD"/>
    <w:rPr>
      <w:rFonts w:ascii="Times New Roman" w:hAnsi="Times New Roman" w:cs="Times New Roman"/>
      <w:sz w:val="16"/>
      <w:szCs w:val="20"/>
    </w:rPr>
  </w:style>
  <w:style w:type="paragraph" w:customStyle="1" w:styleId="HMG">
    <w:name w:val="_ H __M_G"/>
    <w:basedOn w:val="Normal"/>
    <w:next w:val="Normal"/>
    <w:rsid w:val="002246AD"/>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2246AD"/>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2246AD"/>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2246AD"/>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2246AD"/>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2246AD"/>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2246AD"/>
    <w:pPr>
      <w:suppressAutoHyphens w:val="0"/>
      <w:spacing w:after="120"/>
      <w:ind w:left="1134" w:right="1134"/>
      <w:jc w:val="both"/>
    </w:pPr>
    <w:rPr>
      <w:rFonts w:eastAsia="SimSun"/>
      <w:lang w:eastAsia="zh-CN"/>
    </w:rPr>
  </w:style>
  <w:style w:type="paragraph" w:customStyle="1" w:styleId="SLG">
    <w:name w:val="__S_L_G"/>
    <w:basedOn w:val="Normal"/>
    <w:next w:val="Normal"/>
    <w:rsid w:val="002246AD"/>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2246AD"/>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2246AD"/>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2246AD"/>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2246AD"/>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2246AD"/>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2246AD"/>
    <w:pPr>
      <w:numPr>
        <w:numId w:val="10"/>
      </w:numPr>
    </w:pPr>
  </w:style>
  <w:style w:type="numbering" w:styleId="111111">
    <w:name w:val="Outline List 2"/>
    <w:basedOn w:val="NoList"/>
    <w:semiHidden/>
    <w:rsid w:val="002246AD"/>
    <w:pPr>
      <w:numPr>
        <w:numId w:val="11"/>
      </w:numPr>
    </w:pPr>
  </w:style>
  <w:style w:type="numbering" w:styleId="1ai">
    <w:name w:val="Outline List 1"/>
    <w:basedOn w:val="NoList"/>
    <w:semiHidden/>
    <w:rsid w:val="002246AD"/>
    <w:pPr>
      <w:numPr>
        <w:numId w:val="6"/>
      </w:numPr>
    </w:pPr>
  </w:style>
  <w:style w:type="character" w:styleId="EndnoteReference">
    <w:name w:val="endnote reference"/>
    <w:aliases w:val="1_G"/>
    <w:rsid w:val="002246AD"/>
    <w:rPr>
      <w:rFonts w:ascii="Times New Roman" w:hAnsi="Times New Roman"/>
      <w:sz w:val="18"/>
      <w:vertAlign w:val="superscript"/>
    </w:rPr>
  </w:style>
  <w:style w:type="paragraph" w:styleId="FootnoteText">
    <w:name w:val="footnote text"/>
    <w:aliases w:val="5_G"/>
    <w:basedOn w:val="Normal"/>
    <w:link w:val="FootnoteTextChar"/>
    <w:rsid w:val="002246AD"/>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2246AD"/>
    <w:rPr>
      <w:rFonts w:ascii="Times New Roman" w:hAnsi="Times New Roman" w:cs="Times New Roman"/>
      <w:sz w:val="18"/>
      <w:szCs w:val="20"/>
    </w:rPr>
  </w:style>
  <w:style w:type="paragraph" w:styleId="EndnoteText">
    <w:name w:val="endnote text"/>
    <w:aliases w:val="2_G"/>
    <w:basedOn w:val="FootnoteText"/>
    <w:link w:val="EndnoteTextChar"/>
    <w:rsid w:val="002246AD"/>
  </w:style>
  <w:style w:type="character" w:customStyle="1" w:styleId="EndnoteTextChar">
    <w:name w:val="Endnote Text Char"/>
    <w:aliases w:val="2_G Char"/>
    <w:basedOn w:val="DefaultParagraphFont"/>
    <w:link w:val="EndnoteText"/>
    <w:rsid w:val="002246AD"/>
    <w:rPr>
      <w:rFonts w:ascii="Times New Roman" w:hAnsi="Times New Roman" w:cs="Times New Roman"/>
      <w:sz w:val="18"/>
      <w:szCs w:val="20"/>
    </w:rPr>
  </w:style>
  <w:style w:type="character" w:styleId="FootnoteReference">
    <w:name w:val="footnote reference"/>
    <w:aliases w:val="4_G"/>
    <w:rsid w:val="002246AD"/>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C21C76"/>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59"/>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46AD"/>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2246AD"/>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table" w:styleId="PlainTable2">
    <w:name w:val="Plain Table 2"/>
    <w:basedOn w:val="TableNormal"/>
    <w:uiPriority w:val="42"/>
    <w:rsid w:val="002246AD"/>
    <w:pPr>
      <w:spacing w:after="0" w:line="240" w:lineRule="auto"/>
    </w:pPr>
    <w:rPr>
      <w:rFonts w:eastAsiaTheme="minorHAnsi"/>
      <w:lang w:val="et-EE"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8F5FA4"/>
    <w:rPr>
      <w:color w:val="0000FF" w:themeColor="hyperlink"/>
      <w:u w:val="single"/>
    </w:rPr>
  </w:style>
  <w:style w:type="character" w:customStyle="1" w:styleId="UnresolvedMention">
    <w:name w:val="Unresolved Mention"/>
    <w:basedOn w:val="DefaultParagraphFont"/>
    <w:uiPriority w:val="99"/>
    <w:semiHidden/>
    <w:unhideWhenUsed/>
    <w:rsid w:val="008F5F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1.png@01D47AB0.7E149D60"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8" Type="http://schemas.openxmlformats.org/officeDocument/2006/relationships/hyperlink" Target="https://www.riigiteataja.ee/en/eli/513042015012/consolide" TargetMode="External"/><Relationship Id="rId3" Type="http://schemas.openxmlformats.org/officeDocument/2006/relationships/hyperlink" Target="https://www.sm.ee/sites/default/files/content-editors/eesmargid_ja_tegevused/welfare_development_plan_2016-2023.pdf" TargetMode="External"/><Relationship Id="rId7" Type="http://schemas.openxmlformats.org/officeDocument/2006/relationships/hyperlink" Target="https://www.riigiteataja.ee/en/eli/ee/509072018006/consolide/current" TargetMode="External"/><Relationship Id="rId2" Type="http://schemas.openxmlformats.org/officeDocument/2006/relationships/hyperlink" Target="http://www.sm.ee/sites/default/files/content-editors/Ministeerium_kontaktid/Uuringu_ja_analuusid/Sotsiaalvaldkond/uuringuaruanne.pdf" TargetMode="External"/><Relationship Id="rId1" Type="http://schemas.openxmlformats.org/officeDocument/2006/relationships/hyperlink" Target="https://www.riigiteataja.ee/en/eli/ee/509012018008/consolide/current" TargetMode="External"/><Relationship Id="rId6" Type="http://schemas.openxmlformats.org/officeDocument/2006/relationships/hyperlink" Target="https://www.riigiteataja.ee/en/eli/ee/509072018004/consolide/current" TargetMode="External"/><Relationship Id="rId5" Type="http://schemas.openxmlformats.org/officeDocument/2006/relationships/hyperlink" Target="http://kompetentsikeskus.volinik.ee/wp-content/uploads/2018/02/Uuringu-aruanne_LTT-huviharidus-sooline-aspekt.pdf" TargetMode="External"/><Relationship Id="rId4" Type="http://schemas.openxmlformats.org/officeDocument/2006/relationships/hyperlink" Target="http://kompetentsikeskus.volinik.ee/wp-content/uploads/2018/02/infoleht_Lapsevanematele_LT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atria\Desktop\Ravi%20ja%20rehab%20koha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Sheet2!$A$27</c:f>
              <c:strCache>
                <c:ptCount val="1"/>
                <c:pt idx="0">
                  <c:v>Tarvitajad</c:v>
                </c:pt>
              </c:strCache>
            </c:strRef>
          </c:tx>
          <c:marker>
            <c:symbol val="none"/>
          </c:marker>
          <c:dLbls>
            <c:dLbl>
              <c:idx val="0"/>
              <c:layout>
                <c:manualLayout>
                  <c:x val="6.8027210884353999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9D9-439B-A198-13A8AF305136}"/>
                </c:ext>
              </c:extLst>
            </c:dLbl>
            <c:dLbl>
              <c:idx val="1"/>
              <c:layout>
                <c:manualLayout>
                  <c:x val="-1.1337868480725599E-2"/>
                  <c:y val="2.656042496679950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9D9-439B-A198-13A8AF305136}"/>
                </c:ext>
              </c:extLst>
            </c:dLbl>
            <c:dLbl>
              <c:idx val="2"/>
              <c:layout>
                <c:manualLayout>
                  <c:x val="2.2675736961451499E-3"/>
                  <c:y val="1.593625498007969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9D9-439B-A198-13A8AF305136}"/>
                </c:ext>
              </c:extLst>
            </c:dLbl>
            <c:dLbl>
              <c:idx val="3"/>
              <c:layout>
                <c:manualLayout>
                  <c:x val="-1.3605442176870699E-2"/>
                  <c:y val="3.7184594953519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9D9-439B-A198-13A8AF305136}"/>
                </c:ext>
              </c:extLst>
            </c:dLbl>
            <c:dLbl>
              <c:idx val="4"/>
              <c:layout>
                <c:manualLayout>
                  <c:x val="-9.0702947845805008E-3"/>
                  <c:y val="1.062416998671980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9D9-439B-A198-13A8AF30513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Sheet2!$B$26:$G$26</c:f>
              <c:numCache>
                <c:formatCode>General</c:formatCode>
                <c:ptCount val="6"/>
                <c:pt idx="0">
                  <c:v>1995</c:v>
                </c:pt>
                <c:pt idx="1">
                  <c:v>1999</c:v>
                </c:pt>
                <c:pt idx="2">
                  <c:v>2003</c:v>
                </c:pt>
                <c:pt idx="3">
                  <c:v>2007</c:v>
                </c:pt>
                <c:pt idx="4">
                  <c:v>2011</c:v>
                </c:pt>
                <c:pt idx="5">
                  <c:v>2015</c:v>
                </c:pt>
              </c:numCache>
            </c:numRef>
          </c:cat>
          <c:val>
            <c:numRef>
              <c:f>Sheet2!$B$27:$G$27</c:f>
              <c:numCache>
                <c:formatCode>General</c:formatCode>
                <c:ptCount val="6"/>
                <c:pt idx="0">
                  <c:v>7</c:v>
                </c:pt>
                <c:pt idx="1">
                  <c:v>15</c:v>
                </c:pt>
                <c:pt idx="2">
                  <c:v>24</c:v>
                </c:pt>
                <c:pt idx="3">
                  <c:v>30</c:v>
                </c:pt>
                <c:pt idx="4">
                  <c:v>32</c:v>
                </c:pt>
                <c:pt idx="5">
                  <c:v>38</c:v>
                </c:pt>
              </c:numCache>
            </c:numRef>
          </c:val>
          <c:smooth val="0"/>
          <c:extLst>
            <c:ext xmlns:c16="http://schemas.microsoft.com/office/drawing/2014/chart" uri="{C3380CC4-5D6E-409C-BE32-E72D297353CC}">
              <c16:uniqueId val="{00000005-C9D9-439B-A198-13A8AF305136}"/>
            </c:ext>
          </c:extLst>
        </c:ser>
        <c:dLbls>
          <c:showLegendKey val="0"/>
          <c:showVal val="0"/>
          <c:showCatName val="0"/>
          <c:showSerName val="0"/>
          <c:showPercent val="0"/>
          <c:showBubbleSize val="0"/>
        </c:dLbls>
        <c:smooth val="0"/>
        <c:axId val="447920032"/>
        <c:axId val="447920424"/>
      </c:lineChart>
      <c:catAx>
        <c:axId val="447920032"/>
        <c:scaling>
          <c:orientation val="minMax"/>
        </c:scaling>
        <c:delete val="0"/>
        <c:axPos val="b"/>
        <c:numFmt formatCode="General" sourceLinked="1"/>
        <c:majorTickMark val="out"/>
        <c:minorTickMark val="none"/>
        <c:tickLblPos val="nextTo"/>
        <c:crossAx val="447920424"/>
        <c:crosses val="autoZero"/>
        <c:auto val="1"/>
        <c:lblAlgn val="ctr"/>
        <c:lblOffset val="100"/>
        <c:noMultiLvlLbl val="0"/>
      </c:catAx>
      <c:valAx>
        <c:axId val="447920424"/>
        <c:scaling>
          <c:orientation val="minMax"/>
        </c:scaling>
        <c:delete val="0"/>
        <c:axPos val="l"/>
        <c:majorGridlines/>
        <c:numFmt formatCode="General" sourceLinked="1"/>
        <c:majorTickMark val="out"/>
        <c:minorTickMark val="none"/>
        <c:tickLblPos val="nextTo"/>
        <c:crossAx val="44792003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2FCB9-001C-443E-A149-5B7F753D3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27</Pages>
  <Words>10977</Words>
  <Characters>56956</Characters>
  <Application>Microsoft Office Word</Application>
  <DocSecurity>0</DocSecurity>
  <Lines>1891</Lines>
  <Paragraphs>1211</Paragraphs>
  <ScaleCrop>false</ScaleCrop>
  <HeadingPairs>
    <vt:vector size="2" baseType="variant">
      <vt:variant>
        <vt:lpstr>Title</vt:lpstr>
      </vt:variant>
      <vt:variant>
        <vt:i4>1</vt:i4>
      </vt:variant>
    </vt:vector>
  </HeadingPairs>
  <TitlesOfParts>
    <vt:vector size="1" baseType="lpstr">
      <vt:lpstr>E/C.12/EST/Q/3/Add.1</vt:lpstr>
    </vt:vector>
  </TitlesOfParts>
  <Company>DCM</Company>
  <LinksUpToDate>false</LinksUpToDate>
  <CharactersWithSpaces>66930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E/C.12/EST/Q/3/Add.1</dc:title>
  <dc:subject>1822144</dc:subject>
  <dc:creator>Generic Pdf eng</dc:creator>
  <cp:keywords/>
  <dc:description/>
  <cp:lastModifiedBy>Generic Pdf eng</cp:lastModifiedBy>
  <cp:revision>2</cp:revision>
  <cp:lastPrinted>2018-12-14T16:10:00Z</cp:lastPrinted>
  <dcterms:created xsi:type="dcterms:W3CDTF">2018-12-18T12:07:00Z</dcterms:created>
  <dcterms:modified xsi:type="dcterms:W3CDTF">2018-12-18T12:07:00Z</dcterms:modified>
</cp:coreProperties>
</file>