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>
                    <w:t>6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t>40217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090206    100206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44033152" r:id="rId8"/>
              </w:obje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sz w:val="22"/>
                <w:lang w:val="en-US"/>
              </w:rPr>
              <w:t>E/C.12/</w:t>
            </w:r>
            <w:proofErr w:type="spellStart"/>
            <w:r>
              <w:rPr>
                <w:sz w:val="22"/>
                <w:lang w:val="en-US"/>
              </w:rPr>
              <w:t>LYB</w:t>
            </w:r>
            <w:proofErr w:type="spellEnd"/>
            <w:r>
              <w:rPr>
                <w:sz w:val="22"/>
                <w:lang w:val="en-US"/>
              </w:rPr>
              <w:t>/CO/2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</w:pPr>
            <w:r>
              <w:rPr>
                <w:sz w:val="22"/>
              </w:rPr>
              <w:t xml:space="preserve">25 </w:t>
            </w:r>
            <w:r>
              <w:rPr>
                <w:sz w:val="22"/>
                <w:lang w:val="en-US"/>
              </w:rPr>
              <w:t>January</w:t>
            </w:r>
            <w:r>
              <w:rPr>
                <w:sz w:val="22"/>
              </w:rPr>
              <w:t xml:space="preserve"> 2006</w:t>
            </w:r>
            <w:r>
              <w:rPr>
                <w:lang w:val="en-US"/>
              </w:rP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FILLIN</w:instrText>
            </w:r>
            <w:r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>
              <w:instrText xml:space="preserve"> </w:instrTex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r>
        <w:t>КОМИТЕТ ПО ЭКОНОМИЧЕСКИМ,</w:t>
      </w:r>
    </w:p>
    <w:p w:rsidR="00000000" w:rsidRDefault="00000000">
      <w:r>
        <w:t>СОЦИАЛЬНЫМ И КУЛЬТУРНЫМ ПРАВАМ</w:t>
      </w:r>
    </w:p>
    <w:p w:rsidR="00000000" w:rsidRDefault="00000000">
      <w:r>
        <w:t>Тридцать пятая сессия</w:t>
      </w:r>
    </w:p>
    <w:p w:rsidR="00000000" w:rsidRDefault="00000000">
      <w:r>
        <w:t>7-25 ноября 2005 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Ливийская Арабская </w:t>
      </w:r>
      <w:proofErr w:type="spellStart"/>
      <w:r>
        <w:rPr>
          <w:b/>
          <w:bCs/>
        </w:rPr>
        <w:t>Джамахирия</w:t>
      </w:r>
      <w:proofErr w:type="spellEnd"/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экономическим, социальным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и культурным правам</w:t>
      </w:r>
    </w:p>
    <w:p w:rsidR="00000000" w:rsidRDefault="00000000">
      <w:pPr>
        <w:jc w:val="center"/>
        <w:rPr>
          <w:b/>
          <w:bCs/>
          <w:u w:val="single"/>
        </w:rPr>
      </w:pPr>
    </w:p>
    <w:p w:rsidR="00000000" w:rsidRDefault="00000000">
      <w:r>
        <w:t>1.</w:t>
      </w:r>
      <w:r>
        <w:tab/>
        <w:t xml:space="preserve">Комитет по экономическим, социальным и культурным правам рассмотрел второй периодический доклад Ливийской Арабской </w:t>
      </w:r>
      <w:proofErr w:type="spellStart"/>
      <w:r>
        <w:t>Джамахирии</w:t>
      </w:r>
      <w:proofErr w:type="spellEnd"/>
      <w:r>
        <w:t xml:space="preserve"> об осуществлении Международного пакта об экономических, социальных и культурных правах (</w:t>
      </w:r>
      <w:proofErr w:type="spellStart"/>
      <w:r>
        <w:t>E</w:t>
      </w:r>
      <w:proofErr w:type="spellEnd"/>
      <w:r>
        <w:t>/1990/6/</w:t>
      </w:r>
      <w:proofErr w:type="spellStart"/>
      <w:r>
        <w:t>Add.38</w:t>
      </w:r>
      <w:proofErr w:type="spellEnd"/>
      <w:r>
        <w:t>) на своих 44</w:t>
      </w:r>
      <w:r>
        <w:noBreakHyphen/>
        <w:t>46</w:t>
      </w:r>
      <w:r>
        <w:noBreakHyphen/>
        <w:t>м заседаниях, состоявшихся 16 и 17 ноября 2005 года (</w:t>
      </w:r>
      <w:proofErr w:type="spellStart"/>
      <w:r>
        <w:t>E</w:t>
      </w:r>
      <w:proofErr w:type="spellEnd"/>
      <w:r>
        <w:t>/</w:t>
      </w:r>
      <w:proofErr w:type="spellStart"/>
      <w:r>
        <w:t>C.12</w:t>
      </w:r>
      <w:proofErr w:type="spellEnd"/>
      <w:r>
        <w:t>/2005/</w:t>
      </w:r>
      <w:proofErr w:type="spellStart"/>
      <w:r>
        <w:t>SR.44-46</w:t>
      </w:r>
      <w:proofErr w:type="spellEnd"/>
      <w:r>
        <w:t xml:space="preserve">), и на своем 58-м заседании 25 ноября 2005 года принял следующие заключительные замечания.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 xml:space="preserve">Комитет приветствует представление второго периодического доклада государства-участника.  Вместе с тем он сожалеет, что доклад, письменные ответы на перечень вопросов и устные ответы, представленные делегацией государства-участника, не содержали достаточной и точной информации по основным вопросам, связанным с Пактом.  Многие вопросы, заданные Комитетом, остались без ответа. 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3.</w:t>
      </w:r>
      <w:r>
        <w:tab/>
        <w:t>Комитет приветствует присоединение государства-участника к Международной конвенции о защите прав всех трудящихся</w:t>
      </w:r>
      <w:r>
        <w:noBreakHyphen/>
        <w:t xml:space="preserve">мигрантов и членов их семей.  </w:t>
      </w:r>
    </w:p>
    <w:p w:rsidR="00000000" w:rsidRDefault="00000000"/>
    <w:p w:rsidR="00000000" w:rsidRDefault="00000000">
      <w:r>
        <w:t>4.</w:t>
      </w:r>
      <w:r>
        <w:tab/>
        <w:t xml:space="preserve">Комитет с удовлетворением отмечает, что в июле 2005 года государство-участник приняло миссию по оказанию технической помощи Международной организации труда с целью способствовать выполнению своих обязательств в соответствии с несколькими Конвенциями МОТ о социальном обеспечении.  </w:t>
      </w:r>
    </w:p>
    <w:p w:rsidR="00000000" w:rsidRDefault="00000000"/>
    <w:p w:rsidR="00000000" w:rsidRDefault="00000000">
      <w:r>
        <w:t>5.</w:t>
      </w:r>
      <w:r>
        <w:tab/>
        <w:t>Комитет с удовлетворением отмечает заявление делегации о том, что теперь женщины могут свободно выезжать за границу.</w:t>
      </w:r>
    </w:p>
    <w:p w:rsidR="00000000" w:rsidRDefault="00000000"/>
    <w:p w:rsidR="00000000" w:rsidRDefault="00000000">
      <w:r>
        <w:t>6.</w:t>
      </w:r>
      <w:r>
        <w:tab/>
        <w:t xml:space="preserve">Комитет с удовлетворением констатирует тот факт, что в государстве-участнике отмечается самый высокий уровень грамотности и уровень </w:t>
      </w:r>
      <w:proofErr w:type="spellStart"/>
      <w:r>
        <w:t>вовлеченности</w:t>
      </w:r>
      <w:proofErr w:type="spellEnd"/>
      <w:r>
        <w:t xml:space="preserve"> в образовательную систему в Северной Африке, и приветствует высокий процент учащихся женского пола в учебных заведениях.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 осуществлению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7.</w:t>
      </w:r>
      <w:r>
        <w:tab/>
        <w:t>Комитет отмечает отсутствие каких-либо значительных факторов и трудностей, препятствующих эффективному осуществлению Пакта в государстве-участнике.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Основные вопросы, вызывающие озабоченность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8.</w:t>
      </w:r>
      <w:r>
        <w:tab/>
        <w:t xml:space="preserve">Комитет выражает озабоченность в связи с тем, что предыдущие заключительные сведения не были приняты во внимание государством-участником.  </w:t>
      </w:r>
    </w:p>
    <w:p w:rsidR="00000000" w:rsidRDefault="00000000"/>
    <w:p w:rsidR="00000000" w:rsidRDefault="00000000">
      <w:r>
        <w:t>9.</w:t>
      </w:r>
      <w:r>
        <w:tab/>
        <w:t>Комитет выражает сожаление в связи с тем, что государство-участник не смогло представить ссылки на судебные решения, связанные с осуществлением Пакта, несмотря на тот факт, что международные договоры, ратифицированные государством-участником, становятся обязательными для выполнения и имеют приоритет над внутренним законодательством.</w:t>
      </w:r>
    </w:p>
    <w:p w:rsidR="00000000" w:rsidRDefault="00000000"/>
    <w:p w:rsidR="00000000" w:rsidRDefault="00000000">
      <w:r>
        <w:t>10.</w:t>
      </w:r>
      <w:r>
        <w:tab/>
        <w:t>Комитет с обеспокоенностью отмечает, что государство-участник еще не создало независимый национальный институт по правам человека в соответствии с Парижскими принципами (резолюция Генеральной Ассамблеи 48/134, приложение).</w:t>
      </w:r>
    </w:p>
    <w:p w:rsidR="00000000" w:rsidRDefault="00000000"/>
    <w:p w:rsidR="00000000" w:rsidRDefault="00000000">
      <w:r>
        <w:t>11.</w:t>
      </w:r>
      <w:r>
        <w:tab/>
        <w:t>Комитет с озабоченностью отмечает, что независимые неправительственные организации, занимающиеся вопросами, относящимися к Пакту, не могут свободно действовать в государстве-участнике.</w:t>
      </w:r>
    </w:p>
    <w:p w:rsidR="00000000" w:rsidRDefault="00000000"/>
    <w:p w:rsidR="00000000" w:rsidRDefault="00000000">
      <w:r>
        <w:t>12.</w:t>
      </w:r>
      <w:r>
        <w:tab/>
        <w:t xml:space="preserve">Комитет высказывает свою озабоченность по поводу отсутствия законодательных мер для запрещения расовой дискриминации и сожалеет, что государство-участник не предоставило достаточной информации о мерах, принятых с целью обеспечения </w:t>
      </w:r>
      <w:proofErr w:type="spellStart"/>
      <w:r>
        <w:t>недискриминационного</w:t>
      </w:r>
      <w:proofErr w:type="spellEnd"/>
      <w:r>
        <w:t xml:space="preserve"> обращения с трудящимися-мигрантами,  в частности, в сферах занятости, доступа к жилью, здравоохранения и образования.  Комитет с озабоченностью отмечает многочисленные сообщения о существовании расистских предрассудков в отношении черных африканцев, которые в некоторых случаях приводили к совершению против них актов насилия.</w:t>
      </w:r>
    </w:p>
    <w:p w:rsidR="00000000" w:rsidRDefault="00000000"/>
    <w:p w:rsidR="00000000" w:rsidRDefault="00000000">
      <w:r>
        <w:t>13.</w:t>
      </w:r>
      <w:r>
        <w:tab/>
        <w:t xml:space="preserve">Комитет выражает озабоченность по поводу того, что в государстве-участнике не имеется законодательства о просителях убежища и беженцах и что в отсутствие законодательных рамок для защиты их прав эффективные гарантии соблюдения их прав, в частности экономических, социальных и культурных прав, находятся под серьезной угрозой. </w:t>
      </w:r>
    </w:p>
    <w:p w:rsidR="00000000" w:rsidRDefault="00000000"/>
    <w:p w:rsidR="00000000" w:rsidRDefault="00000000">
      <w:r>
        <w:t>14.</w:t>
      </w:r>
      <w:r>
        <w:tab/>
        <w:t>Комитет выражает сожаление по поводу отсутствия конкретной информации об основанных на традициях подходах, влияющих на осуществление женщинами своих экономических, социальных и культурных прав.</w:t>
      </w:r>
    </w:p>
    <w:p w:rsidR="00000000" w:rsidRDefault="00000000"/>
    <w:p w:rsidR="00000000" w:rsidRDefault="00000000">
      <w:r>
        <w:t>15.</w:t>
      </w:r>
      <w:r>
        <w:tab/>
        <w:t>Комитет выражает сожаление в связи с тем, что он не получил достаточной информации об уровне безработицы в государстве-участнике, уровне минимальной заработной платы и порядке определения размера минимальной заработной платы, а также о мерах оказания содействия безработным лицам, включая граждан и трудящихся-мигрантов, для их трудоустройства.</w:t>
      </w:r>
    </w:p>
    <w:p w:rsidR="00000000" w:rsidRDefault="00000000"/>
    <w:p w:rsidR="00000000" w:rsidRDefault="00000000">
      <w:r>
        <w:t>16.</w:t>
      </w:r>
      <w:r>
        <w:tab/>
        <w:t>Комитет выражает сожаление по поводу того, что он не получил точной информации о существующих законодательных нормах о праве каждого человека создавать профсоюзы и вступать в них и других правах, изложенных в статье 8 Пакта, в частности о праве на забастовку.  Комитет с озабоченностью отмечает, что правительство должно одобрять все коллективные соглашения для обеспечения их соответствия экономическим интересам государства и что в государстве-участнике нет свободы профсоюзов и что трудовые споры должны решаться с использованием обязательной арбитражной процедуры.</w:t>
      </w:r>
    </w:p>
    <w:p w:rsidR="00000000" w:rsidRDefault="00000000"/>
    <w:p w:rsidR="00000000" w:rsidRDefault="00000000">
      <w:r>
        <w:t>17.</w:t>
      </w:r>
      <w:r>
        <w:tab/>
        <w:t xml:space="preserve">Комитет сожалеет, что государством-участником была представлена недостаточная информация по вопросам, касающимся проблемы нищеты, жилищных условий населения, включая трудящихся-мигрантов, бездомных и принудительно выселенных лиц.  </w:t>
      </w:r>
    </w:p>
    <w:p w:rsidR="00000000" w:rsidRDefault="00000000"/>
    <w:p w:rsidR="00000000" w:rsidRDefault="00000000">
      <w:r>
        <w:t>18.</w:t>
      </w:r>
      <w:r>
        <w:tab/>
        <w:t xml:space="preserve">Комитет с озабоченностью отмечает, что </w:t>
      </w:r>
      <w:proofErr w:type="spellStart"/>
      <w:r>
        <w:t>28%</w:t>
      </w:r>
      <w:proofErr w:type="spellEnd"/>
      <w:r>
        <w:t xml:space="preserve"> населения не имеет постоянного доступа к обустроенным источникам воды.  Он также выражает озабоченность в связи с тем, что достигнутые на севере страны улучшения в отношении доступа к чистой воде пока еще не распространяются на </w:t>
      </w:r>
      <w:proofErr w:type="spellStart"/>
      <w:r>
        <w:t>амазигов</w:t>
      </w:r>
      <w:proofErr w:type="spellEnd"/>
      <w:r>
        <w:t xml:space="preserve">, в частности в районах </w:t>
      </w:r>
      <w:proofErr w:type="spellStart"/>
      <w:r>
        <w:t>Нефусса</w:t>
      </w:r>
      <w:proofErr w:type="spellEnd"/>
      <w:r>
        <w:t xml:space="preserve"> и </w:t>
      </w:r>
      <w:proofErr w:type="spellStart"/>
      <w:r>
        <w:t>Зуара</w:t>
      </w:r>
      <w:proofErr w:type="spellEnd"/>
      <w:r>
        <w:t>.</w:t>
      </w:r>
    </w:p>
    <w:p w:rsidR="00000000" w:rsidRDefault="00000000"/>
    <w:p w:rsidR="00000000" w:rsidRDefault="00000000">
      <w:r>
        <w:t>19.</w:t>
      </w:r>
      <w:r>
        <w:tab/>
        <w:t xml:space="preserve">Комитет серьезно обеспокоен сообщениями об увеличении с 2000 года процентной доли лиц, зараженных ВИЧ/больных СПИДом, и тем, что около </w:t>
      </w:r>
      <w:proofErr w:type="spellStart"/>
      <w:r>
        <w:t>90%</w:t>
      </w:r>
      <w:proofErr w:type="spellEnd"/>
      <w:r>
        <w:t xml:space="preserve"> недавно инфицированных взрослых заразились в результате употребления наркотиков путем инъекций.  </w:t>
      </w:r>
    </w:p>
    <w:p w:rsidR="00000000" w:rsidRDefault="00000000"/>
    <w:p w:rsidR="00000000" w:rsidRDefault="00000000">
      <w:r>
        <w:t>20.</w:t>
      </w:r>
      <w:r>
        <w:tab/>
        <w:t>Комитет сожалеет, что государство-участник не представило достаточной информации о мерах, принятых для включения вопросов прав человека в учебные программы школ на начальном и среднем уровнях и для распространения текста Пакта среди населения в целом.</w:t>
      </w:r>
    </w:p>
    <w:p w:rsidR="00000000" w:rsidRDefault="00000000"/>
    <w:p w:rsidR="00000000" w:rsidRDefault="00000000">
      <w:r>
        <w:t>21.</w:t>
      </w:r>
      <w:r>
        <w:tab/>
        <w:t xml:space="preserve">Комитет обеспокоен сообщениями о том, что в государстве-участнике свобода доступа к </w:t>
      </w:r>
      <w:proofErr w:type="spellStart"/>
      <w:r>
        <w:t>Интернету</w:t>
      </w:r>
      <w:proofErr w:type="spellEnd"/>
      <w:r>
        <w:t xml:space="preserve"> серьезно ограничена.</w:t>
      </w:r>
    </w:p>
    <w:p w:rsidR="00000000" w:rsidRDefault="00000000"/>
    <w:p w:rsidR="00000000" w:rsidRDefault="00000000">
      <w:r>
        <w:t>22.</w:t>
      </w:r>
      <w:r>
        <w:tab/>
        <w:t xml:space="preserve">Комитет выражает озабоченность в связи с тем, что </w:t>
      </w:r>
      <w:proofErr w:type="spellStart"/>
      <w:r>
        <w:t>амазиги</w:t>
      </w:r>
      <w:proofErr w:type="spellEnd"/>
      <w:r>
        <w:t xml:space="preserve"> не признаны государством-участником в качестве меньшинства и что их язык не имеет официального признания и статуса, несмотря на то, что </w:t>
      </w:r>
      <w:proofErr w:type="spellStart"/>
      <w:r>
        <w:t>амазиги</w:t>
      </w:r>
      <w:proofErr w:type="spellEnd"/>
      <w:r>
        <w:t xml:space="preserve"> составляют значительный процент населения страны.</w:t>
      </w:r>
    </w:p>
    <w:p w:rsidR="00000000" w:rsidRDefault="00000000"/>
    <w:p w:rsidR="00000000" w:rsidRDefault="00000000">
      <w:r>
        <w:t>23.</w:t>
      </w:r>
      <w:r>
        <w:tab/>
        <w:t xml:space="preserve">Комитет обеспокоен тем, что преподавание </w:t>
      </w:r>
      <w:proofErr w:type="spellStart"/>
      <w:r>
        <w:t>амазигского</w:t>
      </w:r>
      <w:proofErr w:type="spellEnd"/>
      <w:r>
        <w:t xml:space="preserve"> языка в школах запрещено, равно как и его публичное использование, в том числе в </w:t>
      </w:r>
      <w:proofErr w:type="spellStart"/>
      <w:r>
        <w:t>СМИ</w:t>
      </w:r>
      <w:proofErr w:type="spellEnd"/>
      <w:r>
        <w:t xml:space="preserve"> и в отношениях с властями.  Также сообщается о том, что культурные ассоциации и институты </w:t>
      </w:r>
      <w:proofErr w:type="spellStart"/>
      <w:r>
        <w:t>амазигов</w:t>
      </w:r>
      <w:proofErr w:type="spellEnd"/>
      <w:r>
        <w:t xml:space="preserve"> не могут свободно функционировать в государстве.</w:t>
      </w:r>
    </w:p>
    <w:p w:rsidR="00000000" w:rsidRDefault="00000000"/>
    <w:p w:rsidR="00000000" w:rsidRDefault="00000000">
      <w:r>
        <w:t>24.</w:t>
      </w:r>
      <w:r>
        <w:tab/>
        <w:t>Комитет выражает серьезную озабоченность по поводу того, что внутреннее законодательство запрещает употребление других языков, кроме арабского во многих областях, а также регистрацию неарабских имен для новорожденных.</w:t>
      </w:r>
    </w:p>
    <w:p w:rsidR="00000000" w:rsidRDefault="00000000"/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Е.</w:t>
      </w:r>
      <w:r>
        <w:rPr>
          <w:b/>
          <w:bCs/>
        </w:rPr>
        <w:tab/>
        <w:t>Предложения и рекомендации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pPr>
        <w:keepNext/>
      </w:pPr>
      <w:r>
        <w:t>25.</w:t>
      </w:r>
      <w:r>
        <w:tab/>
        <w:t>Комитет настоятельно призывает государство-участник всецело учитывать его предыдущие заключительные замечания.</w:t>
      </w:r>
    </w:p>
    <w:p w:rsidR="00000000" w:rsidRDefault="00000000"/>
    <w:p w:rsidR="00000000" w:rsidRDefault="00000000">
      <w:r>
        <w:t>26.</w:t>
      </w:r>
      <w:r>
        <w:tab/>
        <w:t xml:space="preserve">Комитет просит государство-участник включить в следующий доклад информацию о применении Пакта в судебной практике.  Он рекомендует государству-участнику активизировать усилия по совершенствованию программ подготовки в области прав человека и применения Пакта, в частности среди работников судебной системы и сотрудников других органов, отвечающих за осуществление Пакта.  </w:t>
      </w:r>
    </w:p>
    <w:p w:rsidR="00000000" w:rsidRDefault="00000000"/>
    <w:p w:rsidR="00000000" w:rsidRDefault="00000000">
      <w:pPr>
        <w:keepLines/>
      </w:pPr>
      <w:r>
        <w:t>27.</w:t>
      </w:r>
      <w:r>
        <w:tab/>
        <w:t>Комитет рекомендует государству-участнику рассмотреть вопрос об учреждении в соответствии с Парижскими принципами независимого национального органа в области прав человека, в мандат которого входили бы все аспекты прав человека, включая экономические, социальные и культурные права.</w:t>
      </w:r>
    </w:p>
    <w:p w:rsidR="00000000" w:rsidRDefault="00000000"/>
    <w:p w:rsidR="00000000" w:rsidRDefault="00000000">
      <w:r>
        <w:t>28.</w:t>
      </w:r>
      <w:r>
        <w:tab/>
        <w:t>Комитет настоятельно рекомендует государству-участнику обеспечить, в соответствии с Декларацией Организации Объединенных Наций о праве и обязанности отдельных лиц, групп и органов общества поощрять и защищать общепризнанные права человека и основные свободы, беспрепятственную деятельность в государстве-участнике независимых неправительственных организаций, занимающихся вопросами прав человека, включая права, закрепленные в Пакте.</w:t>
      </w:r>
    </w:p>
    <w:p w:rsidR="00000000" w:rsidRDefault="00000000"/>
    <w:p w:rsidR="00000000" w:rsidRDefault="00000000">
      <w:r>
        <w:t>29.</w:t>
      </w:r>
      <w:r>
        <w:tab/>
        <w:t xml:space="preserve">Комитет рекомендует государству-участнику принять законодательные и другие меры, запрещающие расовую дискриминацию, особенно в отношении лиц африканского происхождения с черным цветом кожи.  Комитет просит государство-участник предоставить в следующем докладе обновленные ежегодные сравнительные </w:t>
      </w:r>
      <w:proofErr w:type="spellStart"/>
      <w:r>
        <w:t>дезагрегированные</w:t>
      </w:r>
      <w:proofErr w:type="spellEnd"/>
      <w:r>
        <w:t xml:space="preserve"> данные о выполнении всех положений Пакта в разбивке по признаку пола, национальности, национального и этнического происхождения, места проживания в сельских/городских районах, уделив особое внимание обездоленным и маргинальным лицам и группам.</w:t>
      </w:r>
    </w:p>
    <w:p w:rsidR="00000000" w:rsidRDefault="00000000"/>
    <w:p w:rsidR="00000000" w:rsidRDefault="00000000">
      <w:r>
        <w:t>30.</w:t>
      </w:r>
      <w:r>
        <w:tab/>
        <w:t>Комитет призывает государство-участник рассмотреть вопрос о ратификации Конвенции о статусе беженцев 1951 года и Протокола к ней 1967 года.  Он также рекомендует государству-участнику принять закон о национальных процедурах в вопросах предоставления убежища и защиты экономических, социальных и культурных прав лиц, ищущих убежища.</w:t>
      </w:r>
    </w:p>
    <w:p w:rsidR="00000000" w:rsidRDefault="00000000"/>
    <w:p w:rsidR="00000000" w:rsidRDefault="00000000">
      <w:r>
        <w:t>31.</w:t>
      </w:r>
      <w:r>
        <w:tab/>
        <w:t>Комитет рекомендует государству-участнику представить ему подробную информацию о влиянии традиционного уклада на право женщин пользоваться экономическими, социальными и культурными правами и о шагах, предпринятых для решения таких проблем.  В этой связи он обращает внимание государства-участника за Замечание общего порядка № 16 (2005) по статье 3 и на обязательство государств-участников принимать меры, непосредственно направленные на ликвидацию предрассудков, обычаев и всех других видов практики, закрепляющих представление о превосходстве или неполноценности представителей любого из полов и стереотипные взгляды на роль мужчин и женщин.  Комитет настоятельно рекомендует государству-участнику провести подробное исследование вопроса о масштабах бытового насилия в стране и представить информацию по этому вопросу в своем следующем докладе.</w:t>
      </w:r>
    </w:p>
    <w:p w:rsidR="00000000" w:rsidRDefault="00000000"/>
    <w:p w:rsidR="00000000" w:rsidRDefault="00000000">
      <w:r>
        <w:t>32.</w:t>
      </w:r>
      <w:r>
        <w:tab/>
        <w:t xml:space="preserve">Комитет рекомендует государству-участнику представить в своем следующем докладе подробную информацию об уровне безработицы в стране в разбивке по признаку пола, возраста, гражданства, национального и этнического происхождения.  Государству-участнику следует также представить информацию об уровне минимальной заработной платы и процедуре его определения, а также о мерах, направленных на содействие трудоустройству безработных и на расширение возможностей для трудоустройства граждан и трудящихся-мигрантов.  </w:t>
      </w:r>
    </w:p>
    <w:p w:rsidR="00000000" w:rsidRDefault="00000000"/>
    <w:p w:rsidR="00000000" w:rsidRDefault="00000000">
      <w:r>
        <w:t>33.</w:t>
      </w:r>
      <w:r>
        <w:tab/>
        <w:t>Комитет рекомендует государству-участнику разъяснить статус его законов в отношении права на создание профсоюзов и вступление в них, а также других прав, изложенных в статье 8, и обеспечить их полное соответствие статье 8 Пакта.  Комитет обращается с просьбой к государству-участнику представить ему в следующем докладе подробную информацию по этому вопросу, включая тексты соответствующих законов.</w:t>
      </w:r>
    </w:p>
    <w:p w:rsidR="00000000" w:rsidRDefault="00000000"/>
    <w:p w:rsidR="00000000" w:rsidRDefault="00000000">
      <w:r>
        <w:t>34.</w:t>
      </w:r>
      <w:r>
        <w:tab/>
        <w:t xml:space="preserve">Комитет рекомендует государству-участнику представить в его следующем докладе подробную информацию о масштабах нищеты в государстве-участнике, ситуации с жилищными условиями населения, включая трудящихся мигрантов, и о принудительных </w:t>
      </w:r>
      <w:proofErr w:type="spellStart"/>
      <w:r>
        <w:t>выселениях</w:t>
      </w:r>
      <w:proofErr w:type="spellEnd"/>
      <w:r>
        <w:t>.</w:t>
      </w:r>
    </w:p>
    <w:p w:rsidR="00000000" w:rsidRDefault="00000000"/>
    <w:p w:rsidR="00000000" w:rsidRDefault="00000000">
      <w:r>
        <w:t>35.</w:t>
      </w:r>
      <w:r>
        <w:tab/>
        <w:t xml:space="preserve">В соответствии с Замечанием общего порядка № 15 (2002) о праве на воду Комитет рекомендует государству-участнику активизировать усилия по обеспечению права каждого человека на достаточные, безопасные, приемлемые и доступные водные ресурсы для личного потребления и удовлетворения бытовых потребностей в воде, без какой-либо дискриминации.  Комитет рекомендует государству-участнику принять меры по осуществлению права </w:t>
      </w:r>
      <w:proofErr w:type="spellStart"/>
      <w:r>
        <w:t>амазигов</w:t>
      </w:r>
      <w:proofErr w:type="spellEnd"/>
      <w:r>
        <w:t xml:space="preserve"> на доступ к воде в районах </w:t>
      </w:r>
      <w:proofErr w:type="spellStart"/>
      <w:r>
        <w:t>Нефусса</w:t>
      </w:r>
      <w:proofErr w:type="spellEnd"/>
      <w:r>
        <w:t xml:space="preserve"> и </w:t>
      </w:r>
      <w:proofErr w:type="spellStart"/>
      <w:r>
        <w:t>Зуара</w:t>
      </w:r>
      <w:proofErr w:type="spellEnd"/>
      <w:r>
        <w:t xml:space="preserve"> и представить Комитету информацию по данному вопросу в следующем докладе.</w:t>
      </w:r>
    </w:p>
    <w:p w:rsidR="00000000" w:rsidRDefault="00000000"/>
    <w:p w:rsidR="00000000" w:rsidRDefault="00000000">
      <w:r>
        <w:t>36.</w:t>
      </w:r>
      <w:r>
        <w:tab/>
        <w:t>В соответствии с Замечанием общего порядка № 14 (2000) о праве на наивысший достижимый уровень здоровья Комитет призывает государство-участник принять срочные меры, чтобы остановить распространение ВИЧ/СПИДа, в том числе посредством организации полового воспитания в школах и путем проведения кампаний по повышению информированности населения.  Государству-участнику следует представить подробную информацию о проводимой им политике в отношении сертификации ВИЧ/СПИДа.</w:t>
      </w:r>
    </w:p>
    <w:p w:rsidR="00000000" w:rsidRDefault="00000000"/>
    <w:p w:rsidR="00000000" w:rsidRDefault="00000000">
      <w:r>
        <w:t>37.</w:t>
      </w:r>
      <w:r>
        <w:tab/>
        <w:t>Комитет рекомендует государству-участнику представить в его следующем докладе подробные статистические данные об осуществлении права на образование для всех в разбивке по признаку пола, гражданства, национального и этнического происхождения, а также места проживания в городских/сельских районах.</w:t>
      </w:r>
    </w:p>
    <w:p w:rsidR="00000000" w:rsidRDefault="00000000"/>
    <w:p w:rsidR="00000000" w:rsidRDefault="00000000">
      <w:r>
        <w:t>38.</w:t>
      </w:r>
      <w:r>
        <w:tab/>
        <w:t>Государству-участнику следует принять конкретные меры по обеспечению включения вопросов прав человека в программы учебных заведений на всех уровнях и эффективного распространения информации о правах человека среди населения.</w:t>
      </w:r>
    </w:p>
    <w:p w:rsidR="00000000" w:rsidRDefault="00000000"/>
    <w:p w:rsidR="00000000" w:rsidRDefault="00000000">
      <w:r>
        <w:t>39.</w:t>
      </w:r>
      <w:r>
        <w:tab/>
        <w:t xml:space="preserve">Комитет настоятельно призывает государство-участник уважать и защищать свободу информации и выражения мнений в государстве-участнике, включая доступ к </w:t>
      </w:r>
      <w:proofErr w:type="spellStart"/>
      <w:r>
        <w:t>Интернету</w:t>
      </w:r>
      <w:proofErr w:type="spellEnd"/>
      <w:r>
        <w:t>, с тем чтобы все находящиеся под его юрисдикцией лица имели возможность участвовать в культурной жизни и пользоваться результатами научного прогресса.</w:t>
      </w:r>
    </w:p>
    <w:p w:rsidR="00000000" w:rsidRDefault="00000000"/>
    <w:p w:rsidR="00000000" w:rsidRDefault="00000000">
      <w:r>
        <w:t>40.</w:t>
      </w:r>
      <w:r>
        <w:tab/>
        <w:t xml:space="preserve">Государству-участнику следует представить Комитету подробную информацию об этническом, языковом и религиозном составе населения.  Комитет рекомендует государству-участнику признать существование меньшинства </w:t>
      </w:r>
      <w:proofErr w:type="spellStart"/>
      <w:r>
        <w:t>амазигов</w:t>
      </w:r>
      <w:proofErr w:type="spellEnd"/>
      <w:r>
        <w:t xml:space="preserve"> и рассмотреть вопрос об официальном признании языка </w:t>
      </w:r>
      <w:proofErr w:type="spellStart"/>
      <w:r>
        <w:t>амазигов</w:t>
      </w:r>
      <w:proofErr w:type="spellEnd"/>
      <w:r>
        <w:t xml:space="preserve"> с целью обеспечения осуществления прав, закрепленных в статье 15 Пакта.  </w:t>
      </w:r>
    </w:p>
    <w:p w:rsidR="00000000" w:rsidRDefault="00000000"/>
    <w:p w:rsidR="00000000" w:rsidRDefault="00000000">
      <w:r>
        <w:t>41.</w:t>
      </w:r>
      <w:r>
        <w:tab/>
        <w:t xml:space="preserve">Следует обеспечить возможности для свободного функционирования ассоциаций и учреждений </w:t>
      </w:r>
      <w:proofErr w:type="spellStart"/>
      <w:r>
        <w:t>амазигов</w:t>
      </w:r>
      <w:proofErr w:type="spellEnd"/>
      <w:r>
        <w:t xml:space="preserve">.  Учитывая информацию о значительном числе лиц, принадлежащих к общине </w:t>
      </w:r>
      <w:proofErr w:type="spellStart"/>
      <w:r>
        <w:t>амазигов</w:t>
      </w:r>
      <w:proofErr w:type="spellEnd"/>
      <w:r>
        <w:t xml:space="preserve">, Комитет также рекомендует государству-участнику рассмотреть возможность принятия мер, обеспечивающих </w:t>
      </w:r>
      <w:proofErr w:type="spellStart"/>
      <w:r>
        <w:t>амазигам</w:t>
      </w:r>
      <w:proofErr w:type="spellEnd"/>
      <w:r>
        <w:t xml:space="preserve"> достаточные возможности для изучения их родного языка или получения на нем образования, расширения их доступа к </w:t>
      </w:r>
      <w:proofErr w:type="spellStart"/>
      <w:r>
        <w:t>СМИ</w:t>
      </w:r>
      <w:proofErr w:type="spellEnd"/>
      <w:r>
        <w:t>, а также предоставить им право использовать свой родной язык в отношениях с властями.</w:t>
      </w:r>
    </w:p>
    <w:p w:rsidR="00000000" w:rsidRDefault="00000000"/>
    <w:p w:rsidR="00000000" w:rsidRDefault="00000000">
      <w:r>
        <w:t>42.</w:t>
      </w:r>
      <w:r>
        <w:tab/>
        <w:t>Комитет настоятельно рекомендует государству-участнику отменить Закон № 24 от 1991 года, а также упразднить Комитет по исправлению имен.  Государству-участнику следует обеспечить полное уважение права каждого человека на использование своего родного языка в частном общении или публично, устно или письменно, свободно и без какой-либо дискриминации.  Государству-участнику следует, в частности, признать право каждого человека на использование своих фамилии и имени на родном языке.</w:t>
      </w:r>
    </w:p>
    <w:p w:rsidR="00000000" w:rsidRDefault="00000000"/>
    <w:p w:rsidR="00000000" w:rsidRDefault="00000000">
      <w:r>
        <w:t>43.</w:t>
      </w:r>
      <w:r>
        <w:tab/>
        <w:t xml:space="preserve">Комитет рекомендует государству-участнику создать благоприятные условия, позволяющие всем группам населения, включая национальные меньшинства и этнические группы, выражать и развивать свою культуру, язык, традиции и обычаи.  Государству-участнику следует также принять меры в области образования и информации с целью поощрения изучения истории, традиций, языка и культуры различных национальных групп, включая общину </w:t>
      </w:r>
      <w:proofErr w:type="spellStart"/>
      <w:r>
        <w:t>амазигов</w:t>
      </w:r>
      <w:proofErr w:type="spellEnd"/>
      <w:r>
        <w:t>, проживающих на его территории.</w:t>
      </w:r>
    </w:p>
    <w:p w:rsidR="00000000" w:rsidRDefault="00000000"/>
    <w:p w:rsidR="00000000" w:rsidRDefault="00000000">
      <w:pPr>
        <w:keepLines/>
      </w:pPr>
      <w:r>
        <w:t>44.</w:t>
      </w:r>
      <w:r>
        <w:tab/>
        <w:t xml:space="preserve">Комитет просит государство-участник включить в свой третий периодический доклад подробную информацию о любых принятых мерах и достигнутом прогрессе, в частности в отношении предложений и рекомендаций Комитета, содержащихся в настоящих заключительных замечаниях. </w:t>
      </w:r>
    </w:p>
    <w:p w:rsidR="00000000" w:rsidRDefault="00000000"/>
    <w:p w:rsidR="00000000" w:rsidRDefault="00000000">
      <w:r>
        <w:t>45.</w:t>
      </w:r>
      <w:r>
        <w:tab/>
        <w:t>Комитет просит государство-участник обеспечить широкое распространение настоящих заключительных замечаний среди всех слоев общества, и в частности среди работников судебной системы и сотрудников правоохранительных органов.  Он также призывает государство-участник привлечь неправительственные организации и других представителей гражданского общества к процессу обсуждения на национальном уровне соответствующих вопросов перед представлением своего следующего периодического доклада.</w:t>
      </w:r>
    </w:p>
    <w:p w:rsidR="00000000" w:rsidRDefault="00000000"/>
    <w:p w:rsidR="00000000" w:rsidRDefault="00000000">
      <w:r>
        <w:t>46.</w:t>
      </w:r>
      <w:r>
        <w:tab/>
        <w:t>Комитет просит государство-участник представить свой третий периодический доклад к 30 июня 2007 года.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jc w:val="center"/>
        <w:rPr>
          <w:lang w:val="en-U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E/C.12/LYB/CO/2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E/C.12/LYB/CO/2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</Pages>
  <Words>2341</Words>
  <Characters>13348</Characters>
  <Application>Microsoft Office Word</Application>
  <DocSecurity>4</DocSecurity>
  <Lines>111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Черняева</dc:creator>
  <cp:keywords/>
  <dc:description/>
  <cp:lastModifiedBy>Черняева</cp:lastModifiedBy>
  <cp:revision>3</cp:revision>
  <cp:lastPrinted>2006-02-10T13:42:00Z</cp:lastPrinted>
  <dcterms:created xsi:type="dcterms:W3CDTF">2006-02-10T13:42:00Z</dcterms:created>
  <dcterms:modified xsi:type="dcterms:W3CDTF">2006-02-10T13:42:00Z</dcterms:modified>
</cp:coreProperties>
</file>