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78197D">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AE08F8" w:rsidP="00AE08F8">
            <w:pPr>
              <w:jc w:val="right"/>
            </w:pPr>
            <w:r w:rsidRPr="00AE08F8">
              <w:rPr>
                <w:sz w:val="40"/>
              </w:rPr>
              <w:t>E</w:t>
            </w:r>
            <w:r>
              <w:t>/C.12/2011/SR.37</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806A4" w:rsidRDefault="005C159E" w:rsidP="00816BD7">
            <w:pPr>
              <w:spacing w:before="240"/>
            </w:pPr>
            <w:r>
              <w:t>Distr. générale</w:t>
            </w:r>
          </w:p>
          <w:p w:rsidR="003A50FF" w:rsidRDefault="00816BD7" w:rsidP="00816BD7">
            <w:r>
              <w:t>25</w:t>
            </w:r>
            <w:r w:rsidR="003A50FF">
              <w:t xml:space="preserve"> novembre 2011</w:t>
            </w:r>
          </w:p>
          <w:p w:rsidR="003A50FF" w:rsidRDefault="003A50FF" w:rsidP="003A50FF"/>
          <w:p w:rsidR="003D1DF3" w:rsidRPr="00DB58B5" w:rsidRDefault="00AE08F8" w:rsidP="00AE08F8">
            <w:pPr>
              <w:spacing w:line="240" w:lineRule="exact"/>
            </w:pPr>
            <w:r>
              <w:t>Original: français</w:t>
            </w:r>
          </w:p>
        </w:tc>
      </w:tr>
    </w:tbl>
    <w:p w:rsidR="0078197D" w:rsidRPr="0078197D" w:rsidRDefault="0078197D" w:rsidP="0078197D">
      <w:pPr>
        <w:spacing w:before="120"/>
        <w:rPr>
          <w:b/>
          <w:sz w:val="24"/>
          <w:szCs w:val="24"/>
        </w:rPr>
      </w:pPr>
      <w:r w:rsidRPr="0078197D">
        <w:rPr>
          <w:b/>
          <w:sz w:val="24"/>
          <w:szCs w:val="24"/>
        </w:rPr>
        <w:t>Comité des droits économiques, sociaux et culturels</w:t>
      </w:r>
    </w:p>
    <w:p w:rsidR="0078197D" w:rsidRPr="00A15239" w:rsidRDefault="0078197D" w:rsidP="0078197D">
      <w:pPr>
        <w:rPr>
          <w:b/>
        </w:rPr>
      </w:pPr>
      <w:r w:rsidRPr="00A15239">
        <w:rPr>
          <w:b/>
        </w:rPr>
        <w:t>Quarante</w:t>
      </w:r>
      <w:r w:rsidR="00BD43E5">
        <w:rPr>
          <w:b/>
        </w:rPr>
        <w:t>-</w:t>
      </w:r>
      <w:r w:rsidR="00D73959">
        <w:rPr>
          <w:b/>
        </w:rPr>
        <w:t xml:space="preserve">septième </w:t>
      </w:r>
      <w:r w:rsidRPr="00A15239">
        <w:rPr>
          <w:b/>
        </w:rPr>
        <w:t>session</w:t>
      </w:r>
    </w:p>
    <w:p w:rsidR="00FF1DBD" w:rsidRDefault="0078197D" w:rsidP="0078197D">
      <w:pPr>
        <w:spacing w:before="120"/>
      </w:pPr>
      <w:r w:rsidRPr="0078197D">
        <w:rPr>
          <w:b/>
        </w:rPr>
        <w:t xml:space="preserve">Compte rendu analytique de la </w:t>
      </w:r>
      <w:r w:rsidR="00697B52">
        <w:rPr>
          <w:b/>
        </w:rPr>
        <w:t>37</w:t>
      </w:r>
      <w:r w:rsidRPr="0078197D">
        <w:rPr>
          <w:b/>
          <w:vertAlign w:val="superscript"/>
        </w:rPr>
        <w:t>e</w:t>
      </w:r>
      <w:r w:rsidRPr="0078197D">
        <w:rPr>
          <w:b/>
        </w:rPr>
        <w:t xml:space="preserve"> séance</w:t>
      </w:r>
    </w:p>
    <w:p w:rsidR="0078197D" w:rsidRDefault="0078197D" w:rsidP="0078197D">
      <w:pPr>
        <w:spacing w:after="120"/>
      </w:pPr>
      <w:r>
        <w:t xml:space="preserve">Tenue au Palais Wilson, à Genève, le </w:t>
      </w:r>
      <w:r w:rsidR="001806A4">
        <w:t>jeudi 17 novembre</w:t>
      </w:r>
      <w:r>
        <w:t xml:space="preserve"> 20</w:t>
      </w:r>
      <w:r w:rsidR="00735E9B">
        <w:t>1</w:t>
      </w:r>
      <w:r w:rsidR="00BD43E5">
        <w:t>1</w:t>
      </w:r>
      <w:r>
        <w:t xml:space="preserve">, à </w:t>
      </w:r>
      <w:r w:rsidR="001806A4">
        <w:t>15 heures</w:t>
      </w:r>
    </w:p>
    <w:p w:rsidR="0078197D" w:rsidRDefault="0078197D" w:rsidP="0078197D">
      <w:pPr>
        <w:tabs>
          <w:tab w:val="right" w:pos="851"/>
          <w:tab w:val="left" w:pos="1134"/>
          <w:tab w:val="right" w:leader="dot" w:pos="8505"/>
        </w:tabs>
        <w:spacing w:after="120"/>
      </w:pPr>
      <w:r>
        <w:rPr>
          <w:i/>
        </w:rPr>
        <w:tab/>
      </w:r>
      <w:r w:rsidRPr="00C17CFF">
        <w:rPr>
          <w:i/>
        </w:rPr>
        <w:t>Président</w:t>
      </w:r>
      <w:r>
        <w:t xml:space="preserve">: </w:t>
      </w:r>
      <w:r>
        <w:tab/>
      </w:r>
      <w:r w:rsidR="001806A4">
        <w:t>M. Pillay</w:t>
      </w:r>
    </w:p>
    <w:p w:rsidR="0078197D" w:rsidRPr="00C17CFF" w:rsidRDefault="0078197D" w:rsidP="0078197D">
      <w:pPr>
        <w:spacing w:before="360" w:after="240"/>
        <w:rPr>
          <w:sz w:val="28"/>
          <w:szCs w:val="28"/>
        </w:rPr>
      </w:pPr>
      <w:r w:rsidRPr="00C17CFF">
        <w:rPr>
          <w:sz w:val="28"/>
          <w:szCs w:val="28"/>
        </w:rPr>
        <w:t>Sommaire</w:t>
      </w:r>
    </w:p>
    <w:p w:rsidR="0078197D" w:rsidRDefault="00FA3AD4" w:rsidP="00697B52">
      <w:pPr>
        <w:pStyle w:val="SingleTxtG"/>
      </w:pPr>
      <w:r>
        <w:t>Examen des rapports:</w:t>
      </w:r>
    </w:p>
    <w:p w:rsidR="00FA3AD4" w:rsidRDefault="00FA3AD4" w:rsidP="005F7DA5">
      <w:pPr>
        <w:pStyle w:val="SingleTxtG"/>
        <w:ind w:left="1701" w:hanging="567"/>
      </w:pPr>
      <w:r>
        <w:t>a)</w:t>
      </w:r>
      <w:r>
        <w:tab/>
        <w:t>Rapports présentés par les États pa</w:t>
      </w:r>
      <w:r w:rsidR="00A02349">
        <w:t>rties conformément aux articles </w:t>
      </w:r>
      <w:r>
        <w:t>16 et 17 du Pacte (</w:t>
      </w:r>
      <w:r w:rsidRPr="00FA3AD4">
        <w:rPr>
          <w:i/>
        </w:rPr>
        <w:t>suite</w:t>
      </w:r>
      <w:r>
        <w:t>)</w:t>
      </w:r>
    </w:p>
    <w:p w:rsidR="00FA3AD4" w:rsidRDefault="00FA3AD4" w:rsidP="003A50FF">
      <w:pPr>
        <w:pStyle w:val="SingleTxtG"/>
        <w:ind w:left="1701"/>
        <w:jc w:val="left"/>
      </w:pPr>
      <w:r w:rsidRPr="001806A4">
        <w:rPr>
          <w:i/>
        </w:rPr>
        <w:t>Troisième rapport périodique d</w:t>
      </w:r>
      <w:r w:rsidR="001806A4">
        <w:rPr>
          <w:i/>
        </w:rPr>
        <w:t>’</w:t>
      </w:r>
      <w:r w:rsidRPr="001806A4">
        <w:rPr>
          <w:i/>
        </w:rPr>
        <w:t>Israël</w:t>
      </w:r>
      <w:r>
        <w:t xml:space="preserve"> </w:t>
      </w:r>
      <w:r w:rsidRPr="001806A4">
        <w:t>(suite)</w:t>
      </w:r>
    </w:p>
    <w:p w:rsidR="002B7BB6" w:rsidRPr="001806A4" w:rsidRDefault="002B7BB6" w:rsidP="001806A4">
      <w:pPr>
        <w:pStyle w:val="SingleTxtG"/>
        <w:rPr>
          <w:i/>
          <w:lang w:val="fr-FR"/>
        </w:rPr>
      </w:pPr>
      <w:r>
        <w:br w:type="page"/>
      </w:r>
      <w:r w:rsidRPr="001806A4">
        <w:rPr>
          <w:i/>
          <w:lang w:val="fr-FR"/>
        </w:rPr>
        <w:t>La séance est ouverte à 15 heures.</w:t>
      </w:r>
    </w:p>
    <w:p w:rsidR="002B7BB6" w:rsidRPr="002B7BB6" w:rsidRDefault="001806A4" w:rsidP="001806A4">
      <w:pPr>
        <w:pStyle w:val="H23G"/>
        <w:rPr>
          <w:lang w:val="fr-FR"/>
        </w:rPr>
      </w:pPr>
      <w:r>
        <w:rPr>
          <w:lang w:val="fr-FR"/>
        </w:rPr>
        <w:tab/>
      </w:r>
      <w:r>
        <w:rPr>
          <w:lang w:val="fr-FR"/>
        </w:rPr>
        <w:tab/>
      </w:r>
      <w:r w:rsidR="002B7BB6" w:rsidRPr="002B7BB6">
        <w:rPr>
          <w:lang w:val="fr-FR"/>
        </w:rPr>
        <w:t>Examen des rapports:</w:t>
      </w:r>
    </w:p>
    <w:p w:rsidR="002B7BB6" w:rsidRPr="002B7BB6" w:rsidRDefault="002B7BB6" w:rsidP="003A50FF">
      <w:pPr>
        <w:pStyle w:val="H23G"/>
        <w:ind w:firstLine="0"/>
        <w:rPr>
          <w:lang w:val="fr-FR"/>
        </w:rPr>
      </w:pPr>
      <w:r w:rsidRPr="002B7BB6">
        <w:rPr>
          <w:lang w:val="fr-FR"/>
        </w:rPr>
        <w:t>a)</w:t>
      </w:r>
      <w:r w:rsidRPr="002B7BB6">
        <w:rPr>
          <w:lang w:val="fr-FR"/>
        </w:rPr>
        <w:tab/>
        <w:t>Rapports présentés par les États pa</w:t>
      </w:r>
      <w:r w:rsidR="00A02349">
        <w:rPr>
          <w:lang w:val="fr-FR"/>
        </w:rPr>
        <w:t>rties conformément aux articles 16 et </w:t>
      </w:r>
      <w:r w:rsidRPr="002B7BB6">
        <w:rPr>
          <w:lang w:val="fr-FR"/>
        </w:rPr>
        <w:t xml:space="preserve">17 </w:t>
      </w:r>
      <w:r w:rsidR="00A02349">
        <w:rPr>
          <w:lang w:val="fr-FR"/>
        </w:rPr>
        <w:br/>
      </w:r>
      <w:r w:rsidRPr="002B7BB6">
        <w:rPr>
          <w:lang w:val="fr-FR"/>
        </w:rPr>
        <w:t xml:space="preserve">du Pacte </w:t>
      </w:r>
      <w:r w:rsidR="00A02349">
        <w:rPr>
          <w:b w:val="0"/>
          <w:lang w:val="fr-FR"/>
        </w:rPr>
        <w:t>(point </w:t>
      </w:r>
      <w:r w:rsidRPr="003A50FF">
        <w:rPr>
          <w:b w:val="0"/>
          <w:lang w:val="fr-FR"/>
        </w:rPr>
        <w:t>6 de l</w:t>
      </w:r>
      <w:r w:rsidR="001806A4" w:rsidRPr="003A50FF">
        <w:rPr>
          <w:b w:val="0"/>
          <w:lang w:val="fr-FR"/>
        </w:rPr>
        <w:t>’</w:t>
      </w:r>
      <w:r w:rsidRPr="003A50FF">
        <w:rPr>
          <w:b w:val="0"/>
          <w:lang w:val="fr-FR"/>
        </w:rPr>
        <w:t>ordre du jour) (</w:t>
      </w:r>
      <w:r w:rsidRPr="003A50FF">
        <w:rPr>
          <w:b w:val="0"/>
          <w:i/>
          <w:lang w:val="fr-FR"/>
        </w:rPr>
        <w:t>suite</w:t>
      </w:r>
      <w:r w:rsidRPr="003A50FF">
        <w:rPr>
          <w:b w:val="0"/>
          <w:lang w:val="fr-FR"/>
        </w:rPr>
        <w:t>)</w:t>
      </w:r>
    </w:p>
    <w:p w:rsidR="002B7BB6" w:rsidRPr="002B7BB6" w:rsidRDefault="002B7BB6" w:rsidP="001806A4">
      <w:pPr>
        <w:pStyle w:val="SingleTxtG"/>
        <w:rPr>
          <w:lang w:val="fr-FR"/>
        </w:rPr>
      </w:pPr>
      <w:r w:rsidRPr="003A50FF">
        <w:rPr>
          <w:i/>
          <w:lang w:val="fr-FR"/>
        </w:rPr>
        <w:t>Troisième rapport périodique d</w:t>
      </w:r>
      <w:r w:rsidR="001806A4" w:rsidRPr="003A50FF">
        <w:rPr>
          <w:i/>
          <w:lang w:val="fr-FR"/>
        </w:rPr>
        <w:t>’</w:t>
      </w:r>
      <w:r w:rsidRPr="003A50FF">
        <w:rPr>
          <w:i/>
          <w:lang w:val="fr-FR"/>
        </w:rPr>
        <w:t>Israël</w:t>
      </w:r>
      <w:r w:rsidRPr="002B7BB6">
        <w:rPr>
          <w:lang w:val="fr-FR"/>
        </w:rPr>
        <w:t xml:space="preserve"> </w:t>
      </w:r>
      <w:r w:rsidR="003A50FF">
        <w:rPr>
          <w:lang w:val="fr-FR"/>
        </w:rPr>
        <w:t>(</w:t>
      </w:r>
      <w:r w:rsidRPr="002B7BB6">
        <w:rPr>
          <w:lang w:val="fr-FR"/>
        </w:rPr>
        <w:t xml:space="preserve">(E/C.12/ISR/3); document de base (HRI/CORE/ISR/2008); </w:t>
      </w:r>
      <w:r w:rsidR="001806A4">
        <w:rPr>
          <w:lang w:val="fr-FR"/>
        </w:rPr>
        <w:t>observations finales du Comité sur le deuxième rappo</w:t>
      </w:r>
      <w:r w:rsidR="003A50FF">
        <w:rPr>
          <w:lang w:val="fr-FR"/>
        </w:rPr>
        <w:t>rt périodique (E/C.12/1/Add.90);</w:t>
      </w:r>
      <w:r w:rsidRPr="002B7BB6">
        <w:rPr>
          <w:lang w:val="fr-FR"/>
        </w:rPr>
        <w:t xml:space="preserve"> liste des points à traiter (E/C.12/ISR/Q/3)</w:t>
      </w:r>
      <w:r w:rsidR="001806A4">
        <w:rPr>
          <w:lang w:val="fr-FR"/>
        </w:rPr>
        <w:t>; réponses écrites du Gouvernement israélien à la liste des points à traiter</w:t>
      </w:r>
      <w:r w:rsidRPr="002B7BB6">
        <w:rPr>
          <w:lang w:val="fr-FR"/>
        </w:rPr>
        <w:t xml:space="preserve"> (E/C.12/ISR/Q/3/Add.1)</w:t>
      </w:r>
      <w:r w:rsidR="003A50FF">
        <w:rPr>
          <w:lang w:val="fr-FR"/>
        </w:rPr>
        <w:t>)</w:t>
      </w:r>
      <w:r w:rsidR="001806A4">
        <w:rPr>
          <w:lang w:val="fr-FR"/>
        </w:rPr>
        <w:t xml:space="preserve"> (</w:t>
      </w:r>
      <w:r w:rsidR="001806A4" w:rsidRPr="001806A4">
        <w:rPr>
          <w:i/>
          <w:lang w:val="fr-FR"/>
        </w:rPr>
        <w:t>suite</w:t>
      </w:r>
      <w:r w:rsidR="001806A4">
        <w:rPr>
          <w:lang w:val="fr-FR"/>
        </w:rPr>
        <w:t>)</w:t>
      </w:r>
    </w:p>
    <w:p w:rsidR="002B7BB6" w:rsidRDefault="001806A4" w:rsidP="001806A4">
      <w:pPr>
        <w:pStyle w:val="H4G"/>
        <w:rPr>
          <w:lang w:val="fr-FR"/>
        </w:rPr>
      </w:pPr>
      <w:r>
        <w:rPr>
          <w:lang w:val="fr-FR"/>
        </w:rPr>
        <w:tab/>
      </w:r>
      <w:r w:rsidRPr="001806A4">
        <w:rPr>
          <w:i w:val="0"/>
          <w:lang w:val="fr-FR"/>
        </w:rPr>
        <w:tab/>
        <w:t>1.</w:t>
      </w:r>
      <w:r>
        <w:rPr>
          <w:lang w:val="fr-FR"/>
        </w:rPr>
        <w:tab/>
      </w:r>
      <w:r w:rsidR="002B7BB6" w:rsidRPr="002B7BB6">
        <w:rPr>
          <w:lang w:val="fr-FR"/>
        </w:rPr>
        <w:t>Sur l</w:t>
      </w:r>
      <w:r>
        <w:rPr>
          <w:lang w:val="fr-FR"/>
        </w:rPr>
        <w:t>’</w:t>
      </w:r>
      <w:r w:rsidR="002B7BB6" w:rsidRPr="002B7BB6">
        <w:rPr>
          <w:lang w:val="fr-FR"/>
        </w:rPr>
        <w:t>invitation du Président, la délégation israélienne reprend place à la table du Comité.</w:t>
      </w:r>
    </w:p>
    <w:p w:rsidR="007D27D3" w:rsidRPr="007D27D3" w:rsidRDefault="007D27D3" w:rsidP="007D27D3">
      <w:pPr>
        <w:pStyle w:val="H4G"/>
        <w:rPr>
          <w:lang w:val="fr-FR"/>
        </w:rPr>
      </w:pPr>
      <w:r>
        <w:rPr>
          <w:lang w:val="fr-FR"/>
        </w:rPr>
        <w:tab/>
      </w:r>
      <w:r>
        <w:rPr>
          <w:lang w:val="fr-FR"/>
        </w:rPr>
        <w:tab/>
        <w:t xml:space="preserve">Articles 10 à 12 du Pacte </w:t>
      </w:r>
      <w:r w:rsidRPr="007D27D3">
        <w:rPr>
          <w:i w:val="0"/>
          <w:lang w:val="fr-FR"/>
        </w:rPr>
        <w:t>(suite)</w:t>
      </w:r>
    </w:p>
    <w:p w:rsidR="00DA487B" w:rsidRDefault="007D27D3" w:rsidP="007E1914">
      <w:pPr>
        <w:pStyle w:val="SingleTxtG"/>
        <w:rPr>
          <w:lang w:val="fr-FR"/>
        </w:rPr>
      </w:pPr>
      <w:r w:rsidRPr="007D27D3">
        <w:rPr>
          <w:bCs/>
          <w:lang w:val="fr-FR"/>
        </w:rPr>
        <w:t>2.</w:t>
      </w:r>
      <w:r w:rsidRPr="007D27D3">
        <w:rPr>
          <w:bCs/>
          <w:lang w:val="fr-FR"/>
        </w:rPr>
        <w:tab/>
      </w:r>
      <w:r w:rsidR="002B7BB6" w:rsidRPr="002B7BB6">
        <w:rPr>
          <w:b/>
          <w:bCs/>
          <w:lang w:val="fr-FR"/>
        </w:rPr>
        <w:t>M</w:t>
      </w:r>
      <w:r w:rsidR="002B7BB6" w:rsidRPr="002B7BB6">
        <w:rPr>
          <w:b/>
          <w:bCs/>
          <w:vertAlign w:val="superscript"/>
          <w:lang w:val="fr-FR"/>
        </w:rPr>
        <w:t>me</w:t>
      </w:r>
      <w:r w:rsidR="002B7BB6" w:rsidRPr="002B7BB6">
        <w:rPr>
          <w:b/>
          <w:bCs/>
          <w:lang w:val="fr-FR"/>
        </w:rPr>
        <w:t xml:space="preserve"> Ben-Ami </w:t>
      </w:r>
      <w:r w:rsidR="002B7BB6" w:rsidRPr="002B7BB6">
        <w:rPr>
          <w:lang w:val="fr-FR"/>
        </w:rPr>
        <w:t>(Israël) indique qu</w:t>
      </w:r>
      <w:r w:rsidR="001806A4">
        <w:rPr>
          <w:lang w:val="fr-FR"/>
        </w:rPr>
        <w:t>’</w:t>
      </w:r>
      <w:r w:rsidR="002B7BB6" w:rsidRPr="002B7BB6">
        <w:rPr>
          <w:lang w:val="fr-FR"/>
        </w:rPr>
        <w:t>une quantité importante d</w:t>
      </w:r>
      <w:r w:rsidR="001806A4">
        <w:rPr>
          <w:lang w:val="fr-FR"/>
        </w:rPr>
        <w:t>’</w:t>
      </w:r>
      <w:r w:rsidR="002B7BB6" w:rsidRPr="002B7BB6">
        <w:rPr>
          <w:lang w:val="fr-FR"/>
        </w:rPr>
        <w:t>aide humanitaire entre dans la bande de Gaza. Des aliments et d</w:t>
      </w:r>
      <w:r w:rsidR="001806A4">
        <w:rPr>
          <w:lang w:val="fr-FR"/>
        </w:rPr>
        <w:t>’</w:t>
      </w:r>
      <w:r w:rsidR="002B7BB6" w:rsidRPr="002B7BB6">
        <w:rPr>
          <w:lang w:val="fr-FR"/>
        </w:rPr>
        <w:t>autres produits essentiels, tels que des médicaments et des équipements scolaires, arrivent au rythme d</w:t>
      </w:r>
      <w:r w:rsidR="001806A4">
        <w:rPr>
          <w:lang w:val="fr-FR"/>
        </w:rPr>
        <w:t>’</w:t>
      </w:r>
      <w:r w:rsidR="002B7BB6" w:rsidRPr="002B7BB6">
        <w:rPr>
          <w:lang w:val="fr-FR"/>
        </w:rPr>
        <w:t xml:space="preserve">une tonne par jour et sont </w:t>
      </w:r>
      <w:r>
        <w:rPr>
          <w:lang w:val="fr-FR"/>
        </w:rPr>
        <w:t>acheminés</w:t>
      </w:r>
      <w:r w:rsidR="002B7BB6" w:rsidRPr="002B7BB6">
        <w:rPr>
          <w:lang w:val="fr-FR"/>
        </w:rPr>
        <w:t xml:space="preserve"> par des organisations humanitaires et </w:t>
      </w:r>
      <w:r>
        <w:rPr>
          <w:lang w:val="fr-FR"/>
        </w:rPr>
        <w:t>des entreprises du</w:t>
      </w:r>
      <w:r w:rsidR="002B7BB6" w:rsidRPr="002B7BB6">
        <w:rPr>
          <w:lang w:val="fr-FR"/>
        </w:rPr>
        <w:t xml:space="preserve"> secteur privé. Le système humanitaire israélien assure donc la sécurité alimentaire </w:t>
      </w:r>
      <w:r>
        <w:rPr>
          <w:lang w:val="fr-FR"/>
        </w:rPr>
        <w:t xml:space="preserve">dans </w:t>
      </w:r>
      <w:r w:rsidR="002B7BB6" w:rsidRPr="002B7BB6">
        <w:rPr>
          <w:lang w:val="fr-FR"/>
        </w:rPr>
        <w:t>ce territoire. Malgré la politique d</w:t>
      </w:r>
      <w:r w:rsidR="001806A4">
        <w:rPr>
          <w:lang w:val="fr-FR"/>
        </w:rPr>
        <w:t>’</w:t>
      </w:r>
      <w:r w:rsidR="002B7BB6" w:rsidRPr="002B7BB6">
        <w:rPr>
          <w:lang w:val="fr-FR"/>
        </w:rPr>
        <w:t>agression menée encore récemment par le Hamas, Israël s</w:t>
      </w:r>
      <w:r w:rsidR="001806A4">
        <w:rPr>
          <w:lang w:val="fr-FR"/>
        </w:rPr>
        <w:t>’</w:t>
      </w:r>
      <w:r w:rsidR="002B7BB6" w:rsidRPr="002B7BB6">
        <w:rPr>
          <w:lang w:val="fr-FR"/>
        </w:rPr>
        <w:t>est efforcé d</w:t>
      </w:r>
      <w:r w:rsidR="001806A4">
        <w:rPr>
          <w:lang w:val="fr-FR"/>
        </w:rPr>
        <w:t>’</w:t>
      </w:r>
      <w:r w:rsidR="002B7BB6" w:rsidRPr="002B7BB6">
        <w:rPr>
          <w:lang w:val="fr-FR"/>
        </w:rPr>
        <w:t>améliorer la situation humanitaire et le niveau de vie à Gaza, ce qui a permis une reprise économique d</w:t>
      </w:r>
      <w:r>
        <w:rPr>
          <w:lang w:val="fr-FR"/>
        </w:rPr>
        <w:t>ans</w:t>
      </w:r>
      <w:r w:rsidR="002B7BB6" w:rsidRPr="002B7BB6">
        <w:rPr>
          <w:lang w:val="fr-FR"/>
        </w:rPr>
        <w:t xml:space="preserve"> ce territoire. Le taux de chômage y est à son niveau le plus bas depuis dix ans. Les exportations, notamment dans le </w:t>
      </w:r>
      <w:r>
        <w:rPr>
          <w:lang w:val="fr-FR"/>
        </w:rPr>
        <w:t>secteur</w:t>
      </w:r>
      <w:r w:rsidR="002B7BB6" w:rsidRPr="002B7BB6">
        <w:rPr>
          <w:lang w:val="fr-FR"/>
        </w:rPr>
        <w:t xml:space="preserve"> de l</w:t>
      </w:r>
      <w:r w:rsidR="001806A4">
        <w:rPr>
          <w:lang w:val="fr-FR"/>
        </w:rPr>
        <w:t>’</w:t>
      </w:r>
      <w:r w:rsidR="002B7BB6" w:rsidRPr="002B7BB6">
        <w:rPr>
          <w:lang w:val="fr-FR"/>
        </w:rPr>
        <w:t>agriculture, ont progressé, et les importations ont très sensiblement augmenté. Deux cent quatre-vingts tonnes de matériaux de construction ont été acheminées vers Gaza en vue de projets de construction internationaux et une loi visant à autoriser l</w:t>
      </w:r>
      <w:r w:rsidR="001806A4">
        <w:rPr>
          <w:lang w:val="fr-FR"/>
        </w:rPr>
        <w:t>’</w:t>
      </w:r>
      <w:r w:rsidR="002B7BB6" w:rsidRPr="002B7BB6">
        <w:rPr>
          <w:lang w:val="fr-FR"/>
        </w:rPr>
        <w:t xml:space="preserve">entrée de </w:t>
      </w:r>
      <w:r>
        <w:rPr>
          <w:lang w:val="fr-FR"/>
        </w:rPr>
        <w:t xml:space="preserve">ces </w:t>
      </w:r>
      <w:r w:rsidR="002B7BB6" w:rsidRPr="002B7BB6">
        <w:rPr>
          <w:lang w:val="fr-FR"/>
        </w:rPr>
        <w:t>matériaux à des fins privées vient d</w:t>
      </w:r>
      <w:r w:rsidR="001806A4">
        <w:rPr>
          <w:lang w:val="fr-FR"/>
        </w:rPr>
        <w:t>’</w:t>
      </w:r>
      <w:r w:rsidR="002B7BB6" w:rsidRPr="002B7BB6">
        <w:rPr>
          <w:lang w:val="fr-FR"/>
        </w:rPr>
        <w:t>être approuvée.</w:t>
      </w:r>
    </w:p>
    <w:p w:rsidR="002B7BB6" w:rsidRPr="002B7BB6" w:rsidRDefault="00DA487B" w:rsidP="00C6116B">
      <w:pPr>
        <w:pStyle w:val="SingleTxtG"/>
        <w:rPr>
          <w:lang w:val="fr-FR"/>
        </w:rPr>
      </w:pPr>
      <w:r>
        <w:rPr>
          <w:lang w:val="fr-FR"/>
        </w:rPr>
        <w:t>3.</w:t>
      </w:r>
      <w:r>
        <w:rPr>
          <w:lang w:val="fr-FR"/>
        </w:rPr>
        <w:tab/>
      </w:r>
      <w:r w:rsidR="002B7BB6" w:rsidRPr="002B7BB6">
        <w:rPr>
          <w:lang w:val="fr-FR"/>
        </w:rPr>
        <w:t>En ce qui concerne la Cisjordanie, la croissance économique y a été de 8</w:t>
      </w:r>
      <w:r w:rsidR="003A50FF">
        <w:rPr>
          <w:lang w:val="fr-FR"/>
        </w:rPr>
        <w:t> </w:t>
      </w:r>
      <w:r w:rsidR="002B7BB6" w:rsidRPr="002B7BB6">
        <w:rPr>
          <w:lang w:val="fr-FR"/>
        </w:rPr>
        <w:t>% en 2009 et les conditions macroéconomiques s</w:t>
      </w:r>
      <w:r w:rsidR="001806A4">
        <w:rPr>
          <w:lang w:val="fr-FR"/>
        </w:rPr>
        <w:t>’</w:t>
      </w:r>
      <w:r w:rsidR="002B7BB6" w:rsidRPr="002B7BB6">
        <w:rPr>
          <w:lang w:val="fr-FR"/>
        </w:rPr>
        <w:t>y sont améliorées, notamment grâce à des mesures d</w:t>
      </w:r>
      <w:r w:rsidR="001806A4">
        <w:rPr>
          <w:lang w:val="fr-FR"/>
        </w:rPr>
        <w:t>’</w:t>
      </w:r>
      <w:r w:rsidR="002B7BB6" w:rsidRPr="002B7BB6">
        <w:rPr>
          <w:lang w:val="fr-FR"/>
        </w:rPr>
        <w:t>appui économique prises par Israël. Cette croissance s</w:t>
      </w:r>
      <w:r w:rsidR="001806A4">
        <w:rPr>
          <w:lang w:val="fr-FR"/>
        </w:rPr>
        <w:t>’</w:t>
      </w:r>
      <w:r w:rsidR="002B7BB6" w:rsidRPr="002B7BB6">
        <w:rPr>
          <w:lang w:val="fr-FR"/>
        </w:rPr>
        <w:t>est traduite par une amélioration de la qualité de vie de la population palestinienne dans ce territoire. Le nombre de projets de constructions résidentielles et commerciales a augmenté et la Cisjordanie vient d</w:t>
      </w:r>
      <w:r w:rsidR="001806A4">
        <w:rPr>
          <w:lang w:val="fr-FR"/>
        </w:rPr>
        <w:t>’</w:t>
      </w:r>
      <w:r w:rsidR="002B7BB6" w:rsidRPr="002B7BB6">
        <w:rPr>
          <w:lang w:val="fr-FR"/>
        </w:rPr>
        <w:t xml:space="preserve">ouvrir une </w:t>
      </w:r>
      <w:r>
        <w:rPr>
          <w:lang w:val="fr-FR"/>
        </w:rPr>
        <w:t>b</w:t>
      </w:r>
      <w:r w:rsidR="002B7BB6" w:rsidRPr="002B7BB6">
        <w:rPr>
          <w:lang w:val="fr-FR"/>
        </w:rPr>
        <w:t>ourse, qui est la deuxième de la région. S</w:t>
      </w:r>
      <w:r w:rsidR="001806A4">
        <w:rPr>
          <w:lang w:val="fr-FR"/>
        </w:rPr>
        <w:t>’</w:t>
      </w:r>
      <w:r w:rsidR="002B7BB6" w:rsidRPr="002B7BB6">
        <w:rPr>
          <w:lang w:val="fr-FR"/>
        </w:rPr>
        <w:t>agissant des restrictions imposées aux déplacements des Palestiniens, de nombreux points de contrôle ont été levés suite à l</w:t>
      </w:r>
      <w:r w:rsidR="001806A4">
        <w:rPr>
          <w:lang w:val="fr-FR"/>
        </w:rPr>
        <w:t>’</w:t>
      </w:r>
      <w:r w:rsidR="002B7BB6" w:rsidRPr="002B7BB6">
        <w:rPr>
          <w:lang w:val="fr-FR"/>
        </w:rPr>
        <w:t xml:space="preserve">amélioration de la situation </w:t>
      </w:r>
      <w:r>
        <w:rPr>
          <w:lang w:val="fr-FR"/>
        </w:rPr>
        <w:t xml:space="preserve">en matière de sécurité </w:t>
      </w:r>
      <w:r w:rsidR="002B7BB6" w:rsidRPr="002B7BB6">
        <w:rPr>
          <w:lang w:val="fr-FR"/>
        </w:rPr>
        <w:t>entre Israël et la Cisjordanie et il n</w:t>
      </w:r>
      <w:r>
        <w:rPr>
          <w:lang w:val="fr-FR"/>
        </w:rPr>
        <w:t>’en reste plus que 14</w:t>
      </w:r>
      <w:r w:rsidR="002B7BB6" w:rsidRPr="002B7BB6">
        <w:rPr>
          <w:lang w:val="fr-FR"/>
        </w:rPr>
        <w:t>. En 2009, plus de 4 000 permis de travail</w:t>
      </w:r>
      <w:r>
        <w:rPr>
          <w:lang w:val="fr-FR"/>
        </w:rPr>
        <w:t xml:space="preserve"> en Israël </w:t>
      </w:r>
      <w:r w:rsidR="002B7BB6" w:rsidRPr="002B7BB6">
        <w:rPr>
          <w:lang w:val="fr-FR"/>
        </w:rPr>
        <w:t xml:space="preserve">ont été délivrés à des Palestiniens </w:t>
      </w:r>
      <w:r>
        <w:rPr>
          <w:lang w:val="fr-FR"/>
        </w:rPr>
        <w:t>originaires de ce territoire</w:t>
      </w:r>
      <w:r w:rsidR="002B7BB6" w:rsidRPr="002B7BB6">
        <w:rPr>
          <w:lang w:val="fr-FR"/>
        </w:rPr>
        <w:t>. Des projets d</w:t>
      </w:r>
      <w:r w:rsidR="001806A4">
        <w:rPr>
          <w:lang w:val="fr-FR"/>
        </w:rPr>
        <w:t>’</w:t>
      </w:r>
      <w:r w:rsidR="002B7BB6" w:rsidRPr="002B7BB6">
        <w:rPr>
          <w:lang w:val="fr-FR"/>
        </w:rPr>
        <w:t>infrastructures ont également été lancés en Cisjordanie, notamment dans le secteur de l</w:t>
      </w:r>
      <w:r w:rsidR="001806A4">
        <w:rPr>
          <w:lang w:val="fr-FR"/>
        </w:rPr>
        <w:t>’</w:t>
      </w:r>
      <w:r w:rsidR="002B7BB6" w:rsidRPr="002B7BB6">
        <w:rPr>
          <w:lang w:val="fr-FR"/>
        </w:rPr>
        <w:t>électricité, de l</w:t>
      </w:r>
      <w:r w:rsidR="001806A4">
        <w:rPr>
          <w:lang w:val="fr-FR"/>
        </w:rPr>
        <w:t>’</w:t>
      </w:r>
      <w:r w:rsidR="002B7BB6" w:rsidRPr="002B7BB6">
        <w:rPr>
          <w:lang w:val="fr-FR"/>
        </w:rPr>
        <w:t>assainissement et de l</w:t>
      </w:r>
      <w:r w:rsidR="001806A4">
        <w:rPr>
          <w:lang w:val="fr-FR"/>
        </w:rPr>
        <w:t>’</w:t>
      </w:r>
      <w:r w:rsidR="002B7BB6" w:rsidRPr="002B7BB6">
        <w:rPr>
          <w:lang w:val="fr-FR"/>
        </w:rPr>
        <w:t>accès à l</w:t>
      </w:r>
      <w:r w:rsidR="001806A4">
        <w:rPr>
          <w:lang w:val="fr-FR"/>
        </w:rPr>
        <w:t>’</w:t>
      </w:r>
      <w:r w:rsidR="002B7BB6" w:rsidRPr="002B7BB6">
        <w:rPr>
          <w:lang w:val="fr-FR"/>
        </w:rPr>
        <w:t>eau.</w:t>
      </w:r>
    </w:p>
    <w:p w:rsidR="002B7BB6" w:rsidRPr="002B7BB6" w:rsidRDefault="00DA487B" w:rsidP="007E1914">
      <w:pPr>
        <w:pStyle w:val="SingleTxtG"/>
        <w:rPr>
          <w:lang w:val="fr-FR"/>
        </w:rPr>
      </w:pPr>
      <w:r w:rsidRPr="003A50FF">
        <w:rPr>
          <w:lang w:val="fr-FR"/>
        </w:rPr>
        <w:t>4.</w:t>
      </w:r>
      <w:r>
        <w:rPr>
          <w:b/>
          <w:lang w:val="fr-FR"/>
        </w:rPr>
        <w:tab/>
      </w:r>
      <w:r w:rsidR="002B7BB6" w:rsidRPr="002B7BB6">
        <w:rPr>
          <w:b/>
          <w:lang w:val="fr-FR"/>
        </w:rPr>
        <w:t>M. Gottlieb</w:t>
      </w:r>
      <w:r w:rsidR="002B7BB6" w:rsidRPr="002B7BB6">
        <w:rPr>
          <w:lang w:val="fr-FR"/>
        </w:rPr>
        <w:t xml:space="preserve"> (Israël) dit qu</w:t>
      </w:r>
      <w:r w:rsidR="001806A4">
        <w:rPr>
          <w:lang w:val="fr-FR"/>
        </w:rPr>
        <w:t>’</w:t>
      </w:r>
      <w:r w:rsidR="002B7BB6" w:rsidRPr="002B7BB6">
        <w:rPr>
          <w:lang w:val="fr-FR"/>
        </w:rPr>
        <w:t>une étude approfondie de la sécurité alimentaire en Israël est réalisée en coopération avec l</w:t>
      </w:r>
      <w:r w:rsidR="001806A4">
        <w:rPr>
          <w:lang w:val="fr-FR"/>
        </w:rPr>
        <w:t>’</w:t>
      </w:r>
      <w:r w:rsidR="002B7BB6" w:rsidRPr="002B7BB6">
        <w:rPr>
          <w:lang w:val="fr-FR"/>
        </w:rPr>
        <w:t>Institut national d</w:t>
      </w:r>
      <w:r w:rsidR="001806A4">
        <w:rPr>
          <w:lang w:val="fr-FR"/>
        </w:rPr>
        <w:t>’</w:t>
      </w:r>
      <w:r w:rsidR="002B7BB6" w:rsidRPr="002B7BB6">
        <w:rPr>
          <w:lang w:val="fr-FR"/>
        </w:rPr>
        <w:t>assurances. D</w:t>
      </w:r>
      <w:r w:rsidR="001806A4">
        <w:rPr>
          <w:lang w:val="fr-FR"/>
        </w:rPr>
        <w:t>’</w:t>
      </w:r>
      <w:r w:rsidR="002B7BB6" w:rsidRPr="002B7BB6">
        <w:rPr>
          <w:lang w:val="fr-FR"/>
        </w:rPr>
        <w:t>après les données déjà disponibles, la situation n</w:t>
      </w:r>
      <w:r w:rsidR="001806A4">
        <w:rPr>
          <w:lang w:val="fr-FR"/>
        </w:rPr>
        <w:t>’</w:t>
      </w:r>
      <w:r w:rsidR="002B7BB6" w:rsidRPr="002B7BB6">
        <w:rPr>
          <w:lang w:val="fr-FR"/>
        </w:rPr>
        <w:t>a quasiment pas évolué. L</w:t>
      </w:r>
      <w:r w:rsidR="001806A4">
        <w:rPr>
          <w:lang w:val="fr-FR"/>
        </w:rPr>
        <w:t>’</w:t>
      </w:r>
      <w:r w:rsidR="002B7BB6" w:rsidRPr="002B7BB6">
        <w:rPr>
          <w:lang w:val="fr-FR"/>
        </w:rPr>
        <w:t xml:space="preserve">insécurité alimentaire </w:t>
      </w:r>
      <w:r>
        <w:rPr>
          <w:lang w:val="fr-FR"/>
        </w:rPr>
        <w:t>existe dans le pays</w:t>
      </w:r>
      <w:r w:rsidR="002B7BB6" w:rsidRPr="002B7BB6">
        <w:rPr>
          <w:lang w:val="fr-FR"/>
        </w:rPr>
        <w:t>, une petite partie de la population fai</w:t>
      </w:r>
      <w:r>
        <w:rPr>
          <w:lang w:val="fr-FR"/>
        </w:rPr>
        <w:t>san</w:t>
      </w:r>
      <w:r w:rsidR="002B7BB6" w:rsidRPr="002B7BB6">
        <w:rPr>
          <w:lang w:val="fr-FR"/>
        </w:rPr>
        <w:t>t face à des pénuries alimentaires, mais il n</w:t>
      </w:r>
      <w:r w:rsidR="001806A4">
        <w:rPr>
          <w:lang w:val="fr-FR"/>
        </w:rPr>
        <w:t>’</w:t>
      </w:r>
      <w:r w:rsidR="002B7BB6" w:rsidRPr="002B7BB6">
        <w:rPr>
          <w:lang w:val="fr-FR"/>
        </w:rPr>
        <w:t xml:space="preserve">y a pas de famine. Israël fera parvenir les résultats de cette étude dans les meilleurs délais. La pauvreté en Israël constitue un problème relativement grave, si on compare la situation </w:t>
      </w:r>
      <w:r>
        <w:rPr>
          <w:lang w:val="fr-FR"/>
        </w:rPr>
        <w:t xml:space="preserve">du </w:t>
      </w:r>
      <w:r w:rsidR="002B7BB6" w:rsidRPr="002B7BB6">
        <w:rPr>
          <w:lang w:val="fr-FR"/>
        </w:rPr>
        <w:t xml:space="preserve">pays à celle des autres pays </w:t>
      </w:r>
      <w:r>
        <w:rPr>
          <w:lang w:val="fr-FR"/>
        </w:rPr>
        <w:t xml:space="preserve">membres </w:t>
      </w:r>
      <w:r w:rsidR="002B7BB6" w:rsidRPr="002B7BB6">
        <w:rPr>
          <w:lang w:val="fr-FR"/>
        </w:rPr>
        <w:t>de l</w:t>
      </w:r>
      <w:r w:rsidR="001806A4">
        <w:rPr>
          <w:lang w:val="fr-FR"/>
        </w:rPr>
        <w:t>’</w:t>
      </w:r>
      <w:r w:rsidR="002B7BB6" w:rsidRPr="002B7BB6">
        <w:rPr>
          <w:lang w:val="fr-FR"/>
        </w:rPr>
        <w:t xml:space="preserve">Organisation de coopération et de développement économiques (OCDE). Afin de lutter contre ce problème, le Gouvernement israélien a approuvé les recommandations de la Commission Trajtenberg concernant la classe moyenne et les classes les plus défavorisées et a décidé de </w:t>
      </w:r>
      <w:r>
        <w:rPr>
          <w:lang w:val="fr-FR"/>
        </w:rPr>
        <w:t>verser, à partir de 2012,</w:t>
      </w:r>
      <w:r w:rsidR="003C3365">
        <w:rPr>
          <w:lang w:val="fr-FR"/>
        </w:rPr>
        <w:t xml:space="preserve"> des prestations complémentaires aux personnes percevant de bas salaires. Le taux de pauvreté </w:t>
      </w:r>
      <w:r w:rsidR="002B7BB6" w:rsidRPr="002B7BB6">
        <w:rPr>
          <w:lang w:val="fr-FR"/>
        </w:rPr>
        <w:t>a quelque peu diminué depuis 2010, même s</w:t>
      </w:r>
      <w:r w:rsidR="001806A4">
        <w:rPr>
          <w:lang w:val="fr-FR"/>
        </w:rPr>
        <w:t>’</w:t>
      </w:r>
      <w:r w:rsidR="002B7BB6" w:rsidRPr="002B7BB6">
        <w:rPr>
          <w:lang w:val="fr-FR"/>
        </w:rPr>
        <w:t xml:space="preserve">il reste relativement élevé. </w:t>
      </w:r>
      <w:r w:rsidR="003C3365">
        <w:rPr>
          <w:lang w:val="fr-FR"/>
        </w:rPr>
        <w:t>Celui des familles, par exemple, est passé</w:t>
      </w:r>
      <w:r w:rsidR="002B7BB6" w:rsidRPr="002B7BB6">
        <w:rPr>
          <w:lang w:val="fr-FR"/>
        </w:rPr>
        <w:t xml:space="preserve"> en dessous de la barre des 20</w:t>
      </w:r>
      <w:r w:rsidR="00A02349">
        <w:rPr>
          <w:lang w:val="fr-FR"/>
        </w:rPr>
        <w:t> </w:t>
      </w:r>
      <w:r w:rsidR="002B7BB6" w:rsidRPr="002B7BB6">
        <w:rPr>
          <w:lang w:val="fr-FR"/>
        </w:rPr>
        <w:t>% pour s</w:t>
      </w:r>
      <w:r w:rsidR="001806A4">
        <w:rPr>
          <w:lang w:val="fr-FR"/>
        </w:rPr>
        <w:t>’</w:t>
      </w:r>
      <w:r w:rsidR="002B7BB6" w:rsidRPr="002B7BB6">
        <w:rPr>
          <w:lang w:val="fr-FR"/>
        </w:rPr>
        <w:t>établir à 19,8</w:t>
      </w:r>
      <w:r w:rsidR="00A02349">
        <w:rPr>
          <w:lang w:val="fr-FR"/>
        </w:rPr>
        <w:t> </w:t>
      </w:r>
      <w:r w:rsidR="002B7BB6" w:rsidRPr="002B7BB6">
        <w:rPr>
          <w:lang w:val="fr-FR"/>
        </w:rPr>
        <w:t xml:space="preserve">%. </w:t>
      </w:r>
      <w:r w:rsidR="003C3365">
        <w:rPr>
          <w:lang w:val="fr-FR"/>
        </w:rPr>
        <w:t>La</w:t>
      </w:r>
      <w:r w:rsidR="002B7BB6" w:rsidRPr="002B7BB6">
        <w:rPr>
          <w:lang w:val="fr-FR"/>
        </w:rPr>
        <w:t xml:space="preserve"> pauvreté </w:t>
      </w:r>
      <w:r w:rsidR="003C3365">
        <w:rPr>
          <w:lang w:val="fr-FR"/>
        </w:rPr>
        <w:t xml:space="preserve">a aussi quelque peu reculé </w:t>
      </w:r>
      <w:r w:rsidR="002B7BB6" w:rsidRPr="002B7BB6">
        <w:rPr>
          <w:lang w:val="fr-FR"/>
        </w:rPr>
        <w:t>au sein de la communauté arabe, même si elle reste supérieure à la moyenne. Les taux d</w:t>
      </w:r>
      <w:r w:rsidR="001806A4">
        <w:rPr>
          <w:lang w:val="fr-FR"/>
        </w:rPr>
        <w:t>’</w:t>
      </w:r>
      <w:r w:rsidR="002B7BB6" w:rsidRPr="002B7BB6">
        <w:rPr>
          <w:lang w:val="fr-FR"/>
        </w:rPr>
        <w:t>imposition des personnes et des entreprises ont été légèrement re</w:t>
      </w:r>
      <w:r w:rsidR="003C3365">
        <w:rPr>
          <w:lang w:val="fr-FR"/>
        </w:rPr>
        <w:t>levés</w:t>
      </w:r>
      <w:r w:rsidR="002B7BB6" w:rsidRPr="002B7BB6">
        <w:rPr>
          <w:lang w:val="fr-FR"/>
        </w:rPr>
        <w:t xml:space="preserve"> et un mécanisme de réduction des impôts des personnes les plus riches a été </w:t>
      </w:r>
      <w:r w:rsidR="003C3365">
        <w:rPr>
          <w:lang w:val="fr-FR"/>
        </w:rPr>
        <w:t xml:space="preserve">supprimé </w:t>
      </w:r>
      <w:r w:rsidR="002B7BB6" w:rsidRPr="002B7BB6">
        <w:rPr>
          <w:lang w:val="fr-FR"/>
        </w:rPr>
        <w:t>afin de fournir à l</w:t>
      </w:r>
      <w:r w:rsidR="001806A4">
        <w:rPr>
          <w:lang w:val="fr-FR"/>
        </w:rPr>
        <w:t>’</w:t>
      </w:r>
      <w:r w:rsidR="002B7BB6" w:rsidRPr="002B7BB6">
        <w:rPr>
          <w:lang w:val="fr-FR"/>
        </w:rPr>
        <w:t xml:space="preserve">État des recettes supplémentaires. </w:t>
      </w:r>
      <w:r w:rsidR="003C3365">
        <w:rPr>
          <w:lang w:val="fr-FR"/>
        </w:rPr>
        <w:t>Celles-ci</w:t>
      </w:r>
      <w:r w:rsidR="002B7BB6" w:rsidRPr="002B7BB6">
        <w:rPr>
          <w:lang w:val="fr-FR"/>
        </w:rPr>
        <w:t xml:space="preserve"> seront consacré</w:t>
      </w:r>
      <w:r w:rsidR="003C3365">
        <w:rPr>
          <w:lang w:val="fr-FR"/>
        </w:rPr>
        <w:t>e</w:t>
      </w:r>
      <w:r w:rsidR="002B7BB6" w:rsidRPr="002B7BB6">
        <w:rPr>
          <w:lang w:val="fr-FR"/>
        </w:rPr>
        <w:t>s aux prestations sociales et aux dépenses sociales en général.</w:t>
      </w:r>
    </w:p>
    <w:p w:rsidR="002B7BB6" w:rsidRPr="002B7BB6" w:rsidRDefault="003C3365" w:rsidP="00C6116B">
      <w:pPr>
        <w:pStyle w:val="SingleTxtG"/>
        <w:rPr>
          <w:lang w:val="fr-FR"/>
        </w:rPr>
      </w:pPr>
      <w:r w:rsidRPr="003C3365">
        <w:rPr>
          <w:lang w:val="fr-FR"/>
        </w:rPr>
        <w:t>5.</w:t>
      </w:r>
      <w:r>
        <w:rPr>
          <w:b/>
          <w:lang w:val="fr-FR"/>
        </w:rPr>
        <w:tab/>
      </w:r>
      <w:r w:rsidR="002B7BB6" w:rsidRPr="002B7BB6">
        <w:rPr>
          <w:b/>
          <w:lang w:val="fr-FR"/>
        </w:rPr>
        <w:t>M. Fried</w:t>
      </w:r>
      <w:r w:rsidR="002B7BB6" w:rsidRPr="002B7BB6">
        <w:rPr>
          <w:lang w:val="fr-FR"/>
        </w:rPr>
        <w:t xml:space="preserve"> (Israël) dit que l</w:t>
      </w:r>
      <w:r w:rsidR="001806A4">
        <w:rPr>
          <w:lang w:val="fr-FR"/>
        </w:rPr>
        <w:t>’</w:t>
      </w:r>
      <w:r w:rsidR="002B7BB6" w:rsidRPr="002B7BB6">
        <w:rPr>
          <w:lang w:val="fr-FR"/>
        </w:rPr>
        <w:t>éducation sexuelle figure au programme d</w:t>
      </w:r>
      <w:r w:rsidR="001806A4">
        <w:rPr>
          <w:lang w:val="fr-FR"/>
        </w:rPr>
        <w:t>’</w:t>
      </w:r>
      <w:r w:rsidR="002B7BB6" w:rsidRPr="002B7BB6">
        <w:rPr>
          <w:lang w:val="fr-FR"/>
        </w:rPr>
        <w:t>étude</w:t>
      </w:r>
      <w:r w:rsidR="003A50FF">
        <w:rPr>
          <w:lang w:val="fr-FR"/>
        </w:rPr>
        <w:t>s</w:t>
      </w:r>
      <w:r w:rsidR="002B7BB6" w:rsidRPr="002B7BB6">
        <w:rPr>
          <w:lang w:val="fr-FR"/>
        </w:rPr>
        <w:t xml:space="preserve"> pendant toute la scolarité. Dans les écoles </w:t>
      </w:r>
      <w:r>
        <w:rPr>
          <w:lang w:val="fr-FR"/>
        </w:rPr>
        <w:t xml:space="preserve">juives </w:t>
      </w:r>
      <w:r w:rsidR="003A50FF">
        <w:rPr>
          <w:lang w:val="fr-FR"/>
        </w:rPr>
        <w:t>laïques ou religieuses</w:t>
      </w:r>
      <w:r>
        <w:rPr>
          <w:lang w:val="fr-FR"/>
        </w:rPr>
        <w:t xml:space="preserve">, </w:t>
      </w:r>
      <w:r w:rsidR="002B7BB6" w:rsidRPr="002B7BB6">
        <w:rPr>
          <w:lang w:val="fr-FR"/>
        </w:rPr>
        <w:t xml:space="preserve">ces cours sont dispensés dans le </w:t>
      </w:r>
      <w:r>
        <w:rPr>
          <w:lang w:val="fr-FR"/>
        </w:rPr>
        <w:t>cadre</w:t>
      </w:r>
      <w:r w:rsidR="002B7BB6" w:rsidRPr="002B7BB6">
        <w:rPr>
          <w:lang w:val="fr-FR"/>
        </w:rPr>
        <w:t xml:space="preserve"> d</w:t>
      </w:r>
      <w:r w:rsidR="001806A4">
        <w:rPr>
          <w:lang w:val="fr-FR"/>
        </w:rPr>
        <w:t>’</w:t>
      </w:r>
      <w:r w:rsidR="002B7BB6" w:rsidRPr="002B7BB6">
        <w:rPr>
          <w:lang w:val="fr-FR"/>
        </w:rPr>
        <w:t xml:space="preserve">une matière </w:t>
      </w:r>
      <w:r>
        <w:rPr>
          <w:lang w:val="fr-FR"/>
        </w:rPr>
        <w:t xml:space="preserve">spécifique. </w:t>
      </w:r>
      <w:r w:rsidR="002B7BB6" w:rsidRPr="002B7BB6">
        <w:rPr>
          <w:lang w:val="fr-FR"/>
        </w:rPr>
        <w:t>Au sein de la population arabe, la question est abordée d</w:t>
      </w:r>
      <w:r>
        <w:rPr>
          <w:lang w:val="fr-FR"/>
        </w:rPr>
        <w:t>e façon différente</w:t>
      </w:r>
      <w:r w:rsidR="002B7BB6" w:rsidRPr="002B7BB6">
        <w:rPr>
          <w:lang w:val="fr-FR"/>
        </w:rPr>
        <w:t xml:space="preserve"> selon les régions. Par exemple, parmi les populations druze et bédouine du </w:t>
      </w:r>
      <w:r>
        <w:rPr>
          <w:lang w:val="fr-FR"/>
        </w:rPr>
        <w:t>n</w:t>
      </w:r>
      <w:r w:rsidR="002B7BB6" w:rsidRPr="002B7BB6">
        <w:rPr>
          <w:lang w:val="fr-FR"/>
        </w:rPr>
        <w:t xml:space="preserve">ord, </w:t>
      </w:r>
      <w:r>
        <w:rPr>
          <w:lang w:val="fr-FR"/>
        </w:rPr>
        <w:t>l’éducation sexuelle</w:t>
      </w:r>
      <w:r w:rsidR="002B7BB6" w:rsidRPr="002B7BB6">
        <w:rPr>
          <w:lang w:val="fr-FR"/>
        </w:rPr>
        <w:t xml:space="preserve"> relève du service de conseil psychologique, mais au sein de la population bédouine du </w:t>
      </w:r>
      <w:r>
        <w:rPr>
          <w:lang w:val="fr-FR"/>
        </w:rPr>
        <w:t>s</w:t>
      </w:r>
      <w:r w:rsidR="002B7BB6" w:rsidRPr="002B7BB6">
        <w:rPr>
          <w:lang w:val="fr-FR"/>
        </w:rPr>
        <w:t xml:space="preserve">ud, </w:t>
      </w:r>
      <w:r>
        <w:rPr>
          <w:lang w:val="fr-FR"/>
        </w:rPr>
        <w:t>elle est enseignée</w:t>
      </w:r>
      <w:r w:rsidR="002B7BB6" w:rsidRPr="002B7BB6">
        <w:rPr>
          <w:lang w:val="fr-FR"/>
        </w:rPr>
        <w:t xml:space="preserve"> essentiellement par des conseillers pédagogique</w:t>
      </w:r>
      <w:r>
        <w:rPr>
          <w:lang w:val="fr-FR"/>
        </w:rPr>
        <w:t>s</w:t>
      </w:r>
      <w:r w:rsidR="002B7BB6" w:rsidRPr="002B7BB6">
        <w:rPr>
          <w:lang w:val="fr-FR"/>
        </w:rPr>
        <w:t xml:space="preserve"> dans les écoles et les cours sont dispensés séparément aux garçons et aux filles. Dans le </w:t>
      </w:r>
      <w:r>
        <w:rPr>
          <w:lang w:val="fr-FR"/>
        </w:rPr>
        <w:t>s</w:t>
      </w:r>
      <w:r w:rsidR="002B7BB6" w:rsidRPr="002B7BB6">
        <w:rPr>
          <w:lang w:val="fr-FR"/>
        </w:rPr>
        <w:t xml:space="preserve">ud, le Ministère </w:t>
      </w:r>
      <w:r>
        <w:rPr>
          <w:lang w:val="fr-FR"/>
        </w:rPr>
        <w:t xml:space="preserve">de l’éducation </w:t>
      </w:r>
      <w:r w:rsidR="002B7BB6" w:rsidRPr="002B7BB6">
        <w:rPr>
          <w:lang w:val="fr-FR"/>
        </w:rPr>
        <w:t>prévoit de réformer les cours d</w:t>
      </w:r>
      <w:r w:rsidR="001806A4">
        <w:rPr>
          <w:lang w:val="fr-FR"/>
        </w:rPr>
        <w:t>’</w:t>
      </w:r>
      <w:r w:rsidR="002B7BB6" w:rsidRPr="002B7BB6">
        <w:rPr>
          <w:lang w:val="fr-FR"/>
        </w:rPr>
        <w:t>éducation sexuelle et mène des consultations à cette fin avec tous les intervenants concernés. La loi qui prévoit la fourniture gratuite aux enfants d</w:t>
      </w:r>
      <w:r w:rsidR="001806A4">
        <w:rPr>
          <w:lang w:val="fr-FR"/>
        </w:rPr>
        <w:t>’</w:t>
      </w:r>
      <w:r w:rsidR="002B7BB6" w:rsidRPr="002B7BB6">
        <w:rPr>
          <w:lang w:val="fr-FR"/>
        </w:rPr>
        <w:t xml:space="preserve">un repas chaud quotidien équilibré du point de vue diététique est entrée en vigueur en 2005 et vise en particulier les </w:t>
      </w:r>
      <w:r>
        <w:rPr>
          <w:lang w:val="fr-FR"/>
        </w:rPr>
        <w:t xml:space="preserve">régions </w:t>
      </w:r>
      <w:r w:rsidR="002B7BB6" w:rsidRPr="002B7BB6">
        <w:rPr>
          <w:lang w:val="fr-FR"/>
        </w:rPr>
        <w:t xml:space="preserve">à bas revenus. </w:t>
      </w:r>
      <w:r>
        <w:rPr>
          <w:lang w:val="fr-FR"/>
        </w:rPr>
        <w:t>Ce programme est</w:t>
      </w:r>
      <w:r w:rsidR="002B7BB6" w:rsidRPr="002B7BB6">
        <w:rPr>
          <w:lang w:val="fr-FR"/>
        </w:rPr>
        <w:t xml:space="preserve"> pris en charge par </w:t>
      </w:r>
      <w:r>
        <w:rPr>
          <w:lang w:val="fr-FR"/>
        </w:rPr>
        <w:t>le Gouvernement</w:t>
      </w:r>
      <w:r w:rsidR="002B7BB6" w:rsidRPr="002B7BB6">
        <w:rPr>
          <w:lang w:val="fr-FR"/>
        </w:rPr>
        <w:t xml:space="preserve"> e</w:t>
      </w:r>
      <w:r>
        <w:rPr>
          <w:lang w:val="fr-FR"/>
        </w:rPr>
        <w:t xml:space="preserve">t les collectivités locales et </w:t>
      </w:r>
      <w:r w:rsidR="002B7BB6" w:rsidRPr="002B7BB6">
        <w:rPr>
          <w:lang w:val="fr-FR"/>
        </w:rPr>
        <w:t xml:space="preserve">les parents contribuent </w:t>
      </w:r>
      <w:r>
        <w:rPr>
          <w:lang w:val="fr-FR"/>
        </w:rPr>
        <w:t xml:space="preserve">à son financement </w:t>
      </w:r>
      <w:r w:rsidRPr="002B7BB6">
        <w:rPr>
          <w:lang w:val="fr-FR"/>
        </w:rPr>
        <w:t>en fonction de leur situation socioéconomique</w:t>
      </w:r>
      <w:r w:rsidR="002B7BB6" w:rsidRPr="002B7BB6">
        <w:rPr>
          <w:lang w:val="fr-FR"/>
        </w:rPr>
        <w:t xml:space="preserve">. </w:t>
      </w:r>
      <w:r>
        <w:rPr>
          <w:lang w:val="fr-FR"/>
        </w:rPr>
        <w:t>Il</w:t>
      </w:r>
      <w:r w:rsidR="002B7BB6" w:rsidRPr="002B7BB6">
        <w:rPr>
          <w:lang w:val="fr-FR"/>
        </w:rPr>
        <w:t xml:space="preserve"> est mis en œuvre dans les crèches et les écoles, </w:t>
      </w:r>
      <w:r>
        <w:rPr>
          <w:lang w:val="fr-FR"/>
        </w:rPr>
        <w:t>y compris</w:t>
      </w:r>
      <w:r w:rsidR="002B7BB6" w:rsidRPr="002B7BB6">
        <w:rPr>
          <w:lang w:val="fr-FR"/>
        </w:rPr>
        <w:t xml:space="preserve"> dans les zones arabes, et concerne actuellement </w:t>
      </w:r>
      <w:r w:rsidR="00A02349">
        <w:rPr>
          <w:lang w:val="fr-FR"/>
        </w:rPr>
        <w:t>175 </w:t>
      </w:r>
      <w:r>
        <w:rPr>
          <w:lang w:val="fr-FR"/>
        </w:rPr>
        <w:t>000</w:t>
      </w:r>
      <w:r w:rsidR="00A02349">
        <w:rPr>
          <w:lang w:val="fr-FR"/>
        </w:rPr>
        <w:t> </w:t>
      </w:r>
      <w:r w:rsidR="002B7BB6" w:rsidRPr="002B7BB6">
        <w:rPr>
          <w:lang w:val="fr-FR"/>
        </w:rPr>
        <w:t>enfants.</w:t>
      </w:r>
    </w:p>
    <w:p w:rsidR="002B7BB6" w:rsidRPr="002B7BB6" w:rsidRDefault="004E6E03" w:rsidP="00C6116B">
      <w:pPr>
        <w:pStyle w:val="SingleTxtG"/>
        <w:rPr>
          <w:lang w:val="fr-FR"/>
        </w:rPr>
      </w:pPr>
      <w:r w:rsidRPr="004E6E03">
        <w:rPr>
          <w:lang w:val="fr-FR"/>
        </w:rPr>
        <w:t>6.</w:t>
      </w:r>
      <w:r w:rsidRPr="004E6E03">
        <w:rPr>
          <w:lang w:val="fr-FR"/>
        </w:rPr>
        <w:tab/>
      </w:r>
      <w:r w:rsidR="002B7BB6" w:rsidRPr="002B7BB6">
        <w:rPr>
          <w:b/>
          <w:lang w:val="fr-FR"/>
        </w:rPr>
        <w:t>M. Feldman</w:t>
      </w:r>
      <w:r w:rsidR="002B7BB6" w:rsidRPr="002B7BB6">
        <w:rPr>
          <w:lang w:val="fr-FR"/>
        </w:rPr>
        <w:t xml:space="preserve"> (Israël) dit que l</w:t>
      </w:r>
      <w:r w:rsidR="001806A4">
        <w:rPr>
          <w:lang w:val="fr-FR"/>
        </w:rPr>
        <w:t>’</w:t>
      </w:r>
      <w:r w:rsidR="002B7BB6" w:rsidRPr="002B7BB6">
        <w:rPr>
          <w:lang w:val="fr-FR"/>
        </w:rPr>
        <w:t>intégration de localités habitées par des minorités au sein de zones d</w:t>
      </w:r>
      <w:r w:rsidR="001806A4">
        <w:rPr>
          <w:lang w:val="fr-FR"/>
        </w:rPr>
        <w:t>’</w:t>
      </w:r>
      <w:r w:rsidR="002B7BB6" w:rsidRPr="002B7BB6">
        <w:rPr>
          <w:lang w:val="fr-FR"/>
        </w:rPr>
        <w:t xml:space="preserve">activités commerciales et industrielles mixtes a pour but </w:t>
      </w:r>
      <w:r>
        <w:rPr>
          <w:lang w:val="fr-FR"/>
        </w:rPr>
        <w:t>de favoriser le</w:t>
      </w:r>
      <w:r w:rsidR="002B7BB6" w:rsidRPr="002B7BB6">
        <w:rPr>
          <w:lang w:val="fr-FR"/>
        </w:rPr>
        <w:t xml:space="preserve"> </w:t>
      </w:r>
      <w:r>
        <w:rPr>
          <w:lang w:val="fr-FR"/>
        </w:rPr>
        <w:t>développement des</w:t>
      </w:r>
      <w:r w:rsidR="002B7BB6" w:rsidRPr="002B7BB6">
        <w:rPr>
          <w:lang w:val="fr-FR"/>
        </w:rPr>
        <w:t xml:space="preserve"> activités </w:t>
      </w:r>
      <w:r>
        <w:rPr>
          <w:lang w:val="fr-FR"/>
        </w:rPr>
        <w:t>de chefs d’entreprise qui sont freinés par le manque d’infrastructures et de moyens</w:t>
      </w:r>
      <w:r w:rsidR="002B7BB6" w:rsidRPr="002B7BB6">
        <w:rPr>
          <w:lang w:val="fr-FR"/>
        </w:rPr>
        <w:t>. L</w:t>
      </w:r>
      <w:r w:rsidR="001806A4">
        <w:rPr>
          <w:lang w:val="fr-FR"/>
        </w:rPr>
        <w:t>’</w:t>
      </w:r>
      <w:r w:rsidR="002B7BB6" w:rsidRPr="002B7BB6">
        <w:rPr>
          <w:lang w:val="fr-FR"/>
        </w:rPr>
        <w:t>intégration de ces localités dans une zone industrielle plus vaste permet également de créer de nouveaux empl</w:t>
      </w:r>
      <w:r>
        <w:rPr>
          <w:lang w:val="fr-FR"/>
        </w:rPr>
        <w:t>ois dans des zones défavorisées</w:t>
      </w:r>
      <w:r w:rsidR="002B7BB6" w:rsidRPr="002B7BB6">
        <w:rPr>
          <w:lang w:val="fr-FR"/>
        </w:rPr>
        <w:t>.</w:t>
      </w:r>
    </w:p>
    <w:p w:rsidR="002B7BB6" w:rsidRPr="002B7BB6" w:rsidRDefault="00414188" w:rsidP="00C6116B">
      <w:pPr>
        <w:pStyle w:val="SingleTxtG"/>
        <w:rPr>
          <w:lang w:val="fr-FR"/>
        </w:rPr>
      </w:pPr>
      <w:r w:rsidRPr="00414188">
        <w:rPr>
          <w:bCs/>
          <w:lang w:val="fr-FR"/>
        </w:rPr>
        <w:t>7.</w:t>
      </w:r>
      <w:r w:rsidRPr="00414188">
        <w:rPr>
          <w:bCs/>
          <w:lang w:val="fr-FR"/>
        </w:rPr>
        <w:tab/>
      </w:r>
      <w:r w:rsidR="002B7BB6" w:rsidRPr="002B7BB6">
        <w:rPr>
          <w:b/>
          <w:bCs/>
          <w:lang w:val="fr-FR"/>
        </w:rPr>
        <w:t>M</w:t>
      </w:r>
      <w:r w:rsidR="002B7BB6" w:rsidRPr="002B7BB6">
        <w:rPr>
          <w:b/>
          <w:bCs/>
          <w:vertAlign w:val="superscript"/>
          <w:lang w:val="fr-FR"/>
        </w:rPr>
        <w:t>me</w:t>
      </w:r>
      <w:r w:rsidR="002B7BB6" w:rsidRPr="002B7BB6">
        <w:rPr>
          <w:b/>
          <w:bCs/>
          <w:lang w:val="fr-FR"/>
        </w:rPr>
        <w:t xml:space="preserve"> Rubinstein </w:t>
      </w:r>
      <w:r w:rsidR="003A50FF">
        <w:rPr>
          <w:lang w:val="fr-FR"/>
        </w:rPr>
        <w:t>(Israël) dit que son g</w:t>
      </w:r>
      <w:r w:rsidR="002B7BB6" w:rsidRPr="002B7BB6">
        <w:rPr>
          <w:lang w:val="fr-FR"/>
        </w:rPr>
        <w:t>ouvernement appuie le mémorandum d</w:t>
      </w:r>
      <w:r w:rsidR="001806A4">
        <w:rPr>
          <w:lang w:val="fr-FR"/>
        </w:rPr>
        <w:t>’</w:t>
      </w:r>
      <w:r w:rsidR="002B7BB6" w:rsidRPr="002B7BB6">
        <w:rPr>
          <w:lang w:val="fr-FR"/>
        </w:rPr>
        <w:t>accord qui a été conclu entre le Magen David Adom (service d</w:t>
      </w:r>
      <w:r w:rsidR="001806A4">
        <w:rPr>
          <w:lang w:val="fr-FR"/>
        </w:rPr>
        <w:t>’</w:t>
      </w:r>
      <w:r w:rsidR="002B7BB6" w:rsidRPr="002B7BB6">
        <w:rPr>
          <w:lang w:val="fr-FR"/>
        </w:rPr>
        <w:t>urgence et d</w:t>
      </w:r>
      <w:r w:rsidR="001806A4">
        <w:rPr>
          <w:lang w:val="fr-FR"/>
        </w:rPr>
        <w:t>’</w:t>
      </w:r>
      <w:r w:rsidR="002B7BB6" w:rsidRPr="002B7BB6">
        <w:rPr>
          <w:lang w:val="fr-FR"/>
        </w:rPr>
        <w:t>ambulance israélien) et la Croix-Rouge palestinienne en novembre 2005 et insiste pour que les deux</w:t>
      </w:r>
      <w:r w:rsidR="002B7BB6">
        <w:rPr>
          <w:lang w:val="fr-FR"/>
        </w:rPr>
        <w:t xml:space="preserve"> parties appliquent cet accord.</w:t>
      </w:r>
      <w:r w:rsidR="002B7BB6" w:rsidRPr="002B7BB6">
        <w:rPr>
          <w:lang w:val="fr-FR"/>
        </w:rPr>
        <w:t xml:space="preserve"> Un rapport du Comité international de la Croix-Rouge (CICR) de janvier 2011 a indiqué que </w:t>
      </w:r>
      <w:r>
        <w:rPr>
          <w:lang w:val="fr-FR"/>
        </w:rPr>
        <w:t>des</w:t>
      </w:r>
      <w:r w:rsidR="002B7BB6" w:rsidRPr="002B7BB6">
        <w:rPr>
          <w:lang w:val="fr-FR"/>
        </w:rPr>
        <w:t xml:space="preserve"> ambulances desservent les habitants de Jérusalem-Est, y compris les 60 000 résidents qui habitent de l</w:t>
      </w:r>
      <w:r w:rsidR="001806A4">
        <w:rPr>
          <w:lang w:val="fr-FR"/>
        </w:rPr>
        <w:t>’</w:t>
      </w:r>
      <w:r w:rsidR="002B7BB6" w:rsidRPr="002B7BB6">
        <w:rPr>
          <w:lang w:val="fr-FR"/>
        </w:rPr>
        <w:t xml:space="preserve">autre côté </w:t>
      </w:r>
      <w:r>
        <w:rPr>
          <w:lang w:val="fr-FR"/>
        </w:rPr>
        <w:t xml:space="preserve">du mur </w:t>
      </w:r>
      <w:r w:rsidR="002B7BB6" w:rsidRPr="002B7BB6">
        <w:rPr>
          <w:lang w:val="fr-FR"/>
        </w:rPr>
        <w:t>en Cisjordanie et qui ont accès à tous les hôpitaux de la ville. En outre, le Conseil de sécurité nationale a examiné en novembre 2011 la question de l</w:t>
      </w:r>
      <w:r w:rsidR="001806A4">
        <w:rPr>
          <w:lang w:val="fr-FR"/>
        </w:rPr>
        <w:t>’</w:t>
      </w:r>
      <w:r w:rsidR="002B7BB6" w:rsidRPr="002B7BB6">
        <w:rPr>
          <w:lang w:val="fr-FR"/>
        </w:rPr>
        <w:t>intégration et de la mise en place des procédures de transfert des patients en urgence et Israël s</w:t>
      </w:r>
      <w:r w:rsidR="001806A4">
        <w:rPr>
          <w:lang w:val="fr-FR"/>
        </w:rPr>
        <w:t>’</w:t>
      </w:r>
      <w:r w:rsidR="002B7BB6" w:rsidRPr="002B7BB6">
        <w:rPr>
          <w:lang w:val="fr-FR"/>
        </w:rPr>
        <w:t>est engagé à faire tout ce qui est en son pouvoir pour faciliter les soins médicaux d</w:t>
      </w:r>
      <w:r w:rsidR="001806A4">
        <w:rPr>
          <w:lang w:val="fr-FR"/>
        </w:rPr>
        <w:t>’</w:t>
      </w:r>
      <w:r w:rsidR="002B7BB6" w:rsidRPr="002B7BB6">
        <w:rPr>
          <w:lang w:val="fr-FR"/>
        </w:rPr>
        <w:t>urgence pour tous.</w:t>
      </w:r>
    </w:p>
    <w:p w:rsidR="002B7BB6" w:rsidRPr="002B7BB6" w:rsidRDefault="00414188" w:rsidP="00C6116B">
      <w:pPr>
        <w:pStyle w:val="SingleTxtG"/>
        <w:rPr>
          <w:lang w:val="fr-FR"/>
        </w:rPr>
      </w:pPr>
      <w:r w:rsidRPr="00414188">
        <w:rPr>
          <w:lang w:val="fr-FR"/>
        </w:rPr>
        <w:t>8.</w:t>
      </w:r>
      <w:r w:rsidRPr="00414188">
        <w:rPr>
          <w:lang w:val="fr-FR"/>
        </w:rPr>
        <w:tab/>
      </w:r>
      <w:r w:rsidR="002B7BB6" w:rsidRPr="002B7BB6">
        <w:rPr>
          <w:b/>
          <w:lang w:val="fr-FR"/>
        </w:rPr>
        <w:t>M</w:t>
      </w:r>
      <w:r w:rsidR="002B7BB6" w:rsidRPr="002B7BB6">
        <w:rPr>
          <w:b/>
          <w:vertAlign w:val="superscript"/>
          <w:lang w:val="fr-FR"/>
        </w:rPr>
        <w:t>me</w:t>
      </w:r>
      <w:r w:rsidR="002B7BB6" w:rsidRPr="002B7BB6">
        <w:rPr>
          <w:b/>
          <w:lang w:val="fr-FR"/>
        </w:rPr>
        <w:t xml:space="preserve"> Tene-Gilad </w:t>
      </w:r>
      <w:r w:rsidR="002B7BB6" w:rsidRPr="002B7BB6">
        <w:rPr>
          <w:lang w:val="fr-FR"/>
        </w:rPr>
        <w:t>(Israël) dit que la municipalité de Jérusalem a approuvé de nombreux plans relatifs à la construction de logements pour la population arabe afin de répondre aux besoins de cette population jusqu</w:t>
      </w:r>
      <w:r w:rsidR="001806A4">
        <w:rPr>
          <w:lang w:val="fr-FR"/>
        </w:rPr>
        <w:t>’</w:t>
      </w:r>
      <w:r w:rsidR="002B7BB6" w:rsidRPr="002B7BB6">
        <w:rPr>
          <w:lang w:val="fr-FR"/>
        </w:rPr>
        <w:t>en 2020. Elle souligne que les services de planification s</w:t>
      </w:r>
      <w:r w:rsidR="001806A4">
        <w:rPr>
          <w:lang w:val="fr-FR"/>
        </w:rPr>
        <w:t>’</w:t>
      </w:r>
      <w:r w:rsidR="002B7BB6" w:rsidRPr="002B7BB6">
        <w:rPr>
          <w:lang w:val="fr-FR"/>
        </w:rPr>
        <w:t>efforcent d</w:t>
      </w:r>
      <w:r w:rsidR="001806A4">
        <w:rPr>
          <w:lang w:val="fr-FR"/>
        </w:rPr>
        <w:t>’</w:t>
      </w:r>
      <w:r w:rsidR="002B7BB6" w:rsidRPr="002B7BB6">
        <w:rPr>
          <w:lang w:val="fr-FR"/>
        </w:rPr>
        <w:t>associer les habitants de ces quartiers au processus de planification et que plusieurs membres de la p</w:t>
      </w:r>
      <w:r w:rsidR="003A50FF">
        <w:rPr>
          <w:lang w:val="fr-FR"/>
        </w:rPr>
        <w:t>opulation locale des quartiers e</w:t>
      </w:r>
      <w:r w:rsidR="002B7BB6" w:rsidRPr="002B7BB6">
        <w:rPr>
          <w:lang w:val="fr-FR"/>
        </w:rPr>
        <w:t xml:space="preserve">st de Jérusalem ont reçu des réponses favorables à leurs demandes. </w:t>
      </w:r>
      <w:r w:rsidR="005F7DA5" w:rsidRPr="002B7BB6">
        <w:rPr>
          <w:lang w:val="fr-FR"/>
        </w:rPr>
        <w:t>Les démolitions de logements se déroulent de manière conforme au</w:t>
      </w:r>
      <w:r w:rsidR="005F7DA5">
        <w:rPr>
          <w:lang w:val="fr-FR"/>
        </w:rPr>
        <w:t>x</w:t>
      </w:r>
      <w:r w:rsidR="005F7DA5" w:rsidRPr="002B7BB6">
        <w:rPr>
          <w:lang w:val="fr-FR"/>
        </w:rPr>
        <w:t xml:space="preserve"> normes internationales en la matière. </w:t>
      </w:r>
      <w:r w:rsidR="002B7BB6" w:rsidRPr="002B7BB6">
        <w:rPr>
          <w:lang w:val="fr-FR"/>
        </w:rPr>
        <w:t>Depuis un an et demi, cinq structures seulement ont</w:t>
      </w:r>
      <w:r w:rsidR="003A50FF">
        <w:rPr>
          <w:lang w:val="fr-FR"/>
        </w:rPr>
        <w:t xml:space="preserve"> été démolies dans le quartier e</w:t>
      </w:r>
      <w:r w:rsidR="002B7BB6" w:rsidRPr="002B7BB6">
        <w:rPr>
          <w:lang w:val="fr-FR"/>
        </w:rPr>
        <w:t>st de Jérusalem</w:t>
      </w:r>
      <w:r>
        <w:rPr>
          <w:lang w:val="fr-FR"/>
        </w:rPr>
        <w:t>:</w:t>
      </w:r>
      <w:r w:rsidR="002B7BB6" w:rsidRPr="002B7BB6">
        <w:rPr>
          <w:lang w:val="fr-FR"/>
        </w:rPr>
        <w:t xml:space="preserve"> il s</w:t>
      </w:r>
      <w:r w:rsidR="001806A4">
        <w:rPr>
          <w:lang w:val="fr-FR"/>
        </w:rPr>
        <w:t>’</w:t>
      </w:r>
      <w:r w:rsidR="002B7BB6" w:rsidRPr="002B7BB6">
        <w:rPr>
          <w:lang w:val="fr-FR"/>
        </w:rPr>
        <w:t>agissait de structures isolées qui représentaient une entrave à l</w:t>
      </w:r>
      <w:r w:rsidR="001806A4">
        <w:rPr>
          <w:lang w:val="fr-FR"/>
        </w:rPr>
        <w:t>’</w:t>
      </w:r>
      <w:r w:rsidR="002B7BB6" w:rsidRPr="002B7BB6">
        <w:rPr>
          <w:lang w:val="fr-FR"/>
        </w:rPr>
        <w:t>or</w:t>
      </w:r>
      <w:r w:rsidR="003A50FF">
        <w:rPr>
          <w:lang w:val="fr-FR"/>
        </w:rPr>
        <w:t>dre public. Dans les quartiers o</w:t>
      </w:r>
      <w:r w:rsidR="002B7BB6" w:rsidRPr="002B7BB6">
        <w:rPr>
          <w:lang w:val="fr-FR"/>
        </w:rPr>
        <w:t xml:space="preserve">uest, les démolitions ont </w:t>
      </w:r>
      <w:r>
        <w:rPr>
          <w:lang w:val="fr-FR"/>
        </w:rPr>
        <w:t xml:space="preserve">été plus nombreuses, touchant </w:t>
      </w:r>
      <w:r w:rsidR="003A50FF">
        <w:rPr>
          <w:lang w:val="fr-FR"/>
        </w:rPr>
        <w:t>64 </w:t>
      </w:r>
      <w:r w:rsidR="002B7BB6" w:rsidRPr="002B7BB6">
        <w:rPr>
          <w:lang w:val="fr-FR"/>
        </w:rPr>
        <w:t xml:space="preserve">structures en 2011. Toute personne qui dépose une demande de suspension </w:t>
      </w:r>
      <w:r>
        <w:rPr>
          <w:lang w:val="fr-FR"/>
        </w:rPr>
        <w:t xml:space="preserve">d’un ordre </w:t>
      </w:r>
      <w:r w:rsidR="002B7BB6" w:rsidRPr="002B7BB6">
        <w:rPr>
          <w:lang w:val="fr-FR"/>
        </w:rPr>
        <w:t xml:space="preserve">de démolition a le droit </w:t>
      </w:r>
      <w:r>
        <w:rPr>
          <w:lang w:val="fr-FR"/>
        </w:rPr>
        <w:t xml:space="preserve">de former </w:t>
      </w:r>
      <w:r w:rsidR="002B7BB6" w:rsidRPr="002B7BB6">
        <w:rPr>
          <w:lang w:val="fr-FR"/>
        </w:rPr>
        <w:t>un recours en cas de refus. Les demandes sont examinées sans considération de race ou d</w:t>
      </w:r>
      <w:r w:rsidR="001806A4">
        <w:rPr>
          <w:lang w:val="fr-FR"/>
        </w:rPr>
        <w:t>’</w:t>
      </w:r>
      <w:r w:rsidR="002B7BB6" w:rsidRPr="002B7BB6">
        <w:rPr>
          <w:lang w:val="fr-FR"/>
        </w:rPr>
        <w:t>origine ethnique. La municipalité n</w:t>
      </w:r>
      <w:r w:rsidR="001806A4">
        <w:rPr>
          <w:lang w:val="fr-FR"/>
        </w:rPr>
        <w:t>’</w:t>
      </w:r>
      <w:r w:rsidR="002B7BB6" w:rsidRPr="002B7BB6">
        <w:rPr>
          <w:lang w:val="fr-FR"/>
        </w:rPr>
        <w:t>exécute pas les ordres de démolition d</w:t>
      </w:r>
      <w:r w:rsidR="001806A4">
        <w:rPr>
          <w:lang w:val="fr-FR"/>
        </w:rPr>
        <w:t>’</w:t>
      </w:r>
      <w:r w:rsidR="002B7BB6" w:rsidRPr="002B7BB6">
        <w:rPr>
          <w:lang w:val="fr-FR"/>
        </w:rPr>
        <w:t>établissements d</w:t>
      </w:r>
      <w:r w:rsidR="001806A4">
        <w:rPr>
          <w:lang w:val="fr-FR"/>
        </w:rPr>
        <w:t>’</w:t>
      </w:r>
      <w:r w:rsidR="002B7BB6" w:rsidRPr="002B7BB6">
        <w:rPr>
          <w:lang w:val="fr-FR"/>
        </w:rPr>
        <w:t>enseignement ou de mosquées, mais lorsque des structures de ce type sont i</w:t>
      </w:r>
      <w:r>
        <w:rPr>
          <w:lang w:val="fr-FR"/>
        </w:rPr>
        <w:t>llégales</w:t>
      </w:r>
      <w:r w:rsidR="002B7BB6" w:rsidRPr="002B7BB6">
        <w:rPr>
          <w:lang w:val="fr-FR"/>
        </w:rPr>
        <w:t>, des amendes sont imposées. Le Ministère de l</w:t>
      </w:r>
      <w:r w:rsidR="001806A4">
        <w:rPr>
          <w:lang w:val="fr-FR"/>
        </w:rPr>
        <w:t>’</w:t>
      </w:r>
      <w:r w:rsidR="002B7BB6" w:rsidRPr="002B7BB6">
        <w:rPr>
          <w:lang w:val="fr-FR"/>
        </w:rPr>
        <w:t>intérieur s</w:t>
      </w:r>
      <w:r w:rsidR="001806A4">
        <w:rPr>
          <w:lang w:val="fr-FR"/>
        </w:rPr>
        <w:t>’</w:t>
      </w:r>
      <w:r w:rsidR="002B7BB6" w:rsidRPr="002B7BB6">
        <w:rPr>
          <w:lang w:val="fr-FR"/>
        </w:rPr>
        <w:t>est employé à promouvoir de manière égale les projets de planification dans les localités arabes avec l</w:t>
      </w:r>
      <w:r w:rsidR="001806A4">
        <w:rPr>
          <w:lang w:val="fr-FR"/>
        </w:rPr>
        <w:t>’</w:t>
      </w:r>
      <w:r w:rsidR="002B7BB6" w:rsidRPr="002B7BB6">
        <w:rPr>
          <w:lang w:val="fr-FR"/>
        </w:rPr>
        <w:t>objectif d</w:t>
      </w:r>
      <w:r w:rsidR="001806A4">
        <w:rPr>
          <w:lang w:val="fr-FR"/>
        </w:rPr>
        <w:t>’</w:t>
      </w:r>
      <w:r>
        <w:rPr>
          <w:lang w:val="fr-FR"/>
        </w:rPr>
        <w:t>y améliorer la qualité de la vie</w:t>
      </w:r>
      <w:r w:rsidR="002B7BB6" w:rsidRPr="002B7BB6">
        <w:rPr>
          <w:lang w:val="fr-FR"/>
        </w:rPr>
        <w:t>, notamment par un élargissement des zones d</w:t>
      </w:r>
      <w:r w:rsidR="001806A4">
        <w:rPr>
          <w:lang w:val="fr-FR"/>
        </w:rPr>
        <w:t>’</w:t>
      </w:r>
      <w:r w:rsidR="002B7BB6" w:rsidRPr="002B7BB6">
        <w:rPr>
          <w:lang w:val="fr-FR"/>
        </w:rPr>
        <w:t xml:space="preserve">habitation et le développement des infrastructures. Deux membres de la Commission Goldberg étaient des membres de la communauté bédouine ayant participé au processus de planification et </w:t>
      </w:r>
      <w:r>
        <w:rPr>
          <w:lang w:val="fr-FR"/>
        </w:rPr>
        <w:t>des</w:t>
      </w:r>
      <w:r w:rsidR="002B7BB6" w:rsidRPr="002B7BB6">
        <w:rPr>
          <w:lang w:val="fr-FR"/>
        </w:rPr>
        <w:t xml:space="preserve"> chefs bédouins ont </w:t>
      </w:r>
      <w:r>
        <w:rPr>
          <w:lang w:val="fr-FR"/>
        </w:rPr>
        <w:t>pris part</w:t>
      </w:r>
      <w:r w:rsidR="002B7BB6" w:rsidRPr="002B7BB6">
        <w:rPr>
          <w:lang w:val="fr-FR"/>
        </w:rPr>
        <w:t xml:space="preserve"> aux travaux de </w:t>
      </w:r>
      <w:r>
        <w:rPr>
          <w:lang w:val="fr-FR"/>
        </w:rPr>
        <w:t>cette</w:t>
      </w:r>
      <w:r w:rsidR="002B7BB6" w:rsidRPr="002B7BB6">
        <w:rPr>
          <w:lang w:val="fr-FR"/>
        </w:rPr>
        <w:t xml:space="preserve"> Commission dans certaines localités. Le plan d</w:t>
      </w:r>
      <w:r w:rsidR="001806A4">
        <w:rPr>
          <w:lang w:val="fr-FR"/>
        </w:rPr>
        <w:t>’</w:t>
      </w:r>
      <w:r w:rsidR="002B7BB6" w:rsidRPr="002B7BB6">
        <w:rPr>
          <w:lang w:val="fr-FR"/>
        </w:rPr>
        <w:t>application du rapport Goldberg, approuvé par le Gouvernement en septembre 2011, comprend une section sur la coopération avec la communauté bédouine. La position de l</w:t>
      </w:r>
      <w:r w:rsidR="001806A4">
        <w:rPr>
          <w:lang w:val="fr-FR"/>
        </w:rPr>
        <w:t>’</w:t>
      </w:r>
      <w:r w:rsidR="002B7BB6" w:rsidRPr="002B7BB6">
        <w:rPr>
          <w:lang w:val="fr-FR"/>
        </w:rPr>
        <w:t>État d</w:t>
      </w:r>
      <w:r w:rsidR="001806A4">
        <w:rPr>
          <w:lang w:val="fr-FR"/>
        </w:rPr>
        <w:t>’</w:t>
      </w:r>
      <w:r w:rsidR="002B7BB6" w:rsidRPr="002B7BB6">
        <w:rPr>
          <w:lang w:val="fr-FR"/>
        </w:rPr>
        <w:t>Israël est que les Bédouins ne so</w:t>
      </w:r>
      <w:r w:rsidR="000008A1">
        <w:rPr>
          <w:lang w:val="fr-FR"/>
        </w:rPr>
        <w:t xml:space="preserve">nt pas des autochtones mais </w:t>
      </w:r>
      <w:r w:rsidR="002B7BB6" w:rsidRPr="002B7BB6">
        <w:rPr>
          <w:lang w:val="fr-FR"/>
        </w:rPr>
        <w:t>des citoyens israéliens.</w:t>
      </w:r>
    </w:p>
    <w:p w:rsidR="00C6116B" w:rsidRPr="002226D4" w:rsidRDefault="00D551AE" w:rsidP="00C6116B">
      <w:pPr>
        <w:pStyle w:val="SingleTxtG"/>
      </w:pPr>
      <w:r w:rsidRPr="00D551AE">
        <w:rPr>
          <w:lang w:val="fr-FR"/>
        </w:rPr>
        <w:t>9.</w:t>
      </w:r>
      <w:r w:rsidRPr="00D551AE">
        <w:rPr>
          <w:lang w:val="fr-FR"/>
        </w:rPr>
        <w:tab/>
      </w:r>
      <w:r w:rsidR="002B7BB6" w:rsidRPr="002B7BB6">
        <w:rPr>
          <w:b/>
          <w:lang w:val="fr-FR"/>
        </w:rPr>
        <w:t>M</w:t>
      </w:r>
      <w:r w:rsidR="002B7BB6" w:rsidRPr="002B7BB6">
        <w:rPr>
          <w:b/>
          <w:vertAlign w:val="superscript"/>
          <w:lang w:val="fr-FR"/>
        </w:rPr>
        <w:t>me</w:t>
      </w:r>
      <w:r w:rsidR="002B7BB6" w:rsidRPr="002B7BB6">
        <w:rPr>
          <w:b/>
          <w:lang w:val="fr-FR"/>
        </w:rPr>
        <w:t xml:space="preserve"> Shmueli</w:t>
      </w:r>
      <w:r w:rsidR="002B7BB6" w:rsidRPr="002B7BB6">
        <w:rPr>
          <w:lang w:val="fr-FR"/>
        </w:rPr>
        <w:t xml:space="preserve"> (Israël), </w:t>
      </w:r>
      <w:r>
        <w:rPr>
          <w:lang w:val="fr-FR"/>
        </w:rPr>
        <w:t>s’exprimant au sujet du</w:t>
      </w:r>
      <w:r w:rsidR="002B7BB6" w:rsidRPr="002B7BB6">
        <w:rPr>
          <w:lang w:val="fr-FR"/>
        </w:rPr>
        <w:t xml:space="preserve"> </w:t>
      </w:r>
      <w:r w:rsidR="002B7BB6" w:rsidRPr="002B7BB6">
        <w:rPr>
          <w:bCs/>
          <w:lang w:val="fr-FR"/>
        </w:rPr>
        <w:t>regroupement familial</w:t>
      </w:r>
      <w:r w:rsidR="002B7BB6" w:rsidRPr="002B7BB6">
        <w:rPr>
          <w:lang w:val="fr-FR"/>
        </w:rPr>
        <w:t>, explique que depuis la fin de l</w:t>
      </w:r>
      <w:r w:rsidR="001806A4">
        <w:rPr>
          <w:lang w:val="fr-FR"/>
        </w:rPr>
        <w:t>’</w:t>
      </w:r>
      <w:r w:rsidR="002B7BB6" w:rsidRPr="002B7BB6">
        <w:rPr>
          <w:lang w:val="fr-FR"/>
        </w:rPr>
        <w:t xml:space="preserve">an 2000, de nombreux attentats terroristes ont frappé Israël et </w:t>
      </w:r>
      <w:r>
        <w:rPr>
          <w:lang w:val="fr-FR"/>
        </w:rPr>
        <w:t>que des</w:t>
      </w:r>
      <w:r w:rsidR="002B7BB6" w:rsidRPr="002B7BB6">
        <w:rPr>
          <w:lang w:val="fr-FR"/>
        </w:rPr>
        <w:t xml:space="preserve"> Palestiniens originaires de Cisjordanie et de Gaza </w:t>
      </w:r>
      <w:r>
        <w:rPr>
          <w:lang w:val="fr-FR"/>
        </w:rPr>
        <w:t>ont apporté</w:t>
      </w:r>
      <w:r w:rsidR="002B7BB6" w:rsidRPr="002B7BB6">
        <w:rPr>
          <w:lang w:val="fr-FR"/>
        </w:rPr>
        <w:t xml:space="preserve"> une aide accrue aux terroristes. Certains d</w:t>
      </w:r>
      <w:r w:rsidR="001806A4">
        <w:rPr>
          <w:lang w:val="fr-FR"/>
        </w:rPr>
        <w:t>’</w:t>
      </w:r>
      <w:r w:rsidR="002B7BB6" w:rsidRPr="002B7BB6">
        <w:rPr>
          <w:lang w:val="fr-FR"/>
        </w:rPr>
        <w:t>entre eux avaient une carte d</w:t>
      </w:r>
      <w:r w:rsidR="001806A4">
        <w:rPr>
          <w:lang w:val="fr-FR"/>
        </w:rPr>
        <w:t>’</w:t>
      </w:r>
      <w:r w:rsidR="002B7BB6" w:rsidRPr="002B7BB6">
        <w:rPr>
          <w:lang w:val="fr-FR"/>
        </w:rPr>
        <w:t xml:space="preserve">identité israélienne et avaient engagé une procédure de regroupement familial, ce qui leur avait permis de se déplacer librement entre la Cisjordanie, Gaza et Israël. Afin de prévenir </w:t>
      </w:r>
      <w:r>
        <w:rPr>
          <w:lang w:val="fr-FR"/>
        </w:rPr>
        <w:t>toute menace</w:t>
      </w:r>
      <w:r w:rsidR="002B7BB6" w:rsidRPr="002B7BB6">
        <w:rPr>
          <w:lang w:val="fr-FR"/>
        </w:rPr>
        <w:t>, le Gouvernement israélien a décidé de suspendre temporairement l</w:t>
      </w:r>
      <w:r w:rsidR="001806A4">
        <w:rPr>
          <w:lang w:val="fr-FR"/>
        </w:rPr>
        <w:t>’</w:t>
      </w:r>
      <w:r w:rsidR="002B7BB6" w:rsidRPr="002B7BB6">
        <w:rPr>
          <w:lang w:val="fr-FR"/>
        </w:rPr>
        <w:t>octroi d</w:t>
      </w:r>
      <w:r>
        <w:rPr>
          <w:lang w:val="fr-FR"/>
        </w:rPr>
        <w:t>u</w:t>
      </w:r>
      <w:r w:rsidR="002B7BB6" w:rsidRPr="002B7BB6">
        <w:rPr>
          <w:lang w:val="fr-FR"/>
        </w:rPr>
        <w:t xml:space="preserve"> statut de résiden</w:t>
      </w:r>
      <w:r>
        <w:rPr>
          <w:lang w:val="fr-FR"/>
        </w:rPr>
        <w:t>t</w:t>
      </w:r>
      <w:r w:rsidR="002B7BB6" w:rsidRPr="002B7BB6">
        <w:rPr>
          <w:lang w:val="fr-FR"/>
        </w:rPr>
        <w:t xml:space="preserve"> légal en Israël </w:t>
      </w:r>
      <w:r>
        <w:rPr>
          <w:lang w:val="fr-FR"/>
        </w:rPr>
        <w:t>à cette catégorie de personnes. U</w:t>
      </w:r>
      <w:r w:rsidR="002B7BB6" w:rsidRPr="002B7BB6">
        <w:rPr>
          <w:lang w:val="fr-FR"/>
        </w:rPr>
        <w:t>ne loi</w:t>
      </w:r>
      <w:r>
        <w:rPr>
          <w:lang w:val="fr-FR"/>
        </w:rPr>
        <w:t xml:space="preserve"> a été adoptée</w:t>
      </w:r>
      <w:r w:rsidR="002B7BB6" w:rsidRPr="002B7BB6">
        <w:rPr>
          <w:lang w:val="fr-FR"/>
        </w:rPr>
        <w:t xml:space="preserve"> à cette fin</w:t>
      </w:r>
      <w:r>
        <w:rPr>
          <w:lang w:val="fr-FR"/>
        </w:rPr>
        <w:t>; elle prévoit des exemptions</w:t>
      </w:r>
      <w:r w:rsidR="002B7BB6" w:rsidRPr="002B7BB6">
        <w:rPr>
          <w:lang w:val="fr-FR"/>
        </w:rPr>
        <w:t xml:space="preserve">, notamment </w:t>
      </w:r>
      <w:r>
        <w:rPr>
          <w:lang w:val="fr-FR"/>
        </w:rPr>
        <w:t>pour</w:t>
      </w:r>
      <w:r w:rsidR="002B7BB6" w:rsidRPr="002B7BB6">
        <w:rPr>
          <w:lang w:val="fr-FR"/>
        </w:rPr>
        <w:t xml:space="preserve"> des raisons </w:t>
      </w:r>
      <w:r>
        <w:rPr>
          <w:lang w:val="fr-FR"/>
        </w:rPr>
        <w:t xml:space="preserve">médicales </w:t>
      </w:r>
      <w:r w:rsidR="002B7BB6" w:rsidRPr="002B7BB6">
        <w:rPr>
          <w:lang w:val="fr-FR"/>
        </w:rPr>
        <w:t>humanitaires</w:t>
      </w:r>
      <w:r>
        <w:rPr>
          <w:lang w:val="fr-FR"/>
        </w:rPr>
        <w:t xml:space="preserve"> ou </w:t>
      </w:r>
      <w:r w:rsidR="002B7BB6" w:rsidRPr="002B7BB6">
        <w:rPr>
          <w:lang w:val="fr-FR"/>
        </w:rPr>
        <w:t>liées à l</w:t>
      </w:r>
      <w:r w:rsidR="001806A4">
        <w:rPr>
          <w:lang w:val="fr-FR"/>
        </w:rPr>
        <w:t>’</w:t>
      </w:r>
      <w:r w:rsidR="002B7BB6" w:rsidRPr="002B7BB6">
        <w:rPr>
          <w:lang w:val="fr-FR"/>
        </w:rPr>
        <w:t xml:space="preserve">emploi ou </w:t>
      </w:r>
      <w:r>
        <w:rPr>
          <w:lang w:val="fr-FR"/>
        </w:rPr>
        <w:t xml:space="preserve">pour </w:t>
      </w:r>
      <w:r w:rsidR="002B7BB6" w:rsidRPr="002B7BB6">
        <w:rPr>
          <w:lang w:val="fr-FR"/>
        </w:rPr>
        <w:t>d</w:t>
      </w:r>
      <w:r w:rsidR="001806A4">
        <w:rPr>
          <w:lang w:val="fr-FR"/>
        </w:rPr>
        <w:t>’</w:t>
      </w:r>
      <w:r w:rsidR="002B7BB6" w:rsidRPr="002B7BB6">
        <w:rPr>
          <w:lang w:val="fr-FR"/>
        </w:rPr>
        <w:t>autres motifs temporaires</w:t>
      </w:r>
      <w:r>
        <w:rPr>
          <w:lang w:val="fr-FR"/>
        </w:rPr>
        <w:t>,</w:t>
      </w:r>
      <w:r w:rsidR="002B7BB6" w:rsidRPr="002B7BB6">
        <w:rPr>
          <w:lang w:val="fr-FR"/>
        </w:rPr>
        <w:t xml:space="preserve"> pour une période pouvant aller jusqu</w:t>
      </w:r>
      <w:r w:rsidR="001806A4">
        <w:rPr>
          <w:lang w:val="fr-FR"/>
        </w:rPr>
        <w:t>’</w:t>
      </w:r>
      <w:r w:rsidR="002B7BB6" w:rsidRPr="002B7BB6">
        <w:rPr>
          <w:lang w:val="fr-FR"/>
        </w:rPr>
        <w:t xml:space="preserve">à six mois. La loi </w:t>
      </w:r>
      <w:r>
        <w:rPr>
          <w:lang w:val="fr-FR"/>
        </w:rPr>
        <w:t xml:space="preserve">dispose </w:t>
      </w:r>
      <w:r w:rsidR="002B7BB6" w:rsidRPr="002B7BB6">
        <w:rPr>
          <w:lang w:val="fr-FR"/>
        </w:rPr>
        <w:t>qu</w:t>
      </w:r>
      <w:r w:rsidR="001806A4">
        <w:rPr>
          <w:lang w:val="fr-FR"/>
        </w:rPr>
        <w:t>’</w:t>
      </w:r>
      <w:r w:rsidR="002B7BB6" w:rsidRPr="002B7BB6">
        <w:rPr>
          <w:lang w:val="fr-FR"/>
        </w:rPr>
        <w:t>une demande peut être refusée si le Ministre de l</w:t>
      </w:r>
      <w:r w:rsidR="001806A4">
        <w:rPr>
          <w:lang w:val="fr-FR"/>
        </w:rPr>
        <w:t>’</w:t>
      </w:r>
      <w:r w:rsidR="002B7BB6" w:rsidRPr="002B7BB6">
        <w:rPr>
          <w:lang w:val="fr-FR"/>
        </w:rPr>
        <w:t xml:space="preserve">intérieur constate </w:t>
      </w:r>
      <w:r>
        <w:rPr>
          <w:lang w:val="fr-FR"/>
        </w:rPr>
        <w:t>que</w:t>
      </w:r>
      <w:r w:rsidR="002B7BB6" w:rsidRPr="002B7BB6">
        <w:rPr>
          <w:lang w:val="fr-FR"/>
        </w:rPr>
        <w:t xml:space="preserve"> la sécurité</w:t>
      </w:r>
      <w:r>
        <w:rPr>
          <w:lang w:val="fr-FR"/>
        </w:rPr>
        <w:t xml:space="preserve"> est menacée.</w:t>
      </w:r>
      <w:r w:rsidR="002B7BB6" w:rsidRPr="002B7BB6">
        <w:rPr>
          <w:lang w:val="fr-FR"/>
        </w:rPr>
        <w:t xml:space="preserve"> </w:t>
      </w:r>
      <w:r w:rsidR="00C6116B" w:rsidRPr="00C6116B">
        <w:t>D</w:t>
      </w:r>
      <w:r w:rsidR="00C6116B" w:rsidRPr="002226D4">
        <w:t>epuis septembre 2005, 632</w:t>
      </w:r>
      <w:r w:rsidR="00C6116B">
        <w:t xml:space="preserve"> </w:t>
      </w:r>
      <w:r w:rsidR="00C6116B" w:rsidRPr="002226D4">
        <w:t xml:space="preserve">demandes de regroupement familial ont été rejetées </w:t>
      </w:r>
      <w:r w:rsidR="00C6116B">
        <w:t>au motif</w:t>
      </w:r>
      <w:r w:rsidR="00C6116B" w:rsidRPr="002226D4">
        <w:t xml:space="preserve"> que le demandeur était un terroriste, </w:t>
      </w:r>
      <w:r w:rsidR="00C6116B">
        <w:t xml:space="preserve">était </w:t>
      </w:r>
      <w:r w:rsidR="00C6116B" w:rsidRPr="002226D4">
        <w:t>membre d</w:t>
      </w:r>
      <w:r w:rsidR="00C6116B">
        <w:t>’</w:t>
      </w:r>
      <w:r w:rsidR="00C6116B" w:rsidRPr="002226D4">
        <w:t xml:space="preserve">une organisation terroriste, </w:t>
      </w:r>
      <w:r w:rsidR="00C6116B">
        <w:t>était</w:t>
      </w:r>
      <w:r w:rsidR="00C6116B" w:rsidRPr="002226D4">
        <w:t xml:space="preserve"> lié à une organisation terroriste ou aidant une organisation terroriste, ou </w:t>
      </w:r>
      <w:r w:rsidR="00C6116B">
        <w:t>était</w:t>
      </w:r>
      <w:r w:rsidR="00C6116B" w:rsidRPr="002226D4">
        <w:t xml:space="preserve"> en contact avec un membre d</w:t>
      </w:r>
      <w:r w:rsidR="00C6116B">
        <w:t>’</w:t>
      </w:r>
      <w:r w:rsidR="00C6116B" w:rsidRPr="002226D4">
        <w:t>une organisation terroriste.</w:t>
      </w:r>
    </w:p>
    <w:p w:rsidR="00C6116B" w:rsidRPr="002226D4" w:rsidRDefault="00C6116B" w:rsidP="00C6116B">
      <w:pPr>
        <w:pStyle w:val="SingleTxtG"/>
      </w:pPr>
      <w:r>
        <w:t>10.</w:t>
      </w:r>
      <w:r>
        <w:tab/>
        <w:t>L</w:t>
      </w:r>
      <w:r w:rsidRPr="002226D4">
        <w:t xml:space="preserve">e mariage civil est reconnu par la Cour suprême depuis 2006 sur la base du droit privé international. </w:t>
      </w:r>
      <w:r>
        <w:t>M</w:t>
      </w:r>
      <w:r w:rsidRPr="00D91DA2">
        <w:rPr>
          <w:vertAlign w:val="superscript"/>
        </w:rPr>
        <w:t>me</w:t>
      </w:r>
      <w:r w:rsidRPr="002226D4">
        <w:t xml:space="preserve"> Shmueli </w:t>
      </w:r>
      <w:r w:rsidRPr="006414A4">
        <w:t>précise</w:t>
      </w:r>
      <w:r w:rsidRPr="002226D4">
        <w:t xml:space="preserve"> que le mariage de personnes du même sexe peut être enregistré si le mariage a été prononcé dans un pays </w:t>
      </w:r>
      <w:r>
        <w:t>qui l’</w:t>
      </w:r>
      <w:r w:rsidRPr="002226D4">
        <w:t>autoris</w:t>
      </w:r>
      <w:r>
        <w:t>e</w:t>
      </w:r>
      <w:r w:rsidRPr="002226D4">
        <w:t>. Les couples n</w:t>
      </w:r>
      <w:r>
        <w:t>’</w:t>
      </w:r>
      <w:r w:rsidRPr="002226D4">
        <w:t>ayant pas d</w:t>
      </w:r>
      <w:r>
        <w:t>’</w:t>
      </w:r>
      <w:r w:rsidRPr="002226D4">
        <w:t xml:space="preserve">affiliation religieuse peuvent demander à être inscrits au registre </w:t>
      </w:r>
      <w:r>
        <w:t xml:space="preserve">conjugal </w:t>
      </w:r>
      <w:r w:rsidRPr="002226D4">
        <w:t>comme couple ayant conclu un pacte conjugal</w:t>
      </w:r>
      <w:r>
        <w:t>, c’est-à-dire</w:t>
      </w:r>
      <w:r w:rsidRPr="002226D4">
        <w:t xml:space="preserve"> s</w:t>
      </w:r>
      <w:r>
        <w:t>’</w:t>
      </w:r>
      <w:r w:rsidRPr="002226D4">
        <w:t>engage</w:t>
      </w:r>
      <w:r>
        <w:t>a</w:t>
      </w:r>
      <w:r w:rsidRPr="002226D4">
        <w:t>nt à vivre ensemble et à fonder une famille.</w:t>
      </w:r>
      <w:r>
        <w:t xml:space="preserve"> </w:t>
      </w:r>
      <w:r w:rsidRPr="002226D4">
        <w:t>Les demandes de divorce émanent autant d</w:t>
      </w:r>
      <w:r>
        <w:t>’</w:t>
      </w:r>
      <w:r w:rsidRPr="002226D4">
        <w:t xml:space="preserve">hommes que de femmes. Il incombe aux tribunaux rabbiniques et aux tribunaux des affaires familiales de prononcer le divorce et de statuer sur le mode de garde, le droit de visite et toutes les dispositions </w:t>
      </w:r>
      <w:r w:rsidRPr="00146A19">
        <w:t>nécessaires</w:t>
      </w:r>
      <w:r w:rsidRPr="002226D4">
        <w:t xml:space="preserve">, après avoir entendu les deux parties. </w:t>
      </w:r>
      <w:r>
        <w:t xml:space="preserve">Des </w:t>
      </w:r>
      <w:r w:rsidRPr="002226D4">
        <w:t xml:space="preserve">psychologues et travailleurs sociaux, ainsi que des agents des services sociaux, accompagnent les familles tout au long de ce processus. </w:t>
      </w:r>
      <w:r>
        <w:t>M</w:t>
      </w:r>
      <w:r w:rsidRPr="00D91DA2">
        <w:rPr>
          <w:vertAlign w:val="superscript"/>
        </w:rPr>
        <w:t>me</w:t>
      </w:r>
      <w:r w:rsidRPr="002226D4">
        <w:t xml:space="preserve"> Shmueli insiste sur le fait qu</w:t>
      </w:r>
      <w:r>
        <w:t>’</w:t>
      </w:r>
      <w:r w:rsidRPr="002226D4">
        <w:t>aucun texte n</w:t>
      </w:r>
      <w:r>
        <w:t>’</w:t>
      </w:r>
      <w:r w:rsidRPr="002226D4">
        <w:t>interdit à un parent de quitter le territoire. En revanche, le tribunal peut délivrer une ordonnance empêchant l</w:t>
      </w:r>
      <w:r>
        <w:t>’</w:t>
      </w:r>
      <w:r w:rsidRPr="002226D4">
        <w:t>un des parents de quitter le territoire jusqu</w:t>
      </w:r>
      <w:r>
        <w:t>’</w:t>
      </w:r>
      <w:r w:rsidRPr="002226D4">
        <w:t xml:space="preserve">à ce que tous les détails relatifs </w:t>
      </w:r>
      <w:r>
        <w:t xml:space="preserve">notamment </w:t>
      </w:r>
      <w:r w:rsidRPr="002226D4">
        <w:t>à la garde des enfants ou au versement de la pension</w:t>
      </w:r>
      <w:r>
        <w:t xml:space="preserve"> </w:t>
      </w:r>
      <w:r w:rsidRPr="002226D4">
        <w:t>soient réglés.</w:t>
      </w:r>
    </w:p>
    <w:p w:rsidR="00C6116B" w:rsidRPr="002226D4" w:rsidRDefault="00C6116B" w:rsidP="00C6116B">
      <w:pPr>
        <w:pStyle w:val="SingleTxtG"/>
      </w:pPr>
      <w:r>
        <w:t>11.</w:t>
      </w:r>
      <w:r w:rsidRPr="002226D4">
        <w:tab/>
      </w:r>
      <w:r w:rsidRPr="002226D4">
        <w:rPr>
          <w:b/>
        </w:rPr>
        <w:t>M. Mirkin</w:t>
      </w:r>
      <w:r w:rsidRPr="002226D4">
        <w:t xml:space="preserve"> (Israël) explique </w:t>
      </w:r>
      <w:r>
        <w:t>que l</w:t>
      </w:r>
      <w:r w:rsidRPr="002226D4">
        <w:t>a plupart des quelque 12 000 divorces prononcés chaque année aboutissent à un accord à l</w:t>
      </w:r>
      <w:r>
        <w:t>’</w:t>
      </w:r>
      <w:r w:rsidRPr="002226D4">
        <w:t xml:space="preserve">amiable. La redistribution des rôles au sein de la famille </w:t>
      </w:r>
      <w:r>
        <w:t xml:space="preserve">constatée au cours des </w:t>
      </w:r>
      <w:r w:rsidRPr="002226D4">
        <w:t>dix dernières années a notamment entraîné une augmentation du nombre de recommandations en faveur de la garde partagée (778 en 2010 contre 309 en 2009). Le</w:t>
      </w:r>
      <w:r>
        <w:t xml:space="preserve"> </w:t>
      </w:r>
      <w:r w:rsidRPr="002226D4">
        <w:t xml:space="preserve">Ministère </w:t>
      </w:r>
      <w:r>
        <w:t xml:space="preserve">des affaires et services sociaux </w:t>
      </w:r>
      <w:r w:rsidRPr="002226D4">
        <w:t xml:space="preserve">intervient </w:t>
      </w:r>
      <w:r w:rsidRPr="007117A2">
        <w:t>lorsque</w:t>
      </w:r>
      <w:r w:rsidRPr="002226D4">
        <w:t xml:space="preserve"> les parents ne parviennent pas à un accord. Il établi</w:t>
      </w:r>
      <w:r>
        <w:t>t</w:t>
      </w:r>
      <w:r w:rsidRPr="002226D4">
        <w:t xml:space="preserve"> un rapport, soumis en tant qu</w:t>
      </w:r>
      <w:r>
        <w:t>’</w:t>
      </w:r>
      <w:r w:rsidRPr="002226D4">
        <w:t>avis d</w:t>
      </w:r>
      <w:r>
        <w:t>’</w:t>
      </w:r>
      <w:r w:rsidRPr="002226D4">
        <w:t xml:space="preserve">expert au tribunal </w:t>
      </w:r>
      <w:r>
        <w:t>compétent, qui précise quels sont les besoins et l’intérêt supérieur de l’enfant</w:t>
      </w:r>
      <w:r w:rsidRPr="002226D4">
        <w:t>. Le divorce ne prive aucunement les parents de leur autorité et de leur rôle, définis dans la loi de 1962 relative à la capacité juridique et à la tutelle des enfants. Toutes les décisions concernant l</w:t>
      </w:r>
      <w:r>
        <w:t>’</w:t>
      </w:r>
      <w:r w:rsidRPr="002226D4">
        <w:t>enfant doivent être approuvées par les deux parents. En cas de désaccord, le tribunal saisi de l</w:t>
      </w:r>
      <w:r>
        <w:t>’</w:t>
      </w:r>
      <w:r w:rsidRPr="002226D4">
        <w:t>affaire statuera toujours selon l</w:t>
      </w:r>
      <w:r>
        <w:t>’</w:t>
      </w:r>
      <w:r w:rsidRPr="002226D4">
        <w:t>intérêt supérieur de l</w:t>
      </w:r>
      <w:r>
        <w:t>’</w:t>
      </w:r>
      <w:r w:rsidRPr="002226D4">
        <w:t>enfant, qui n</w:t>
      </w:r>
      <w:r>
        <w:t>’</w:t>
      </w:r>
      <w:r w:rsidRPr="002226D4">
        <w:t>est jamais privé de l</w:t>
      </w:r>
      <w:r>
        <w:t>’</w:t>
      </w:r>
      <w:r w:rsidRPr="002226D4">
        <w:t xml:space="preserve">un de ses parents. Les organisations de pères ont participé aux réunions des grandes commissions constituées sur la question </w:t>
      </w:r>
      <w:r>
        <w:t>de l’</w:t>
      </w:r>
      <w:r w:rsidRPr="002226D4">
        <w:t>après</w:t>
      </w:r>
      <w:r>
        <w:t>-</w:t>
      </w:r>
      <w:r w:rsidRPr="002226D4">
        <w:t>divorce. Rien ne permet de dire que les 150 suicides d</w:t>
      </w:r>
      <w:r>
        <w:t>’</w:t>
      </w:r>
      <w:r w:rsidRPr="002226D4">
        <w:t xml:space="preserve">hommes âgés de 25 à 65 ans qui surviennent </w:t>
      </w:r>
      <w:r w:rsidRPr="00024250">
        <w:t>chaque</w:t>
      </w:r>
      <w:r w:rsidRPr="002226D4">
        <w:t xml:space="preserve"> année en Israël sont directement liés au divorce. M. Mirkin précise que tous les hommes à l</w:t>
      </w:r>
      <w:r>
        <w:t>’</w:t>
      </w:r>
      <w:r w:rsidRPr="002226D4">
        <w:t>encontre desquels des mesures d</w:t>
      </w:r>
      <w:r>
        <w:t>’</w:t>
      </w:r>
      <w:r w:rsidRPr="002226D4">
        <w:t>éloignement ont été prononcées ne sont pas des pères.</w:t>
      </w:r>
    </w:p>
    <w:p w:rsidR="00C6116B" w:rsidRPr="002226D4" w:rsidRDefault="00C6116B" w:rsidP="00C6116B">
      <w:pPr>
        <w:pStyle w:val="SingleTxtG"/>
      </w:pPr>
      <w:r>
        <w:t>12.</w:t>
      </w:r>
      <w:r>
        <w:tab/>
      </w:r>
      <w:r w:rsidRPr="002226D4">
        <w:t>Un nouveau projet de loi sur la sécurité alimentaire est en cours d</w:t>
      </w:r>
      <w:r>
        <w:t>’</w:t>
      </w:r>
      <w:r w:rsidRPr="002226D4">
        <w:t>élaboration et 7</w:t>
      </w:r>
      <w:r>
        <w:t> </w:t>
      </w:r>
      <w:r w:rsidRPr="002226D4">
        <w:t xml:space="preserve">millions de shekels ont été alloués à </w:t>
      </w:r>
      <w:r>
        <w:t xml:space="preserve">la réalisation de cet objectif </w:t>
      </w:r>
      <w:r w:rsidRPr="002226D4">
        <w:t xml:space="preserve">dans 12 </w:t>
      </w:r>
      <w:r>
        <w:t xml:space="preserve">collectivités </w:t>
      </w:r>
      <w:r w:rsidRPr="002226D4">
        <w:t>locales. Un réseau d</w:t>
      </w:r>
      <w:r>
        <w:t>’</w:t>
      </w:r>
      <w:r w:rsidRPr="002226D4">
        <w:t xml:space="preserve">organisations non gouvernementales </w:t>
      </w:r>
      <w:r>
        <w:t xml:space="preserve">(ONG) </w:t>
      </w:r>
      <w:r w:rsidRPr="002226D4">
        <w:t xml:space="preserve">et un système informatique sont mis en place </w:t>
      </w:r>
      <w:r>
        <w:t>à cette fin</w:t>
      </w:r>
      <w:r w:rsidRPr="002226D4">
        <w:t xml:space="preserve">. Enfin, le Ministère des affaires et services sociaux suit étroitement </w:t>
      </w:r>
      <w:r>
        <w:t xml:space="preserve">la situation </w:t>
      </w:r>
      <w:r w:rsidRPr="002226D4">
        <w:t>des sans-abri.</w:t>
      </w:r>
    </w:p>
    <w:p w:rsidR="00C6116B" w:rsidRPr="002226D4" w:rsidRDefault="00C6116B" w:rsidP="00C6116B">
      <w:pPr>
        <w:pStyle w:val="SingleTxtG"/>
      </w:pPr>
      <w:r>
        <w:t>13.</w:t>
      </w:r>
      <w:r>
        <w:tab/>
      </w:r>
      <w:r w:rsidRPr="006D11F9">
        <w:rPr>
          <w:b/>
        </w:rPr>
        <w:t>M</w:t>
      </w:r>
      <w:r w:rsidRPr="006D11F9">
        <w:rPr>
          <w:b/>
          <w:vertAlign w:val="superscript"/>
        </w:rPr>
        <w:t>me</w:t>
      </w:r>
      <w:r w:rsidRPr="002226D4">
        <w:rPr>
          <w:b/>
        </w:rPr>
        <w:t xml:space="preserve"> Tene</w:t>
      </w:r>
      <w:r w:rsidRPr="002226D4">
        <w:t>-</w:t>
      </w:r>
      <w:r w:rsidRPr="002226D4">
        <w:rPr>
          <w:b/>
        </w:rPr>
        <w:t xml:space="preserve">Gilad </w:t>
      </w:r>
      <w:r w:rsidRPr="002226D4">
        <w:t>(Israël) explique que l</w:t>
      </w:r>
      <w:r>
        <w:t>’</w:t>
      </w:r>
      <w:r w:rsidRPr="002226D4">
        <w:t>article 126 du Code pénal interdit la polygamie, passible d</w:t>
      </w:r>
      <w:r>
        <w:t>’</w:t>
      </w:r>
      <w:r w:rsidRPr="002226D4">
        <w:t>une peine de prison de cinq ans, et que plusieurs ministères, notamment le Ministère de l</w:t>
      </w:r>
      <w:r>
        <w:t>’</w:t>
      </w:r>
      <w:r w:rsidRPr="002226D4">
        <w:t>éducation, s</w:t>
      </w:r>
      <w:r>
        <w:t>’</w:t>
      </w:r>
      <w:r w:rsidRPr="002226D4">
        <w:t>attaquent à ces cas, dont le nombre s</w:t>
      </w:r>
      <w:r>
        <w:t>’</w:t>
      </w:r>
      <w:r w:rsidRPr="002226D4">
        <w:t xml:space="preserve">élevait à 15 en 2010, dont huit affaires portées devant le bureau du Procureur. Par ailleurs, </w:t>
      </w:r>
      <w:r>
        <w:t>M</w:t>
      </w:r>
      <w:r>
        <w:rPr>
          <w:vertAlign w:val="superscript"/>
        </w:rPr>
        <w:t>me</w:t>
      </w:r>
      <w:r w:rsidRPr="002226D4">
        <w:t xml:space="preserve"> Tene-Gilad insiste sur le fait que les Bédouins sont des citoyens israéliens qui participent à la vie civile du pays et </w:t>
      </w:r>
      <w:r>
        <w:t xml:space="preserve">que </w:t>
      </w:r>
      <w:r w:rsidRPr="002226D4">
        <w:t>1,2</w:t>
      </w:r>
      <w:r>
        <w:t xml:space="preserve"> </w:t>
      </w:r>
      <w:r w:rsidRPr="002226D4">
        <w:t xml:space="preserve">milliard de </w:t>
      </w:r>
      <w:r w:rsidRPr="006D11F9">
        <w:t>shekels</w:t>
      </w:r>
      <w:r w:rsidRPr="002226D4">
        <w:t xml:space="preserve"> ont été récemment débloqués </w:t>
      </w:r>
      <w:r>
        <w:t xml:space="preserve">en faveur notamment du </w:t>
      </w:r>
      <w:r w:rsidRPr="002226D4">
        <w:t>développement économique</w:t>
      </w:r>
      <w:r>
        <w:t>,</w:t>
      </w:r>
      <w:r w:rsidRPr="002226D4">
        <w:t xml:space="preserve"> des infrastructures, </w:t>
      </w:r>
      <w:r>
        <w:t xml:space="preserve">de </w:t>
      </w:r>
      <w:r w:rsidRPr="002226D4">
        <w:t>l</w:t>
      </w:r>
      <w:r>
        <w:t>’</w:t>
      </w:r>
      <w:r w:rsidRPr="002226D4">
        <w:t xml:space="preserve">emploi, </w:t>
      </w:r>
      <w:r>
        <w:t xml:space="preserve">de </w:t>
      </w:r>
      <w:r w:rsidRPr="002226D4">
        <w:t xml:space="preserve">la sécurité publique, </w:t>
      </w:r>
      <w:r>
        <w:t>d</w:t>
      </w:r>
      <w:r w:rsidRPr="002226D4">
        <w:t>es établissements d</w:t>
      </w:r>
      <w:r>
        <w:t>’</w:t>
      </w:r>
      <w:r w:rsidRPr="002226D4">
        <w:t>enseignement</w:t>
      </w:r>
      <w:r>
        <w:t xml:space="preserve"> et des </w:t>
      </w:r>
      <w:r w:rsidRPr="002226D4">
        <w:t>services communautaires.</w:t>
      </w:r>
    </w:p>
    <w:p w:rsidR="00C6116B" w:rsidRPr="002226D4" w:rsidRDefault="00C6116B" w:rsidP="00C6116B">
      <w:pPr>
        <w:pStyle w:val="SingleTxtG"/>
      </w:pPr>
      <w:r>
        <w:t>14.</w:t>
      </w:r>
      <w:r>
        <w:tab/>
      </w:r>
      <w:r w:rsidRPr="002226D4">
        <w:t>Le Ministère de la justice, tout comme l</w:t>
      </w:r>
      <w:r>
        <w:t>’</w:t>
      </w:r>
      <w:r w:rsidRPr="002226D4">
        <w:t>autorité compétente dans chaque branche, examine régulièrement les contrats</w:t>
      </w:r>
      <w:r>
        <w:t xml:space="preserve"> </w:t>
      </w:r>
      <w:r w:rsidRPr="002226D4">
        <w:t xml:space="preserve">types pour empêcher </w:t>
      </w:r>
      <w:r>
        <w:t xml:space="preserve">qu’y figurent des </w:t>
      </w:r>
      <w:r w:rsidRPr="002226D4">
        <w:t>conditions de travail injustes. Les contrats</w:t>
      </w:r>
      <w:r>
        <w:t xml:space="preserve"> </w:t>
      </w:r>
      <w:r w:rsidRPr="002226D4">
        <w:t xml:space="preserve">types ne peuvent être modifiés que par le tribunal </w:t>
      </w:r>
      <w:r>
        <w:t>compétent</w:t>
      </w:r>
      <w:r w:rsidRPr="002226D4">
        <w:t xml:space="preserve">. </w:t>
      </w:r>
      <w:r>
        <w:t>M</w:t>
      </w:r>
      <w:r>
        <w:rPr>
          <w:vertAlign w:val="superscript"/>
        </w:rPr>
        <w:t>me</w:t>
      </w:r>
      <w:r w:rsidRPr="002226D4">
        <w:t xml:space="preserve"> Tene-Gilad précise que la question de la violence sexuelle et le harcèlement sexuel font l</w:t>
      </w:r>
      <w:r>
        <w:t>’</w:t>
      </w:r>
      <w:r w:rsidRPr="002226D4">
        <w:t>objet d</w:t>
      </w:r>
      <w:r>
        <w:t>’</w:t>
      </w:r>
      <w:r w:rsidRPr="002226D4">
        <w:t>une très vive attention. L</w:t>
      </w:r>
      <w:r>
        <w:t>’</w:t>
      </w:r>
      <w:r w:rsidRPr="002226D4">
        <w:t>Office pour la promotion de la condition de la femme mène des activités de sensibilisation et de formation à ces questions auprès des instances concernées et de l</w:t>
      </w:r>
      <w:r>
        <w:t>’</w:t>
      </w:r>
      <w:r w:rsidRPr="002226D4">
        <w:t>ensemble de la population. Le mariage des mineurs est un délit pénal sanctionné par une peine de deux ans de prison ou une amende. Il ne peut être autorisé par le Ministère des affaires familiales que dans certaines circonstances, par exemple si une fille de moins de 17 ans souhaite épouser l</w:t>
      </w:r>
      <w:r>
        <w:t>’</w:t>
      </w:r>
      <w:r w:rsidRPr="002226D4">
        <w:t>homme dont elle a eu un enfant.</w:t>
      </w:r>
    </w:p>
    <w:p w:rsidR="00C6116B" w:rsidRPr="002226D4" w:rsidRDefault="00C6116B" w:rsidP="00C6116B">
      <w:pPr>
        <w:pStyle w:val="SingleTxtG"/>
      </w:pPr>
      <w:r>
        <w:t>15.</w:t>
      </w:r>
      <w:r>
        <w:tab/>
      </w:r>
      <w:r w:rsidRPr="002226D4">
        <w:t xml:space="preserve">De nombreuses mesures ont été mises en place pour protéger les victimes de violence familiale, notamment </w:t>
      </w:r>
      <w:r>
        <w:t>par l’adoption d’</w:t>
      </w:r>
      <w:r w:rsidRPr="002226D4">
        <w:t xml:space="preserve">ordonnances de protection, </w:t>
      </w:r>
      <w:r>
        <w:t xml:space="preserve">par la condamnation à de longues </w:t>
      </w:r>
      <w:r w:rsidRPr="002226D4">
        <w:t xml:space="preserve">peines de prison ou </w:t>
      </w:r>
      <w:r>
        <w:t xml:space="preserve">par </w:t>
      </w:r>
      <w:r w:rsidRPr="002226D4">
        <w:t xml:space="preserve">la reconnaissance des droits des victimes, </w:t>
      </w:r>
      <w:r w:rsidRPr="004F7199">
        <w:t>pleinement</w:t>
      </w:r>
      <w:r w:rsidRPr="002226D4">
        <w:t xml:space="preserve"> associées à la procédure pénale. En 2008, plus de 2</w:t>
      </w:r>
      <w:r>
        <w:t xml:space="preserve"> </w:t>
      </w:r>
      <w:r w:rsidRPr="002226D4">
        <w:t xml:space="preserve">000 enquêtes portaient sur la violence familiale. Les policiers </w:t>
      </w:r>
      <w:r>
        <w:t xml:space="preserve">reçoivent une formation dans ce domaine, </w:t>
      </w:r>
      <w:r w:rsidRPr="002226D4">
        <w:t xml:space="preserve">en collaboration avec </w:t>
      </w:r>
      <w:r>
        <w:t xml:space="preserve">des ONG, et des </w:t>
      </w:r>
      <w:r w:rsidRPr="002226D4">
        <w:t>campagnes de sensibilisation sont menées auprès de l</w:t>
      </w:r>
      <w:r>
        <w:t>’</w:t>
      </w:r>
      <w:r w:rsidRPr="002226D4">
        <w:t xml:space="preserve">ensemble de la population. </w:t>
      </w:r>
      <w:r>
        <w:t>L</w:t>
      </w:r>
      <w:r w:rsidRPr="002226D4">
        <w:t xml:space="preserve">es femmes victimes </w:t>
      </w:r>
      <w:r>
        <w:t xml:space="preserve">de violences n’ont normalement que </w:t>
      </w:r>
      <w:r w:rsidRPr="002226D4">
        <w:t>des femmes</w:t>
      </w:r>
      <w:r>
        <w:t xml:space="preserve"> </w:t>
      </w:r>
      <w:r w:rsidRPr="002226D4">
        <w:t>policiers</w:t>
      </w:r>
      <w:r>
        <w:t xml:space="preserve"> comme interlocutrices</w:t>
      </w:r>
      <w:r w:rsidRPr="002226D4">
        <w:t xml:space="preserve">. </w:t>
      </w:r>
      <w:r>
        <w:t>U</w:t>
      </w:r>
      <w:r w:rsidRPr="002226D4">
        <w:t>ne soixantaine de centres de prévention de la violence familiale et de traitement des affaires de violence familiale</w:t>
      </w:r>
      <w:r>
        <w:t xml:space="preserve"> sont ouverts</w:t>
      </w:r>
      <w:r w:rsidRPr="002226D4">
        <w:t>. Il existe également des centres spécifiques pour la population arabe, bédouine et juive orthodoxe, ainsi que des centres pour victimes handicapées.</w:t>
      </w:r>
    </w:p>
    <w:p w:rsidR="00C6116B" w:rsidRPr="002226D4" w:rsidRDefault="00C6116B" w:rsidP="00C6116B">
      <w:pPr>
        <w:pStyle w:val="SingleTxtG"/>
      </w:pPr>
      <w:r>
        <w:t>16.</w:t>
      </w:r>
      <w:r>
        <w:tab/>
      </w:r>
      <w:r w:rsidRPr="002226D4">
        <w:t>Les cas de tourisme sexuel sont très rares et un seul cas de traite d</w:t>
      </w:r>
      <w:r>
        <w:t xml:space="preserve">’un </w:t>
      </w:r>
      <w:r w:rsidRPr="002226D4">
        <w:t xml:space="preserve">enfant âgé de 15 ans a été signalé depuis 2000. La traite est interdite par la loi depuis 2001; en 2006, une nouvelle loi </w:t>
      </w:r>
      <w:r>
        <w:t>l’</w:t>
      </w:r>
      <w:r w:rsidRPr="002226D4">
        <w:t xml:space="preserve">érigeant en infraction pénale a été adoptée. </w:t>
      </w:r>
      <w:r>
        <w:t>La</w:t>
      </w:r>
      <w:r w:rsidRPr="002226D4">
        <w:t xml:space="preserve"> peine </w:t>
      </w:r>
      <w:r>
        <w:t xml:space="preserve">encourue est </w:t>
      </w:r>
      <w:r w:rsidRPr="002226D4">
        <w:t xml:space="preserve">de </w:t>
      </w:r>
      <w:r>
        <w:t>seize</w:t>
      </w:r>
      <w:r w:rsidRPr="002226D4">
        <w:t xml:space="preserve"> à </w:t>
      </w:r>
      <w:r>
        <w:t>trente</w:t>
      </w:r>
      <w:r w:rsidRPr="002226D4">
        <w:t xml:space="preserve"> ans de prison. </w:t>
      </w:r>
      <w:r w:rsidRPr="00CA4348">
        <w:t>Entre</w:t>
      </w:r>
      <w:r w:rsidRPr="002226D4">
        <w:t xml:space="preserve"> 2003 et 2005, on recensait près de 3</w:t>
      </w:r>
      <w:r>
        <w:t xml:space="preserve"> </w:t>
      </w:r>
      <w:r w:rsidRPr="002226D4">
        <w:t>000 victimes de la traite alors que ces trois dernières années, aucun cas n</w:t>
      </w:r>
      <w:r>
        <w:t>’</w:t>
      </w:r>
      <w:r w:rsidRPr="002226D4">
        <w:t xml:space="preserve">a été signalé, ce qui montre bien que les efforts des autorités, à savoir la mise en œuvre de deux plans nationaux et la coordination des instances compétentes, ont porté leurs fruits. </w:t>
      </w:r>
      <w:r>
        <w:t>Au cours des</w:t>
      </w:r>
      <w:r w:rsidRPr="002226D4">
        <w:t xml:space="preserve"> deux dernières années, les migrantes victimes de la traite, principalement originaires de pays africains et victimes de trafiquants généralement égyptiens, sont entrés en Israël par le désert du Sinaï. L</w:t>
      </w:r>
      <w:r>
        <w:t>’</w:t>
      </w:r>
      <w:r w:rsidRPr="002226D4">
        <w:t xml:space="preserve">État </w:t>
      </w:r>
      <w:r>
        <w:t>héberge</w:t>
      </w:r>
      <w:r w:rsidRPr="002226D4">
        <w:t xml:space="preserve"> les victimes dans un refuge spécial et leur offre une aide juridictionnelle gratuite.</w:t>
      </w:r>
    </w:p>
    <w:p w:rsidR="00C6116B" w:rsidRPr="002226D4" w:rsidRDefault="00C6116B" w:rsidP="00C6116B">
      <w:pPr>
        <w:pStyle w:val="SingleTxtG"/>
      </w:pPr>
      <w:r>
        <w:t>17.</w:t>
      </w:r>
      <w:r>
        <w:tab/>
      </w:r>
      <w:r w:rsidRPr="002226D4">
        <w:rPr>
          <w:b/>
        </w:rPr>
        <w:t xml:space="preserve">M. Sadi </w:t>
      </w:r>
      <w:r w:rsidRPr="002226D4">
        <w:t>insiste sur l</w:t>
      </w:r>
      <w:r>
        <w:t>’</w:t>
      </w:r>
      <w:r w:rsidRPr="002226D4">
        <w:t>importance de la crise de l</w:t>
      </w:r>
      <w:r>
        <w:t>’</w:t>
      </w:r>
      <w:r w:rsidRPr="002226D4">
        <w:t>eau dans la bande de Gaza, à laquelle Israël a d</w:t>
      </w:r>
      <w:r>
        <w:t>’</w:t>
      </w:r>
      <w:r w:rsidRPr="002226D4">
        <w:t>une certaine manière contribué, sur la question des sources hydriques et sur la pollution de l</w:t>
      </w:r>
      <w:r>
        <w:t>’</w:t>
      </w:r>
      <w:r w:rsidRPr="002226D4">
        <w:t xml:space="preserve">aquifère de Gaza qui prive les habitants de leur droit à la </w:t>
      </w:r>
      <w:r w:rsidRPr="00C603A7">
        <w:t>pêche</w:t>
      </w:r>
      <w:r w:rsidRPr="002226D4">
        <w:t xml:space="preserve">. Il regrette que seuls </w:t>
      </w:r>
      <w:r>
        <w:t>3</w:t>
      </w:r>
      <w:r w:rsidRPr="002226D4">
        <w:t xml:space="preserve"> miles nautiques soient accordés aux pêcheurs gazaouis. Il aimerait connaître l</w:t>
      </w:r>
      <w:r>
        <w:t>’</w:t>
      </w:r>
      <w:r w:rsidRPr="002226D4">
        <w:t>objectif d</w:t>
      </w:r>
      <w:r>
        <w:t>’</w:t>
      </w:r>
      <w:r w:rsidRPr="002226D4">
        <w:t>Israël à long terme pour la zone C.</w:t>
      </w:r>
    </w:p>
    <w:p w:rsidR="00C6116B" w:rsidRDefault="00C6116B" w:rsidP="00C6116B">
      <w:pPr>
        <w:pStyle w:val="SingleTxtG"/>
      </w:pPr>
      <w:r>
        <w:t>18.</w:t>
      </w:r>
      <w:r>
        <w:tab/>
      </w:r>
      <w:r w:rsidRPr="002226D4">
        <w:rPr>
          <w:b/>
        </w:rPr>
        <w:t xml:space="preserve">M. Abdel-Moneim </w:t>
      </w:r>
      <w:r w:rsidRPr="002226D4">
        <w:t>voudrait savoir si la pauvreté, qui met en péril l</w:t>
      </w:r>
      <w:r>
        <w:t>’</w:t>
      </w:r>
      <w:r w:rsidRPr="002226D4">
        <w:t>exercice des droits économiques</w:t>
      </w:r>
      <w:r>
        <w:t>,</w:t>
      </w:r>
      <w:r w:rsidRPr="002226D4">
        <w:t xml:space="preserve"> sociaux et culturels, est le résultat de l</w:t>
      </w:r>
      <w:r>
        <w:t>’</w:t>
      </w:r>
      <w:r w:rsidRPr="002226D4">
        <w:t>absence de ressources ou d</w:t>
      </w:r>
      <w:r>
        <w:t>’</w:t>
      </w:r>
      <w:r w:rsidRPr="002226D4">
        <w:t xml:space="preserve">une mauvaise allocation des ressources. Il demande à la </w:t>
      </w:r>
      <w:r w:rsidRPr="00F12D56">
        <w:t>délégation</w:t>
      </w:r>
      <w:r w:rsidRPr="002226D4">
        <w:t xml:space="preserve"> de faire une lecture sociale des statistiques et de donner plus de précisions sur l</w:t>
      </w:r>
      <w:r>
        <w:t>’</w:t>
      </w:r>
      <w:r w:rsidRPr="002226D4">
        <w:t>imposition des revenus les plus élevés.</w:t>
      </w:r>
    </w:p>
    <w:p w:rsidR="00C6116B" w:rsidRPr="0032136E" w:rsidRDefault="00C6116B" w:rsidP="00C6116B">
      <w:pPr>
        <w:pStyle w:val="SingleTxtG"/>
        <w:rPr>
          <w:bCs/>
        </w:rPr>
      </w:pPr>
      <w:r>
        <w:t>19.</w:t>
      </w:r>
      <w:r w:rsidRPr="0032136E">
        <w:tab/>
      </w:r>
      <w:r w:rsidRPr="0032136E">
        <w:rPr>
          <w:b/>
        </w:rPr>
        <w:t>M. Schrijver</w:t>
      </w:r>
      <w:r w:rsidRPr="0032136E">
        <w:t xml:space="preserve"> (Rapporteur pour Israël)</w:t>
      </w:r>
      <w:r w:rsidRPr="0032136E">
        <w:rPr>
          <w:bCs/>
        </w:rPr>
        <w:t xml:space="preserve"> demande quels ont été les effets de la privatisation des services publics </w:t>
      </w:r>
      <w:r w:rsidRPr="0032136E">
        <w:rPr>
          <w:b/>
        </w:rPr>
        <w:t>sur</w:t>
      </w:r>
      <w:r w:rsidRPr="0032136E">
        <w:rPr>
          <w:bCs/>
        </w:rPr>
        <w:t xml:space="preserve"> la jouissance du droit à la sécurité sociale et du droit à un logement </w:t>
      </w:r>
      <w:r>
        <w:rPr>
          <w:bCs/>
        </w:rPr>
        <w:t xml:space="preserve">suffisant </w:t>
      </w:r>
      <w:r w:rsidRPr="0032136E">
        <w:rPr>
          <w:bCs/>
        </w:rPr>
        <w:t>consacrés par le Pacte.</w:t>
      </w:r>
    </w:p>
    <w:p w:rsidR="00C6116B" w:rsidRPr="0032136E" w:rsidRDefault="00C6116B" w:rsidP="00C6116B">
      <w:pPr>
        <w:pStyle w:val="SingleTxtG"/>
        <w:rPr>
          <w:bCs/>
        </w:rPr>
      </w:pPr>
      <w:r>
        <w:rPr>
          <w:bCs/>
        </w:rPr>
        <w:t>20.</w:t>
      </w:r>
      <w:r w:rsidRPr="0032136E">
        <w:rPr>
          <w:bCs/>
        </w:rPr>
        <w:tab/>
      </w:r>
      <w:r w:rsidRPr="00C17E59">
        <w:rPr>
          <w:b/>
        </w:rPr>
        <w:t>M</w:t>
      </w:r>
      <w:r w:rsidRPr="00C17E59">
        <w:rPr>
          <w:b/>
          <w:vertAlign w:val="superscript"/>
        </w:rPr>
        <w:t>me</w:t>
      </w:r>
      <w:r w:rsidRPr="0032136E">
        <w:rPr>
          <w:b/>
          <w:bCs/>
        </w:rPr>
        <w:t xml:space="preserve"> Barahona Riera</w:t>
      </w:r>
      <w:r w:rsidRPr="0032136E">
        <w:rPr>
          <w:bCs/>
        </w:rPr>
        <w:t xml:space="preserve"> voudrait savoir si la violence familiale a été érigée en infraction pénale ou si les actes violents commis au sein de la famille sont punis en application d</w:t>
      </w:r>
      <w:r>
        <w:rPr>
          <w:bCs/>
        </w:rPr>
        <w:t>’</w:t>
      </w:r>
      <w:r w:rsidRPr="0032136E">
        <w:rPr>
          <w:bCs/>
        </w:rPr>
        <w:t xml:space="preserve">autres dispositions pénales, comme le </w:t>
      </w:r>
      <w:r w:rsidRPr="00F12D56">
        <w:t>harcèlement</w:t>
      </w:r>
      <w:r w:rsidRPr="0032136E">
        <w:rPr>
          <w:bCs/>
        </w:rPr>
        <w:t xml:space="preserve"> sexuel.</w:t>
      </w:r>
    </w:p>
    <w:p w:rsidR="00C6116B" w:rsidRPr="0032136E" w:rsidRDefault="00C6116B" w:rsidP="00C6116B">
      <w:pPr>
        <w:pStyle w:val="SingleTxtG"/>
        <w:rPr>
          <w:bCs/>
        </w:rPr>
      </w:pPr>
      <w:r>
        <w:rPr>
          <w:bCs/>
        </w:rPr>
        <w:t>21.</w:t>
      </w:r>
      <w:r>
        <w:rPr>
          <w:bCs/>
        </w:rPr>
        <w:tab/>
      </w:r>
      <w:r w:rsidRPr="0032136E">
        <w:rPr>
          <w:b/>
          <w:bCs/>
        </w:rPr>
        <w:t>M. Karin</w:t>
      </w:r>
      <w:r w:rsidRPr="0032136E">
        <w:rPr>
          <w:bCs/>
        </w:rPr>
        <w:t xml:space="preserve"> (Israël) dit qu</w:t>
      </w:r>
      <w:r>
        <w:rPr>
          <w:bCs/>
        </w:rPr>
        <w:t>’</w:t>
      </w:r>
      <w:r w:rsidRPr="0032136E">
        <w:rPr>
          <w:bCs/>
        </w:rPr>
        <w:t>en 1994 l</w:t>
      </w:r>
      <w:r>
        <w:rPr>
          <w:bCs/>
        </w:rPr>
        <w:t>’</w:t>
      </w:r>
      <w:r w:rsidRPr="0032136E">
        <w:rPr>
          <w:bCs/>
        </w:rPr>
        <w:t>approvisionnement en eau de la bande de Gaza a été placé sous la responsabilité de l</w:t>
      </w:r>
      <w:r>
        <w:rPr>
          <w:bCs/>
        </w:rPr>
        <w:t>’</w:t>
      </w:r>
      <w:r w:rsidRPr="0032136E">
        <w:rPr>
          <w:bCs/>
        </w:rPr>
        <w:t>Autorité palestinienne</w:t>
      </w:r>
      <w:r>
        <w:rPr>
          <w:bCs/>
        </w:rPr>
        <w:t>,</w:t>
      </w:r>
      <w:r w:rsidRPr="0032136E">
        <w:rPr>
          <w:bCs/>
        </w:rPr>
        <w:t xml:space="preserve"> qui en a depuis lors le contrôle exclusif, de droit et de fait. L</w:t>
      </w:r>
      <w:r>
        <w:rPr>
          <w:bCs/>
        </w:rPr>
        <w:t>’</w:t>
      </w:r>
      <w:r w:rsidRPr="0032136E">
        <w:rPr>
          <w:bCs/>
        </w:rPr>
        <w:t>aquifère de la bande de Gaza étant totalement indépendant, Israël n</w:t>
      </w:r>
      <w:r>
        <w:rPr>
          <w:bCs/>
        </w:rPr>
        <w:t>’</w:t>
      </w:r>
      <w:r w:rsidRPr="0032136E">
        <w:rPr>
          <w:bCs/>
        </w:rPr>
        <w:t>exerce aucune influence de quelque nature que ce soit sur les réserves d</w:t>
      </w:r>
      <w:r>
        <w:rPr>
          <w:bCs/>
        </w:rPr>
        <w:t>’</w:t>
      </w:r>
      <w:r w:rsidRPr="0032136E">
        <w:rPr>
          <w:bCs/>
        </w:rPr>
        <w:t xml:space="preserve">eau des </w:t>
      </w:r>
      <w:r w:rsidRPr="00F12D56">
        <w:t>Palestiniens</w:t>
      </w:r>
      <w:r w:rsidRPr="0032136E">
        <w:rPr>
          <w:bCs/>
        </w:rPr>
        <w:t>, et la baisse de la qualité des eaux constatée n</w:t>
      </w:r>
      <w:r>
        <w:rPr>
          <w:bCs/>
        </w:rPr>
        <w:t>’</w:t>
      </w:r>
      <w:r w:rsidRPr="0032136E">
        <w:rPr>
          <w:bCs/>
        </w:rPr>
        <w:t>est imputable qu</w:t>
      </w:r>
      <w:r>
        <w:rPr>
          <w:bCs/>
        </w:rPr>
        <w:t>’</w:t>
      </w:r>
      <w:r w:rsidRPr="0032136E">
        <w:rPr>
          <w:bCs/>
        </w:rPr>
        <w:t>à la gestion qu</w:t>
      </w:r>
      <w:r>
        <w:rPr>
          <w:bCs/>
        </w:rPr>
        <w:t>’</w:t>
      </w:r>
      <w:r w:rsidRPr="0032136E">
        <w:rPr>
          <w:bCs/>
        </w:rPr>
        <w:t>en font les Palestiniens, en particulier aux quelque 6 000 puits creusés illégalement depuis 2005.</w:t>
      </w:r>
    </w:p>
    <w:p w:rsidR="00C6116B" w:rsidRPr="0032136E" w:rsidRDefault="00C6116B" w:rsidP="00C6116B">
      <w:pPr>
        <w:pStyle w:val="SingleTxtG"/>
        <w:rPr>
          <w:bCs/>
        </w:rPr>
      </w:pPr>
      <w:r>
        <w:rPr>
          <w:bCs/>
        </w:rPr>
        <w:t>22.</w:t>
      </w:r>
      <w:r>
        <w:rPr>
          <w:bCs/>
        </w:rPr>
        <w:tab/>
      </w:r>
      <w:r w:rsidRPr="0032136E">
        <w:rPr>
          <w:bCs/>
        </w:rPr>
        <w:t xml:space="preserve">Les eaux territoriales de la </w:t>
      </w:r>
      <w:r>
        <w:rPr>
          <w:bCs/>
        </w:rPr>
        <w:t>b</w:t>
      </w:r>
      <w:r w:rsidRPr="0032136E">
        <w:rPr>
          <w:bCs/>
        </w:rPr>
        <w:t>ande de Gaza constituent une grave menace à la sécurité d</w:t>
      </w:r>
      <w:r>
        <w:rPr>
          <w:bCs/>
        </w:rPr>
        <w:t>’</w:t>
      </w:r>
      <w:r w:rsidRPr="0032136E">
        <w:rPr>
          <w:bCs/>
        </w:rPr>
        <w:t>Israël car c</w:t>
      </w:r>
      <w:r>
        <w:rPr>
          <w:bCs/>
        </w:rPr>
        <w:t>’</w:t>
      </w:r>
      <w:r w:rsidRPr="0032136E">
        <w:rPr>
          <w:bCs/>
        </w:rPr>
        <w:t xml:space="preserve">est par là que </w:t>
      </w:r>
      <w:r w:rsidRPr="00C17E59">
        <w:t>transitent</w:t>
      </w:r>
      <w:r w:rsidRPr="0032136E">
        <w:rPr>
          <w:bCs/>
        </w:rPr>
        <w:t xml:space="preserve"> armes et terroristes. Conscient que les pêcheurs gazaouis pâtissent des limitations imposées à la navigation pour des raisons de sécurité, le Gouvernement israélien veille à appliquer systématiquement le principe de proportionnalité lorsqu</w:t>
      </w:r>
      <w:r>
        <w:rPr>
          <w:bCs/>
        </w:rPr>
        <w:t>’</w:t>
      </w:r>
      <w:r w:rsidRPr="0032136E">
        <w:rPr>
          <w:bCs/>
        </w:rPr>
        <w:t xml:space="preserve">il prend des mesures restrictives dans ce domaine. </w:t>
      </w:r>
    </w:p>
    <w:p w:rsidR="00C6116B" w:rsidRPr="0032136E" w:rsidRDefault="00C6116B" w:rsidP="00C6116B">
      <w:pPr>
        <w:pStyle w:val="SingleTxtG"/>
        <w:rPr>
          <w:bCs/>
        </w:rPr>
      </w:pPr>
      <w:r>
        <w:rPr>
          <w:bCs/>
        </w:rPr>
        <w:t>23.</w:t>
      </w:r>
      <w:r>
        <w:rPr>
          <w:bCs/>
        </w:rPr>
        <w:tab/>
      </w:r>
      <w:r w:rsidRPr="0032136E">
        <w:rPr>
          <w:b/>
          <w:bCs/>
        </w:rPr>
        <w:t>M. Mirkin</w:t>
      </w:r>
      <w:r w:rsidRPr="0032136E">
        <w:rPr>
          <w:bCs/>
        </w:rPr>
        <w:t xml:space="preserve"> (Israël) dit qu</w:t>
      </w:r>
      <w:r>
        <w:rPr>
          <w:bCs/>
        </w:rPr>
        <w:t>’</w:t>
      </w:r>
      <w:r w:rsidRPr="0032136E">
        <w:rPr>
          <w:bCs/>
        </w:rPr>
        <w:t xml:space="preserve">Israël manque cruellement de ressources et ne peut donc pas investir dans les services publics, qui sont mal gérés et ne sont plus suffisamment équipés pour offrir la qualité </w:t>
      </w:r>
      <w:r>
        <w:rPr>
          <w:bCs/>
        </w:rPr>
        <w:t xml:space="preserve">requise </w:t>
      </w:r>
      <w:r w:rsidRPr="0032136E">
        <w:rPr>
          <w:bCs/>
        </w:rPr>
        <w:t xml:space="preserve">ni répondre aux besoins de la population, ce qui explique </w:t>
      </w:r>
      <w:r>
        <w:rPr>
          <w:bCs/>
        </w:rPr>
        <w:t xml:space="preserve">la privatisation partielle d’un certain </w:t>
      </w:r>
      <w:r w:rsidRPr="0032136E">
        <w:rPr>
          <w:bCs/>
        </w:rPr>
        <w:t>nombre d</w:t>
      </w:r>
      <w:r>
        <w:rPr>
          <w:bCs/>
        </w:rPr>
        <w:t>’</w:t>
      </w:r>
      <w:r w:rsidRPr="0032136E">
        <w:rPr>
          <w:bCs/>
        </w:rPr>
        <w:t xml:space="preserve">installations sanitaires. Le Ministère des affaires sociales et des services sociaux a formulé des recommandations </w:t>
      </w:r>
      <w:r>
        <w:rPr>
          <w:bCs/>
        </w:rPr>
        <w:t xml:space="preserve">après avoir consulté des ONG </w:t>
      </w:r>
      <w:r w:rsidRPr="0032136E">
        <w:rPr>
          <w:bCs/>
        </w:rPr>
        <w:t>et d</w:t>
      </w:r>
      <w:r>
        <w:rPr>
          <w:bCs/>
        </w:rPr>
        <w:t>’</w:t>
      </w:r>
      <w:r w:rsidRPr="0032136E">
        <w:rPr>
          <w:bCs/>
        </w:rPr>
        <w:t>autres partenaires de la société civile, qui ont mis en évidence la nécessité de doter les petites communautés de services de proximité, d</w:t>
      </w:r>
      <w:r>
        <w:rPr>
          <w:bCs/>
        </w:rPr>
        <w:t>’</w:t>
      </w:r>
      <w:r w:rsidRPr="0032136E">
        <w:rPr>
          <w:bCs/>
        </w:rPr>
        <w:t>élaborer une politique d</w:t>
      </w:r>
      <w:r>
        <w:rPr>
          <w:bCs/>
        </w:rPr>
        <w:t>’</w:t>
      </w:r>
      <w:r w:rsidRPr="0032136E">
        <w:rPr>
          <w:bCs/>
        </w:rPr>
        <w:t>intervention en faveur des familles, d</w:t>
      </w:r>
      <w:r>
        <w:rPr>
          <w:bCs/>
        </w:rPr>
        <w:t>’</w:t>
      </w:r>
      <w:r w:rsidRPr="0032136E">
        <w:rPr>
          <w:bCs/>
        </w:rPr>
        <w:t>établir des normes précises en matière de prestations sociales et</w:t>
      </w:r>
      <w:r>
        <w:rPr>
          <w:bCs/>
        </w:rPr>
        <w:t>,</w:t>
      </w:r>
      <w:r w:rsidRPr="0032136E">
        <w:rPr>
          <w:bCs/>
        </w:rPr>
        <w:t xml:space="preserve"> enfin</w:t>
      </w:r>
      <w:r>
        <w:rPr>
          <w:bCs/>
        </w:rPr>
        <w:t>,</w:t>
      </w:r>
      <w:r w:rsidRPr="0032136E">
        <w:rPr>
          <w:bCs/>
        </w:rPr>
        <w:t xml:space="preserve"> d</w:t>
      </w:r>
      <w:r>
        <w:rPr>
          <w:bCs/>
        </w:rPr>
        <w:t>’</w:t>
      </w:r>
      <w:r w:rsidRPr="0032136E">
        <w:rPr>
          <w:bCs/>
        </w:rPr>
        <w:t xml:space="preserve">évaluer les résultats de la mise en œuvre des politiques et </w:t>
      </w:r>
      <w:r>
        <w:rPr>
          <w:bCs/>
        </w:rPr>
        <w:t>actions</w:t>
      </w:r>
      <w:r w:rsidRPr="0032136E">
        <w:rPr>
          <w:bCs/>
        </w:rPr>
        <w:t xml:space="preserve">. Un comité a en outre été créé pour établir une réglementation stricte applicable à la privatisation des services publics. </w:t>
      </w:r>
    </w:p>
    <w:p w:rsidR="00C6116B" w:rsidRPr="0032136E" w:rsidRDefault="00C6116B" w:rsidP="00C6116B">
      <w:pPr>
        <w:pStyle w:val="SingleTxtG"/>
        <w:rPr>
          <w:bCs/>
        </w:rPr>
      </w:pPr>
      <w:r>
        <w:rPr>
          <w:bCs/>
        </w:rPr>
        <w:t>24.</w:t>
      </w:r>
      <w:r>
        <w:rPr>
          <w:bCs/>
        </w:rPr>
        <w:tab/>
      </w:r>
      <w:r w:rsidRPr="00550546">
        <w:rPr>
          <w:b/>
          <w:bCs/>
        </w:rPr>
        <w:t>M</w:t>
      </w:r>
      <w:r w:rsidRPr="00550546">
        <w:rPr>
          <w:b/>
          <w:bCs/>
          <w:vertAlign w:val="superscript"/>
        </w:rPr>
        <w:t>me</w:t>
      </w:r>
      <w:r>
        <w:rPr>
          <w:b/>
          <w:bCs/>
          <w:vertAlign w:val="superscript"/>
        </w:rPr>
        <w:t xml:space="preserve"> </w:t>
      </w:r>
      <w:r w:rsidRPr="0032136E">
        <w:rPr>
          <w:b/>
          <w:bCs/>
        </w:rPr>
        <w:t>Tene-Gilad</w:t>
      </w:r>
      <w:r w:rsidRPr="0032136E">
        <w:rPr>
          <w:bCs/>
        </w:rPr>
        <w:t xml:space="preserve"> (Israël) dit que les actes relevant de la violence familiale ou de la violence sexuelle à l</w:t>
      </w:r>
      <w:r>
        <w:rPr>
          <w:bCs/>
        </w:rPr>
        <w:t>’</w:t>
      </w:r>
      <w:r w:rsidRPr="0032136E">
        <w:rPr>
          <w:bCs/>
        </w:rPr>
        <w:t xml:space="preserve">égard des femmes </w:t>
      </w:r>
      <w:r>
        <w:rPr>
          <w:bCs/>
        </w:rPr>
        <w:t xml:space="preserve">constituent </w:t>
      </w:r>
      <w:r w:rsidRPr="0032136E">
        <w:rPr>
          <w:bCs/>
        </w:rPr>
        <w:t xml:space="preserve">en vertu du Code pénal </w:t>
      </w:r>
      <w:r>
        <w:rPr>
          <w:bCs/>
        </w:rPr>
        <w:t>une</w:t>
      </w:r>
      <w:r w:rsidRPr="0032136E">
        <w:rPr>
          <w:bCs/>
        </w:rPr>
        <w:t xml:space="preserve"> circonstance aggravante de certains délits ou infractions. Ainsi, l</w:t>
      </w:r>
      <w:r>
        <w:rPr>
          <w:bCs/>
        </w:rPr>
        <w:t>’</w:t>
      </w:r>
      <w:r w:rsidRPr="0032136E">
        <w:rPr>
          <w:bCs/>
        </w:rPr>
        <w:t>article 351 du Code pénal relatif au viol et à la sodomie d</w:t>
      </w:r>
      <w:r>
        <w:rPr>
          <w:bCs/>
        </w:rPr>
        <w:t>’</w:t>
      </w:r>
      <w:r w:rsidRPr="0032136E">
        <w:rPr>
          <w:bCs/>
        </w:rPr>
        <w:t xml:space="preserve">un mineur porte de </w:t>
      </w:r>
      <w:r>
        <w:rPr>
          <w:bCs/>
        </w:rPr>
        <w:t>seize</w:t>
      </w:r>
      <w:r w:rsidRPr="0032136E">
        <w:rPr>
          <w:bCs/>
        </w:rPr>
        <w:t xml:space="preserve"> ans à </w:t>
      </w:r>
      <w:r>
        <w:rPr>
          <w:bCs/>
        </w:rPr>
        <w:t>vingt</w:t>
      </w:r>
      <w:r w:rsidRPr="0032136E">
        <w:rPr>
          <w:bCs/>
        </w:rPr>
        <w:t xml:space="preserve"> ans la peine d</w:t>
      </w:r>
      <w:r>
        <w:rPr>
          <w:bCs/>
        </w:rPr>
        <w:t>’</w:t>
      </w:r>
      <w:r w:rsidRPr="0032136E">
        <w:rPr>
          <w:bCs/>
        </w:rPr>
        <w:t>emprisonnement correspondante si l</w:t>
      </w:r>
      <w:r>
        <w:rPr>
          <w:bCs/>
        </w:rPr>
        <w:t>’</w:t>
      </w:r>
      <w:r w:rsidRPr="0032136E">
        <w:rPr>
          <w:bCs/>
        </w:rPr>
        <w:t>acte délictueux a été perpétré par un membre de la famille. D</w:t>
      </w:r>
      <w:r>
        <w:rPr>
          <w:bCs/>
        </w:rPr>
        <w:t>’</w:t>
      </w:r>
      <w:r w:rsidRPr="0032136E">
        <w:rPr>
          <w:bCs/>
        </w:rPr>
        <w:t>autres articles encore du Code pénal prévoient d</w:t>
      </w:r>
      <w:r>
        <w:rPr>
          <w:bCs/>
        </w:rPr>
        <w:t>’</w:t>
      </w:r>
      <w:r w:rsidRPr="0032136E">
        <w:rPr>
          <w:bCs/>
        </w:rPr>
        <w:t>alourdir la peine encourue lorsque l</w:t>
      </w:r>
      <w:r>
        <w:rPr>
          <w:bCs/>
        </w:rPr>
        <w:t>’</w:t>
      </w:r>
      <w:r w:rsidRPr="0032136E">
        <w:rPr>
          <w:bCs/>
        </w:rPr>
        <w:t>auteur d</w:t>
      </w:r>
      <w:r>
        <w:rPr>
          <w:bCs/>
        </w:rPr>
        <w:t>’</w:t>
      </w:r>
      <w:r w:rsidRPr="0032136E">
        <w:rPr>
          <w:bCs/>
        </w:rPr>
        <w:t xml:space="preserve">une infraction est un proche de la victime. </w:t>
      </w:r>
    </w:p>
    <w:p w:rsidR="00C6116B" w:rsidRPr="0032136E" w:rsidRDefault="00C6116B" w:rsidP="00C6116B">
      <w:pPr>
        <w:pStyle w:val="H4G"/>
      </w:pPr>
      <w:r>
        <w:tab/>
      </w:r>
      <w:r>
        <w:tab/>
      </w:r>
      <w:r w:rsidRPr="0032136E">
        <w:t>Articles 13 à 15 du Pacte</w:t>
      </w:r>
    </w:p>
    <w:p w:rsidR="00C6116B" w:rsidRPr="0032136E" w:rsidRDefault="00C6116B" w:rsidP="00C6116B">
      <w:pPr>
        <w:pStyle w:val="SingleTxtG"/>
        <w:rPr>
          <w:bCs/>
        </w:rPr>
      </w:pPr>
      <w:r>
        <w:rPr>
          <w:bCs/>
        </w:rPr>
        <w:t>25.</w:t>
      </w:r>
      <w:r>
        <w:rPr>
          <w:bCs/>
        </w:rPr>
        <w:tab/>
      </w:r>
      <w:r w:rsidRPr="0032136E">
        <w:rPr>
          <w:b/>
          <w:bCs/>
        </w:rPr>
        <w:t>M. Kerdoun</w:t>
      </w:r>
      <w:r w:rsidRPr="0032136E">
        <w:rPr>
          <w:bCs/>
        </w:rPr>
        <w:t xml:space="preserve"> décrit, statistiques à l</w:t>
      </w:r>
      <w:r>
        <w:rPr>
          <w:bCs/>
        </w:rPr>
        <w:t>’</w:t>
      </w:r>
      <w:r w:rsidRPr="0032136E">
        <w:rPr>
          <w:bCs/>
        </w:rPr>
        <w:t>appui, la situation alarmante des Arabes en Israël: taux de chômage très élevé, très faible niveau scolaire, très petit nombre de diplômés universitaires (sans doute dû au fait que 3</w:t>
      </w:r>
      <w:r>
        <w:rPr>
          <w:bCs/>
        </w:rPr>
        <w:t xml:space="preserve"> </w:t>
      </w:r>
      <w:r w:rsidRPr="0032136E">
        <w:rPr>
          <w:bCs/>
        </w:rPr>
        <w:t xml:space="preserve">% de la population arabe </w:t>
      </w:r>
      <w:r w:rsidRPr="00960D1C">
        <w:t>seulement</w:t>
      </w:r>
      <w:r w:rsidRPr="0032136E">
        <w:rPr>
          <w:bCs/>
        </w:rPr>
        <w:t xml:space="preserve"> entament des études universitaires, contre 9</w:t>
      </w:r>
      <w:r>
        <w:rPr>
          <w:bCs/>
        </w:rPr>
        <w:t xml:space="preserve"> </w:t>
      </w:r>
      <w:r w:rsidRPr="0032136E">
        <w:rPr>
          <w:bCs/>
        </w:rPr>
        <w:t xml:space="preserve">% de Juifs), pénurie de 9 000 </w:t>
      </w:r>
      <w:r>
        <w:rPr>
          <w:bCs/>
        </w:rPr>
        <w:t xml:space="preserve">salles de </w:t>
      </w:r>
      <w:r w:rsidRPr="0032136E">
        <w:rPr>
          <w:bCs/>
        </w:rPr>
        <w:t>classe et de 80 000 heures de classe dans le système éducatif arabe, taux d</w:t>
      </w:r>
      <w:r>
        <w:rPr>
          <w:bCs/>
        </w:rPr>
        <w:t>’</w:t>
      </w:r>
      <w:r w:rsidRPr="0032136E">
        <w:rPr>
          <w:bCs/>
        </w:rPr>
        <w:t>abandon scolaire plus de deux fois supérieur à celui des élèves juifs, nombre très élevé de personnes</w:t>
      </w:r>
      <w:r>
        <w:rPr>
          <w:bCs/>
        </w:rPr>
        <w:t xml:space="preserve"> − </w:t>
      </w:r>
      <w:r w:rsidRPr="0032136E">
        <w:rPr>
          <w:bCs/>
        </w:rPr>
        <w:t>80 000</w:t>
      </w:r>
      <w:r>
        <w:rPr>
          <w:bCs/>
        </w:rPr>
        <w:t xml:space="preserve"> − </w:t>
      </w:r>
      <w:r w:rsidRPr="0032136E">
        <w:rPr>
          <w:bCs/>
        </w:rPr>
        <w:t xml:space="preserve">vivant dans des villages non reconnus dotés </w:t>
      </w:r>
      <w:r>
        <w:rPr>
          <w:bCs/>
        </w:rPr>
        <w:t xml:space="preserve">uniquement </w:t>
      </w:r>
      <w:r w:rsidRPr="0032136E">
        <w:rPr>
          <w:bCs/>
        </w:rPr>
        <w:t>d</w:t>
      </w:r>
      <w:r>
        <w:rPr>
          <w:bCs/>
        </w:rPr>
        <w:t>’</w:t>
      </w:r>
      <w:r w:rsidRPr="0032136E">
        <w:rPr>
          <w:bCs/>
        </w:rPr>
        <w:t>écoles primaires. M.</w:t>
      </w:r>
      <w:r>
        <w:rPr>
          <w:bCs/>
        </w:rPr>
        <w:t xml:space="preserve"> </w:t>
      </w:r>
      <w:r w:rsidRPr="0032136E">
        <w:rPr>
          <w:bCs/>
        </w:rPr>
        <w:t>Kerdoun juge peu convaincante la réponse écrite de l</w:t>
      </w:r>
      <w:r>
        <w:rPr>
          <w:bCs/>
        </w:rPr>
        <w:t>’</w:t>
      </w:r>
      <w:r w:rsidRPr="0032136E">
        <w:rPr>
          <w:bCs/>
        </w:rPr>
        <w:t xml:space="preserve">État partie à la question </w:t>
      </w:r>
      <w:r w:rsidRPr="005810CD">
        <w:rPr>
          <w:bCs/>
        </w:rPr>
        <w:t>n</w:t>
      </w:r>
      <w:r w:rsidRPr="005810CD">
        <w:rPr>
          <w:bCs/>
          <w:vertAlign w:val="superscript"/>
        </w:rPr>
        <w:t>o</w:t>
      </w:r>
      <w:r>
        <w:rPr>
          <w:bCs/>
        </w:rPr>
        <w:t xml:space="preserve"> </w:t>
      </w:r>
      <w:r w:rsidRPr="0032136E">
        <w:rPr>
          <w:bCs/>
        </w:rPr>
        <w:t>32 de la liste des points à traiter selon laquelle le taux élevé d</w:t>
      </w:r>
      <w:r>
        <w:rPr>
          <w:bCs/>
        </w:rPr>
        <w:t>’</w:t>
      </w:r>
      <w:r w:rsidRPr="0032136E">
        <w:rPr>
          <w:bCs/>
        </w:rPr>
        <w:t xml:space="preserve">abandon scolaire des élèves arabes serait dû au fait que, issus de familles pauvres, ces </w:t>
      </w:r>
      <w:r>
        <w:rPr>
          <w:bCs/>
        </w:rPr>
        <w:t>enfants</w:t>
      </w:r>
      <w:r w:rsidRPr="0032136E">
        <w:rPr>
          <w:bCs/>
        </w:rPr>
        <w:t xml:space="preserve"> seraient contraints de quitter l</w:t>
      </w:r>
      <w:r>
        <w:rPr>
          <w:bCs/>
        </w:rPr>
        <w:t>’</w:t>
      </w:r>
      <w:r w:rsidRPr="0032136E">
        <w:rPr>
          <w:bCs/>
        </w:rPr>
        <w:t>école pour contribuer au revenu familial. Il met en doute l</w:t>
      </w:r>
      <w:r>
        <w:rPr>
          <w:bCs/>
        </w:rPr>
        <w:t>’</w:t>
      </w:r>
      <w:r w:rsidRPr="0032136E">
        <w:rPr>
          <w:bCs/>
        </w:rPr>
        <w:t>efficacité des mesures prises par l</w:t>
      </w:r>
      <w:r>
        <w:rPr>
          <w:bCs/>
        </w:rPr>
        <w:t>’</w:t>
      </w:r>
      <w:r w:rsidRPr="0032136E">
        <w:rPr>
          <w:bCs/>
        </w:rPr>
        <w:t>État partie pour combattre ce phénomène et demande l</w:t>
      </w:r>
      <w:r>
        <w:rPr>
          <w:bCs/>
        </w:rPr>
        <w:t>’</w:t>
      </w:r>
      <w:r w:rsidRPr="0032136E">
        <w:rPr>
          <w:bCs/>
        </w:rPr>
        <w:t>avis de la délégation israélienne</w:t>
      </w:r>
      <w:r>
        <w:rPr>
          <w:bCs/>
        </w:rPr>
        <w:t xml:space="preserve"> à ce sujet</w:t>
      </w:r>
      <w:r w:rsidRPr="0032136E">
        <w:rPr>
          <w:bCs/>
        </w:rPr>
        <w:t>. Celle-ci voudra bien en outre indiquer ce qui explique l</w:t>
      </w:r>
      <w:r>
        <w:rPr>
          <w:bCs/>
        </w:rPr>
        <w:t>’</w:t>
      </w:r>
      <w:r w:rsidRPr="0032136E">
        <w:rPr>
          <w:bCs/>
        </w:rPr>
        <w:t>écart important entre le taux d</w:t>
      </w:r>
      <w:r>
        <w:rPr>
          <w:bCs/>
        </w:rPr>
        <w:t>’</w:t>
      </w:r>
      <w:r w:rsidRPr="0032136E">
        <w:rPr>
          <w:bCs/>
        </w:rPr>
        <w:t>abandon des élèves juifs (5,4</w:t>
      </w:r>
      <w:r>
        <w:rPr>
          <w:bCs/>
        </w:rPr>
        <w:t xml:space="preserve"> </w:t>
      </w:r>
      <w:r w:rsidRPr="0032136E">
        <w:rPr>
          <w:bCs/>
        </w:rPr>
        <w:t>%) et arabes (12,5</w:t>
      </w:r>
      <w:r>
        <w:rPr>
          <w:bCs/>
        </w:rPr>
        <w:t xml:space="preserve"> </w:t>
      </w:r>
      <w:r w:rsidRPr="0032136E">
        <w:rPr>
          <w:bCs/>
        </w:rPr>
        <w:t>%) au sein de la tranche d</w:t>
      </w:r>
      <w:r>
        <w:rPr>
          <w:bCs/>
        </w:rPr>
        <w:t>’</w:t>
      </w:r>
      <w:r w:rsidRPr="0032136E">
        <w:rPr>
          <w:bCs/>
        </w:rPr>
        <w:t>âge des 15-17 ans.</w:t>
      </w:r>
    </w:p>
    <w:p w:rsidR="00C6116B" w:rsidRPr="0032136E" w:rsidRDefault="00C6116B" w:rsidP="00C6116B">
      <w:pPr>
        <w:pStyle w:val="SingleTxtG"/>
        <w:rPr>
          <w:bCs/>
        </w:rPr>
      </w:pPr>
      <w:r>
        <w:rPr>
          <w:bCs/>
        </w:rPr>
        <w:t>26.</w:t>
      </w:r>
      <w:r w:rsidRPr="0032136E">
        <w:rPr>
          <w:bCs/>
        </w:rPr>
        <w:tab/>
        <w:t xml:space="preserve">M. Kerdoun souhaiterait en outre savoir quelle suite le Gouvernement israélien a donnée à la décision de la Cour suprême lui intimant de créer dans un délai de cinq ans des établissements universitaires </w:t>
      </w:r>
      <w:r>
        <w:rPr>
          <w:bCs/>
        </w:rPr>
        <w:t>où l’</w:t>
      </w:r>
      <w:r w:rsidRPr="0032136E">
        <w:rPr>
          <w:bCs/>
        </w:rPr>
        <w:t xml:space="preserve">enseignement </w:t>
      </w:r>
      <w:r>
        <w:rPr>
          <w:bCs/>
        </w:rPr>
        <w:t xml:space="preserve">serait dispensé </w:t>
      </w:r>
      <w:r w:rsidRPr="0032136E">
        <w:rPr>
          <w:bCs/>
        </w:rPr>
        <w:t xml:space="preserve">en </w:t>
      </w:r>
      <w:r w:rsidRPr="00960D1C">
        <w:t>langue</w:t>
      </w:r>
      <w:r w:rsidRPr="0032136E">
        <w:rPr>
          <w:bCs/>
        </w:rPr>
        <w:t xml:space="preserve"> arabe, et notamment quelles mesures immédiates et provisoires </w:t>
      </w:r>
      <w:r>
        <w:rPr>
          <w:bCs/>
        </w:rPr>
        <w:t>ont été</w:t>
      </w:r>
      <w:r w:rsidRPr="0032136E">
        <w:rPr>
          <w:bCs/>
        </w:rPr>
        <w:t xml:space="preserve"> prises pour pallier ce manque dans l</w:t>
      </w:r>
      <w:r>
        <w:rPr>
          <w:bCs/>
        </w:rPr>
        <w:t>’</w:t>
      </w:r>
      <w:r w:rsidRPr="0032136E">
        <w:rPr>
          <w:bCs/>
        </w:rPr>
        <w:t>attente de l</w:t>
      </w:r>
      <w:r>
        <w:rPr>
          <w:bCs/>
        </w:rPr>
        <w:t>’</w:t>
      </w:r>
      <w:r w:rsidRPr="0032136E">
        <w:rPr>
          <w:bCs/>
        </w:rPr>
        <w:t>achèvement des travaux de construction.</w:t>
      </w:r>
      <w:r>
        <w:rPr>
          <w:bCs/>
        </w:rPr>
        <w:t xml:space="preserve"> </w:t>
      </w:r>
      <w:r w:rsidRPr="0032136E">
        <w:rPr>
          <w:bCs/>
        </w:rPr>
        <w:t xml:space="preserve">Enfin, </w:t>
      </w:r>
      <w:r>
        <w:rPr>
          <w:bCs/>
        </w:rPr>
        <w:t>il</w:t>
      </w:r>
      <w:r w:rsidRPr="0032136E">
        <w:rPr>
          <w:bCs/>
        </w:rPr>
        <w:t xml:space="preserve"> apprécierait une réponse plus claire à la question </w:t>
      </w:r>
      <w:r w:rsidRPr="005810CD">
        <w:rPr>
          <w:bCs/>
        </w:rPr>
        <w:t>n</w:t>
      </w:r>
      <w:r w:rsidRPr="005810CD">
        <w:rPr>
          <w:bCs/>
          <w:vertAlign w:val="superscript"/>
        </w:rPr>
        <w:t>o</w:t>
      </w:r>
      <w:r w:rsidRPr="0032136E">
        <w:t xml:space="preserve"> 36 de la liste des points à traiter, où il est </w:t>
      </w:r>
      <w:r w:rsidRPr="00CB17F5">
        <w:t>demandé</w:t>
      </w:r>
      <w:r w:rsidRPr="0032136E">
        <w:t xml:space="preserve"> à l</w:t>
      </w:r>
      <w:r>
        <w:t>’</w:t>
      </w:r>
      <w:r w:rsidRPr="0032136E">
        <w:t>État partie d</w:t>
      </w:r>
      <w:r>
        <w:t>’</w:t>
      </w:r>
      <w:r w:rsidRPr="0032136E">
        <w:t>indiquer les mesures prises pour garantir le droit à l</w:t>
      </w:r>
      <w:r>
        <w:t>’</w:t>
      </w:r>
      <w:r w:rsidRPr="0032136E">
        <w:t>éducation des enfants palestiniens vivant dans les territoires palestiniens occupés</w:t>
      </w:r>
      <w:r>
        <w:t>.</w:t>
      </w:r>
      <w:r w:rsidRPr="0032136E">
        <w:rPr>
          <w:bCs/>
        </w:rPr>
        <w:t xml:space="preserve"> </w:t>
      </w:r>
    </w:p>
    <w:p w:rsidR="00C6116B" w:rsidRPr="0032136E" w:rsidRDefault="00C6116B" w:rsidP="00C6116B">
      <w:pPr>
        <w:pStyle w:val="SingleTxtG"/>
        <w:rPr>
          <w:bCs/>
        </w:rPr>
      </w:pPr>
      <w:r>
        <w:rPr>
          <w:bCs/>
        </w:rPr>
        <w:t>27.</w:t>
      </w:r>
      <w:r>
        <w:rPr>
          <w:bCs/>
        </w:rPr>
        <w:tab/>
      </w:r>
      <w:r w:rsidRPr="0032136E">
        <w:rPr>
          <w:b/>
          <w:bCs/>
        </w:rPr>
        <w:t>M. Abdel-Moneim</w:t>
      </w:r>
      <w:r w:rsidRPr="0032136E">
        <w:rPr>
          <w:bCs/>
        </w:rPr>
        <w:t xml:space="preserve"> déplore que </w:t>
      </w:r>
      <w:r>
        <w:rPr>
          <w:bCs/>
        </w:rPr>
        <w:t>l</w:t>
      </w:r>
      <w:r w:rsidRPr="0032136E">
        <w:rPr>
          <w:bCs/>
        </w:rPr>
        <w:t xml:space="preserve">es grands noms des arts, de la culture, de la littérature et de la poésie </w:t>
      </w:r>
      <w:r>
        <w:rPr>
          <w:bCs/>
        </w:rPr>
        <w:t xml:space="preserve">ne soient pas mentionnés </w:t>
      </w:r>
      <w:r w:rsidRPr="0032136E">
        <w:rPr>
          <w:bCs/>
        </w:rPr>
        <w:t xml:space="preserve">dans la partie du rapport </w:t>
      </w:r>
      <w:r>
        <w:rPr>
          <w:bCs/>
        </w:rPr>
        <w:t xml:space="preserve">à l’examen </w:t>
      </w:r>
      <w:r w:rsidRPr="0032136E">
        <w:rPr>
          <w:bCs/>
        </w:rPr>
        <w:t>consacrée à la culture. Ayant lu que seuls 40</w:t>
      </w:r>
      <w:r>
        <w:rPr>
          <w:bCs/>
        </w:rPr>
        <w:t xml:space="preserve"> </w:t>
      </w:r>
      <w:r w:rsidRPr="0032136E">
        <w:rPr>
          <w:bCs/>
        </w:rPr>
        <w:t>% de</w:t>
      </w:r>
      <w:r>
        <w:rPr>
          <w:bCs/>
        </w:rPr>
        <w:t>s Juifs</w:t>
      </w:r>
      <w:r w:rsidRPr="0032136E">
        <w:rPr>
          <w:bCs/>
        </w:rPr>
        <w:t xml:space="preserve"> ont l</w:t>
      </w:r>
      <w:r>
        <w:rPr>
          <w:bCs/>
        </w:rPr>
        <w:t>’</w:t>
      </w:r>
      <w:r w:rsidRPr="0032136E">
        <w:rPr>
          <w:bCs/>
        </w:rPr>
        <w:t xml:space="preserve">hébreu comme langue maternelle, il aimerait connaître le point de vue de la délégation </w:t>
      </w:r>
      <w:r w:rsidRPr="00567DB5">
        <w:t>israélienne</w:t>
      </w:r>
      <w:r w:rsidRPr="0032136E">
        <w:rPr>
          <w:bCs/>
        </w:rPr>
        <w:t xml:space="preserve"> sur ce que d</w:t>
      </w:r>
      <w:r>
        <w:rPr>
          <w:bCs/>
        </w:rPr>
        <w:t>’</w:t>
      </w:r>
      <w:r w:rsidRPr="0032136E">
        <w:rPr>
          <w:bCs/>
        </w:rPr>
        <w:t xml:space="preserve">aucuns appellent la </w:t>
      </w:r>
      <w:r>
        <w:rPr>
          <w:bCs/>
        </w:rPr>
        <w:t>«</w:t>
      </w:r>
      <w:r w:rsidRPr="0032136E">
        <w:rPr>
          <w:bCs/>
        </w:rPr>
        <w:t>politique monocentrique de la langue</w:t>
      </w:r>
      <w:r>
        <w:rPr>
          <w:bCs/>
        </w:rPr>
        <w:t>»</w:t>
      </w:r>
      <w:r w:rsidRPr="0032136E">
        <w:rPr>
          <w:bCs/>
        </w:rPr>
        <w:t xml:space="preserve"> dans l</w:t>
      </w:r>
      <w:r>
        <w:rPr>
          <w:bCs/>
        </w:rPr>
        <w:t>’</w:t>
      </w:r>
      <w:r w:rsidRPr="0032136E">
        <w:rPr>
          <w:bCs/>
        </w:rPr>
        <w:t>État partie. Enfin, tout en reconnaissant la persistance dans le monde de l</w:t>
      </w:r>
      <w:r>
        <w:rPr>
          <w:bCs/>
        </w:rPr>
        <w:t>’</w:t>
      </w:r>
      <w:r w:rsidRPr="0032136E">
        <w:rPr>
          <w:bCs/>
        </w:rPr>
        <w:t>antisémitisme</w:t>
      </w:r>
      <w:r>
        <w:rPr>
          <w:bCs/>
        </w:rPr>
        <w:t xml:space="preserve">, qui doit </w:t>
      </w:r>
      <w:r w:rsidRPr="0032136E">
        <w:rPr>
          <w:bCs/>
        </w:rPr>
        <w:t xml:space="preserve">impérativement </w:t>
      </w:r>
      <w:r>
        <w:rPr>
          <w:bCs/>
        </w:rPr>
        <w:t xml:space="preserve">être </w:t>
      </w:r>
      <w:r w:rsidRPr="0032136E">
        <w:rPr>
          <w:bCs/>
        </w:rPr>
        <w:t>combatt</w:t>
      </w:r>
      <w:r>
        <w:rPr>
          <w:bCs/>
        </w:rPr>
        <w:t>u</w:t>
      </w:r>
      <w:r w:rsidRPr="0032136E">
        <w:rPr>
          <w:bCs/>
        </w:rPr>
        <w:t xml:space="preserve">, il </w:t>
      </w:r>
      <w:r w:rsidRPr="00011400">
        <w:t>demande</w:t>
      </w:r>
      <w:r w:rsidRPr="0032136E">
        <w:rPr>
          <w:bCs/>
        </w:rPr>
        <w:t xml:space="preserve"> </w:t>
      </w:r>
      <w:r>
        <w:rPr>
          <w:bCs/>
        </w:rPr>
        <w:t>si</w:t>
      </w:r>
      <w:r w:rsidRPr="0032136E">
        <w:rPr>
          <w:bCs/>
        </w:rPr>
        <w:t xml:space="preserve"> l</w:t>
      </w:r>
      <w:r>
        <w:rPr>
          <w:bCs/>
        </w:rPr>
        <w:t>’</w:t>
      </w:r>
      <w:r w:rsidRPr="0032136E">
        <w:rPr>
          <w:bCs/>
        </w:rPr>
        <w:t xml:space="preserve">État partie </w:t>
      </w:r>
      <w:r>
        <w:rPr>
          <w:bCs/>
        </w:rPr>
        <w:t xml:space="preserve">ne ferait pas mieux de </w:t>
      </w:r>
      <w:r w:rsidRPr="0032136E">
        <w:rPr>
          <w:bCs/>
        </w:rPr>
        <w:t>veille</w:t>
      </w:r>
      <w:r>
        <w:rPr>
          <w:bCs/>
        </w:rPr>
        <w:t>r</w:t>
      </w:r>
      <w:r w:rsidRPr="0032136E">
        <w:rPr>
          <w:bCs/>
        </w:rPr>
        <w:t xml:space="preserve"> à ce que les médias diffusent une culture de paix au lieu de perpétuer celle de la peur.</w:t>
      </w:r>
    </w:p>
    <w:p w:rsidR="00C6116B" w:rsidRDefault="00C6116B" w:rsidP="00C6116B">
      <w:pPr>
        <w:pStyle w:val="SingleTxtG"/>
        <w:rPr>
          <w:bCs/>
        </w:rPr>
      </w:pPr>
      <w:r>
        <w:t>28.</w:t>
      </w:r>
      <w:r>
        <w:tab/>
      </w:r>
      <w:r w:rsidRPr="0032136E">
        <w:rPr>
          <w:b/>
        </w:rPr>
        <w:t xml:space="preserve">M. Marchán Romero </w:t>
      </w:r>
      <w:r w:rsidRPr="0032136E">
        <w:t xml:space="preserve">rappelle que le plan Prawer, qui consiste à confisquer les terres des communautés arabes bédouines </w:t>
      </w:r>
      <w:r w:rsidRPr="00567DB5">
        <w:t>pour</w:t>
      </w:r>
      <w:r w:rsidRPr="0032136E">
        <w:t xml:space="preserve"> construire des colonies de peuplement israéliennes </w:t>
      </w:r>
      <w:r>
        <w:t xml:space="preserve">− </w:t>
      </w:r>
      <w:r w:rsidRPr="0032136E">
        <w:t xml:space="preserve">et ce, sans avoir consulté les intéressés au préalable </w:t>
      </w:r>
      <w:r>
        <w:t>−</w:t>
      </w:r>
      <w:r w:rsidRPr="0032136E">
        <w:t xml:space="preserve"> aboutira au déplacement forcé de quelque 40 000 personnes, ce qui constitue une violation flagrante du Pacte. </w:t>
      </w:r>
      <w:r>
        <w:t xml:space="preserve">Il </w:t>
      </w:r>
      <w:r w:rsidRPr="0032136E">
        <w:rPr>
          <w:bCs/>
        </w:rPr>
        <w:t>rappelle ensuite que priver un peuple autochtone de ses terres ancestrales revient à le priver de son identité, que l</w:t>
      </w:r>
      <w:r>
        <w:rPr>
          <w:bCs/>
        </w:rPr>
        <w:t>’</w:t>
      </w:r>
      <w:r w:rsidRPr="0032136E">
        <w:rPr>
          <w:bCs/>
        </w:rPr>
        <w:t>éventuelle indemnisation offerte soit matérielle (par l</w:t>
      </w:r>
      <w:r>
        <w:rPr>
          <w:bCs/>
        </w:rPr>
        <w:t>’</w:t>
      </w:r>
      <w:r w:rsidRPr="0032136E">
        <w:rPr>
          <w:bCs/>
        </w:rPr>
        <w:t>octroi d</w:t>
      </w:r>
      <w:r>
        <w:rPr>
          <w:bCs/>
        </w:rPr>
        <w:t>’</w:t>
      </w:r>
      <w:r w:rsidRPr="0032136E">
        <w:rPr>
          <w:bCs/>
        </w:rPr>
        <w:t xml:space="preserve">autres terres) ou financière. </w:t>
      </w:r>
    </w:p>
    <w:p w:rsidR="00C6116B" w:rsidRDefault="00C6116B" w:rsidP="00C6116B">
      <w:pPr>
        <w:pStyle w:val="SingleTxtG"/>
        <w:rPr>
          <w:bCs/>
        </w:rPr>
      </w:pPr>
      <w:r>
        <w:rPr>
          <w:bCs/>
        </w:rPr>
        <w:t>29.</w:t>
      </w:r>
      <w:r>
        <w:rPr>
          <w:bCs/>
        </w:rPr>
        <w:tab/>
      </w:r>
      <w:r w:rsidRPr="0032136E">
        <w:rPr>
          <w:bCs/>
        </w:rPr>
        <w:t>Notant que l</w:t>
      </w:r>
      <w:r>
        <w:rPr>
          <w:bCs/>
        </w:rPr>
        <w:t>’</w:t>
      </w:r>
      <w:r w:rsidRPr="0032136E">
        <w:rPr>
          <w:bCs/>
        </w:rPr>
        <w:t xml:space="preserve">État partie ne reconnaît pas les Bédouins comme peuple autochtone, </w:t>
      </w:r>
      <w:r w:rsidRPr="00AD05B0">
        <w:rPr>
          <w:bCs/>
        </w:rPr>
        <w:t>M.</w:t>
      </w:r>
      <w:r>
        <w:rPr>
          <w:bCs/>
        </w:rPr>
        <w:t> </w:t>
      </w:r>
      <w:r w:rsidRPr="00AD05B0">
        <w:rPr>
          <w:bCs/>
        </w:rPr>
        <w:t>Marchán Romero</w:t>
      </w:r>
      <w:r w:rsidRPr="0032136E">
        <w:rPr>
          <w:bCs/>
        </w:rPr>
        <w:t xml:space="preserve"> explique qu</w:t>
      </w:r>
      <w:r>
        <w:rPr>
          <w:bCs/>
        </w:rPr>
        <w:t>’</w:t>
      </w:r>
      <w:r w:rsidRPr="0032136E">
        <w:rPr>
          <w:bCs/>
        </w:rPr>
        <w:t>en vertu du droit à l</w:t>
      </w:r>
      <w:r>
        <w:rPr>
          <w:bCs/>
        </w:rPr>
        <w:t>’</w:t>
      </w:r>
      <w:r w:rsidRPr="0032136E">
        <w:rPr>
          <w:bCs/>
        </w:rPr>
        <w:t>autodétermination, c</w:t>
      </w:r>
      <w:r>
        <w:rPr>
          <w:bCs/>
        </w:rPr>
        <w:t>’</w:t>
      </w:r>
      <w:r w:rsidRPr="0032136E">
        <w:rPr>
          <w:bCs/>
        </w:rPr>
        <w:t xml:space="preserve">est </w:t>
      </w:r>
      <w:r w:rsidRPr="00F16568">
        <w:t>aux</w:t>
      </w:r>
      <w:r w:rsidRPr="00F16568">
        <w:rPr>
          <w:bCs/>
        </w:rPr>
        <w:t xml:space="preserve"> </w:t>
      </w:r>
      <w:r w:rsidRPr="0032136E">
        <w:rPr>
          <w:bCs/>
        </w:rPr>
        <w:t>communautés elles</w:t>
      </w:r>
      <w:r>
        <w:rPr>
          <w:bCs/>
        </w:rPr>
        <w:t>-</w:t>
      </w:r>
      <w:r w:rsidRPr="0032136E">
        <w:rPr>
          <w:bCs/>
        </w:rPr>
        <w:t>mêmes qu</w:t>
      </w:r>
      <w:r>
        <w:rPr>
          <w:bCs/>
        </w:rPr>
        <w:t>’</w:t>
      </w:r>
      <w:r w:rsidRPr="0032136E">
        <w:rPr>
          <w:bCs/>
        </w:rPr>
        <w:t>il appartient de s</w:t>
      </w:r>
      <w:r>
        <w:rPr>
          <w:bCs/>
        </w:rPr>
        <w:t>’</w:t>
      </w:r>
      <w:r w:rsidRPr="0032136E">
        <w:rPr>
          <w:bCs/>
        </w:rPr>
        <w:t>autoproclamer autochtones et de déclarer leur appartenance à leurs terres ancestrales, ajoutant que de telles communautés ne seraient pas très nombreuses dans le monde si c</w:t>
      </w:r>
      <w:r>
        <w:rPr>
          <w:bCs/>
        </w:rPr>
        <w:t>’</w:t>
      </w:r>
      <w:r w:rsidRPr="0032136E">
        <w:rPr>
          <w:bCs/>
        </w:rPr>
        <w:t>était aux États qu</w:t>
      </w:r>
      <w:r>
        <w:rPr>
          <w:bCs/>
        </w:rPr>
        <w:t>’</w:t>
      </w:r>
      <w:r w:rsidRPr="0032136E">
        <w:rPr>
          <w:bCs/>
        </w:rPr>
        <w:t xml:space="preserve">il appartenait de les reconnaître officiellement. </w:t>
      </w:r>
    </w:p>
    <w:p w:rsidR="00C6116B" w:rsidRPr="0032136E" w:rsidRDefault="00C6116B" w:rsidP="00C6116B">
      <w:pPr>
        <w:pStyle w:val="SingleTxtG"/>
        <w:rPr>
          <w:bCs/>
        </w:rPr>
      </w:pPr>
      <w:r>
        <w:rPr>
          <w:bCs/>
        </w:rPr>
        <w:t>30.</w:t>
      </w:r>
      <w:r>
        <w:rPr>
          <w:bCs/>
        </w:rPr>
        <w:tab/>
      </w:r>
      <w:r w:rsidRPr="00AD05B0">
        <w:t>M. Marchán Romero</w:t>
      </w:r>
      <w:r>
        <w:rPr>
          <w:bCs/>
        </w:rPr>
        <w:t xml:space="preserve"> </w:t>
      </w:r>
      <w:r w:rsidRPr="0032136E">
        <w:rPr>
          <w:bCs/>
        </w:rPr>
        <w:t>invite la délégation israélienne à se reporter à l</w:t>
      </w:r>
      <w:r>
        <w:rPr>
          <w:bCs/>
        </w:rPr>
        <w:t>’</w:t>
      </w:r>
      <w:r w:rsidRPr="0032136E">
        <w:rPr>
          <w:bCs/>
        </w:rPr>
        <w:t xml:space="preserve">Observation générale </w:t>
      </w:r>
      <w:r w:rsidRPr="005810CD">
        <w:rPr>
          <w:bCs/>
        </w:rPr>
        <w:t>n</w:t>
      </w:r>
      <w:r w:rsidRPr="005810CD">
        <w:rPr>
          <w:bCs/>
          <w:vertAlign w:val="superscript"/>
        </w:rPr>
        <w:t>o</w:t>
      </w:r>
      <w:r>
        <w:rPr>
          <w:bCs/>
        </w:rPr>
        <w:t xml:space="preserve"> </w:t>
      </w:r>
      <w:r w:rsidRPr="0032136E">
        <w:rPr>
          <w:bCs/>
        </w:rPr>
        <w:t xml:space="preserve">21 (2009) </w:t>
      </w:r>
      <w:r>
        <w:rPr>
          <w:bCs/>
        </w:rPr>
        <w:t xml:space="preserve">du Comité </w:t>
      </w:r>
      <w:r w:rsidRPr="0032136E">
        <w:rPr>
          <w:bCs/>
        </w:rPr>
        <w:t>sur le droit de chacun de parti</w:t>
      </w:r>
      <w:r>
        <w:rPr>
          <w:bCs/>
        </w:rPr>
        <w:t>ciper à la vie culturelle (art. </w:t>
      </w:r>
      <w:r w:rsidRPr="0032136E">
        <w:rPr>
          <w:bCs/>
        </w:rPr>
        <w:t>15, par. 1 a) du Pacte</w:t>
      </w:r>
      <w:r>
        <w:rPr>
          <w:bCs/>
        </w:rPr>
        <w:t>)</w:t>
      </w:r>
      <w:r w:rsidRPr="0032136E">
        <w:rPr>
          <w:bCs/>
        </w:rPr>
        <w:t>. Il souhaiterait enfin savoir si l</w:t>
      </w:r>
      <w:r>
        <w:rPr>
          <w:bCs/>
        </w:rPr>
        <w:t>’</w:t>
      </w:r>
      <w:r w:rsidRPr="0032136E">
        <w:rPr>
          <w:bCs/>
        </w:rPr>
        <w:t>État partie a élaboré un plan national d</w:t>
      </w:r>
      <w:r>
        <w:rPr>
          <w:bCs/>
        </w:rPr>
        <w:t>’</w:t>
      </w:r>
      <w:r w:rsidRPr="0032136E">
        <w:rPr>
          <w:bCs/>
        </w:rPr>
        <w:t>action pour promouvoir et préserver le patrimoine culturel des nombreuses minorités dont se compose le pays, et si les membres de ces minorités peuvent tous jouir, sans discrimination et dans des conditions d</w:t>
      </w:r>
      <w:r>
        <w:rPr>
          <w:bCs/>
        </w:rPr>
        <w:t>’</w:t>
      </w:r>
      <w:r w:rsidRPr="0032136E">
        <w:rPr>
          <w:bCs/>
        </w:rPr>
        <w:t xml:space="preserve">égalité, de leurs droits en vertu du Pacte. </w:t>
      </w:r>
    </w:p>
    <w:p w:rsidR="00C6116B" w:rsidRPr="0032136E" w:rsidRDefault="00C6116B" w:rsidP="00C6116B">
      <w:pPr>
        <w:pStyle w:val="SingleTxtG"/>
        <w:rPr>
          <w:bCs/>
        </w:rPr>
      </w:pPr>
      <w:r>
        <w:rPr>
          <w:bCs/>
        </w:rPr>
        <w:t>31.</w:t>
      </w:r>
      <w:r>
        <w:rPr>
          <w:bCs/>
        </w:rPr>
        <w:tab/>
      </w:r>
      <w:r w:rsidRPr="0032136E">
        <w:rPr>
          <w:b/>
          <w:bCs/>
        </w:rPr>
        <w:t>M. Sadi</w:t>
      </w:r>
      <w:r w:rsidRPr="0032136E">
        <w:rPr>
          <w:bCs/>
        </w:rPr>
        <w:t xml:space="preserve"> voudrait savoir si l</w:t>
      </w:r>
      <w:r>
        <w:rPr>
          <w:bCs/>
        </w:rPr>
        <w:t>’</w:t>
      </w:r>
      <w:r w:rsidRPr="0032136E">
        <w:rPr>
          <w:bCs/>
        </w:rPr>
        <w:t>État partie envisage de mettre en place un système scolaire d</w:t>
      </w:r>
      <w:r>
        <w:rPr>
          <w:bCs/>
        </w:rPr>
        <w:t>’</w:t>
      </w:r>
      <w:r w:rsidRPr="0032136E">
        <w:rPr>
          <w:bCs/>
        </w:rPr>
        <w:t xml:space="preserve">intégration qui mette fin à la </w:t>
      </w:r>
      <w:r w:rsidRPr="005969F3">
        <w:t>séparation</w:t>
      </w:r>
      <w:r w:rsidRPr="0032136E">
        <w:rPr>
          <w:bCs/>
        </w:rPr>
        <w:t xml:space="preserve"> des élèves arabes et juifs et soit un vecteur de réconciliation, de compréhension mutuelle et de paix. </w:t>
      </w:r>
    </w:p>
    <w:p w:rsidR="00C6116B" w:rsidRPr="0032136E" w:rsidRDefault="00C6116B" w:rsidP="00C6116B">
      <w:pPr>
        <w:pStyle w:val="SingleTxtG"/>
        <w:rPr>
          <w:bCs/>
        </w:rPr>
      </w:pPr>
      <w:r>
        <w:rPr>
          <w:bCs/>
        </w:rPr>
        <w:t>32.</w:t>
      </w:r>
      <w:r>
        <w:rPr>
          <w:bCs/>
        </w:rPr>
        <w:tab/>
      </w:r>
      <w:r w:rsidRPr="0032136E">
        <w:rPr>
          <w:b/>
          <w:bCs/>
        </w:rPr>
        <w:t>M. Lenk</w:t>
      </w:r>
      <w:r w:rsidRPr="0032136E">
        <w:rPr>
          <w:bCs/>
        </w:rPr>
        <w:t xml:space="preserve"> (Israël) dit que l</w:t>
      </w:r>
      <w:r>
        <w:rPr>
          <w:bCs/>
        </w:rPr>
        <w:t>’</w:t>
      </w:r>
      <w:r w:rsidRPr="0032136E">
        <w:rPr>
          <w:bCs/>
        </w:rPr>
        <w:t>État d</w:t>
      </w:r>
      <w:r>
        <w:rPr>
          <w:bCs/>
        </w:rPr>
        <w:t>’</w:t>
      </w:r>
      <w:r w:rsidRPr="0032136E">
        <w:rPr>
          <w:bCs/>
        </w:rPr>
        <w:t>Israël fait tout ce qui est en son pouvoir pour intégrer les Bédouins au sein de la société, ce dont l</w:t>
      </w:r>
      <w:r>
        <w:rPr>
          <w:bCs/>
        </w:rPr>
        <w:t>’</w:t>
      </w:r>
      <w:r w:rsidRPr="0032136E">
        <w:rPr>
          <w:bCs/>
        </w:rPr>
        <w:t xml:space="preserve">État a </w:t>
      </w:r>
      <w:r w:rsidRPr="005969F3">
        <w:t>tout</w:t>
      </w:r>
      <w:r w:rsidRPr="0032136E">
        <w:rPr>
          <w:bCs/>
        </w:rPr>
        <w:t xml:space="preserve"> à gagner. </w:t>
      </w:r>
    </w:p>
    <w:p w:rsidR="00C6116B" w:rsidRPr="0032136E" w:rsidRDefault="00C6116B" w:rsidP="00C6116B">
      <w:pPr>
        <w:pStyle w:val="SingleTxtG"/>
        <w:rPr>
          <w:bCs/>
        </w:rPr>
      </w:pPr>
      <w:r>
        <w:rPr>
          <w:bCs/>
        </w:rPr>
        <w:t>33.</w:t>
      </w:r>
      <w:r>
        <w:rPr>
          <w:bCs/>
        </w:rPr>
        <w:tab/>
      </w:r>
      <w:r w:rsidRPr="0032136E">
        <w:rPr>
          <w:b/>
          <w:bCs/>
        </w:rPr>
        <w:t>M. Karin</w:t>
      </w:r>
      <w:r w:rsidRPr="0032136E">
        <w:rPr>
          <w:bCs/>
        </w:rPr>
        <w:t xml:space="preserve"> (Israël) dit que, depuis quinze ans, c</w:t>
      </w:r>
      <w:r>
        <w:rPr>
          <w:bCs/>
        </w:rPr>
        <w:t>’</w:t>
      </w:r>
      <w:r w:rsidRPr="0032136E">
        <w:rPr>
          <w:bCs/>
        </w:rPr>
        <w:t>est à l</w:t>
      </w:r>
      <w:r>
        <w:rPr>
          <w:bCs/>
        </w:rPr>
        <w:t>’</w:t>
      </w:r>
      <w:r w:rsidRPr="0032136E">
        <w:rPr>
          <w:bCs/>
        </w:rPr>
        <w:t>Autorité palestinienne qu</w:t>
      </w:r>
      <w:r>
        <w:rPr>
          <w:bCs/>
        </w:rPr>
        <w:t>’</w:t>
      </w:r>
      <w:r w:rsidRPr="0032136E">
        <w:rPr>
          <w:bCs/>
        </w:rPr>
        <w:t>il appartient de définir les politiques de l</w:t>
      </w:r>
      <w:r>
        <w:rPr>
          <w:bCs/>
        </w:rPr>
        <w:t>’</w:t>
      </w:r>
      <w:r w:rsidRPr="0032136E">
        <w:rPr>
          <w:bCs/>
        </w:rPr>
        <w:t>éducation, de nommer les enseignants et d</w:t>
      </w:r>
      <w:r>
        <w:rPr>
          <w:bCs/>
        </w:rPr>
        <w:t>’</w:t>
      </w:r>
      <w:r w:rsidRPr="0032136E">
        <w:rPr>
          <w:bCs/>
        </w:rPr>
        <w:t xml:space="preserve">élaborer les programmes et manuels scolaires dans la bande de Gaza. Il pense ne pas se tromper en </w:t>
      </w:r>
      <w:r w:rsidRPr="005969F3">
        <w:t>avançant</w:t>
      </w:r>
      <w:r w:rsidRPr="0032136E">
        <w:rPr>
          <w:bCs/>
        </w:rPr>
        <w:t xml:space="preserve"> que les membres du Comité ne souhaiteraient sans doute pas que ces responsabilités soient confiées à l</w:t>
      </w:r>
      <w:r>
        <w:rPr>
          <w:bCs/>
        </w:rPr>
        <w:t>’</w:t>
      </w:r>
      <w:r w:rsidRPr="0032136E">
        <w:rPr>
          <w:bCs/>
        </w:rPr>
        <w:t>Administration militaire de la bande de Gaza. Il insiste sur le fait qu</w:t>
      </w:r>
      <w:r>
        <w:rPr>
          <w:bCs/>
        </w:rPr>
        <w:t>’</w:t>
      </w:r>
      <w:r w:rsidRPr="0032136E">
        <w:rPr>
          <w:bCs/>
        </w:rPr>
        <w:t>Israël veille à garantir que les élèves palestiniens jouissent pleinement de leur droit à l</w:t>
      </w:r>
      <w:r>
        <w:rPr>
          <w:bCs/>
        </w:rPr>
        <w:t>’</w:t>
      </w:r>
      <w:r w:rsidRPr="0032136E">
        <w:rPr>
          <w:bCs/>
        </w:rPr>
        <w:t xml:space="preserve">éducation et ne sont donc pas retenus aux points de passage dans la bande de Gaza. </w:t>
      </w:r>
    </w:p>
    <w:p w:rsidR="00C6116B" w:rsidRPr="0032136E" w:rsidRDefault="00C6116B" w:rsidP="00C6116B">
      <w:pPr>
        <w:pStyle w:val="SingleTxtG"/>
        <w:rPr>
          <w:bCs/>
        </w:rPr>
      </w:pPr>
      <w:r>
        <w:rPr>
          <w:bCs/>
        </w:rPr>
        <w:t>34.</w:t>
      </w:r>
      <w:r>
        <w:rPr>
          <w:bCs/>
        </w:rPr>
        <w:tab/>
      </w:r>
      <w:r w:rsidRPr="005969F3">
        <w:rPr>
          <w:b/>
          <w:bCs/>
        </w:rPr>
        <w:t>M</w:t>
      </w:r>
      <w:r w:rsidRPr="005969F3">
        <w:rPr>
          <w:b/>
          <w:bCs/>
          <w:vertAlign w:val="superscript"/>
        </w:rPr>
        <w:t>me</w:t>
      </w:r>
      <w:r w:rsidRPr="0032136E">
        <w:rPr>
          <w:b/>
          <w:bCs/>
        </w:rPr>
        <w:t xml:space="preserve"> Ben-Ami</w:t>
      </w:r>
      <w:r w:rsidRPr="0032136E">
        <w:rPr>
          <w:bCs/>
        </w:rPr>
        <w:t xml:space="preserve"> (Israël) dit que 38</w:t>
      </w:r>
      <w:r>
        <w:rPr>
          <w:bCs/>
        </w:rPr>
        <w:t xml:space="preserve"> </w:t>
      </w:r>
      <w:r w:rsidRPr="0032136E">
        <w:rPr>
          <w:bCs/>
        </w:rPr>
        <w:t>% des 160 projets actuellement mis en œuvre dans la bande de Gaza avec l</w:t>
      </w:r>
      <w:r>
        <w:rPr>
          <w:bCs/>
        </w:rPr>
        <w:t>’</w:t>
      </w:r>
      <w:r w:rsidRPr="0032136E">
        <w:rPr>
          <w:bCs/>
        </w:rPr>
        <w:t xml:space="preserve">aide financière de la communauté internationale </w:t>
      </w:r>
      <w:r>
        <w:rPr>
          <w:bCs/>
        </w:rPr>
        <w:t xml:space="preserve">− </w:t>
      </w:r>
      <w:r w:rsidRPr="0032136E">
        <w:rPr>
          <w:bCs/>
        </w:rPr>
        <w:t>dont l</w:t>
      </w:r>
      <w:r>
        <w:rPr>
          <w:bCs/>
        </w:rPr>
        <w:t>’</w:t>
      </w:r>
      <w:r w:rsidRPr="0032136E">
        <w:rPr>
          <w:bCs/>
        </w:rPr>
        <w:t>un des principaux donateurs est l</w:t>
      </w:r>
      <w:r>
        <w:rPr>
          <w:bCs/>
        </w:rPr>
        <w:t>’</w:t>
      </w:r>
      <w:r w:rsidRPr="0032136E">
        <w:rPr>
          <w:bCs/>
        </w:rPr>
        <w:t xml:space="preserve">Agence des </w:t>
      </w:r>
      <w:r>
        <w:rPr>
          <w:bCs/>
        </w:rPr>
        <w:t>É</w:t>
      </w:r>
      <w:r w:rsidRPr="0032136E">
        <w:rPr>
          <w:bCs/>
        </w:rPr>
        <w:t xml:space="preserve">tats-Unis pour le développement </w:t>
      </w:r>
      <w:r w:rsidRPr="005810CD">
        <w:t>international</w:t>
      </w:r>
      <w:r w:rsidRPr="0032136E">
        <w:rPr>
          <w:bCs/>
        </w:rPr>
        <w:t xml:space="preserve"> (USAID) </w:t>
      </w:r>
      <w:r>
        <w:rPr>
          <w:bCs/>
        </w:rPr>
        <w:t>−</w:t>
      </w:r>
      <w:r w:rsidRPr="0032136E">
        <w:rPr>
          <w:bCs/>
        </w:rPr>
        <w:t xml:space="preserve"> ont trait à l</w:t>
      </w:r>
      <w:r>
        <w:rPr>
          <w:bCs/>
        </w:rPr>
        <w:t>’</w:t>
      </w:r>
      <w:r w:rsidRPr="0032136E">
        <w:rPr>
          <w:bCs/>
        </w:rPr>
        <w:t>éducation, ce qui témoigne de l</w:t>
      </w:r>
      <w:r>
        <w:rPr>
          <w:bCs/>
        </w:rPr>
        <w:t>’</w:t>
      </w:r>
      <w:r w:rsidRPr="0032136E">
        <w:rPr>
          <w:bCs/>
        </w:rPr>
        <w:t xml:space="preserve">importance accordée à cette question. Dans le cadre des divers projets en cours, 42 écoles devraient être construites dans les prochaines années. </w:t>
      </w:r>
    </w:p>
    <w:p w:rsidR="00C6116B" w:rsidRPr="00C451B9" w:rsidRDefault="00C6116B" w:rsidP="00C6116B">
      <w:pPr>
        <w:pStyle w:val="SingleTxtG"/>
      </w:pPr>
      <w:r>
        <w:rPr>
          <w:bCs/>
        </w:rPr>
        <w:t>35.</w:t>
      </w:r>
      <w:r>
        <w:rPr>
          <w:bCs/>
        </w:rPr>
        <w:tab/>
      </w:r>
      <w:r w:rsidRPr="00CE11C9">
        <w:rPr>
          <w:b/>
        </w:rPr>
        <w:t>M</w:t>
      </w:r>
      <w:r w:rsidRPr="00CE11C9">
        <w:rPr>
          <w:b/>
          <w:vertAlign w:val="superscript"/>
        </w:rPr>
        <w:t>me</w:t>
      </w:r>
      <w:r w:rsidRPr="0032136E">
        <w:rPr>
          <w:b/>
          <w:bCs/>
        </w:rPr>
        <w:t xml:space="preserve"> Tene-Gilad</w:t>
      </w:r>
      <w:r w:rsidRPr="0032136E">
        <w:rPr>
          <w:bCs/>
        </w:rPr>
        <w:t xml:space="preserve"> (Israël) dit que les lycées et universités sont ouverts à tous, sans distinction de religion ou d</w:t>
      </w:r>
      <w:r>
        <w:rPr>
          <w:bCs/>
        </w:rPr>
        <w:t>’</w:t>
      </w:r>
      <w:r w:rsidRPr="0032136E">
        <w:rPr>
          <w:bCs/>
        </w:rPr>
        <w:t xml:space="preserve">appartenance ethnique. </w:t>
      </w:r>
      <w:r w:rsidRPr="0032136E">
        <w:t>Il existe déjà deux lycées dans le secteur arabe, qui offrent des cours en langue arabe ainsi qu</w:t>
      </w:r>
      <w:r>
        <w:t>’</w:t>
      </w:r>
      <w:r w:rsidRPr="0032136E">
        <w:t>un cursus spécialisé dan</w:t>
      </w:r>
      <w:r w:rsidRPr="0032136E">
        <w:rPr>
          <w:bCs/>
        </w:rPr>
        <w:t>s les questions relatives au Moyen-Orient. En 2007 a été créée à Haïfa</w:t>
      </w:r>
      <w:r>
        <w:rPr>
          <w:bCs/>
        </w:rPr>
        <w:t xml:space="preserve"> l’Académie de la langue arabe</w:t>
      </w:r>
      <w:r w:rsidRPr="0032136E">
        <w:rPr>
          <w:bCs/>
        </w:rPr>
        <w:t>, qui dispense des cours de langue</w:t>
      </w:r>
      <w:r>
        <w:rPr>
          <w:bCs/>
        </w:rPr>
        <w:t>,</w:t>
      </w:r>
      <w:r w:rsidRPr="0032136E">
        <w:rPr>
          <w:bCs/>
        </w:rPr>
        <w:t xml:space="preserve"> mène des travaux de recherche sur la langue et la culture arabes et coopère avec le Ministère de l</w:t>
      </w:r>
      <w:r>
        <w:rPr>
          <w:bCs/>
        </w:rPr>
        <w:t>’</w:t>
      </w:r>
      <w:r w:rsidRPr="0032136E">
        <w:rPr>
          <w:bCs/>
        </w:rPr>
        <w:t>éducation et d</w:t>
      </w:r>
      <w:r>
        <w:rPr>
          <w:bCs/>
        </w:rPr>
        <w:t>’</w:t>
      </w:r>
      <w:r w:rsidRPr="0032136E">
        <w:rPr>
          <w:bCs/>
        </w:rPr>
        <w:t xml:space="preserve">autres établissements universitaires, dont </w:t>
      </w:r>
      <w:r w:rsidRPr="00CE11C9">
        <w:t>l</w:t>
      </w:r>
      <w:r>
        <w:t>’</w:t>
      </w:r>
      <w:r w:rsidRPr="00CE11C9">
        <w:t>Académie</w:t>
      </w:r>
      <w:r w:rsidRPr="0032136E">
        <w:rPr>
          <w:bCs/>
        </w:rPr>
        <w:t xml:space="preserve"> de la langue hébraïque, afin de développer des synergies et d</w:t>
      </w:r>
      <w:r>
        <w:rPr>
          <w:bCs/>
        </w:rPr>
        <w:t>’</w:t>
      </w:r>
      <w:r w:rsidRPr="0032136E">
        <w:rPr>
          <w:bCs/>
        </w:rPr>
        <w:t>encourager l</w:t>
      </w:r>
      <w:r>
        <w:rPr>
          <w:bCs/>
        </w:rPr>
        <w:t>’</w:t>
      </w:r>
      <w:r w:rsidRPr="0032136E">
        <w:rPr>
          <w:bCs/>
        </w:rPr>
        <w:t>enseignement bilingue. D</w:t>
      </w:r>
      <w:r>
        <w:rPr>
          <w:bCs/>
        </w:rPr>
        <w:t>’</w:t>
      </w:r>
      <w:r w:rsidRPr="0032136E">
        <w:rPr>
          <w:bCs/>
        </w:rPr>
        <w:t>ailleurs, trois écoles mixtes ont été créées entre Jérusalem et Tel</w:t>
      </w:r>
      <w:r>
        <w:rPr>
          <w:bCs/>
        </w:rPr>
        <w:t>-</w:t>
      </w:r>
      <w:r w:rsidRPr="0032136E">
        <w:rPr>
          <w:bCs/>
        </w:rPr>
        <w:t>Aviv, où sont inscrits et se côtoient quelque 850 élèves arabes et juifs.</w:t>
      </w:r>
    </w:p>
    <w:p w:rsidR="00C6116B" w:rsidRPr="00C045D0" w:rsidRDefault="00C6116B" w:rsidP="00C6116B">
      <w:pPr>
        <w:pStyle w:val="SingleTxtG"/>
      </w:pPr>
      <w:r w:rsidRPr="00415099">
        <w:t>36.</w:t>
      </w:r>
      <w:r>
        <w:rPr>
          <w:b/>
        </w:rPr>
        <w:tab/>
        <w:t xml:space="preserve">M. </w:t>
      </w:r>
      <w:r w:rsidRPr="00C045D0">
        <w:rPr>
          <w:b/>
        </w:rPr>
        <w:t xml:space="preserve">Lenk </w:t>
      </w:r>
      <w:r w:rsidRPr="00415099">
        <w:t>(Israël)</w:t>
      </w:r>
      <w:r w:rsidRPr="00C045D0">
        <w:t xml:space="preserve"> rappelle que l</w:t>
      </w:r>
      <w:r>
        <w:t>’</w:t>
      </w:r>
      <w:r w:rsidRPr="00C045D0">
        <w:t>étude de l</w:t>
      </w:r>
      <w:r>
        <w:t>’</w:t>
      </w:r>
      <w:r w:rsidRPr="00C045D0">
        <w:t xml:space="preserve">arabe est obligatoire pour les </w:t>
      </w:r>
      <w:r>
        <w:t>I</w:t>
      </w:r>
      <w:r w:rsidRPr="00C045D0">
        <w:t>sraéliens dont l</w:t>
      </w:r>
      <w:r>
        <w:t>’</w:t>
      </w:r>
      <w:r w:rsidRPr="00C045D0">
        <w:t>hébreu est la première langue et que les élèves conservent très souvent cette matière après la fin de la période d</w:t>
      </w:r>
      <w:r>
        <w:t>’</w:t>
      </w:r>
      <w:r w:rsidRPr="00C045D0">
        <w:t xml:space="preserve">enseignement obligatoire, </w:t>
      </w:r>
      <w:r>
        <w:t>compte tenu</w:t>
      </w:r>
      <w:r w:rsidRPr="00C045D0">
        <w:t xml:space="preserve"> de l</w:t>
      </w:r>
      <w:r>
        <w:t>’</w:t>
      </w:r>
      <w:r w:rsidRPr="00C045D0">
        <w:t xml:space="preserve">importance </w:t>
      </w:r>
      <w:r>
        <w:t>que revêt pour eux la maîtrise de cette langue</w:t>
      </w:r>
      <w:r w:rsidRPr="00C045D0">
        <w:t xml:space="preserve">. </w:t>
      </w:r>
    </w:p>
    <w:p w:rsidR="00C6116B" w:rsidRDefault="00C6116B" w:rsidP="00C6116B">
      <w:pPr>
        <w:pStyle w:val="SingleTxtG"/>
      </w:pPr>
      <w:r w:rsidRPr="00415099">
        <w:t>37.</w:t>
      </w:r>
      <w:r>
        <w:rPr>
          <w:b/>
        </w:rPr>
        <w:tab/>
        <w:t xml:space="preserve">M. </w:t>
      </w:r>
      <w:r w:rsidRPr="00C045D0">
        <w:rPr>
          <w:b/>
        </w:rPr>
        <w:t xml:space="preserve">Fried </w:t>
      </w:r>
      <w:r w:rsidRPr="00415099">
        <w:t>(Israël)</w:t>
      </w:r>
      <w:r w:rsidRPr="00C045D0">
        <w:t xml:space="preserve"> précise que le Ministère de l</w:t>
      </w:r>
      <w:r>
        <w:t>’</w:t>
      </w:r>
      <w:r w:rsidRPr="00C045D0">
        <w:t xml:space="preserve">éducation alloue </w:t>
      </w:r>
      <w:r>
        <w:t>ses ressources</w:t>
      </w:r>
      <w:r w:rsidRPr="00C045D0">
        <w:t xml:space="preserve"> sans établir de discrimination en fonction du type de population, de l</w:t>
      </w:r>
      <w:r>
        <w:t>’</w:t>
      </w:r>
      <w:r w:rsidRPr="00C045D0">
        <w:t>appartenance à un groupe ethnique, de la religion ou de la nationalité. Dans certains cas, le Ministère privilégie des secteur</w:t>
      </w:r>
      <w:r>
        <w:t>s défavorisés sur le plan socio</w:t>
      </w:r>
      <w:r w:rsidRPr="00C045D0">
        <w:t xml:space="preserve">économique, parmi lesquels se trouvent les secteurs arabes et </w:t>
      </w:r>
      <w:r>
        <w:t xml:space="preserve">druses. Chaque année, environ 22 </w:t>
      </w:r>
      <w:r w:rsidRPr="00C045D0">
        <w:t xml:space="preserve">millions de dollars </w:t>
      </w:r>
      <w:r>
        <w:t xml:space="preserve">É.-U. </w:t>
      </w:r>
      <w:r w:rsidRPr="00C045D0">
        <w:t xml:space="preserve">sont consacrés à </w:t>
      </w:r>
      <w:r>
        <w:t>d</w:t>
      </w:r>
      <w:r w:rsidRPr="00C045D0">
        <w:t>e</w:t>
      </w:r>
      <w:r>
        <w:t>s</w:t>
      </w:r>
      <w:r w:rsidRPr="00C045D0">
        <w:t xml:space="preserve"> programmes d</w:t>
      </w:r>
      <w:r>
        <w:t>’</w:t>
      </w:r>
      <w:r w:rsidRPr="00C045D0">
        <w:t xml:space="preserve">éducation destinés </w:t>
      </w:r>
      <w:r>
        <w:t>aux</w:t>
      </w:r>
      <w:r w:rsidRPr="00C045D0">
        <w:t xml:space="preserve"> populations arabe</w:t>
      </w:r>
      <w:r>
        <w:t>s, druses ou circassiennes. Le G</w:t>
      </w:r>
      <w:r w:rsidRPr="00C045D0">
        <w:t xml:space="preserve">ouvernement </w:t>
      </w:r>
      <w:r>
        <w:t>s’efforce d’améliorer le niveau d’instruc</w:t>
      </w:r>
      <w:r w:rsidRPr="00C045D0">
        <w:t>tion en Israël en mettant en œuv</w:t>
      </w:r>
      <w:r>
        <w:t>re des mesures ciblées à l’intention de la population arabophone.</w:t>
      </w:r>
      <w:r w:rsidRPr="00C045D0">
        <w:t xml:space="preserve"> Des prog</w:t>
      </w:r>
      <w:r>
        <w:t xml:space="preserve">rammes permettent également de </w:t>
      </w:r>
      <w:r w:rsidRPr="00C045D0">
        <w:t xml:space="preserve">soutenir les jeunes diplômés </w:t>
      </w:r>
      <w:r>
        <w:t>qui souhaitent poursuivre leurs études ou d’aider les étudiants</w:t>
      </w:r>
      <w:r w:rsidRPr="00C045D0">
        <w:t xml:space="preserve"> qui n</w:t>
      </w:r>
      <w:r>
        <w:t>’</w:t>
      </w:r>
      <w:r w:rsidRPr="00C045D0">
        <w:t xml:space="preserve">ont pas réussi certains </w:t>
      </w:r>
      <w:r>
        <w:t>examens à obtenir leur diplôme.</w:t>
      </w:r>
      <w:r w:rsidRPr="00C045D0">
        <w:t xml:space="preserve"> </w:t>
      </w:r>
      <w:r>
        <w:t xml:space="preserve">Dans les évaluations internationales des résultats scolaires, Israël se trouve souvent en queue de classement. Le niveau d’instruction des étudiants en Israël est l’un des plus faibles des pays de l’OCDE et des disparités importantes existent au niveau national. </w:t>
      </w:r>
      <w:r w:rsidRPr="00C045D0">
        <w:t>C</w:t>
      </w:r>
      <w:r>
        <w:t>’</w:t>
      </w:r>
      <w:r w:rsidRPr="00C045D0">
        <w:t>est pourquoi Israël consacre d</w:t>
      </w:r>
      <w:r>
        <w:t>’</w:t>
      </w:r>
      <w:r w:rsidRPr="00C045D0">
        <w:t>importantes ressources à l</w:t>
      </w:r>
      <w:r>
        <w:t>’</w:t>
      </w:r>
      <w:r w:rsidRPr="00C045D0">
        <w:t xml:space="preserve">amélioration des résultats scolaires. Il est un peu tôt pour </w:t>
      </w:r>
      <w:r>
        <w:t>en mesurer l’effet</w:t>
      </w:r>
      <w:r w:rsidRPr="00C045D0">
        <w:t xml:space="preserve"> mais on a pu constater en 2011 une augmentation de 7</w:t>
      </w:r>
      <w:r>
        <w:t xml:space="preserve"> </w:t>
      </w:r>
      <w:r w:rsidRPr="00C045D0">
        <w:t xml:space="preserve">% des diplômés arabes par rapport à la période 2008-2009. </w:t>
      </w:r>
      <w:r>
        <w:t>Les</w:t>
      </w:r>
      <w:r w:rsidRPr="00C045D0">
        <w:t xml:space="preserve"> </w:t>
      </w:r>
      <w:r>
        <w:t>A</w:t>
      </w:r>
      <w:r w:rsidRPr="00C045D0">
        <w:t>rabes</w:t>
      </w:r>
      <w:r>
        <w:t xml:space="preserve"> ont de meilleurs résultats dans certaines matières</w:t>
      </w:r>
      <w:r w:rsidRPr="00C045D0">
        <w:t xml:space="preserve"> </w:t>
      </w:r>
      <w:r>
        <w:t>grâce</w:t>
      </w:r>
      <w:r w:rsidRPr="00C045D0">
        <w:t xml:space="preserve"> à l</w:t>
      </w:r>
      <w:r>
        <w:t>’</w:t>
      </w:r>
      <w:r w:rsidRPr="00C045D0">
        <w:t>accroissement des ressources</w:t>
      </w:r>
      <w:r>
        <w:t xml:space="preserve"> consacrées à cette population et aux </w:t>
      </w:r>
      <w:r w:rsidRPr="00C045D0">
        <w:t xml:space="preserve">efforts </w:t>
      </w:r>
      <w:r>
        <w:t xml:space="preserve">accomplis </w:t>
      </w:r>
      <w:r w:rsidRPr="00C045D0">
        <w:t xml:space="preserve">pour améliorer la maîtrise de </w:t>
      </w:r>
      <w:r>
        <w:t>l’arabe comme langue maternelle.</w:t>
      </w:r>
      <w:r w:rsidRPr="00C045D0">
        <w:t xml:space="preserve"> Un nouveau programme d</w:t>
      </w:r>
      <w:r>
        <w:t>’</w:t>
      </w:r>
      <w:r w:rsidRPr="00C045D0">
        <w:t>enseignemen</w:t>
      </w:r>
      <w:r>
        <w:t>t pour les crèches a été adopté et des ressources financières</w:t>
      </w:r>
      <w:r w:rsidRPr="00C045D0">
        <w:t xml:space="preserve"> sont consacré</w:t>
      </w:r>
      <w:r>
        <w:t>es à l’</w:t>
      </w:r>
      <w:r w:rsidRPr="00C045D0">
        <w:t xml:space="preserve">amélioration des compétences des enfants. </w:t>
      </w:r>
    </w:p>
    <w:p w:rsidR="00C6116B" w:rsidRPr="00C045D0" w:rsidRDefault="00C6116B" w:rsidP="00C6116B">
      <w:pPr>
        <w:pStyle w:val="SingleTxtG"/>
      </w:pPr>
      <w:r>
        <w:t>38.</w:t>
      </w:r>
      <w:r>
        <w:tab/>
      </w:r>
      <w:r w:rsidRPr="00C045D0">
        <w:t>Une grande réforme de l</w:t>
      </w:r>
      <w:r>
        <w:t>’</w:t>
      </w:r>
      <w:r w:rsidRPr="00C045D0">
        <w:t>éducation a été entreprise il y a trois ans dans l</w:t>
      </w:r>
      <w:r>
        <w:t>’</w:t>
      </w:r>
      <w:r w:rsidRPr="00C045D0">
        <w:t>enseig</w:t>
      </w:r>
      <w:r>
        <w:t>nement primaire et secondaire. L’u</w:t>
      </w:r>
      <w:r w:rsidRPr="00C045D0">
        <w:t>ne de ses principales innovations pédagogiques est la possibilité pour les élèves d</w:t>
      </w:r>
      <w:r>
        <w:t>’</w:t>
      </w:r>
      <w:r w:rsidRPr="00C045D0">
        <w:t>étudi</w:t>
      </w:r>
      <w:r>
        <w:t>er au sein de petits groupes</w:t>
      </w:r>
      <w:r w:rsidRPr="00C045D0">
        <w:t xml:space="preserve"> afin de combler leurs lacunes. Des classes ont été dédoublées pour les cours prioritaires, notamment les cours d</w:t>
      </w:r>
      <w:r>
        <w:t>’</w:t>
      </w:r>
      <w:r w:rsidRPr="00C045D0">
        <w:t>arabe. Des efforts sont faits pour améliorer les compétences des enseignants</w:t>
      </w:r>
      <w:r>
        <w:t>, qui doivent posséder des connaissances minimales en arabe</w:t>
      </w:r>
      <w:r w:rsidRPr="00C045D0">
        <w:t>. Les étudiants qui se destinent à l</w:t>
      </w:r>
      <w:r>
        <w:t>’</w:t>
      </w:r>
      <w:r w:rsidRPr="00C045D0">
        <w:t>e</w:t>
      </w:r>
      <w:r>
        <w:t>nseignement sont mieux encadrés</w:t>
      </w:r>
      <w:r w:rsidRPr="00C045D0">
        <w:t xml:space="preserve">, ce qui a </w:t>
      </w:r>
      <w:r>
        <w:t>entraîné</w:t>
      </w:r>
      <w:r w:rsidRPr="00C045D0">
        <w:t xml:space="preserve"> une augmentation du</w:t>
      </w:r>
      <w:r>
        <w:t xml:space="preserve"> </w:t>
      </w:r>
      <w:r w:rsidRPr="00C045D0">
        <w:t>nombre d</w:t>
      </w:r>
      <w:r>
        <w:t>’</w:t>
      </w:r>
      <w:r w:rsidRPr="00C045D0">
        <w:t xml:space="preserve">enseignants bédouins. </w:t>
      </w:r>
      <w:r>
        <w:t>L</w:t>
      </w:r>
      <w:r w:rsidRPr="00C045D0">
        <w:t>e nombre de diplômés de l</w:t>
      </w:r>
      <w:r>
        <w:t>’</w:t>
      </w:r>
      <w:r w:rsidRPr="00C045D0">
        <w:t>enseignement supérieur a augmenté de 2,2</w:t>
      </w:r>
      <w:r>
        <w:t xml:space="preserve"> </w:t>
      </w:r>
      <w:r w:rsidRPr="00C045D0">
        <w:t>% en 201</w:t>
      </w:r>
      <w:r>
        <w:t>0 pour l’ensemble des étudiants et de</w:t>
      </w:r>
      <w:r w:rsidRPr="00C045D0">
        <w:t xml:space="preserve"> 3,3</w:t>
      </w:r>
      <w:r>
        <w:t xml:space="preserve"> </w:t>
      </w:r>
      <w:r w:rsidRPr="00C045D0">
        <w:t>% pour la population arabe. Le</w:t>
      </w:r>
      <w:r>
        <w:t>s A</w:t>
      </w:r>
      <w:r w:rsidRPr="00C045D0">
        <w:t>rabes se présentant aux e</w:t>
      </w:r>
      <w:r>
        <w:t>xamens d’entrée à l’université sont</w:t>
      </w:r>
      <w:r w:rsidRPr="00C045D0">
        <w:t xml:space="preserve"> également </w:t>
      </w:r>
      <w:r>
        <w:t>plus nombreux</w:t>
      </w:r>
      <w:r w:rsidRPr="00C045D0">
        <w:t xml:space="preserve">. </w:t>
      </w:r>
      <w:r>
        <w:t xml:space="preserve">On a pu observer </w:t>
      </w:r>
      <w:r w:rsidRPr="00C045D0">
        <w:t>une réduction importante de l</w:t>
      </w:r>
      <w:r>
        <w:t>’</w:t>
      </w:r>
      <w:r w:rsidRPr="00C045D0">
        <w:t xml:space="preserve">écart entre les résultats scolaires de la population arabe et ceux de la population juive. Les indicateurs ont été affinés </w:t>
      </w:r>
      <w:r>
        <w:t>afin de pouvoir comparer les résultats des Juifs et des A</w:t>
      </w:r>
      <w:r w:rsidRPr="00C045D0">
        <w:t>rabes appart</w:t>
      </w:r>
      <w:r>
        <w:t>enant à la même catégorie socio</w:t>
      </w:r>
      <w:r w:rsidRPr="00C045D0">
        <w:t xml:space="preserve">économique, </w:t>
      </w:r>
      <w:r>
        <w:t>ce qui a permis de</w:t>
      </w:r>
      <w:r w:rsidRPr="00C045D0">
        <w:t xml:space="preserve"> constate</w:t>
      </w:r>
      <w:r>
        <w:t>r</w:t>
      </w:r>
      <w:r w:rsidRPr="00C045D0">
        <w:t xml:space="preserve"> que les résultats s</w:t>
      </w:r>
      <w:r>
        <w:t>’</w:t>
      </w:r>
      <w:r w:rsidRPr="00C045D0">
        <w:t>équilibrent. Le Ministère de l</w:t>
      </w:r>
      <w:r>
        <w:t>’</w:t>
      </w:r>
      <w:r w:rsidRPr="00C045D0">
        <w:t>éducation met actuellement l</w:t>
      </w:r>
      <w:r>
        <w:t>’</w:t>
      </w:r>
      <w:r w:rsidRPr="00C045D0">
        <w:t xml:space="preserve">accent sur la formation professionnelle, qui avait été très négligée ces dernières années. Des filières technologiques supplémentaires ont été ouvertes et un programme </w:t>
      </w:r>
      <w:r>
        <w:t>favorise</w:t>
      </w:r>
      <w:r w:rsidRPr="00C045D0">
        <w:t xml:space="preserve"> l</w:t>
      </w:r>
      <w:r>
        <w:t>’</w:t>
      </w:r>
      <w:r w:rsidRPr="00C045D0">
        <w:t>intégration professionnelle des étudiants dans l</w:t>
      </w:r>
      <w:r>
        <w:t>’</w:t>
      </w:r>
      <w:r w:rsidRPr="00C045D0">
        <w:t xml:space="preserve">industrie. Les arabophones sont très présents dans ces formations. </w:t>
      </w:r>
    </w:p>
    <w:p w:rsidR="00C6116B" w:rsidRPr="00C045D0" w:rsidRDefault="00C6116B" w:rsidP="00C6116B">
      <w:pPr>
        <w:pStyle w:val="SingleTxtG"/>
      </w:pPr>
      <w:r>
        <w:t>39.</w:t>
      </w:r>
      <w:r>
        <w:tab/>
        <w:t>En ce qui concerne</w:t>
      </w:r>
      <w:r w:rsidRPr="00C045D0">
        <w:t xml:space="preserve"> l</w:t>
      </w:r>
      <w:r>
        <w:t>’</w:t>
      </w:r>
      <w:r w:rsidRPr="00C045D0">
        <w:t xml:space="preserve">abandon scolaire, </w:t>
      </w:r>
      <w:r>
        <w:t>l</w:t>
      </w:r>
      <w:r w:rsidRPr="00C045D0">
        <w:t xml:space="preserve">es données statistiques </w:t>
      </w:r>
      <w:r>
        <w:t>indiquent</w:t>
      </w:r>
      <w:r w:rsidRPr="00C045D0">
        <w:t xml:space="preserve"> qu</w:t>
      </w:r>
      <w:r>
        <w:t>’</w:t>
      </w:r>
      <w:r w:rsidRPr="00C045D0">
        <w:t>en 1991, 99,1</w:t>
      </w:r>
      <w:r>
        <w:t xml:space="preserve"> % des enfants juifs âgés de 5 à 17 </w:t>
      </w:r>
      <w:r w:rsidRPr="00C045D0">
        <w:t>a</w:t>
      </w:r>
      <w:r>
        <w:t>ns</w:t>
      </w:r>
      <w:r w:rsidRPr="00C045D0">
        <w:t xml:space="preserve"> </w:t>
      </w:r>
      <w:r>
        <w:t xml:space="preserve">étaient </w:t>
      </w:r>
      <w:r w:rsidRPr="00C045D0">
        <w:t>scolarisés contre 97,8</w:t>
      </w:r>
      <w:r>
        <w:t xml:space="preserve"> % des </w:t>
      </w:r>
      <w:r w:rsidRPr="00C045D0">
        <w:t>enfants arabes.</w:t>
      </w:r>
      <w:r>
        <w:t xml:space="preserve"> </w:t>
      </w:r>
      <w:r w:rsidRPr="00C045D0">
        <w:t>Un rapport de la Knesset a constaté que le taux d</w:t>
      </w:r>
      <w:r>
        <w:t>’</w:t>
      </w:r>
      <w:r w:rsidRPr="00C045D0">
        <w:t>abandon scolaire avait baissé au cours des deux dernières années grâce à l</w:t>
      </w:r>
      <w:r>
        <w:t>’</w:t>
      </w:r>
      <w:r w:rsidRPr="00C045D0">
        <w:t>adop</w:t>
      </w:r>
      <w:r>
        <w:t>tion d’une loi sur l’éducation</w:t>
      </w:r>
      <w:r w:rsidRPr="00C045D0">
        <w:t xml:space="preserve"> qui rend </w:t>
      </w:r>
      <w:r>
        <w:t>les onzième et douzième années d’étude obligatoires</w:t>
      </w:r>
      <w:r w:rsidRPr="00C045D0">
        <w:t xml:space="preserve">. Ces dernières années, </w:t>
      </w:r>
      <w:r>
        <w:t>le taux d’</w:t>
      </w:r>
      <w:r w:rsidRPr="00C045D0">
        <w:t xml:space="preserve">abandon scolaire </w:t>
      </w:r>
      <w:r>
        <w:t xml:space="preserve">a diminué </w:t>
      </w:r>
      <w:r w:rsidRPr="00C045D0">
        <w:t>dans la communauté des Bédouins, notamment à Abou Basma, grâce à la construction d</w:t>
      </w:r>
      <w:r>
        <w:t>’</w:t>
      </w:r>
      <w:r w:rsidRPr="00C045D0">
        <w:t>écoles. Des programmes de lutte contre l</w:t>
      </w:r>
      <w:r>
        <w:t>’</w:t>
      </w:r>
      <w:r w:rsidRPr="00C045D0">
        <w:t xml:space="preserve">abandon scolaire </w:t>
      </w:r>
      <w:r>
        <w:t>prévoya</w:t>
      </w:r>
      <w:r w:rsidRPr="00C045D0">
        <w:t>nt notamment un appui personnalisé</w:t>
      </w:r>
      <w:r>
        <w:t xml:space="preserve"> </w:t>
      </w:r>
      <w:r w:rsidRPr="00C045D0">
        <w:t xml:space="preserve">sont menés. </w:t>
      </w:r>
    </w:p>
    <w:p w:rsidR="00C6116B" w:rsidRPr="00C045D0" w:rsidRDefault="00C6116B" w:rsidP="00C6116B">
      <w:pPr>
        <w:pStyle w:val="SingleTxtG"/>
      </w:pPr>
      <w:r>
        <w:t>40.</w:t>
      </w:r>
      <w:r>
        <w:tab/>
      </w:r>
      <w:r w:rsidRPr="00C045D0">
        <w:t>S</w:t>
      </w:r>
      <w:r>
        <w:t>’</w:t>
      </w:r>
      <w:r w:rsidRPr="00C045D0">
        <w:t>agissan</w:t>
      </w:r>
      <w:r>
        <w:t>t du manque de salles de classe, un plan pluri</w:t>
      </w:r>
      <w:r w:rsidRPr="00C045D0">
        <w:t>annuel a permis la construction de 7</w:t>
      </w:r>
      <w:r>
        <w:t> 930 salles de classe</w:t>
      </w:r>
      <w:r w:rsidRPr="00C045D0">
        <w:t xml:space="preserve"> entre 2007 e</w:t>
      </w:r>
      <w:r>
        <w:t xml:space="preserve">t 2011, soit 550 </w:t>
      </w:r>
      <w:r w:rsidRPr="00C045D0">
        <w:t>de plus que ce que</w:t>
      </w:r>
      <w:r>
        <w:t xml:space="preserve"> </w:t>
      </w:r>
      <w:r w:rsidRPr="00C045D0">
        <w:t>l</w:t>
      </w:r>
      <w:r>
        <w:t>’</w:t>
      </w:r>
      <w:r w:rsidRPr="00C045D0">
        <w:t xml:space="preserve">accroissement </w:t>
      </w:r>
      <w:r>
        <w:t xml:space="preserve">naturel de la population exigeait. À Jérusalem-Est, 25 </w:t>
      </w:r>
      <w:r w:rsidRPr="00C045D0">
        <w:t xml:space="preserve">millions de dollars </w:t>
      </w:r>
      <w:r>
        <w:t xml:space="preserve">É.-U. </w:t>
      </w:r>
      <w:r w:rsidRPr="00C045D0">
        <w:t>ont été con</w:t>
      </w:r>
      <w:r>
        <w:t xml:space="preserve">sacrés à la construction de 153 </w:t>
      </w:r>
      <w:r w:rsidRPr="00C045D0">
        <w:t>nouvelles sa</w:t>
      </w:r>
      <w:r>
        <w:t>lles de classe et on envisage de</w:t>
      </w:r>
      <w:r w:rsidRPr="00C045D0">
        <w:t xml:space="preserve"> construire 250</w:t>
      </w:r>
      <w:r>
        <w:t xml:space="preserve"> salles</w:t>
      </w:r>
      <w:r w:rsidRPr="00C045D0">
        <w:t xml:space="preserve"> supplémentaires. Le </w:t>
      </w:r>
      <w:r>
        <w:t>nombre insuffisant de salles de classe étant dû au manque de terrains,</w:t>
      </w:r>
      <w:r w:rsidRPr="00C045D0">
        <w:t xml:space="preserve"> un budget a é</w:t>
      </w:r>
      <w:r>
        <w:t>té alloué à l’achat de terrains</w:t>
      </w:r>
      <w:r w:rsidRPr="00C045D0">
        <w:t>.</w:t>
      </w:r>
    </w:p>
    <w:p w:rsidR="00C6116B" w:rsidRPr="00C045D0" w:rsidRDefault="00C6116B" w:rsidP="00C6116B">
      <w:pPr>
        <w:pStyle w:val="SingleTxtG"/>
      </w:pPr>
      <w:r w:rsidRPr="0081744B">
        <w:t>41.</w:t>
      </w:r>
      <w:r>
        <w:rPr>
          <w:b/>
        </w:rPr>
        <w:tab/>
        <w:t xml:space="preserve">M. </w:t>
      </w:r>
      <w:r w:rsidRPr="00C045D0">
        <w:rPr>
          <w:b/>
        </w:rPr>
        <w:t>Texier</w:t>
      </w:r>
      <w:r>
        <w:t xml:space="preserve">, faisant </w:t>
      </w:r>
      <w:r w:rsidRPr="00C045D0">
        <w:t>observe</w:t>
      </w:r>
      <w:r>
        <w:t>r</w:t>
      </w:r>
      <w:r w:rsidRPr="00C045D0">
        <w:t xml:space="preserve"> que toutes les réponses aux questions posées par le Comité concernant les droits de l</w:t>
      </w:r>
      <w:r>
        <w:t>’</w:t>
      </w:r>
      <w:r w:rsidRPr="00C045D0">
        <w:t>hom</w:t>
      </w:r>
      <w:r>
        <w:t>me dans les territoires occupés, notamment le</w:t>
      </w:r>
      <w:r w:rsidRPr="00C045D0">
        <w:t xml:space="preserve"> droit à l</w:t>
      </w:r>
      <w:r>
        <w:t>’</w:t>
      </w:r>
      <w:r w:rsidRPr="00C045D0">
        <w:t xml:space="preserve">eau, </w:t>
      </w:r>
      <w:r>
        <w:t>le droit à la santé et le</w:t>
      </w:r>
      <w:r w:rsidRPr="00C045D0">
        <w:t xml:space="preserve"> droit à l</w:t>
      </w:r>
      <w:r>
        <w:t>’</w:t>
      </w:r>
      <w:r w:rsidRPr="00C045D0">
        <w:t xml:space="preserve">éducation, ont été données par le Ministère de la défense, </w:t>
      </w:r>
      <w:r>
        <w:t>juge cette situation</w:t>
      </w:r>
      <w:r w:rsidRPr="00C045D0">
        <w:t xml:space="preserve"> préoccupant</w:t>
      </w:r>
      <w:r>
        <w:t>e</w:t>
      </w:r>
      <w:r w:rsidRPr="00C045D0">
        <w:t xml:space="preserve"> pour l</w:t>
      </w:r>
      <w:r>
        <w:t>’</w:t>
      </w:r>
      <w:r w:rsidRPr="00C045D0">
        <w:t xml:space="preserve">avenir des droits économiques, sociaux et culturels dans les territoires occupés. </w:t>
      </w:r>
    </w:p>
    <w:p w:rsidR="00C6116B" w:rsidRPr="00C045D0" w:rsidRDefault="00C6116B" w:rsidP="00C6116B">
      <w:pPr>
        <w:pStyle w:val="SingleTxtG"/>
      </w:pPr>
      <w:r w:rsidRPr="00054D7B">
        <w:t>42.</w:t>
      </w:r>
      <w:r>
        <w:rPr>
          <w:b/>
        </w:rPr>
        <w:tab/>
        <w:t>M. Abdel-Mon</w:t>
      </w:r>
      <w:r w:rsidRPr="00C045D0">
        <w:rPr>
          <w:b/>
        </w:rPr>
        <w:t>eim</w:t>
      </w:r>
      <w:r w:rsidRPr="00C045D0">
        <w:t xml:space="preserve"> dit qu</w:t>
      </w:r>
      <w:r>
        <w:t>’</w:t>
      </w:r>
      <w:r w:rsidRPr="00C045D0">
        <w:t>il est frappé par l</w:t>
      </w:r>
      <w:r>
        <w:t>’</w:t>
      </w:r>
      <w:r w:rsidRPr="00C045D0">
        <w:t>omniprésence du critère de la religion dans le rapport</w:t>
      </w:r>
      <w:r>
        <w:t xml:space="preserve"> à l’examen</w:t>
      </w:r>
      <w:r w:rsidRPr="00C045D0">
        <w:t xml:space="preserve">. </w:t>
      </w:r>
    </w:p>
    <w:p w:rsidR="00C6116B" w:rsidRPr="00C045D0" w:rsidRDefault="00C6116B" w:rsidP="00C6116B">
      <w:pPr>
        <w:pStyle w:val="SingleTxtG"/>
      </w:pPr>
      <w:r w:rsidRPr="00054D7B">
        <w:t>43.</w:t>
      </w:r>
      <w:r>
        <w:rPr>
          <w:b/>
        </w:rPr>
        <w:tab/>
      </w:r>
      <w:r w:rsidRPr="00C045D0">
        <w:rPr>
          <w:b/>
        </w:rPr>
        <w:t>M</w:t>
      </w:r>
      <w:r w:rsidRPr="003C235A">
        <w:rPr>
          <w:b/>
          <w:vertAlign w:val="superscript"/>
        </w:rPr>
        <w:t>me</w:t>
      </w:r>
      <w:r>
        <w:rPr>
          <w:b/>
        </w:rPr>
        <w:t xml:space="preserve"> </w:t>
      </w:r>
      <w:r w:rsidRPr="00C045D0">
        <w:rPr>
          <w:b/>
        </w:rPr>
        <w:t>Shin</w:t>
      </w:r>
      <w:r w:rsidRPr="00C045D0">
        <w:t xml:space="preserve"> demande quelle suite sera donnée aux observations finales du Comité dans les années à venir. Elle aimerait savoir si Israël est disposé à organiser un cadre de discussion ouvert avec les différents ministères et la société civile pour examiner la mise en œuvre des observations. </w:t>
      </w:r>
    </w:p>
    <w:p w:rsidR="00C6116B" w:rsidRPr="00C045D0" w:rsidRDefault="00C6116B" w:rsidP="00C6116B">
      <w:pPr>
        <w:pStyle w:val="SingleTxtG"/>
      </w:pPr>
      <w:r w:rsidRPr="003C235A">
        <w:t>44.</w:t>
      </w:r>
      <w:r>
        <w:rPr>
          <w:b/>
        </w:rPr>
        <w:tab/>
        <w:t xml:space="preserve">M. </w:t>
      </w:r>
      <w:r w:rsidRPr="00C045D0">
        <w:rPr>
          <w:b/>
        </w:rPr>
        <w:t xml:space="preserve">Lenk </w:t>
      </w:r>
      <w:r w:rsidRPr="003C235A">
        <w:t>(Israël)</w:t>
      </w:r>
      <w:r w:rsidRPr="00C045D0">
        <w:t xml:space="preserve"> déclare qu</w:t>
      </w:r>
      <w:r>
        <w:t>’</w:t>
      </w:r>
      <w:r w:rsidRPr="00C045D0">
        <w:t>il prend bonne note des observations faites par le Comité. De nombreuses questions ont porté sur les différentes communautés qui vivent en Israël et qui en font un pays si particulier</w:t>
      </w:r>
      <w:r>
        <w:t>, à la fois foyer national des J</w:t>
      </w:r>
      <w:r w:rsidRPr="00C045D0">
        <w:t>uifs et pays démocratique travaillant à l</w:t>
      </w:r>
      <w:r>
        <w:t>’</w:t>
      </w:r>
      <w:r w:rsidRPr="00C045D0">
        <w:t>intégration à sa société des différentes communautés, en dépit ou peut-être du fait du conflit qui l</w:t>
      </w:r>
      <w:r>
        <w:t>’</w:t>
      </w:r>
      <w:r w:rsidRPr="00C045D0">
        <w:t>oppose depuis de longues années à ses voisins.</w:t>
      </w:r>
      <w:r>
        <w:t xml:space="preserve"> </w:t>
      </w:r>
    </w:p>
    <w:p w:rsidR="00C6116B" w:rsidRPr="00C045D0" w:rsidRDefault="00C6116B" w:rsidP="00C6116B">
      <w:pPr>
        <w:pStyle w:val="SingleTxtG"/>
      </w:pPr>
      <w:r w:rsidRPr="00C6195E">
        <w:t>45.</w:t>
      </w:r>
      <w:r>
        <w:rPr>
          <w:b/>
        </w:rPr>
        <w:tab/>
      </w:r>
      <w:r w:rsidRPr="00C045D0">
        <w:rPr>
          <w:b/>
        </w:rPr>
        <w:t>M</w:t>
      </w:r>
      <w:r w:rsidRPr="00C6195E">
        <w:rPr>
          <w:b/>
          <w:vertAlign w:val="superscript"/>
        </w:rPr>
        <w:t>me</w:t>
      </w:r>
      <w:r>
        <w:rPr>
          <w:b/>
        </w:rPr>
        <w:t xml:space="preserve"> </w:t>
      </w:r>
      <w:r w:rsidRPr="00C045D0">
        <w:rPr>
          <w:b/>
        </w:rPr>
        <w:t xml:space="preserve">Tene-Gilad </w:t>
      </w:r>
      <w:r w:rsidRPr="00C6195E">
        <w:t>(Israël)</w:t>
      </w:r>
      <w:r w:rsidRPr="00C045D0">
        <w:t xml:space="preserve"> rappelle que le Comité a demandé à la délégation de lui fournir des données ventilées par sexe et par religion. Une distinction </w:t>
      </w:r>
      <w:r>
        <w:t>était établie auparavant entre Juifs et non-Juifs mais</w:t>
      </w:r>
      <w:r w:rsidRPr="00C045D0">
        <w:t xml:space="preserve"> le Bureau des statistiques a estimé que les autres religions devaient également être prises en compte. Cependant, le principe même de la ventilation par religion a</w:t>
      </w:r>
      <w:r>
        <w:t>yant été jugé</w:t>
      </w:r>
      <w:r w:rsidRPr="00C045D0">
        <w:t xml:space="preserve"> discriminatoire</w:t>
      </w:r>
      <w:r>
        <w:t>,</w:t>
      </w:r>
      <w:r w:rsidRPr="00C045D0">
        <w:t xml:space="preserve"> le Bureau des statistiques essaie de trouver d</w:t>
      </w:r>
      <w:r>
        <w:t>’</w:t>
      </w:r>
      <w:r w:rsidRPr="00C045D0">
        <w:t>autres catég</w:t>
      </w:r>
      <w:r>
        <w:t>ories statistiques. L</w:t>
      </w:r>
      <w:r w:rsidRPr="00C045D0">
        <w:t>es observations finales</w:t>
      </w:r>
      <w:r>
        <w:t xml:space="preserve"> du Comité feront l’objet d’</w:t>
      </w:r>
      <w:r w:rsidRPr="00C045D0">
        <w:t xml:space="preserve">un rapport </w:t>
      </w:r>
      <w:r>
        <w:t xml:space="preserve">qui </w:t>
      </w:r>
      <w:r w:rsidRPr="00C045D0">
        <w:t>sera publié et diffusé auprès des différents ministères concern</w:t>
      </w:r>
      <w:r>
        <w:t>és. Une réun</w:t>
      </w:r>
      <w:r w:rsidRPr="00C045D0">
        <w:t>ion interministérielle sera organisée en décembre afin de décider des mesures à mettr</w:t>
      </w:r>
      <w:r>
        <w:t>e en œuvre pour donner suite à ces observations</w:t>
      </w:r>
      <w:r w:rsidRPr="00C045D0">
        <w:t xml:space="preserve">. </w:t>
      </w:r>
    </w:p>
    <w:p w:rsidR="00C6116B" w:rsidRPr="00C045D0" w:rsidRDefault="00C6116B" w:rsidP="00C6116B">
      <w:pPr>
        <w:pStyle w:val="SingleTxtG"/>
      </w:pPr>
      <w:r w:rsidRPr="00D10F59">
        <w:t>46.</w:t>
      </w:r>
      <w:r>
        <w:rPr>
          <w:b/>
        </w:rPr>
        <w:tab/>
        <w:t xml:space="preserve">M. </w:t>
      </w:r>
      <w:r w:rsidRPr="00C045D0">
        <w:rPr>
          <w:b/>
        </w:rPr>
        <w:t xml:space="preserve">Lenk </w:t>
      </w:r>
      <w:r w:rsidRPr="00D10F59">
        <w:t>(Israël)</w:t>
      </w:r>
      <w:r w:rsidRPr="00C045D0">
        <w:t xml:space="preserve"> se félicite de la franchise et de l</w:t>
      </w:r>
      <w:r>
        <w:t>’</w:t>
      </w:r>
      <w:r w:rsidRPr="00C045D0">
        <w:t>esprit d</w:t>
      </w:r>
      <w:r>
        <w:t>’</w:t>
      </w:r>
      <w:r w:rsidRPr="00C045D0">
        <w:t>ouverture qui ont caractérisé les débats et s</w:t>
      </w:r>
      <w:r>
        <w:t>’</w:t>
      </w:r>
      <w:r w:rsidRPr="00C045D0">
        <w:t>engage à communiquer aux différentes instances de l</w:t>
      </w:r>
      <w:r>
        <w:t>’</w:t>
      </w:r>
      <w:r w:rsidRPr="00C045D0">
        <w:t xml:space="preserve">exécutif, du législatif et du judiciaire les observations finales du Comité. </w:t>
      </w:r>
    </w:p>
    <w:p w:rsidR="00C6116B" w:rsidRPr="00C045D0" w:rsidRDefault="00C6116B" w:rsidP="00C6116B">
      <w:pPr>
        <w:pStyle w:val="SingleTxtG"/>
      </w:pPr>
      <w:r w:rsidRPr="00D10F59">
        <w:t>47.</w:t>
      </w:r>
      <w:r>
        <w:rPr>
          <w:b/>
        </w:rPr>
        <w:tab/>
      </w:r>
      <w:r w:rsidRPr="00C045D0">
        <w:rPr>
          <w:b/>
        </w:rPr>
        <w:t>Le Président</w:t>
      </w:r>
      <w:r w:rsidRPr="00C045D0">
        <w:t xml:space="preserve"> remercie la délégation pour les informations fournies, qui permettront au Comité de rédi</w:t>
      </w:r>
      <w:r>
        <w:t>ger ses observations finales</w:t>
      </w:r>
      <w:r w:rsidRPr="00C045D0">
        <w:t>. Il espère que les échanges qui se sont déroulés au cours de ces deux jours contribueront à une meilleure compréhension du Pacte en Israël. Le Comité maintient sa position, qui est que l</w:t>
      </w:r>
      <w:r>
        <w:t>’</w:t>
      </w:r>
      <w:r w:rsidRPr="00C045D0">
        <w:t>État partie d</w:t>
      </w:r>
      <w:r>
        <w:t>’</w:t>
      </w:r>
      <w:r w:rsidRPr="00C045D0">
        <w:t>Israël a l</w:t>
      </w:r>
      <w:r>
        <w:t>’</w:t>
      </w:r>
      <w:r w:rsidRPr="00C045D0">
        <w:t xml:space="preserve">obligation juridique de faire rapport sur la situation dans les territoires palestiniens occupés. Il note avec préoccupation que nombre des principales recommandations </w:t>
      </w:r>
      <w:r>
        <w:t>formulées à l’issue de l’examen du deuxième rapport périodique</w:t>
      </w:r>
      <w:r w:rsidRPr="00C045D0">
        <w:t xml:space="preserve"> sont toujours valable</w:t>
      </w:r>
      <w:r>
        <w:t>s</w:t>
      </w:r>
      <w:r w:rsidRPr="00C045D0">
        <w:t xml:space="preserve">. </w:t>
      </w:r>
      <w:r>
        <w:t>Afin de mieux</w:t>
      </w:r>
      <w:r w:rsidRPr="00C045D0">
        <w:t xml:space="preserve"> respect</w:t>
      </w:r>
      <w:r>
        <w:t>er</w:t>
      </w:r>
      <w:r w:rsidRPr="00C045D0">
        <w:t xml:space="preserve"> ses obligations, l</w:t>
      </w:r>
      <w:r>
        <w:t>’</w:t>
      </w:r>
      <w:r w:rsidRPr="00C045D0">
        <w:t xml:space="preserve">État partie doit tenir compte des recommandations du Comité et </w:t>
      </w:r>
      <w:r>
        <w:t>leur</w:t>
      </w:r>
      <w:r w:rsidRPr="00C045D0">
        <w:t xml:space="preserve"> donner effet. </w:t>
      </w:r>
      <w:r>
        <w:t>Le Président annonce que l’examen du troisième rapport périodique de l’État partie est achevé.</w:t>
      </w:r>
    </w:p>
    <w:p w:rsidR="00C6116B" w:rsidRPr="00C451B9" w:rsidRDefault="00C6116B" w:rsidP="00C6116B">
      <w:pPr>
        <w:pStyle w:val="SingleTxtG"/>
      </w:pPr>
      <w:r w:rsidRPr="00C045D0">
        <w:rPr>
          <w:i/>
        </w:rPr>
        <w:t>La séance est levée à 17 h 5</w:t>
      </w:r>
      <w:r>
        <w:rPr>
          <w:i/>
        </w:rPr>
        <w:t>5.</w:t>
      </w:r>
    </w:p>
    <w:p w:rsidR="00C6116B" w:rsidRPr="00287E79" w:rsidRDefault="00C6116B" w:rsidP="00C6116B">
      <w:pPr>
        <w:pStyle w:val="SingleTxtG"/>
      </w:pPr>
    </w:p>
    <w:sectPr w:rsidR="00C6116B" w:rsidRPr="00287E79" w:rsidSect="00AE08F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1E" w:rsidRDefault="00636F1E"/>
  </w:endnote>
  <w:endnote w:type="continuationSeparator" w:id="0">
    <w:p w:rsidR="00636F1E" w:rsidRDefault="00636F1E"/>
  </w:endnote>
  <w:endnote w:type="continuationNotice" w:id="1">
    <w:p w:rsidR="00636F1E" w:rsidRDefault="00636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F8" w:rsidRPr="00AE08F8" w:rsidRDefault="00AE08F8" w:rsidP="00AE08F8">
    <w:pPr>
      <w:pStyle w:val="Footer"/>
      <w:tabs>
        <w:tab w:val="right" w:pos="9638"/>
      </w:tabs>
    </w:pPr>
    <w:r w:rsidRPr="00AE08F8">
      <w:rPr>
        <w:b/>
        <w:sz w:val="18"/>
      </w:rPr>
      <w:fldChar w:fldCharType="begin"/>
    </w:r>
    <w:r w:rsidRPr="00AE08F8">
      <w:rPr>
        <w:b/>
        <w:sz w:val="18"/>
      </w:rPr>
      <w:instrText xml:space="preserve"> PAGE  \* MERGEFORMAT </w:instrText>
    </w:r>
    <w:r w:rsidRPr="00AE08F8">
      <w:rPr>
        <w:b/>
        <w:sz w:val="18"/>
      </w:rPr>
      <w:fldChar w:fldCharType="separate"/>
    </w:r>
    <w:r w:rsidR="00024865">
      <w:rPr>
        <w:b/>
        <w:noProof/>
        <w:sz w:val="18"/>
      </w:rPr>
      <w:t>10</w:t>
    </w:r>
    <w:r w:rsidRPr="00AE08F8">
      <w:rPr>
        <w:b/>
        <w:sz w:val="18"/>
      </w:rPr>
      <w:fldChar w:fldCharType="end"/>
    </w:r>
    <w:r>
      <w:rPr>
        <w:b/>
        <w:sz w:val="18"/>
      </w:rPr>
      <w:tab/>
    </w:r>
    <w:r>
      <w:t>GE.11-47070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F8" w:rsidRPr="00AE08F8" w:rsidRDefault="00AE08F8" w:rsidP="00AE08F8">
    <w:pPr>
      <w:pStyle w:val="Footer"/>
      <w:tabs>
        <w:tab w:val="right" w:pos="9638"/>
      </w:tabs>
      <w:rPr>
        <w:b/>
        <w:sz w:val="18"/>
      </w:rPr>
    </w:pPr>
    <w:r>
      <w:t>GE.11-47070</w:t>
    </w:r>
    <w:r>
      <w:tab/>
    </w:r>
    <w:r w:rsidRPr="00AE08F8">
      <w:rPr>
        <w:b/>
        <w:sz w:val="18"/>
      </w:rPr>
      <w:fldChar w:fldCharType="begin"/>
    </w:r>
    <w:r w:rsidRPr="00AE08F8">
      <w:rPr>
        <w:b/>
        <w:sz w:val="18"/>
      </w:rPr>
      <w:instrText xml:space="preserve"> PAGE  \* MERGEFORMAT </w:instrText>
    </w:r>
    <w:r w:rsidRPr="00AE08F8">
      <w:rPr>
        <w:b/>
        <w:sz w:val="18"/>
      </w:rPr>
      <w:fldChar w:fldCharType="separate"/>
    </w:r>
    <w:r w:rsidR="00024865">
      <w:rPr>
        <w:b/>
        <w:noProof/>
        <w:sz w:val="18"/>
      </w:rPr>
      <w:t>9</w:t>
    </w:r>
    <w:r w:rsidRPr="00AE08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27" w:rsidRDefault="00DB1927" w:rsidP="00C73819">
    <w:pPr>
      <w:pStyle w:val="FootnoteText"/>
      <w:pBdr>
        <w:bottom w:val="single" w:sz="4" w:space="1" w:color="auto"/>
      </w:pBdr>
      <w:tabs>
        <w:tab w:val="clear" w:pos="1021"/>
      </w:tabs>
      <w:spacing w:line="240" w:lineRule="auto"/>
      <w:ind w:left="0" w:right="0" w:firstLine="0"/>
    </w:pPr>
  </w:p>
  <w:p w:rsidR="00DB1927" w:rsidRDefault="00DB1927" w:rsidP="00C73819">
    <w:pPr>
      <w:pStyle w:val="FootnoteText"/>
      <w:tabs>
        <w:tab w:val="clear" w:pos="1021"/>
      </w:tabs>
      <w:spacing w:after="120"/>
      <w:ind w:firstLine="0"/>
    </w:pPr>
    <w:r>
      <w:t>Le présent compte rendu est sujet à rectifications.</w:t>
    </w:r>
  </w:p>
  <w:p w:rsidR="00DB1927" w:rsidRDefault="00DB1927" w:rsidP="00C73819">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0F7D5D">
      <w:rPr>
        <w:i/>
      </w:rPr>
      <w:t>une semaine au pl</w:t>
    </w:r>
    <w:r>
      <w:rPr>
        <w:i/>
      </w:rPr>
      <w:t xml:space="preserve">us tard à compter de la date du </w:t>
    </w:r>
    <w:r w:rsidRPr="000F7D5D">
      <w:rPr>
        <w:i/>
      </w:rPr>
      <w:t>présent document</w:t>
    </w:r>
    <w:r>
      <w:t>, au Groupe d’édition, bureau E.4108, Palais des Nations, Genève.</w:t>
    </w:r>
  </w:p>
  <w:p w:rsidR="00DB1927" w:rsidRDefault="00DB1927" w:rsidP="00C73819">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DB1927" w:rsidRPr="00AE08F8" w:rsidRDefault="00AE08F8">
    <w:pPr>
      <w:pStyle w:val="Footer"/>
      <w:rPr>
        <w:sz w:val="20"/>
      </w:rPr>
    </w:pPr>
    <w:r>
      <w:rPr>
        <w:sz w:val="20"/>
      </w:rPr>
      <w:t>GE.</w:t>
    </w:r>
    <w:r w:rsidR="00DB1927">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11-47070  (F)</w:t>
    </w:r>
    <w:r w:rsidR="008D5ED9">
      <w:rPr>
        <w:sz w:val="20"/>
      </w:rPr>
      <w:t xml:space="preserve">    241111</w:t>
    </w:r>
    <w:r w:rsidR="00816BD7">
      <w:rPr>
        <w:sz w:val="20"/>
      </w:rPr>
      <w:t xml:space="preserve">    251111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1E" w:rsidRPr="00D27D5E" w:rsidRDefault="00636F1E" w:rsidP="00D27D5E">
      <w:pPr>
        <w:tabs>
          <w:tab w:val="right" w:pos="2155"/>
        </w:tabs>
        <w:spacing w:after="80"/>
        <w:ind w:left="680"/>
        <w:rPr>
          <w:u w:val="single"/>
        </w:rPr>
      </w:pPr>
      <w:r>
        <w:rPr>
          <w:u w:val="single"/>
        </w:rPr>
        <w:tab/>
      </w:r>
    </w:p>
  </w:footnote>
  <w:footnote w:type="continuationSeparator" w:id="0">
    <w:p w:rsidR="00636F1E" w:rsidRDefault="00636F1E">
      <w:r>
        <w:rPr>
          <w:u w:val="single"/>
        </w:rPr>
        <w:tab/>
      </w:r>
      <w:r>
        <w:rPr>
          <w:u w:val="single"/>
        </w:rPr>
        <w:tab/>
      </w:r>
      <w:r>
        <w:rPr>
          <w:u w:val="single"/>
        </w:rPr>
        <w:tab/>
      </w:r>
      <w:r>
        <w:rPr>
          <w:u w:val="single"/>
        </w:rPr>
        <w:tab/>
      </w:r>
    </w:p>
  </w:footnote>
  <w:footnote w:type="continuationNotice" w:id="1">
    <w:p w:rsidR="00636F1E" w:rsidRDefault="00636F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F8" w:rsidRPr="00AE08F8" w:rsidRDefault="00AE08F8">
    <w:pPr>
      <w:pStyle w:val="Header"/>
    </w:pPr>
    <w:r>
      <w:t>E/C.12/2011/SR.37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F8" w:rsidRPr="00AE08F8" w:rsidRDefault="00AE08F8" w:rsidP="00AE08F8">
    <w:pPr>
      <w:pStyle w:val="Header"/>
      <w:jc w:val="right"/>
    </w:pPr>
    <w:r>
      <w:t>E/C.12/2011/SR.37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F2A024"/>
    <w:lvl w:ilvl="0">
      <w:start w:val="1"/>
      <w:numFmt w:val="decimal"/>
      <w:lvlText w:val="%1."/>
      <w:lvlJc w:val="left"/>
      <w:pPr>
        <w:tabs>
          <w:tab w:val="num" w:pos="1492"/>
        </w:tabs>
        <w:ind w:left="1492" w:hanging="360"/>
      </w:pPr>
    </w:lvl>
  </w:abstractNum>
  <w:abstractNum w:abstractNumId="1">
    <w:nsid w:val="FFFFFF7D"/>
    <w:multiLevelType w:val="singleLevel"/>
    <w:tmpl w:val="12941ED0"/>
    <w:lvl w:ilvl="0">
      <w:start w:val="1"/>
      <w:numFmt w:val="decimal"/>
      <w:lvlText w:val="%1."/>
      <w:lvlJc w:val="left"/>
      <w:pPr>
        <w:tabs>
          <w:tab w:val="num" w:pos="1209"/>
        </w:tabs>
        <w:ind w:left="1209" w:hanging="360"/>
      </w:pPr>
    </w:lvl>
  </w:abstractNum>
  <w:abstractNum w:abstractNumId="2">
    <w:nsid w:val="FFFFFF7E"/>
    <w:multiLevelType w:val="singleLevel"/>
    <w:tmpl w:val="55421D52"/>
    <w:lvl w:ilvl="0">
      <w:start w:val="1"/>
      <w:numFmt w:val="decimal"/>
      <w:lvlText w:val="%1."/>
      <w:lvlJc w:val="left"/>
      <w:pPr>
        <w:tabs>
          <w:tab w:val="num" w:pos="926"/>
        </w:tabs>
        <w:ind w:left="926" w:hanging="360"/>
      </w:pPr>
    </w:lvl>
  </w:abstractNum>
  <w:abstractNum w:abstractNumId="3">
    <w:nsid w:val="FFFFFF7F"/>
    <w:multiLevelType w:val="singleLevel"/>
    <w:tmpl w:val="41549440"/>
    <w:lvl w:ilvl="0">
      <w:start w:val="1"/>
      <w:numFmt w:val="decimal"/>
      <w:lvlText w:val="%1."/>
      <w:lvlJc w:val="left"/>
      <w:pPr>
        <w:tabs>
          <w:tab w:val="num" w:pos="643"/>
        </w:tabs>
        <w:ind w:left="643" w:hanging="360"/>
      </w:pPr>
    </w:lvl>
  </w:abstractNum>
  <w:abstractNum w:abstractNumId="4">
    <w:nsid w:val="FFFFFF80"/>
    <w:multiLevelType w:val="singleLevel"/>
    <w:tmpl w:val="776AA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EA5B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EA89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62E0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5AE6AA"/>
    <w:lvl w:ilvl="0">
      <w:start w:val="1"/>
      <w:numFmt w:val="decimal"/>
      <w:lvlText w:val="%1."/>
      <w:lvlJc w:val="left"/>
      <w:pPr>
        <w:tabs>
          <w:tab w:val="num" w:pos="360"/>
        </w:tabs>
        <w:ind w:left="360" w:hanging="360"/>
      </w:pPr>
    </w:lvl>
  </w:abstractNum>
  <w:abstractNum w:abstractNumId="9">
    <w:nsid w:val="FFFFFF89"/>
    <w:multiLevelType w:val="singleLevel"/>
    <w:tmpl w:val="ACF85B7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0105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55F29C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42D71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65D15DFE"/>
    <w:multiLevelType w:val="singleLevel"/>
    <w:tmpl w:val="475E6D3C"/>
    <w:lvl w:ilvl="0">
      <w:start w:val="1"/>
      <w:numFmt w:val="decimal"/>
      <w:lvlText w:val="%1."/>
      <w:lvlJc w:val="left"/>
      <w:pPr>
        <w:tabs>
          <w:tab w:val="num" w:pos="360"/>
        </w:tabs>
        <w:ind w:left="36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1"/>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4"/>
  </w:num>
  <w:num w:numId="15">
    <w:abstractNumId w:val="23"/>
  </w:num>
  <w:num w:numId="16">
    <w:abstractNumId w:val="23"/>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2"/>
  </w:num>
  <w:num w:numId="39">
    <w:abstractNumId w:val="27"/>
  </w:num>
  <w:num w:numId="40">
    <w:abstractNumId w:val="36"/>
  </w:num>
  <w:num w:numId="41">
    <w:abstractNumId w:val="16"/>
  </w:num>
  <w:num w:numId="42">
    <w:abstractNumId w:val="20"/>
  </w:num>
  <w:num w:numId="43">
    <w:abstractNumId w:val="12"/>
  </w:num>
  <w:num w:numId="44">
    <w:abstractNumId w:val="33"/>
  </w:num>
  <w:num w:numId="45">
    <w:abstractNumId w:val="32"/>
  </w:num>
  <w:num w:numId="46">
    <w:abstractNumId w:val="29"/>
  </w:num>
  <w:num w:numId="47">
    <w:abstractNumId w:val="26"/>
  </w:num>
  <w:num w:numId="48">
    <w:abstractNumId w:val="17"/>
  </w:num>
  <w:num w:numId="49">
    <w:abstractNumId w:val="3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927"/>
    <w:rsid w:val="000008A1"/>
    <w:rsid w:val="00016AC5"/>
    <w:rsid w:val="00024865"/>
    <w:rsid w:val="00030ADE"/>
    <w:rsid w:val="000A1B1A"/>
    <w:rsid w:val="000A4FD4"/>
    <w:rsid w:val="000B1257"/>
    <w:rsid w:val="000C57B0"/>
    <w:rsid w:val="000F41F2"/>
    <w:rsid w:val="00135C0D"/>
    <w:rsid w:val="00160540"/>
    <w:rsid w:val="00177007"/>
    <w:rsid w:val="001806A4"/>
    <w:rsid w:val="00186EE9"/>
    <w:rsid w:val="00192EEB"/>
    <w:rsid w:val="001A20FB"/>
    <w:rsid w:val="001A2C4E"/>
    <w:rsid w:val="001B6F40"/>
    <w:rsid w:val="001D7F8A"/>
    <w:rsid w:val="001E3FEB"/>
    <w:rsid w:val="001E4A02"/>
    <w:rsid w:val="001F6A4B"/>
    <w:rsid w:val="00203626"/>
    <w:rsid w:val="00215F76"/>
    <w:rsid w:val="00223B89"/>
    <w:rsid w:val="00225A8C"/>
    <w:rsid w:val="002575EE"/>
    <w:rsid w:val="002659F1"/>
    <w:rsid w:val="002860F6"/>
    <w:rsid w:val="00287E79"/>
    <w:rsid w:val="002928F9"/>
    <w:rsid w:val="002A2454"/>
    <w:rsid w:val="002A5D07"/>
    <w:rsid w:val="002B7BB6"/>
    <w:rsid w:val="002D2407"/>
    <w:rsid w:val="003016B7"/>
    <w:rsid w:val="0030646F"/>
    <w:rsid w:val="00314CE5"/>
    <w:rsid w:val="00340C35"/>
    <w:rsid w:val="003515AA"/>
    <w:rsid w:val="00370E0F"/>
    <w:rsid w:val="00374106"/>
    <w:rsid w:val="003976D5"/>
    <w:rsid w:val="003A50FF"/>
    <w:rsid w:val="003C3365"/>
    <w:rsid w:val="003D1DF3"/>
    <w:rsid w:val="003D46A7"/>
    <w:rsid w:val="003D6C68"/>
    <w:rsid w:val="00400970"/>
    <w:rsid w:val="00414188"/>
    <w:rsid w:val="004159D0"/>
    <w:rsid w:val="004249E7"/>
    <w:rsid w:val="004E6E03"/>
    <w:rsid w:val="00543D5E"/>
    <w:rsid w:val="00571F41"/>
    <w:rsid w:val="00571F81"/>
    <w:rsid w:val="005C0A11"/>
    <w:rsid w:val="005C159E"/>
    <w:rsid w:val="005C6AA6"/>
    <w:rsid w:val="005E5D1F"/>
    <w:rsid w:val="005F7DA5"/>
    <w:rsid w:val="00603391"/>
    <w:rsid w:val="00611D43"/>
    <w:rsid w:val="00612D48"/>
    <w:rsid w:val="00616B45"/>
    <w:rsid w:val="00630D9B"/>
    <w:rsid w:val="00631953"/>
    <w:rsid w:val="00636F1E"/>
    <w:rsid w:val="006439EC"/>
    <w:rsid w:val="00665D2F"/>
    <w:rsid w:val="00697B52"/>
    <w:rsid w:val="006B4590"/>
    <w:rsid w:val="006C340C"/>
    <w:rsid w:val="0070347C"/>
    <w:rsid w:val="007176C1"/>
    <w:rsid w:val="00727E4F"/>
    <w:rsid w:val="00735E9B"/>
    <w:rsid w:val="0078197D"/>
    <w:rsid w:val="007C180B"/>
    <w:rsid w:val="007D27D3"/>
    <w:rsid w:val="007E1914"/>
    <w:rsid w:val="007F55CB"/>
    <w:rsid w:val="00816BD7"/>
    <w:rsid w:val="008317F6"/>
    <w:rsid w:val="00844750"/>
    <w:rsid w:val="00870F51"/>
    <w:rsid w:val="008B44C4"/>
    <w:rsid w:val="008B7879"/>
    <w:rsid w:val="008D5ED9"/>
    <w:rsid w:val="008E7FAE"/>
    <w:rsid w:val="0090449A"/>
    <w:rsid w:val="00911BF7"/>
    <w:rsid w:val="00971808"/>
    <w:rsid w:val="00977EC8"/>
    <w:rsid w:val="00986B3A"/>
    <w:rsid w:val="009D3A8C"/>
    <w:rsid w:val="009E7956"/>
    <w:rsid w:val="00A02349"/>
    <w:rsid w:val="00A15239"/>
    <w:rsid w:val="00A22111"/>
    <w:rsid w:val="00A2492E"/>
    <w:rsid w:val="00A70163"/>
    <w:rsid w:val="00AC67A1"/>
    <w:rsid w:val="00AC7977"/>
    <w:rsid w:val="00AE08F8"/>
    <w:rsid w:val="00AE352C"/>
    <w:rsid w:val="00AF407C"/>
    <w:rsid w:val="00B15482"/>
    <w:rsid w:val="00B32E2D"/>
    <w:rsid w:val="00B4466B"/>
    <w:rsid w:val="00B61990"/>
    <w:rsid w:val="00B806BB"/>
    <w:rsid w:val="00B85D99"/>
    <w:rsid w:val="00BB7FFB"/>
    <w:rsid w:val="00BD43E5"/>
    <w:rsid w:val="00BF0556"/>
    <w:rsid w:val="00C261F8"/>
    <w:rsid w:val="00C33100"/>
    <w:rsid w:val="00C6116B"/>
    <w:rsid w:val="00C62D27"/>
    <w:rsid w:val="00C73819"/>
    <w:rsid w:val="00C940E9"/>
    <w:rsid w:val="00CA7B5D"/>
    <w:rsid w:val="00CD1A71"/>
    <w:rsid w:val="00CD1FBB"/>
    <w:rsid w:val="00D016B5"/>
    <w:rsid w:val="00D034F1"/>
    <w:rsid w:val="00D11B17"/>
    <w:rsid w:val="00D27D5E"/>
    <w:rsid w:val="00D551AE"/>
    <w:rsid w:val="00D73959"/>
    <w:rsid w:val="00DA487B"/>
    <w:rsid w:val="00DA57D4"/>
    <w:rsid w:val="00DB1927"/>
    <w:rsid w:val="00DB4793"/>
    <w:rsid w:val="00DE01E3"/>
    <w:rsid w:val="00DE6D90"/>
    <w:rsid w:val="00DF002F"/>
    <w:rsid w:val="00E0244D"/>
    <w:rsid w:val="00E07058"/>
    <w:rsid w:val="00E55D71"/>
    <w:rsid w:val="00E81E94"/>
    <w:rsid w:val="00E82607"/>
    <w:rsid w:val="00E87FA4"/>
    <w:rsid w:val="00EA31C2"/>
    <w:rsid w:val="00EE2EA3"/>
    <w:rsid w:val="00F01516"/>
    <w:rsid w:val="00F06B90"/>
    <w:rsid w:val="00FA3AD4"/>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B17"/>
    <w:pPr>
      <w:suppressAutoHyphens/>
      <w:spacing w:line="240" w:lineRule="atLeast"/>
    </w:pPr>
    <w:rPr>
      <w:lang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D11B1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11B17"/>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49"/>
      </w:numPr>
      <w:spacing w:after="120"/>
      <w:ind w:right="1134"/>
      <w:jc w:val="both"/>
    </w:pPr>
  </w:style>
  <w:style w:type="paragraph" w:customStyle="1" w:styleId="Bullet2G">
    <w:name w:val="_Bullet 2_G"/>
    <w:basedOn w:val="Normal"/>
    <w:rsid w:val="00D11B17"/>
    <w:pPr>
      <w:numPr>
        <w:numId w:val="50"/>
      </w:numPr>
      <w:spacing w:after="120"/>
      <w:ind w:right="1134"/>
      <w:jc w:val="both"/>
    </w:pPr>
  </w:style>
  <w:style w:type="character" w:styleId="FootnoteReference">
    <w:name w:val="footnote reference"/>
    <w:aliases w:val="4_G"/>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rsid w:val="00D11B17"/>
    <w:pPr>
      <w:pBdr>
        <w:bottom w:val="single" w:sz="4" w:space="4" w:color="auto"/>
      </w:pBdr>
      <w:spacing w:line="240" w:lineRule="auto"/>
    </w:pPr>
    <w:rPr>
      <w:b/>
      <w:sz w:val="18"/>
    </w:rPr>
  </w:style>
  <w:style w:type="paragraph" w:styleId="FootnoteText">
    <w:name w:val="footnote text"/>
    <w:aliases w:val="5_G"/>
    <w:basedOn w:val="Normal"/>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character" w:styleId="Hyperlink">
    <w:name w:val="Hyperlink"/>
    <w:rsid w:val="00B806BB"/>
    <w:rPr>
      <w:color w:val="auto"/>
      <w:u w:val="none"/>
    </w:rPr>
  </w:style>
  <w:style w:type="character" w:styleId="FollowedHyperlink">
    <w:name w:val="FollowedHyperlink"/>
    <w:rsid w:val="00B806B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U1</Template>
  <TotalTime>0</TotalTime>
  <Pages>10</Pages>
  <Words>5583</Words>
  <Characters>29819</Characters>
  <Application>Microsoft Office Word</Application>
  <DocSecurity>4</DocSecurity>
  <Lines>438</Lines>
  <Paragraphs>81</Paragraphs>
  <ScaleCrop>false</ScaleCrop>
  <HeadingPairs>
    <vt:vector size="2" baseType="variant">
      <vt:variant>
        <vt:lpstr>Titre</vt:lpstr>
      </vt:variant>
      <vt:variant>
        <vt:i4>1</vt:i4>
      </vt:variant>
    </vt:vector>
  </HeadingPairs>
  <TitlesOfParts>
    <vt:vector size="1" baseType="lpstr">
      <vt:lpstr>E/C.12/2011/SR.37</vt:lpstr>
    </vt:vector>
  </TitlesOfParts>
  <Company>Corinne</Company>
  <LinksUpToDate>false</LinksUpToDate>
  <CharactersWithSpaces>35321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E/C.12/2011/SR.37</dc:title>
  <dc:subject>final</dc:subject>
  <dc:creator>Pool</dc:creator>
  <cp:keywords/>
  <dc:description/>
  <cp:lastModifiedBy>Pool</cp:lastModifiedBy>
  <cp:revision>2</cp:revision>
  <cp:lastPrinted>2011-11-24T14:34:00Z</cp:lastPrinted>
  <dcterms:created xsi:type="dcterms:W3CDTF">2011-11-25T13:36:00Z</dcterms:created>
  <dcterms:modified xsi:type="dcterms:W3CDTF">2011-11-25T13:36:00Z</dcterms:modified>
</cp:coreProperties>
</file>