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00688" w:rsidRDefault="00800688" w:rsidP="008006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00688" w:rsidP="00800688">
            <w:pPr>
              <w:jc w:val="right"/>
            </w:pPr>
            <w:r w:rsidRPr="00800688">
              <w:rPr>
                <w:sz w:val="40"/>
              </w:rPr>
              <w:t>E</w:t>
            </w:r>
            <w:r>
              <w:t>/C.12/2016/2</w:t>
            </w:r>
          </w:p>
        </w:tc>
      </w:tr>
      <w:tr w:rsidR="002D5AAC" w:rsidRPr="00897A05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4348C3" wp14:editId="044B45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00688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00688" w:rsidRDefault="00800688" w:rsidP="008006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March 2017</w:t>
            </w:r>
          </w:p>
          <w:p w:rsidR="00800688" w:rsidRDefault="00800688" w:rsidP="008006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00688" w:rsidRPr="00D62A45" w:rsidRDefault="00800688" w:rsidP="008006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86F0D" w:rsidRPr="00C86F0D" w:rsidRDefault="00C86F0D" w:rsidP="00C86F0D">
      <w:pPr>
        <w:spacing w:before="120"/>
        <w:rPr>
          <w:b/>
          <w:sz w:val="24"/>
          <w:szCs w:val="24"/>
        </w:rPr>
      </w:pPr>
      <w:r w:rsidRPr="00C86F0D">
        <w:rPr>
          <w:b/>
          <w:sz w:val="24"/>
          <w:szCs w:val="24"/>
        </w:rPr>
        <w:t xml:space="preserve">Комитет по экономическим, социальным </w:t>
      </w:r>
      <w:r w:rsidR="00897A05" w:rsidRPr="00897A05">
        <w:rPr>
          <w:b/>
          <w:sz w:val="24"/>
          <w:szCs w:val="24"/>
        </w:rPr>
        <w:br/>
      </w:r>
      <w:bookmarkStart w:id="0" w:name="_GoBack"/>
      <w:bookmarkEnd w:id="0"/>
      <w:r w:rsidRPr="00C86F0D">
        <w:rPr>
          <w:b/>
          <w:sz w:val="24"/>
          <w:szCs w:val="24"/>
        </w:rPr>
        <w:t>и культурным правам</w:t>
      </w:r>
    </w:p>
    <w:p w:rsidR="00C86F0D" w:rsidRPr="00C86F0D" w:rsidRDefault="00C86F0D" w:rsidP="00C86F0D">
      <w:pPr>
        <w:pStyle w:val="HChGR"/>
      </w:pPr>
      <w:r w:rsidRPr="00C86F0D">
        <w:tab/>
      </w:r>
      <w:r w:rsidRPr="00C86F0D">
        <w:tab/>
        <w:t>Правозащитники и экономические, социальные и</w:t>
      </w:r>
      <w:r w:rsidR="00E102F0">
        <w:rPr>
          <w:lang w:val="en-US"/>
        </w:rPr>
        <w:t> </w:t>
      </w:r>
      <w:r w:rsidRPr="00C86F0D">
        <w:t>культурные права</w:t>
      </w:r>
    </w:p>
    <w:p w:rsidR="00C86F0D" w:rsidRPr="00C86F0D" w:rsidRDefault="00C86F0D" w:rsidP="00C86F0D">
      <w:pPr>
        <w:pStyle w:val="H1GR"/>
      </w:pPr>
      <w:r w:rsidRPr="00C86F0D">
        <w:tab/>
      </w:r>
      <w:r w:rsidRPr="00C86F0D">
        <w:tab/>
        <w:t xml:space="preserve">Заявление Комитета по </w:t>
      </w:r>
      <w:proofErr w:type="gramStart"/>
      <w:r w:rsidRPr="00C86F0D">
        <w:t>экономическим</w:t>
      </w:r>
      <w:proofErr w:type="gramEnd"/>
      <w:r w:rsidRPr="00C86F0D">
        <w:t>, социальным и</w:t>
      </w:r>
      <w:r w:rsidR="00E102F0">
        <w:rPr>
          <w:lang w:val="en-US"/>
        </w:rPr>
        <w:t> </w:t>
      </w:r>
      <w:r w:rsidRPr="00C86F0D">
        <w:t>культурным правам</w:t>
      </w:r>
      <w:r w:rsidRPr="00E102F0">
        <w:rPr>
          <w:b w:val="0"/>
          <w:sz w:val="18"/>
          <w:szCs w:val="18"/>
        </w:rPr>
        <w:footnoteReference w:customMarkFollows="1" w:id="1"/>
        <w:t>*</w:t>
      </w:r>
    </w:p>
    <w:p w:rsidR="00C86F0D" w:rsidRPr="00C86F0D" w:rsidRDefault="00C86F0D" w:rsidP="00C86F0D">
      <w:pPr>
        <w:pStyle w:val="SingleTxtGR"/>
      </w:pPr>
      <w:r w:rsidRPr="00C86F0D">
        <w:t>1.</w:t>
      </w:r>
      <w:r w:rsidRPr="00C86F0D">
        <w:tab/>
        <w:t xml:space="preserve">Вклад гражданского общества имеет исключительно </w:t>
      </w:r>
      <w:proofErr w:type="gramStart"/>
      <w:r w:rsidRPr="00C86F0D">
        <w:t>важное значение</w:t>
      </w:r>
      <w:proofErr w:type="gramEnd"/>
      <w:r w:rsidRPr="00C86F0D">
        <w:t xml:space="preserve"> для эффективного поощрения, защиты и осуществления экономических, социал</w:t>
      </w:r>
      <w:r w:rsidRPr="00C86F0D">
        <w:t>ь</w:t>
      </w:r>
      <w:r w:rsidRPr="00C86F0D">
        <w:t>ных и культурных прав, а также играет важную роль в мониторинге и оценке соблюдения государствами-участниками Международного пакта об экономич</w:t>
      </w:r>
      <w:r w:rsidRPr="00C86F0D">
        <w:t>е</w:t>
      </w:r>
      <w:r w:rsidRPr="00C86F0D">
        <w:t>ских, социальных и культурных правах. В знак признания этой роли Комитет по экономическим, социальным и культурным правам был первым договорным о</w:t>
      </w:r>
      <w:r w:rsidRPr="00C86F0D">
        <w:t>р</w:t>
      </w:r>
      <w:r w:rsidRPr="00C86F0D">
        <w:t>ганом, предоставившим всем неправительственным организациям возможность представлять письменные и устные заявления по вопросам, относящимся к осуществлению предусмотренных Пактом прав в той или иной стране. Он</w:t>
      </w:r>
      <w:r w:rsidR="00E102F0">
        <w:rPr>
          <w:lang w:val="en-US"/>
        </w:rPr>
        <w:t> </w:t>
      </w:r>
      <w:r w:rsidRPr="00C86F0D">
        <w:t>неизменно призывал государства-участники продолжать их сотрудничество с неправительственными организациями, правозащитниками и другими член</w:t>
      </w:r>
      <w:r w:rsidRPr="00C86F0D">
        <w:t>а</w:t>
      </w:r>
      <w:r w:rsidRPr="00C86F0D">
        <w:t>ми гражданского общества на протяжении всего процесса представления д</w:t>
      </w:r>
      <w:r w:rsidRPr="00C86F0D">
        <w:t>о</w:t>
      </w:r>
      <w:r w:rsidRPr="00C86F0D">
        <w:t>кладов по Пакту.</w:t>
      </w:r>
    </w:p>
    <w:p w:rsidR="00C86F0D" w:rsidRPr="00C86F0D" w:rsidRDefault="00C86F0D" w:rsidP="00C86F0D">
      <w:pPr>
        <w:pStyle w:val="SingleTxtGR"/>
      </w:pPr>
      <w:r w:rsidRPr="00C86F0D">
        <w:t>2.</w:t>
      </w:r>
      <w:r w:rsidRPr="00C86F0D">
        <w:tab/>
        <w:t>Активное участие гражданского общества в работе Комитета также ок</w:t>
      </w:r>
      <w:r w:rsidRPr="00C86F0D">
        <w:t>а</w:t>
      </w:r>
      <w:r w:rsidRPr="00C86F0D">
        <w:t>залось важным для широкого распространения на национальном и местном уровнях информации о Пакте и работе Комитета. Во многих случаях неправ</w:t>
      </w:r>
      <w:r w:rsidRPr="00C86F0D">
        <w:t>и</w:t>
      </w:r>
      <w:r w:rsidRPr="00C86F0D">
        <w:t>тельственные организации привлекают значительное внимание средств масс</w:t>
      </w:r>
      <w:r w:rsidRPr="00C86F0D">
        <w:t>о</w:t>
      </w:r>
      <w:r w:rsidRPr="00C86F0D">
        <w:t>вой информации в их соответствующих странах после принятия Комитетом з</w:t>
      </w:r>
      <w:r w:rsidRPr="00C86F0D">
        <w:t>а</w:t>
      </w:r>
      <w:r w:rsidRPr="00C86F0D">
        <w:t xml:space="preserve">ключительных замечаний в отношении соответствующих государств. </w:t>
      </w:r>
    </w:p>
    <w:p w:rsidR="00C86F0D" w:rsidRPr="00C86F0D" w:rsidRDefault="00C86F0D" w:rsidP="00C86F0D">
      <w:pPr>
        <w:pStyle w:val="SingleTxtGR"/>
      </w:pPr>
      <w:r w:rsidRPr="00C86F0D">
        <w:t>3.</w:t>
      </w:r>
      <w:r w:rsidRPr="00C86F0D">
        <w:tab/>
        <w:t>Поскольку правозащитники представляют собой один из элементов гра</w:t>
      </w:r>
      <w:r w:rsidRPr="00C86F0D">
        <w:t>ж</w:t>
      </w:r>
      <w:r w:rsidRPr="00C86F0D">
        <w:t>данского общества, ими могут являться любы</w:t>
      </w:r>
      <w:r w:rsidR="000A3F7A">
        <w:t>ми</w:t>
      </w:r>
      <w:r w:rsidRPr="00C86F0D">
        <w:t xml:space="preserve"> лица</w:t>
      </w:r>
      <w:r w:rsidR="000A3F7A">
        <w:t>ми</w:t>
      </w:r>
      <w:r w:rsidRPr="00C86F0D">
        <w:t xml:space="preserve"> или групп</w:t>
      </w:r>
      <w:r w:rsidR="000A3F7A">
        <w:t>ами</w:t>
      </w:r>
      <w:r w:rsidRPr="00C86F0D">
        <w:t>, зан</w:t>
      </w:r>
      <w:r w:rsidRPr="00C86F0D">
        <w:t>и</w:t>
      </w:r>
      <w:r w:rsidRPr="00C86F0D">
        <w:t>мающи</w:t>
      </w:r>
      <w:r w:rsidR="000A3F7A">
        <w:t>ми</w:t>
      </w:r>
      <w:r w:rsidRPr="00C86F0D">
        <w:t>ся защитой и поощрением прав человека, включая права, закрепле</w:t>
      </w:r>
      <w:r w:rsidRPr="00C86F0D">
        <w:t>н</w:t>
      </w:r>
      <w:r w:rsidRPr="00C86F0D">
        <w:t>ные в Пакте. Они могут влиять на разработку государственной политики и и</w:t>
      </w:r>
      <w:r w:rsidRPr="00C86F0D">
        <w:t>г</w:t>
      </w:r>
      <w:r w:rsidRPr="00C86F0D">
        <w:t>рают важную роль в выявлении нарушений прав человека и привлечении вн</w:t>
      </w:r>
      <w:r w:rsidRPr="00C86F0D">
        <w:t>и</w:t>
      </w:r>
      <w:r w:rsidRPr="00C86F0D">
        <w:t>мания властей к последствиям их действий или бездействия в отношении ос</w:t>
      </w:r>
      <w:r w:rsidRPr="00C86F0D">
        <w:t>у</w:t>
      </w:r>
      <w:r w:rsidRPr="00C86F0D">
        <w:t xml:space="preserve">ществления прав человека, в том числе прав, закрепленных в Пакте. </w:t>
      </w:r>
    </w:p>
    <w:p w:rsidR="00C86F0D" w:rsidRPr="00C86F0D" w:rsidRDefault="00C86F0D" w:rsidP="00C86F0D">
      <w:pPr>
        <w:pStyle w:val="SingleTxtGR"/>
      </w:pPr>
      <w:r w:rsidRPr="00C86F0D">
        <w:t>4.</w:t>
      </w:r>
      <w:r w:rsidRPr="00C86F0D">
        <w:tab/>
        <w:t>Прошлые и недавние инциденты вызывают тревогу по поводу положения правозащитников, занимающихся экономическими, социальными и культурн</w:t>
      </w:r>
      <w:r w:rsidRPr="00C86F0D">
        <w:t>ы</w:t>
      </w:r>
      <w:r w:rsidRPr="00C86F0D">
        <w:t xml:space="preserve">ми правами, которые зачастую сталкиваются с рисками и угрозами вследствие </w:t>
      </w:r>
      <w:r w:rsidRPr="00C86F0D">
        <w:lastRenderedPageBreak/>
        <w:t xml:space="preserve">своей работы. </w:t>
      </w:r>
      <w:proofErr w:type="gramStart"/>
      <w:r w:rsidRPr="00C86F0D">
        <w:t>В 2015 году Специальный докладчик по вопросу о положении правозащитников отнес лиц, занимающихся защитой экономических, социал</w:t>
      </w:r>
      <w:r w:rsidRPr="00C86F0D">
        <w:t>ь</w:t>
      </w:r>
      <w:r w:rsidRPr="00C86F0D">
        <w:t>ных и культурных прав, к одной из групп правозащитников, которые в наибольшей степени подвергаются рискам</w:t>
      </w:r>
      <w:r w:rsidRPr="007B4FF7">
        <w:rPr>
          <w:sz w:val="18"/>
          <w:szCs w:val="18"/>
          <w:vertAlign w:val="superscript"/>
        </w:rPr>
        <w:footnoteReference w:id="2"/>
      </w:r>
      <w:r w:rsidR="007B4FF7" w:rsidRPr="00C86F0D">
        <w:t>.</w:t>
      </w:r>
      <w:r w:rsidRPr="00C86F0D">
        <w:t xml:space="preserve"> Кроме того, в 2015 году Рабочая группа по насильственным исчезновениям заявила, что насильственные исче</w:t>
      </w:r>
      <w:r w:rsidRPr="00C86F0D">
        <w:t>з</w:t>
      </w:r>
      <w:r w:rsidRPr="00C86F0D">
        <w:t>новения использовались в качестве репрессивной меры и инструмента сдерж</w:t>
      </w:r>
      <w:r w:rsidRPr="00C86F0D">
        <w:t>и</w:t>
      </w:r>
      <w:r w:rsidRPr="00C86F0D">
        <w:t>вания законного осуществления, защиты или поощрения осуществления экон</w:t>
      </w:r>
      <w:r w:rsidRPr="00C86F0D">
        <w:t>о</w:t>
      </w:r>
      <w:r w:rsidRPr="00C86F0D">
        <w:t>мических, социальных</w:t>
      </w:r>
      <w:proofErr w:type="gramEnd"/>
      <w:r w:rsidRPr="00C86F0D">
        <w:t xml:space="preserve"> и культурных прав</w:t>
      </w:r>
      <w:r w:rsidRPr="007B4FF7">
        <w:rPr>
          <w:sz w:val="18"/>
          <w:szCs w:val="18"/>
          <w:vertAlign w:val="superscript"/>
        </w:rPr>
        <w:footnoteReference w:id="3"/>
      </w:r>
      <w:r w:rsidR="007B4FF7" w:rsidRPr="00C86F0D">
        <w:t>.</w:t>
      </w:r>
    </w:p>
    <w:p w:rsidR="00C86F0D" w:rsidRPr="00C86F0D" w:rsidRDefault="00C86F0D" w:rsidP="00C86F0D">
      <w:pPr>
        <w:pStyle w:val="SingleTxtGR"/>
      </w:pPr>
      <w:r w:rsidRPr="00C86F0D">
        <w:t>5.</w:t>
      </w:r>
      <w:r w:rsidRPr="00C86F0D">
        <w:tab/>
        <w:t>Комитет полностью сознает важность предоставления правозащитникам, включая тех, которые занимаются экономическими, социальными и культурн</w:t>
      </w:r>
      <w:r w:rsidRPr="00C86F0D">
        <w:t>ы</w:t>
      </w:r>
      <w:r w:rsidRPr="00C86F0D">
        <w:t xml:space="preserve">ми правами, возможности работать свободно, без каких-либо угроз или страха. Он считает, что любые угрозы или насилие в отношении правозащитников представляют собой нарушения обязательств государств в отношении </w:t>
      </w:r>
      <w:proofErr w:type="gramStart"/>
      <w:r w:rsidRPr="00C86F0D">
        <w:t>ос</w:t>
      </w:r>
      <w:r w:rsidRPr="00C86F0D">
        <w:t>у</w:t>
      </w:r>
      <w:r w:rsidRPr="00C86F0D">
        <w:t>ществления</w:t>
      </w:r>
      <w:proofErr w:type="gramEnd"/>
      <w:r w:rsidRPr="00C86F0D">
        <w:t xml:space="preserve"> закрепленных в Пакте прав, поскольку правозащитники также сп</w:t>
      </w:r>
      <w:r w:rsidRPr="00C86F0D">
        <w:t>о</w:t>
      </w:r>
      <w:r w:rsidRPr="00C86F0D">
        <w:t>собствуют посредством своей  деятельности осуществлению этих прав. По этой причине он регулярно поднимал этот вопрос в ходе своего диалога с госуда</w:t>
      </w:r>
      <w:r w:rsidRPr="00C86F0D">
        <w:t>р</w:t>
      </w:r>
      <w:r w:rsidRPr="00C86F0D">
        <w:t>ствами-участниками и непосредственно затрагивал его в ряде своих заключ</w:t>
      </w:r>
      <w:r w:rsidRPr="00C86F0D">
        <w:t>и</w:t>
      </w:r>
      <w:r w:rsidRPr="00C86F0D">
        <w:t>тельных замечаний и замечаний общего порядка. В пункте 51 своего замечания общего порядка № 18 (2005) о праве на труд Комитет подтвердил, что госуда</w:t>
      </w:r>
      <w:r w:rsidRPr="00C86F0D">
        <w:t>р</w:t>
      </w:r>
      <w:r w:rsidRPr="00C86F0D">
        <w:t>ствам-участникам следует уважать и защищать работу правозащитников и др</w:t>
      </w:r>
      <w:r w:rsidRPr="00C86F0D">
        <w:t>у</w:t>
      </w:r>
      <w:r w:rsidRPr="00C86F0D">
        <w:t>гих членов гражданского общества, в частности профсоюзов, которые помог</w:t>
      </w:r>
      <w:r w:rsidRPr="00C86F0D">
        <w:t>а</w:t>
      </w:r>
      <w:r w:rsidRPr="00C86F0D">
        <w:t>ют находящимся в неблагоприятном положении и маргинализированным лицам и группам лиц осуществлять их право на труд. Совсем недавно в пункте 49 св</w:t>
      </w:r>
      <w:r w:rsidRPr="00C86F0D">
        <w:t>о</w:t>
      </w:r>
      <w:r w:rsidRPr="00C86F0D">
        <w:t>его замечания общего порядка № 23 (2016) о праве на справедливые и благ</w:t>
      </w:r>
      <w:r w:rsidRPr="00C86F0D">
        <w:t>о</w:t>
      </w:r>
      <w:r w:rsidRPr="00C86F0D">
        <w:t>приятные условия труда Комитет напомнил о том, что правозащитники должны иметь возможность содействовать полному осуществлению предусмотренных в Пакте прав всеми людьми без каких-либо притеснений. Государствам-участникам следует уважать, защищать и поощрять деятельность правозащи</w:t>
      </w:r>
      <w:r w:rsidRPr="00C86F0D">
        <w:t>т</w:t>
      </w:r>
      <w:r w:rsidRPr="00C86F0D">
        <w:t>ников и других представителей гражданского общества по осуществлению пр</w:t>
      </w:r>
      <w:r w:rsidRPr="00C86F0D">
        <w:t>а</w:t>
      </w:r>
      <w:r w:rsidRPr="00C86F0D">
        <w:t>ва на справедливые и благоприятные условия труда.</w:t>
      </w:r>
    </w:p>
    <w:p w:rsidR="00C86F0D" w:rsidRPr="00C86F0D" w:rsidRDefault="00C86F0D" w:rsidP="00C86F0D">
      <w:pPr>
        <w:pStyle w:val="SingleTxtGR"/>
      </w:pPr>
      <w:r w:rsidRPr="00C86F0D">
        <w:t>6.</w:t>
      </w:r>
      <w:r w:rsidRPr="00C86F0D">
        <w:tab/>
        <w:t>Учитывая обязательства государств-участников уважать, защищать и осуществлять права, закрепленные в Пакте, Комитет напоминает государствам-участникам об их обязанности обеспечить, чтобы правозащитники пользов</w:t>
      </w:r>
      <w:r w:rsidRPr="00C86F0D">
        <w:t>а</w:t>
      </w:r>
      <w:r w:rsidRPr="00C86F0D">
        <w:t xml:space="preserve">лись эффективной защитой от любых форм жестокого обращения, насилия и репрессий, с которыми они могут сталкиваться при выполнении своей работы по поощрению реализации этих прав. </w:t>
      </w:r>
    </w:p>
    <w:p w:rsidR="00C86F0D" w:rsidRPr="00C86F0D" w:rsidRDefault="00C86F0D" w:rsidP="00C86F0D">
      <w:pPr>
        <w:pStyle w:val="SingleTxtGR"/>
      </w:pPr>
      <w:r w:rsidRPr="00C86F0D">
        <w:t>7.</w:t>
      </w:r>
      <w:r w:rsidRPr="00C86F0D">
        <w:tab/>
        <w:t>Комитет вновь подтверждает, что международное сообщество должно о</w:t>
      </w:r>
      <w:r w:rsidRPr="00C86F0D">
        <w:t>т</w:t>
      </w:r>
      <w:r w:rsidRPr="00C86F0D">
        <w:t>носиться ко всем правозащитникам, включая тех, которые занимаются экон</w:t>
      </w:r>
      <w:r w:rsidRPr="00C86F0D">
        <w:t>о</w:t>
      </w:r>
      <w:r w:rsidRPr="00C86F0D">
        <w:t>мическими, социальными и культурными правами, на справедливой, равной и беспристрастной основе. Все действия и решения должны соответствовать Уставу Организации Объединенных Наций и Декларации о праве и обязанности отдельных лиц, групп и органов общества поощрять и защищать общепризна</w:t>
      </w:r>
      <w:r w:rsidRPr="00C86F0D">
        <w:t>н</w:t>
      </w:r>
      <w:r w:rsidRPr="00C86F0D">
        <w:t>ные права человека и основные свободы, а также всем соответствующим дог</w:t>
      </w:r>
      <w:r w:rsidRPr="00C86F0D">
        <w:t>о</w:t>
      </w:r>
      <w:r w:rsidRPr="00C86F0D">
        <w:t>ворам о правах человека.</w:t>
      </w:r>
    </w:p>
    <w:p w:rsidR="00C86F0D" w:rsidRPr="00C86F0D" w:rsidRDefault="00C86F0D" w:rsidP="00C86F0D">
      <w:pPr>
        <w:pStyle w:val="SingleTxtGR"/>
      </w:pPr>
      <w:r w:rsidRPr="00C86F0D">
        <w:t>8.</w:t>
      </w:r>
      <w:r w:rsidRPr="00C86F0D">
        <w:tab/>
        <w:t xml:space="preserve">Конкретные меры, которые государства должны принимать для защиты деятельности правозащитников, зависят от национальных условий. Вместе с тем Комитет подчеркивает, что важнейшее значение имеют следующие меры: </w:t>
      </w:r>
    </w:p>
    <w:p w:rsidR="00C86F0D" w:rsidRPr="00C86F0D" w:rsidRDefault="00C86F0D" w:rsidP="00C86F0D">
      <w:pPr>
        <w:pStyle w:val="SingleTxtGR"/>
      </w:pPr>
      <w:r w:rsidRPr="00C86F0D">
        <w:tab/>
        <w:t>а)</w:t>
      </w:r>
      <w:r w:rsidRPr="00C86F0D">
        <w:tab/>
        <w:t>публичное признание высшими государственными органами ва</w:t>
      </w:r>
      <w:r w:rsidRPr="00C86F0D">
        <w:t>ж</w:t>
      </w:r>
      <w:r w:rsidRPr="00C86F0D">
        <w:t xml:space="preserve">ности и легитимности работы правозащитников и обязательство не допускать насилия или угроз в отношении них; </w:t>
      </w:r>
    </w:p>
    <w:p w:rsidR="00C86F0D" w:rsidRPr="00C86F0D" w:rsidRDefault="00C86F0D" w:rsidP="00C86F0D">
      <w:pPr>
        <w:pStyle w:val="SingleTxtGR"/>
      </w:pPr>
      <w:r>
        <w:tab/>
      </w:r>
      <w:r w:rsidRPr="00C86F0D">
        <w:t>b)</w:t>
      </w:r>
      <w:r w:rsidRPr="00C86F0D">
        <w:tab/>
        <w:t>отмена любого законодательства государства или любых мер, кот</w:t>
      </w:r>
      <w:r w:rsidRPr="00C86F0D">
        <w:t>о</w:t>
      </w:r>
      <w:r w:rsidRPr="00C86F0D">
        <w:t xml:space="preserve">рые направлены на наказание правозащитников или препятствование их работе; </w:t>
      </w:r>
    </w:p>
    <w:p w:rsidR="00C86F0D" w:rsidRPr="00C86F0D" w:rsidRDefault="00C86F0D" w:rsidP="00C86F0D">
      <w:pPr>
        <w:pStyle w:val="SingleTxtGR"/>
      </w:pPr>
      <w:r>
        <w:tab/>
      </w:r>
      <w:r w:rsidRPr="00C86F0D">
        <w:t>c)</w:t>
      </w:r>
      <w:r w:rsidRPr="00C86F0D">
        <w:tab/>
        <w:t>укрепление государственных институтов, отвечающих за обеспеч</w:t>
      </w:r>
      <w:r w:rsidRPr="00C86F0D">
        <w:t>е</w:t>
      </w:r>
      <w:r w:rsidRPr="00C86F0D">
        <w:t xml:space="preserve">ние деятельности правозащитников; </w:t>
      </w:r>
    </w:p>
    <w:p w:rsidR="00C86F0D" w:rsidRPr="00C86F0D" w:rsidRDefault="00C86F0D" w:rsidP="00C86F0D">
      <w:pPr>
        <w:pStyle w:val="SingleTxtGR"/>
      </w:pPr>
      <w:r w:rsidRPr="00C86F0D">
        <w:tab/>
        <w:t>d)</w:t>
      </w:r>
      <w:r w:rsidRPr="00C86F0D">
        <w:tab/>
        <w:t xml:space="preserve">расследование и наказание любых форм насилия или запугивания в отношении правозащитников; </w:t>
      </w:r>
    </w:p>
    <w:p w:rsidR="00800688" w:rsidRPr="00C86F0D" w:rsidRDefault="00C86F0D" w:rsidP="00C86F0D">
      <w:pPr>
        <w:pStyle w:val="SingleTxtGR"/>
      </w:pPr>
      <w:r w:rsidRPr="00C86F0D">
        <w:tab/>
        <w:t>e)</w:t>
      </w:r>
      <w:r w:rsidRPr="00C86F0D">
        <w:tab/>
        <w:t>принятие и осуществление программ, в консультации с потенц</w:t>
      </w:r>
      <w:r w:rsidRPr="00C86F0D">
        <w:t>и</w:t>
      </w:r>
      <w:r w:rsidRPr="00C86F0D">
        <w:t>альными бенефициарами, на осуществление которых выделено достаточно р</w:t>
      </w:r>
      <w:r w:rsidRPr="00C86F0D">
        <w:t>е</w:t>
      </w:r>
      <w:r w:rsidRPr="00C86F0D">
        <w:t>сурсов и которые предусматривают механизмы координации, обеспечивающие принятие, когда это необходимо, адекватных мер защиты правозащитников, подвергающихся риску.</w:t>
      </w:r>
    </w:p>
    <w:p w:rsidR="00381C24" w:rsidRPr="00C86F0D" w:rsidRDefault="00C86F0D" w:rsidP="00C86F0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86F0D" w:rsidSect="0080068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B1" w:rsidRPr="00A312BC" w:rsidRDefault="004430B1" w:rsidP="00A312BC"/>
  </w:endnote>
  <w:endnote w:type="continuationSeparator" w:id="0">
    <w:p w:rsidR="004430B1" w:rsidRPr="00A312BC" w:rsidRDefault="004430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88" w:rsidRPr="00800688" w:rsidRDefault="00800688">
    <w:pPr>
      <w:pStyle w:val="aa"/>
    </w:pPr>
    <w:r w:rsidRPr="00800688">
      <w:rPr>
        <w:b/>
        <w:sz w:val="18"/>
      </w:rPr>
      <w:fldChar w:fldCharType="begin"/>
    </w:r>
    <w:r w:rsidRPr="00800688">
      <w:rPr>
        <w:b/>
        <w:sz w:val="18"/>
      </w:rPr>
      <w:instrText xml:space="preserve"> PAGE  \* MERGEFORMAT </w:instrText>
    </w:r>
    <w:r w:rsidRPr="00800688">
      <w:rPr>
        <w:b/>
        <w:sz w:val="18"/>
      </w:rPr>
      <w:fldChar w:fldCharType="separate"/>
    </w:r>
    <w:r w:rsidR="003658BB">
      <w:rPr>
        <w:b/>
        <w:noProof/>
        <w:sz w:val="18"/>
      </w:rPr>
      <w:t>2</w:t>
    </w:r>
    <w:r w:rsidRPr="00800688">
      <w:rPr>
        <w:b/>
        <w:sz w:val="18"/>
      </w:rPr>
      <w:fldChar w:fldCharType="end"/>
    </w:r>
    <w:r>
      <w:rPr>
        <w:b/>
        <w:sz w:val="18"/>
      </w:rPr>
      <w:tab/>
    </w:r>
    <w:r>
      <w:t>GE.17-05028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88" w:rsidRPr="00800688" w:rsidRDefault="00800688" w:rsidP="00800688">
    <w:pPr>
      <w:pStyle w:val="aa"/>
      <w:tabs>
        <w:tab w:val="clear" w:pos="9639"/>
        <w:tab w:val="right" w:pos="9638"/>
      </w:tabs>
      <w:rPr>
        <w:b/>
        <w:sz w:val="18"/>
      </w:rPr>
    </w:pPr>
    <w:r>
      <w:t>GE.17-05028</w:t>
    </w:r>
    <w:r>
      <w:tab/>
    </w:r>
    <w:r w:rsidRPr="00800688">
      <w:rPr>
        <w:b/>
        <w:sz w:val="18"/>
      </w:rPr>
      <w:fldChar w:fldCharType="begin"/>
    </w:r>
    <w:r w:rsidRPr="00800688">
      <w:rPr>
        <w:b/>
        <w:sz w:val="18"/>
      </w:rPr>
      <w:instrText xml:space="preserve"> PAGE  \* MERGEFORMAT </w:instrText>
    </w:r>
    <w:r w:rsidRPr="00800688">
      <w:rPr>
        <w:b/>
        <w:sz w:val="18"/>
      </w:rPr>
      <w:fldChar w:fldCharType="separate"/>
    </w:r>
    <w:r w:rsidR="003658BB">
      <w:rPr>
        <w:b/>
        <w:noProof/>
        <w:sz w:val="18"/>
      </w:rPr>
      <w:t>3</w:t>
    </w:r>
    <w:r w:rsidRPr="008006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00688" w:rsidRDefault="00800688" w:rsidP="0080068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6241BCB" wp14:editId="424B172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17-05028  (R)</w:t>
    </w:r>
    <w:r w:rsidR="000A3F7A">
      <w:t xml:space="preserve">  200417  210417</w:t>
    </w:r>
    <w:r>
      <w:br/>
    </w:r>
    <w:r w:rsidRPr="00800688">
      <w:rPr>
        <w:rFonts w:ascii="C39T30Lfz" w:hAnsi="C39T30Lfz"/>
        <w:spacing w:val="0"/>
        <w:w w:val="100"/>
        <w:sz w:val="56"/>
      </w:rPr>
      <w:t></w:t>
    </w:r>
    <w:r w:rsidRPr="00800688">
      <w:rPr>
        <w:rFonts w:ascii="C39T30Lfz" w:hAnsi="C39T30Lfz"/>
        <w:spacing w:val="0"/>
        <w:w w:val="100"/>
        <w:sz w:val="56"/>
      </w:rPr>
      <w:t></w:t>
    </w:r>
    <w:r w:rsidRPr="00800688">
      <w:rPr>
        <w:rFonts w:ascii="C39T30Lfz" w:hAnsi="C39T30Lfz"/>
        <w:spacing w:val="0"/>
        <w:w w:val="100"/>
        <w:sz w:val="56"/>
      </w:rPr>
      <w:t></w:t>
    </w:r>
    <w:r w:rsidRPr="00800688">
      <w:rPr>
        <w:rFonts w:ascii="C39T30Lfz" w:hAnsi="C39T30Lfz"/>
        <w:spacing w:val="0"/>
        <w:w w:val="100"/>
        <w:sz w:val="56"/>
      </w:rPr>
      <w:t></w:t>
    </w:r>
    <w:r w:rsidRPr="00800688">
      <w:rPr>
        <w:rFonts w:ascii="C39T30Lfz" w:hAnsi="C39T30Lfz"/>
        <w:spacing w:val="0"/>
        <w:w w:val="100"/>
        <w:sz w:val="56"/>
      </w:rPr>
      <w:t></w:t>
    </w:r>
    <w:r w:rsidRPr="00800688">
      <w:rPr>
        <w:rFonts w:ascii="C39T30Lfz" w:hAnsi="C39T30Lfz"/>
        <w:spacing w:val="0"/>
        <w:w w:val="100"/>
        <w:sz w:val="56"/>
      </w:rPr>
      <w:t></w:t>
    </w:r>
    <w:r w:rsidRPr="00800688">
      <w:rPr>
        <w:rFonts w:ascii="C39T30Lfz" w:hAnsi="C39T30Lfz"/>
        <w:spacing w:val="0"/>
        <w:w w:val="100"/>
        <w:sz w:val="56"/>
      </w:rPr>
      <w:t></w:t>
    </w:r>
    <w:r w:rsidRPr="00800688">
      <w:rPr>
        <w:rFonts w:ascii="C39T30Lfz" w:hAnsi="C39T30Lfz"/>
        <w:spacing w:val="0"/>
        <w:w w:val="100"/>
        <w:sz w:val="56"/>
      </w:rPr>
      <w:t></w:t>
    </w:r>
    <w:r w:rsidRPr="0080068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C.12/2016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C.12/2016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B1" w:rsidRPr="001075E9" w:rsidRDefault="004430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30B1" w:rsidRDefault="004430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86F0D" w:rsidRPr="00595AB4" w:rsidRDefault="00C86F0D" w:rsidP="00C86F0D">
      <w:pPr>
        <w:pStyle w:val="af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Настоящее заявление, которое было принято Комитетом на его пятьдесят девятой с</w:t>
      </w:r>
      <w:r w:rsidR="000A3F7A">
        <w:rPr>
          <w:lang w:val="ru-RU"/>
        </w:rPr>
        <w:t xml:space="preserve">ессии, состоявшейся 19 сентября – </w:t>
      </w:r>
      <w:r>
        <w:rPr>
          <w:lang w:val="ru-RU"/>
        </w:rPr>
        <w:t>7 октября 2016 года, было подготовлено в</w:t>
      </w:r>
      <w:r w:rsidR="000A3F7A">
        <w:rPr>
          <w:lang w:val="ru-RU"/>
        </w:rPr>
        <w:t> </w:t>
      </w:r>
      <w:r>
        <w:rPr>
          <w:lang w:val="ru-RU"/>
        </w:rPr>
        <w:t xml:space="preserve">соответствии с практикой Комитета, касающейся принятия заявлений </w:t>
      </w:r>
      <w:r w:rsidR="000A3F7A">
        <w:rPr>
          <w:lang w:val="ru-RU"/>
        </w:rPr>
        <w:br/>
      </w:r>
      <w:r>
        <w:rPr>
          <w:lang w:val="ru-RU"/>
        </w:rPr>
        <w:t xml:space="preserve">(см. </w:t>
      </w:r>
      <w:r w:rsidRPr="00EA1115">
        <w:rPr>
          <w:i/>
          <w:iCs/>
          <w:lang w:val="ru-RU"/>
        </w:rPr>
        <w:t>Официальные отчеты Экономического и Социального Совета, 2011, Дополнение</w:t>
      </w:r>
      <w:r w:rsidR="000A3F7A">
        <w:rPr>
          <w:i/>
          <w:iCs/>
          <w:lang w:val="ru-RU"/>
        </w:rPr>
        <w:t> </w:t>
      </w:r>
      <w:r w:rsidRPr="00EA1115">
        <w:rPr>
          <w:i/>
          <w:iCs/>
          <w:lang w:val="ru-RU"/>
        </w:rPr>
        <w:t>№ 2</w:t>
      </w:r>
      <w:r>
        <w:rPr>
          <w:lang w:val="ru-RU"/>
        </w:rPr>
        <w:t xml:space="preserve"> (E/2011/22), глава II, раздел K).</w:t>
      </w:r>
    </w:p>
  </w:footnote>
  <w:footnote w:id="2">
    <w:p w:rsidR="00C86F0D" w:rsidRPr="00595AB4" w:rsidRDefault="00C86F0D" w:rsidP="00C86F0D">
      <w:pPr>
        <w:pStyle w:val="af"/>
        <w:rPr>
          <w:lang w:val="ru-RU"/>
        </w:rPr>
      </w:pPr>
      <w:r w:rsidRPr="00F10832">
        <w:rPr>
          <w:lang w:val="ru-RU"/>
        </w:rPr>
        <w:tab/>
      </w:r>
      <w:r w:rsidRPr="0042419F">
        <w:rPr>
          <w:rStyle w:val="a8"/>
          <w:lang w:val="ru-RU"/>
        </w:rPr>
        <w:footnoteRef/>
      </w:r>
      <w:r>
        <w:rPr>
          <w:lang w:val="ru-RU"/>
        </w:rPr>
        <w:tab/>
        <w:t>См. A/68/262, пункты 15, 24, 40 и 53</w:t>
      </w:r>
      <w:r w:rsidR="007C5B36">
        <w:rPr>
          <w:lang w:val="ru-RU"/>
        </w:rPr>
        <w:t>–</w:t>
      </w:r>
      <w:r>
        <w:rPr>
          <w:lang w:val="ru-RU"/>
        </w:rPr>
        <w:t>55.</w:t>
      </w:r>
    </w:p>
  </w:footnote>
  <w:footnote w:id="3">
    <w:p w:rsidR="00C86F0D" w:rsidRPr="007C5B36" w:rsidRDefault="00C86F0D" w:rsidP="00C86F0D">
      <w:pPr>
        <w:pStyle w:val="af"/>
        <w:rPr>
          <w:lang w:val="ru-RU"/>
        </w:rPr>
      </w:pPr>
      <w:r w:rsidRPr="00F10832">
        <w:rPr>
          <w:lang w:val="ru-RU"/>
        </w:rPr>
        <w:tab/>
      </w:r>
      <w:r w:rsidRPr="0042419F">
        <w:rPr>
          <w:rStyle w:val="a8"/>
          <w:lang w:val="ru-RU"/>
        </w:rPr>
        <w:footnoteRef/>
      </w:r>
      <w:r w:rsidR="007C5B36">
        <w:rPr>
          <w:lang w:val="ru-RU"/>
        </w:rPr>
        <w:tab/>
        <w:t>См. A/HRC/30/38/Add.5, пункт</w:t>
      </w:r>
      <w:r>
        <w:rPr>
          <w:lang w:val="ru-RU"/>
        </w:rPr>
        <w:t xml:space="preserve"> 33.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88" w:rsidRPr="00800688" w:rsidRDefault="00203F13">
    <w:pPr>
      <w:pStyle w:val="a5"/>
    </w:pPr>
    <w:fldSimple w:instr=" TITLE  \* MERGEFORMAT ">
      <w:r w:rsidR="003658BB">
        <w:t>E/C.12/2016/2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88" w:rsidRPr="00800688" w:rsidRDefault="00203F13" w:rsidP="00800688">
    <w:pPr>
      <w:pStyle w:val="a5"/>
      <w:jc w:val="right"/>
    </w:pPr>
    <w:fldSimple w:instr=" TITLE  \* MERGEFORMAT ">
      <w:r w:rsidR="003658BB">
        <w:t>E/C.12/2016/2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B1"/>
    <w:rsid w:val="00033EE1"/>
    <w:rsid w:val="00042B72"/>
    <w:rsid w:val="00043B08"/>
    <w:rsid w:val="000558BD"/>
    <w:rsid w:val="000857D2"/>
    <w:rsid w:val="000A3F7A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F13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658BB"/>
    <w:rsid w:val="00381C24"/>
    <w:rsid w:val="003958D0"/>
    <w:rsid w:val="003A0D43"/>
    <w:rsid w:val="003B00E5"/>
    <w:rsid w:val="00407B78"/>
    <w:rsid w:val="00424203"/>
    <w:rsid w:val="0042551A"/>
    <w:rsid w:val="004430B1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4FF7"/>
    <w:rsid w:val="007C5B36"/>
    <w:rsid w:val="00800688"/>
    <w:rsid w:val="00806737"/>
    <w:rsid w:val="00811570"/>
    <w:rsid w:val="00825F8D"/>
    <w:rsid w:val="00834B71"/>
    <w:rsid w:val="0086445C"/>
    <w:rsid w:val="00894693"/>
    <w:rsid w:val="00897A05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0DAC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86F0D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102F0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E/C.12/2016/2</vt:lpstr>
      <vt:lpstr>A/</vt:lpstr>
    </vt:vector>
  </TitlesOfParts>
  <Company>DCM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E/C.12/2016/2</dc:title>
  <dc:subject/>
  <dc:creator>Sharkina</dc:creator>
  <cp:keywords/>
  <cp:lastModifiedBy>Sharkina</cp:lastModifiedBy>
  <cp:revision>3</cp:revision>
  <cp:lastPrinted>2017-04-21T08:28:00Z</cp:lastPrinted>
  <dcterms:created xsi:type="dcterms:W3CDTF">2017-04-21T08:28:00Z</dcterms:created>
  <dcterms:modified xsi:type="dcterms:W3CDTF">2017-04-21T08:28:00Z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