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23E4F8A9" w14:textId="77777777" w:rsidTr="00EE2AFF">
        <w:trPr>
          <w:trHeight w:hRule="exact" w:val="851"/>
        </w:trPr>
        <w:tc>
          <w:tcPr>
            <w:tcW w:w="1274" w:type="dxa"/>
            <w:tcBorders>
              <w:bottom w:val="single" w:sz="4" w:space="0" w:color="auto"/>
            </w:tcBorders>
          </w:tcPr>
          <w:p w14:paraId="180B96D9" w14:textId="77777777" w:rsidR="006B3E27" w:rsidRPr="003E159A" w:rsidRDefault="006B3E27" w:rsidP="00EC3F02">
            <w:pPr>
              <w:pStyle w:val="H4GA"/>
              <w:kinsoku w:val="0"/>
              <w:overflowPunct w:val="0"/>
              <w:autoSpaceDE w:val="0"/>
              <w:autoSpaceDN w:val="0"/>
              <w:bidi w:val="0"/>
              <w:adjustRightInd w:val="0"/>
              <w:snapToGrid w:val="0"/>
            </w:pPr>
          </w:p>
        </w:tc>
        <w:tc>
          <w:tcPr>
            <w:tcW w:w="4963" w:type="dxa"/>
            <w:tcBorders>
              <w:bottom w:val="single" w:sz="4" w:space="0" w:color="auto"/>
            </w:tcBorders>
            <w:vAlign w:val="bottom"/>
          </w:tcPr>
          <w:p w14:paraId="0FA6C513" w14:textId="77777777" w:rsidR="006B3E27" w:rsidRPr="00517BC9" w:rsidRDefault="006B3E27" w:rsidP="00EE2AFF">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14:paraId="0BE323E6" w14:textId="77777777" w:rsidR="006B3E27" w:rsidRPr="00EC3F02" w:rsidRDefault="00EC3F02" w:rsidP="00EC3F02">
            <w:pPr>
              <w:bidi w:val="0"/>
              <w:jc w:val="left"/>
              <w:rPr>
                <w:szCs w:val="20"/>
              </w:rPr>
            </w:pPr>
            <w:r w:rsidRPr="00EC3F02">
              <w:rPr>
                <w:sz w:val="40"/>
                <w:szCs w:val="20"/>
              </w:rPr>
              <w:t>E</w:t>
            </w:r>
            <w:r>
              <w:rPr>
                <w:szCs w:val="20"/>
              </w:rPr>
              <w:t>/</w:t>
            </w:r>
            <w:proofErr w:type="spellStart"/>
            <w:r>
              <w:rPr>
                <w:szCs w:val="20"/>
              </w:rPr>
              <w:t>C.</w:t>
            </w:r>
            <w:r w:rsidRPr="00B17403">
              <w:rPr>
                <w:szCs w:val="20"/>
              </w:rPr>
              <w:t>12</w:t>
            </w:r>
            <w:proofErr w:type="spellEnd"/>
            <w:r>
              <w:rPr>
                <w:szCs w:val="20"/>
              </w:rPr>
              <w:t>/</w:t>
            </w:r>
            <w:r w:rsidRPr="00B17403">
              <w:rPr>
                <w:szCs w:val="20"/>
              </w:rPr>
              <w:t>2020</w:t>
            </w:r>
            <w:r>
              <w:rPr>
                <w:szCs w:val="20"/>
              </w:rPr>
              <w:t>/</w:t>
            </w:r>
            <w:r w:rsidRPr="00B17403">
              <w:rPr>
                <w:szCs w:val="20"/>
              </w:rPr>
              <w:t>2</w:t>
            </w:r>
          </w:p>
        </w:tc>
      </w:tr>
      <w:tr w:rsidR="006B3E27" w:rsidRPr="00ED7442" w14:paraId="343B98BB" w14:textId="77777777" w:rsidTr="00EE2AFF">
        <w:trPr>
          <w:trHeight w:hRule="exact" w:val="2835"/>
        </w:trPr>
        <w:tc>
          <w:tcPr>
            <w:tcW w:w="1274" w:type="dxa"/>
            <w:tcBorders>
              <w:top w:val="single" w:sz="4" w:space="0" w:color="auto"/>
              <w:bottom w:val="single" w:sz="12" w:space="0" w:color="auto"/>
            </w:tcBorders>
          </w:tcPr>
          <w:p w14:paraId="22243786" w14:textId="77777777" w:rsidR="006B3E27" w:rsidRPr="00ED7442" w:rsidRDefault="0059622A" w:rsidP="00EE2AFF">
            <w:pPr>
              <w:jc w:val="center"/>
              <w:rPr>
                <w:sz w:val="56"/>
                <w:szCs w:val="56"/>
                <w:rtl/>
              </w:rPr>
            </w:pPr>
            <w:r w:rsidRPr="00ED7442">
              <w:rPr>
                <w:noProof/>
                <w:sz w:val="56"/>
                <w:szCs w:val="56"/>
              </w:rPr>
              <w:drawing>
                <wp:inline distT="0" distB="0" distL="0" distR="0" wp14:anchorId="02743FE2" wp14:editId="40C36A3D">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14:paraId="6272D822" w14:textId="77777777" w:rsidR="006B3E27" w:rsidRPr="008930DB" w:rsidRDefault="00606EDF" w:rsidP="00EE2AFF">
            <w:pPr>
              <w:spacing w:before="120" w:after="40" w:line="640" w:lineRule="exact"/>
              <w:jc w:val="left"/>
              <w:rPr>
                <w:b/>
                <w:bCs/>
                <w:sz w:val="56"/>
                <w:szCs w:val="56"/>
              </w:rPr>
            </w:pPr>
            <w:r w:rsidRPr="008930DB">
              <w:rPr>
                <w:rFonts w:hint="cs"/>
                <w:b/>
                <w:bCs/>
                <w:sz w:val="56"/>
                <w:szCs w:val="56"/>
                <w:rtl/>
              </w:rPr>
              <w:t>ا</w:t>
            </w:r>
            <w:r w:rsidR="008930DB" w:rsidRPr="008930DB">
              <w:rPr>
                <w:rFonts w:hint="cs"/>
                <w:b/>
                <w:bCs/>
                <w:sz w:val="56"/>
                <w:szCs w:val="56"/>
                <w:rtl/>
              </w:rPr>
              <w:t>لمجلس الاقتصادي والاجتماعي</w:t>
            </w:r>
          </w:p>
        </w:tc>
        <w:tc>
          <w:tcPr>
            <w:tcW w:w="3402" w:type="dxa"/>
            <w:tcBorders>
              <w:top w:val="single" w:sz="4" w:space="0" w:color="auto"/>
              <w:bottom w:val="single" w:sz="12" w:space="0" w:color="auto"/>
            </w:tcBorders>
          </w:tcPr>
          <w:p w14:paraId="6ADA82FD" w14:textId="77777777" w:rsidR="00B17403" w:rsidRPr="00E44974" w:rsidRDefault="00B17403" w:rsidP="00B17403">
            <w:pPr>
              <w:bidi w:val="0"/>
              <w:spacing w:before="240"/>
            </w:pPr>
            <w:r w:rsidRPr="00E44974">
              <w:t>Distr.: General</w:t>
            </w:r>
          </w:p>
          <w:p w14:paraId="5BE020AA" w14:textId="77777777" w:rsidR="00B17403" w:rsidRPr="00E44974" w:rsidRDefault="00B17403" w:rsidP="00B17403">
            <w:pPr>
              <w:bidi w:val="0"/>
            </w:pPr>
            <w:r w:rsidRPr="00B17403">
              <w:rPr>
                <w:szCs w:val="20"/>
              </w:rPr>
              <w:t>15</w:t>
            </w:r>
            <w:r w:rsidRPr="00E44974">
              <w:t xml:space="preserve"> December </w:t>
            </w:r>
            <w:r w:rsidRPr="00B17403">
              <w:rPr>
                <w:szCs w:val="20"/>
              </w:rPr>
              <w:t>2020</w:t>
            </w:r>
          </w:p>
          <w:p w14:paraId="4052043B" w14:textId="77777777" w:rsidR="00B17403" w:rsidRPr="00E44974" w:rsidRDefault="00B17403" w:rsidP="00B17403">
            <w:pPr>
              <w:bidi w:val="0"/>
            </w:pPr>
            <w:r>
              <w:t>Arabic</w:t>
            </w:r>
          </w:p>
          <w:p w14:paraId="2579298C" w14:textId="77777777" w:rsidR="00EC3F02" w:rsidRPr="00EC3F02" w:rsidRDefault="00B17403" w:rsidP="00B17403">
            <w:pPr>
              <w:bidi w:val="0"/>
              <w:spacing w:line="240" w:lineRule="exact"/>
              <w:jc w:val="left"/>
              <w:rPr>
                <w:szCs w:val="20"/>
              </w:rPr>
            </w:pPr>
            <w:r w:rsidRPr="00E44974">
              <w:t>Original: English</w:t>
            </w:r>
          </w:p>
        </w:tc>
      </w:tr>
    </w:tbl>
    <w:p w14:paraId="6D5F129A" w14:textId="77777777" w:rsidR="00B17403" w:rsidRPr="007E4D29" w:rsidRDefault="00B17403" w:rsidP="00B17403">
      <w:pPr>
        <w:spacing w:before="120" w:line="360" w:lineRule="exact"/>
        <w:textDirection w:val="tbRlV"/>
        <w:rPr>
          <w:rFonts w:eastAsiaTheme="minorEastAsia"/>
          <w:b/>
          <w:bCs/>
          <w:sz w:val="34"/>
          <w:szCs w:val="34"/>
          <w:lang w:val="ar-SA" w:eastAsia="zh-TW" w:bidi="en-GB"/>
        </w:rPr>
      </w:pPr>
      <w:r w:rsidRPr="007E4D29">
        <w:rPr>
          <w:rFonts w:eastAsiaTheme="minorEastAsia"/>
          <w:b/>
          <w:bCs/>
          <w:sz w:val="34"/>
          <w:szCs w:val="34"/>
          <w:rtl/>
        </w:rPr>
        <w:t>‎‎اللجنة المعنية بالحقوق الاقتصا</w:t>
      </w:r>
      <w:bookmarkStart w:id="0" w:name="_GoBack"/>
      <w:bookmarkEnd w:id="0"/>
      <w:r w:rsidRPr="007E4D29">
        <w:rPr>
          <w:rFonts w:eastAsiaTheme="minorEastAsia"/>
          <w:b/>
          <w:bCs/>
          <w:sz w:val="34"/>
          <w:szCs w:val="34"/>
          <w:rtl/>
        </w:rPr>
        <w:t>دية والاجتماعية والثقافية‏‏</w:t>
      </w:r>
    </w:p>
    <w:p w14:paraId="73598186" w14:textId="77777777" w:rsidR="00B17403" w:rsidRPr="007E4D29" w:rsidRDefault="00B17403" w:rsidP="00B17403">
      <w:pPr>
        <w:pStyle w:val="HChGA"/>
        <w:rPr>
          <w:rFonts w:eastAsiaTheme="minorEastAsia"/>
          <w:lang w:val="ar-SA" w:eastAsia="zh-TW" w:bidi="en-GB"/>
        </w:rPr>
      </w:pPr>
      <w:r w:rsidRPr="007E4D29">
        <w:rPr>
          <w:rFonts w:eastAsiaTheme="minorEastAsia"/>
          <w:rtl/>
        </w:rPr>
        <w:tab/>
      </w:r>
      <w:r w:rsidRPr="007E4D29">
        <w:rPr>
          <w:rFonts w:eastAsiaTheme="minorEastAsia"/>
          <w:rtl/>
        </w:rPr>
        <w:tab/>
        <w:t>بيان بشأن توفير لقاحات مضادة لمرض فيروس كورونا (</w:t>
      </w:r>
      <w:proofErr w:type="spellStart"/>
      <w:r w:rsidRPr="007E4D29">
        <w:rPr>
          <w:rFonts w:eastAsiaTheme="minorEastAsia"/>
          <w:rtl/>
        </w:rPr>
        <w:t>كوفيد</w:t>
      </w:r>
      <w:proofErr w:type="spellEnd"/>
      <w:r w:rsidRPr="007E4D29">
        <w:rPr>
          <w:rFonts w:eastAsiaTheme="minorEastAsia"/>
          <w:rtl/>
        </w:rPr>
        <w:t>-</w:t>
      </w:r>
      <w:r w:rsidRPr="007E4D29">
        <w:rPr>
          <w:rFonts w:eastAsiaTheme="minorEastAsia"/>
          <w:szCs w:val="28"/>
          <w:rtl/>
        </w:rPr>
        <w:t>19</w:t>
      </w:r>
      <w:r w:rsidRPr="007E4D29">
        <w:rPr>
          <w:rFonts w:eastAsiaTheme="minorEastAsia"/>
          <w:rtl/>
        </w:rPr>
        <w:t xml:space="preserve">) للجميع على قدم المساواة </w:t>
      </w:r>
    </w:p>
    <w:p w14:paraId="4BCADAF4" w14:textId="77777777" w:rsidR="00B17403" w:rsidRPr="007E4D29" w:rsidRDefault="00B17403" w:rsidP="00B17403">
      <w:pPr>
        <w:pStyle w:val="H1GA"/>
        <w:rPr>
          <w:rFonts w:eastAsiaTheme="minorEastAsia"/>
          <w:lang w:val="ar-SA" w:eastAsia="zh-TW" w:bidi="en-GB"/>
        </w:rPr>
      </w:pPr>
      <w:r w:rsidRPr="007E4D29">
        <w:rPr>
          <w:rFonts w:eastAsiaTheme="minorEastAsia"/>
          <w:rtl/>
        </w:rPr>
        <w:tab/>
      </w:r>
      <w:r w:rsidRPr="007E4D29">
        <w:rPr>
          <w:rFonts w:eastAsiaTheme="minorEastAsia"/>
          <w:rtl/>
        </w:rPr>
        <w:tab/>
        <w:t>بيان من اللجنة المعنية بالحقوق الاقتصادية والاجتماعية والثقافية</w:t>
      </w:r>
      <w:r w:rsidRPr="007E4D29">
        <w:rPr>
          <w:rStyle w:val="FootnoteReference"/>
          <w:rFonts w:ascii="Traditional Arabic" w:eastAsiaTheme="minorEastAsia" w:hAnsi="Traditional Arabic"/>
          <w:b/>
          <w:sz w:val="34"/>
        </w:rPr>
        <w:footnoteReference w:customMarkFollows="1" w:id="1"/>
        <w:t>*</w:t>
      </w:r>
    </w:p>
    <w:p w14:paraId="403EA46C" w14:textId="77777777" w:rsidR="00B17403" w:rsidRPr="007E4D29" w:rsidRDefault="00B17403" w:rsidP="00B17403">
      <w:pPr>
        <w:pStyle w:val="SingleTxtGA"/>
        <w:rPr>
          <w:rFonts w:eastAsiaTheme="minorEastAsia" w:hint="cs"/>
          <w:rtl/>
          <w:lang w:eastAsia="zh-TW"/>
        </w:rPr>
      </w:pPr>
      <w:r w:rsidRPr="007E4D29">
        <w:rPr>
          <w:rFonts w:eastAsiaTheme="minorEastAsia" w:hint="cs"/>
          <w:szCs w:val="20"/>
          <w:rtl/>
        </w:rPr>
        <w:t>1</w:t>
      </w:r>
      <w:r w:rsidRPr="007E4D29">
        <w:rPr>
          <w:rFonts w:eastAsiaTheme="minorEastAsia" w:hint="cs"/>
          <w:rtl/>
        </w:rPr>
        <w:t>-</w:t>
      </w:r>
      <w:r w:rsidRPr="007E4D29">
        <w:rPr>
          <w:rFonts w:eastAsiaTheme="minorEastAsia"/>
          <w:rtl/>
        </w:rPr>
        <w:tab/>
      </w:r>
      <w:r w:rsidRPr="007E4D29">
        <w:rPr>
          <w:rFonts w:eastAsiaTheme="minorEastAsia"/>
          <w:rtl/>
        </w:rPr>
        <w:t>من المتوقع أن يؤدي لقاح مأمون وناجع إلى الحد من المخاطر الصحية والحياتية التي يطرحها مرض فيروس كورونا (</w:t>
      </w:r>
      <w:proofErr w:type="spellStart"/>
      <w:r w:rsidRPr="007E4D29">
        <w:rPr>
          <w:rFonts w:eastAsiaTheme="minorEastAsia"/>
          <w:rtl/>
        </w:rPr>
        <w:t>كوفيد</w:t>
      </w:r>
      <w:proofErr w:type="spellEnd"/>
      <w:r w:rsidRPr="007E4D29">
        <w:rPr>
          <w:rFonts w:eastAsiaTheme="minorEastAsia"/>
          <w:rtl/>
        </w:rPr>
        <w:t>-</w:t>
      </w:r>
      <w:r w:rsidRPr="007E4D29">
        <w:rPr>
          <w:rFonts w:eastAsiaTheme="minorEastAsia"/>
          <w:szCs w:val="20"/>
          <w:rtl/>
        </w:rPr>
        <w:t>19</w:t>
      </w:r>
      <w:r w:rsidRPr="007E4D29">
        <w:rPr>
          <w:rFonts w:eastAsiaTheme="minorEastAsia"/>
          <w:rtl/>
        </w:rPr>
        <w:t>)، مع السماح في الوقت نفسه برفع بعض التدابير التقييدية التي كانت ضرورية لمكافحة انتشار الفيروس. وسيساعد أيضا</w:t>
      </w:r>
      <w:r w:rsidR="007E4D29" w:rsidRPr="007E4D29">
        <w:rPr>
          <w:rFonts w:eastAsiaTheme="minorEastAsia" w:hint="cs"/>
          <w:rtl/>
        </w:rPr>
        <w:t>ً</w:t>
      </w:r>
      <w:r w:rsidRPr="007E4D29">
        <w:rPr>
          <w:rFonts w:eastAsiaTheme="minorEastAsia"/>
          <w:rtl/>
        </w:rPr>
        <w:t xml:space="preserve"> على التعافي من الأثر السلبي الخطير الذي أحدثته هذه التدابير على تمتع السكان، ولا سيما أشدّهم حرماناً وتهميشاً، بالحقوق الاقتصادية والاجتماعية والثقافية. ولهذا السبب، من المهم والمشجع أن تُنشر أنباء للعالم عن إمكانية إقرار السلطات الصحية قريباً لقاحات عدة مضادة </w:t>
      </w:r>
      <w:proofErr w:type="spellStart"/>
      <w:r w:rsidRPr="007E4D29">
        <w:rPr>
          <w:rFonts w:eastAsiaTheme="minorEastAsia"/>
          <w:rtl/>
        </w:rPr>
        <w:t>لكوفيد</w:t>
      </w:r>
      <w:proofErr w:type="spellEnd"/>
      <w:r w:rsidRPr="007E4D29">
        <w:rPr>
          <w:rFonts w:eastAsiaTheme="minorEastAsia"/>
          <w:rtl/>
        </w:rPr>
        <w:t>-</w:t>
      </w:r>
      <w:r w:rsidRPr="007E4D29">
        <w:rPr>
          <w:rFonts w:eastAsiaTheme="minorEastAsia"/>
          <w:szCs w:val="20"/>
          <w:rtl/>
        </w:rPr>
        <w:t>19</w:t>
      </w:r>
      <w:r w:rsidRPr="007E4D29">
        <w:rPr>
          <w:rFonts w:eastAsiaTheme="minorEastAsia"/>
          <w:rtl/>
        </w:rPr>
        <w:t xml:space="preserve">، بعد اتباع وثائق التوجيه التقني ذات الصلة الصادرة عن منظمة الصحة العالمية بشأن لقاحات </w:t>
      </w:r>
      <w:proofErr w:type="spellStart"/>
      <w:r w:rsidRPr="007E4D29">
        <w:rPr>
          <w:rFonts w:eastAsiaTheme="minorEastAsia"/>
          <w:rtl/>
        </w:rPr>
        <w:t>كوفيد</w:t>
      </w:r>
      <w:proofErr w:type="spellEnd"/>
      <w:r w:rsidRPr="007E4D29">
        <w:rPr>
          <w:rFonts w:eastAsiaTheme="minorEastAsia"/>
          <w:rtl/>
        </w:rPr>
        <w:t>-</w:t>
      </w:r>
      <w:r w:rsidRPr="007E4D29">
        <w:rPr>
          <w:rFonts w:eastAsiaTheme="minorEastAsia"/>
          <w:szCs w:val="20"/>
          <w:rtl/>
        </w:rPr>
        <w:t>19</w:t>
      </w:r>
      <w:r w:rsidRPr="007E4D29">
        <w:rPr>
          <w:rFonts w:eastAsiaTheme="minorEastAsia"/>
          <w:rtl/>
        </w:rPr>
        <w:t xml:space="preserve"> ومواد بيولوجية أخرى لضمان سلامتها </w:t>
      </w:r>
      <w:proofErr w:type="spellStart"/>
      <w:r w:rsidRPr="007E4D29">
        <w:rPr>
          <w:rFonts w:eastAsiaTheme="minorEastAsia"/>
          <w:rtl/>
        </w:rPr>
        <w:t>ونجاعتها</w:t>
      </w:r>
      <w:proofErr w:type="spellEnd"/>
      <w:r w:rsidRPr="007E4D29">
        <w:rPr>
          <w:rFonts w:eastAsiaTheme="minorEastAsia" w:hint="cs"/>
          <w:sz w:val="28"/>
          <w:vertAlign w:val="superscript"/>
          <w:rtl/>
        </w:rPr>
        <w:t>(</w:t>
      </w:r>
      <w:r w:rsidRPr="007E4D29">
        <w:rPr>
          <w:rStyle w:val="FootnoteReference"/>
          <w:rFonts w:ascii="Times New Roman" w:eastAsiaTheme="minorEastAsia" w:hAnsi="Times New Roman" w:cs="Times New Roman"/>
          <w:b w:val="0"/>
          <w:position w:val="4"/>
          <w:sz w:val="20"/>
        </w:rPr>
        <w:footnoteReference w:id="2"/>
      </w:r>
      <w:r w:rsidRPr="007E4D29">
        <w:rPr>
          <w:rFonts w:eastAsiaTheme="minorEastAsia" w:hint="cs"/>
          <w:vertAlign w:val="superscript"/>
          <w:rtl/>
        </w:rPr>
        <w:t>)</w:t>
      </w:r>
      <w:r w:rsidRPr="007E4D29">
        <w:rPr>
          <w:rFonts w:eastAsiaTheme="minorEastAsia" w:hint="cs"/>
          <w:rtl/>
        </w:rPr>
        <w:t>. و</w:t>
      </w:r>
      <w:r w:rsidRPr="007E4D29">
        <w:rPr>
          <w:rFonts w:eastAsiaTheme="minorEastAsia"/>
          <w:rtl/>
        </w:rPr>
        <w:t xml:space="preserve">في هذا السياق، ترى اللجنة أن من الضروري تذكير الدول الأطراف بالتزامها بموجب العهد في هذا المجال، قصد تجنب التمييز وعدم المساواة غير المبررين في الحصول على لقاحات </w:t>
      </w:r>
      <w:proofErr w:type="spellStart"/>
      <w:r w:rsidRPr="007E4D29">
        <w:rPr>
          <w:rFonts w:eastAsiaTheme="minorEastAsia"/>
          <w:rtl/>
        </w:rPr>
        <w:t>كوفيد</w:t>
      </w:r>
      <w:proofErr w:type="spellEnd"/>
      <w:r w:rsidRPr="007E4D29">
        <w:rPr>
          <w:rFonts w:eastAsiaTheme="minorEastAsia"/>
          <w:rtl/>
        </w:rPr>
        <w:t>-</w:t>
      </w:r>
      <w:r w:rsidRPr="007E4D29">
        <w:rPr>
          <w:rFonts w:eastAsiaTheme="minorEastAsia"/>
          <w:szCs w:val="20"/>
          <w:rtl/>
        </w:rPr>
        <w:t>19</w:t>
      </w:r>
      <w:r w:rsidRPr="007E4D29">
        <w:rPr>
          <w:rFonts w:eastAsiaTheme="minorEastAsia"/>
          <w:sz w:val="28"/>
          <w:vertAlign w:val="superscript"/>
          <w:rtl/>
        </w:rPr>
        <w:t>(</w:t>
      </w:r>
      <w:r w:rsidRPr="007E4D29">
        <w:rPr>
          <w:rFonts w:eastAsiaTheme="minorEastAsia" w:cs="Times New Roman"/>
          <w:position w:val="4"/>
          <w:vertAlign w:val="superscript"/>
        </w:rPr>
        <w:footnoteReference w:id="3"/>
      </w:r>
      <w:r w:rsidRPr="007E4D29">
        <w:rPr>
          <w:rFonts w:eastAsiaTheme="minorEastAsia"/>
          <w:sz w:val="28"/>
          <w:vertAlign w:val="superscript"/>
          <w:rtl/>
        </w:rPr>
        <w:t>)</w:t>
      </w:r>
      <w:r w:rsidRPr="007E4D29">
        <w:rPr>
          <w:rFonts w:eastAsiaTheme="minorEastAsia" w:hint="cs"/>
          <w:rtl/>
          <w:lang w:eastAsia="zh-TW"/>
        </w:rPr>
        <w:t>.</w:t>
      </w:r>
    </w:p>
    <w:p w14:paraId="3E369EA6" w14:textId="77777777" w:rsidR="00B17403" w:rsidRPr="007E4D29" w:rsidRDefault="00B17403" w:rsidP="00B17403">
      <w:pPr>
        <w:pStyle w:val="SingleTxtGA"/>
        <w:rPr>
          <w:rFonts w:eastAsiaTheme="minorEastAsia"/>
          <w:lang w:val="ar-SA" w:eastAsia="zh-TW" w:bidi="en-GB"/>
        </w:rPr>
      </w:pPr>
      <w:r w:rsidRPr="007E4D29">
        <w:rPr>
          <w:rFonts w:eastAsiaTheme="minorEastAsia" w:hint="cs"/>
          <w:szCs w:val="20"/>
          <w:rtl/>
        </w:rPr>
        <w:t>2</w:t>
      </w:r>
      <w:r w:rsidRPr="007E4D29">
        <w:rPr>
          <w:rFonts w:eastAsiaTheme="minorEastAsia" w:hint="cs"/>
          <w:rtl/>
        </w:rPr>
        <w:t>-</w:t>
      </w:r>
      <w:r w:rsidRPr="007E4D29">
        <w:rPr>
          <w:rFonts w:eastAsiaTheme="minorEastAsia"/>
          <w:rtl/>
        </w:rPr>
        <w:tab/>
      </w:r>
      <w:r w:rsidRPr="007E4D29">
        <w:rPr>
          <w:rFonts w:eastAsiaTheme="minorEastAsia"/>
          <w:rtl/>
        </w:rPr>
        <w:t>ولكل شخص الحق في التمتع بأعلى مستوى من الصحة البدنية والعقلية يمكن بلوغه</w:t>
      </w:r>
      <w:r w:rsidRPr="007E4D29">
        <w:rPr>
          <w:rFonts w:eastAsiaTheme="minorEastAsia"/>
          <w:sz w:val="28"/>
          <w:vertAlign w:val="superscript"/>
          <w:rtl/>
        </w:rPr>
        <w:t>(</w:t>
      </w:r>
      <w:r w:rsidRPr="007E4D29">
        <w:rPr>
          <w:rFonts w:eastAsiaTheme="minorEastAsia" w:cs="Times New Roman"/>
          <w:position w:val="4"/>
          <w:vertAlign w:val="superscript"/>
        </w:rPr>
        <w:footnoteReference w:id="4"/>
      </w:r>
      <w:r w:rsidRPr="007E4D29">
        <w:rPr>
          <w:rFonts w:eastAsiaTheme="minorEastAsia"/>
          <w:sz w:val="28"/>
          <w:vertAlign w:val="superscript"/>
          <w:rtl/>
        </w:rPr>
        <w:t>)</w:t>
      </w:r>
      <w:r w:rsidRPr="007E4D29">
        <w:rPr>
          <w:rFonts w:eastAsiaTheme="minorEastAsia"/>
          <w:rtl/>
        </w:rPr>
        <w:t>، بما</w:t>
      </w:r>
      <w:r w:rsidR="007E4D29">
        <w:rPr>
          <w:rFonts w:eastAsiaTheme="minorEastAsia" w:hint="cs"/>
          <w:rtl/>
        </w:rPr>
        <w:t> </w:t>
      </w:r>
      <w:r w:rsidRPr="007E4D29">
        <w:rPr>
          <w:rFonts w:eastAsiaTheme="minorEastAsia"/>
          <w:rtl/>
        </w:rPr>
        <w:t>في ذلك الاستفادة من برامج التحصين من الأمراض المعدية الرئيسَة</w:t>
      </w:r>
      <w:r w:rsidRPr="007E4D29">
        <w:rPr>
          <w:rFonts w:eastAsiaTheme="minorEastAsia"/>
          <w:sz w:val="28"/>
          <w:vertAlign w:val="superscript"/>
          <w:rtl/>
        </w:rPr>
        <w:t>(</w:t>
      </w:r>
      <w:r w:rsidRPr="007E4D29">
        <w:rPr>
          <w:rFonts w:eastAsiaTheme="minorEastAsia" w:cs="Times New Roman"/>
          <w:position w:val="4"/>
          <w:vertAlign w:val="superscript"/>
        </w:rPr>
        <w:footnoteReference w:id="5"/>
      </w:r>
      <w:r w:rsidRPr="007E4D29">
        <w:rPr>
          <w:rFonts w:eastAsiaTheme="minorEastAsia"/>
          <w:sz w:val="28"/>
          <w:vertAlign w:val="superscript"/>
          <w:rtl/>
        </w:rPr>
        <w:t>)</w:t>
      </w:r>
      <w:r w:rsidRPr="007E4D29">
        <w:rPr>
          <w:rFonts w:eastAsiaTheme="minorEastAsia" w:hint="cs"/>
          <w:rtl/>
        </w:rPr>
        <w:t xml:space="preserve">. </w:t>
      </w:r>
      <w:r w:rsidRPr="007E4D29">
        <w:rPr>
          <w:rFonts w:eastAsiaTheme="minorEastAsia"/>
          <w:rtl/>
        </w:rPr>
        <w:t>ولكل شخص أيضاً الحق في التمتع بمنافع التقدم العلمي</w:t>
      </w:r>
      <w:r w:rsidRPr="007E4D29">
        <w:rPr>
          <w:rFonts w:eastAsiaTheme="minorEastAsia"/>
          <w:sz w:val="28"/>
          <w:vertAlign w:val="superscript"/>
          <w:rtl/>
        </w:rPr>
        <w:t>(</w:t>
      </w:r>
      <w:r w:rsidRPr="007E4D29">
        <w:rPr>
          <w:rFonts w:eastAsiaTheme="minorEastAsia" w:cs="Times New Roman"/>
          <w:position w:val="4"/>
          <w:vertAlign w:val="superscript"/>
        </w:rPr>
        <w:footnoteReference w:id="6"/>
      </w:r>
      <w:r w:rsidRPr="007E4D29">
        <w:rPr>
          <w:rFonts w:eastAsiaTheme="minorEastAsia"/>
          <w:sz w:val="28"/>
          <w:vertAlign w:val="superscript"/>
          <w:rtl/>
        </w:rPr>
        <w:t>)</w:t>
      </w:r>
      <w:r w:rsidRPr="007E4D29">
        <w:rPr>
          <w:rFonts w:eastAsiaTheme="minorEastAsia"/>
          <w:rtl/>
        </w:rPr>
        <w:t>، مما يشمل الحصول على أفضل التطبيقات المتاحة للتقدم العلمي اللازمة للتمتع بأعلى مستوى من الصحة يمكن بلوغه</w:t>
      </w:r>
      <w:r w:rsidRPr="007E4D29">
        <w:rPr>
          <w:rFonts w:eastAsiaTheme="minorEastAsia"/>
          <w:sz w:val="28"/>
          <w:vertAlign w:val="superscript"/>
          <w:rtl/>
        </w:rPr>
        <w:t>(</w:t>
      </w:r>
      <w:r w:rsidRPr="007E4D29">
        <w:rPr>
          <w:rFonts w:eastAsiaTheme="minorEastAsia" w:cs="Times New Roman"/>
          <w:position w:val="4"/>
          <w:vertAlign w:val="superscript"/>
        </w:rPr>
        <w:footnoteReference w:id="7"/>
      </w:r>
      <w:r w:rsidRPr="007E4D29">
        <w:rPr>
          <w:rFonts w:eastAsiaTheme="minorEastAsia"/>
          <w:sz w:val="28"/>
          <w:vertAlign w:val="superscript"/>
          <w:rtl/>
        </w:rPr>
        <w:t>)</w:t>
      </w:r>
      <w:r w:rsidR="007E4D29" w:rsidRPr="007E4D29">
        <w:rPr>
          <w:rFonts w:eastAsiaTheme="minorEastAsia" w:hint="cs"/>
          <w:rtl/>
        </w:rPr>
        <w:t xml:space="preserve">. </w:t>
      </w:r>
      <w:r w:rsidRPr="007E4D29">
        <w:rPr>
          <w:rFonts w:eastAsiaTheme="minorEastAsia"/>
          <w:rtl/>
        </w:rPr>
        <w:t xml:space="preserve">وكلا الحقين يعنيان أن لكل شخص الحق في الحصول على لقاح </w:t>
      </w:r>
      <w:proofErr w:type="spellStart"/>
      <w:r w:rsidRPr="007E4D29">
        <w:rPr>
          <w:rFonts w:eastAsiaTheme="minorEastAsia"/>
          <w:rtl/>
        </w:rPr>
        <w:t>لكوفيد</w:t>
      </w:r>
      <w:proofErr w:type="spellEnd"/>
      <w:r w:rsidRPr="007E4D29">
        <w:rPr>
          <w:rFonts w:eastAsiaTheme="minorEastAsia"/>
          <w:rtl/>
        </w:rPr>
        <w:t>-</w:t>
      </w:r>
      <w:r w:rsidRPr="007E4D29">
        <w:rPr>
          <w:rFonts w:eastAsiaTheme="minorEastAsia"/>
          <w:szCs w:val="20"/>
          <w:rtl/>
        </w:rPr>
        <w:t>19</w:t>
      </w:r>
      <w:r w:rsidRPr="007E4D29">
        <w:rPr>
          <w:rFonts w:eastAsiaTheme="minorEastAsia"/>
          <w:rtl/>
        </w:rPr>
        <w:t xml:space="preserve"> يكون مأموناً وناجعاً وقائماً على تطبيق أفضل التطورات العلمية. </w:t>
      </w:r>
    </w:p>
    <w:p w14:paraId="507110DC" w14:textId="77777777" w:rsidR="00B17403" w:rsidRPr="001852C7" w:rsidRDefault="001852C7" w:rsidP="00B17403">
      <w:pPr>
        <w:pStyle w:val="SingleTxtGA"/>
        <w:rPr>
          <w:rFonts w:eastAsiaTheme="minorEastAsia"/>
          <w:spacing w:val="-4"/>
          <w:lang w:eastAsia="zh-TW" w:bidi="en-GB"/>
        </w:rPr>
      </w:pPr>
      <w:r w:rsidRPr="001852C7">
        <w:rPr>
          <w:rFonts w:eastAsiaTheme="minorEastAsia" w:hint="cs"/>
          <w:spacing w:val="-4"/>
          <w:sz w:val="12"/>
          <w:szCs w:val="20"/>
          <w:rtl/>
        </w:rPr>
        <w:lastRenderedPageBreak/>
        <w:t>3</w:t>
      </w:r>
      <w:r w:rsidRPr="001852C7">
        <w:rPr>
          <w:rFonts w:eastAsiaTheme="minorEastAsia" w:hint="cs"/>
          <w:spacing w:val="-4"/>
          <w:rtl/>
        </w:rPr>
        <w:t>-</w:t>
      </w:r>
      <w:r w:rsidRPr="001852C7">
        <w:rPr>
          <w:rFonts w:eastAsiaTheme="minorEastAsia"/>
          <w:spacing w:val="-4"/>
          <w:rtl/>
        </w:rPr>
        <w:tab/>
      </w:r>
      <w:r w:rsidR="00B17403" w:rsidRPr="001852C7">
        <w:rPr>
          <w:rFonts w:eastAsiaTheme="minorEastAsia"/>
          <w:spacing w:val="-4"/>
          <w:rtl/>
        </w:rPr>
        <w:t xml:space="preserve">وعلى الدول التزام باتخاذ جميع التدابير اللازمة، بأقصى ما هو متاح من موارد، لضمان حصول جميع الأشخاص، دون تمييز، على لقاحات </w:t>
      </w:r>
      <w:proofErr w:type="spellStart"/>
      <w:r w:rsidR="00B17403" w:rsidRPr="001852C7">
        <w:rPr>
          <w:rFonts w:eastAsiaTheme="minorEastAsia"/>
          <w:spacing w:val="-4"/>
          <w:rtl/>
        </w:rPr>
        <w:t>لكوفيد</w:t>
      </w:r>
      <w:proofErr w:type="spellEnd"/>
      <w:r w:rsidR="00B17403" w:rsidRPr="001852C7">
        <w:rPr>
          <w:rFonts w:eastAsiaTheme="minorEastAsia"/>
          <w:spacing w:val="-4"/>
          <w:rtl/>
        </w:rPr>
        <w:t>-</w:t>
      </w:r>
      <w:r w:rsidR="00B17403" w:rsidRPr="001852C7">
        <w:rPr>
          <w:rFonts w:eastAsiaTheme="minorEastAsia"/>
          <w:spacing w:val="-4"/>
          <w:szCs w:val="20"/>
          <w:rtl/>
        </w:rPr>
        <w:t>19</w:t>
      </w:r>
      <w:r w:rsidR="00B17403" w:rsidRPr="001852C7">
        <w:rPr>
          <w:rFonts w:eastAsiaTheme="minorEastAsia"/>
          <w:spacing w:val="-4"/>
          <w:sz w:val="28"/>
          <w:vertAlign w:val="superscript"/>
          <w:rtl/>
        </w:rPr>
        <w:t>(</w:t>
      </w:r>
      <w:r w:rsidR="00B17403" w:rsidRPr="001852C7">
        <w:rPr>
          <w:rFonts w:eastAsiaTheme="minorEastAsia" w:cs="Times New Roman"/>
          <w:spacing w:val="-4"/>
          <w:position w:val="4"/>
          <w:vertAlign w:val="superscript"/>
        </w:rPr>
        <w:footnoteReference w:id="8"/>
      </w:r>
      <w:r w:rsidR="00B17403" w:rsidRPr="001852C7">
        <w:rPr>
          <w:rFonts w:eastAsiaTheme="minorEastAsia"/>
          <w:spacing w:val="-4"/>
          <w:sz w:val="28"/>
          <w:vertAlign w:val="superscript"/>
          <w:rtl/>
        </w:rPr>
        <w:t>)</w:t>
      </w:r>
      <w:r w:rsidR="00B17403" w:rsidRPr="001852C7">
        <w:rPr>
          <w:rFonts w:eastAsiaTheme="minorEastAsia" w:hint="cs"/>
          <w:spacing w:val="-4"/>
          <w:rtl/>
        </w:rPr>
        <w:t xml:space="preserve">. </w:t>
      </w:r>
      <w:r w:rsidR="00B17403" w:rsidRPr="001852C7">
        <w:rPr>
          <w:rFonts w:eastAsiaTheme="minorEastAsia"/>
          <w:spacing w:val="-4"/>
          <w:rtl/>
        </w:rPr>
        <w:t>وواجب الدول في توفير التحصين من الأمراض المعدية الرئيسَة والوقاية من الأوبئة ومكافحتها التزام ذو أولوية فيما يتعلق بالحق في الصحة</w:t>
      </w:r>
      <w:r w:rsidR="00B17403" w:rsidRPr="001852C7">
        <w:rPr>
          <w:rFonts w:eastAsiaTheme="minorEastAsia"/>
          <w:spacing w:val="-4"/>
          <w:sz w:val="28"/>
          <w:vertAlign w:val="superscript"/>
          <w:rtl/>
        </w:rPr>
        <w:t>(</w:t>
      </w:r>
      <w:r w:rsidR="00B17403" w:rsidRPr="001852C7">
        <w:rPr>
          <w:rFonts w:eastAsiaTheme="minorEastAsia" w:cs="Times New Roman"/>
          <w:spacing w:val="-4"/>
          <w:position w:val="4"/>
          <w:vertAlign w:val="superscript"/>
        </w:rPr>
        <w:footnoteReference w:id="9"/>
      </w:r>
      <w:r w:rsidR="00B17403" w:rsidRPr="001852C7">
        <w:rPr>
          <w:rFonts w:eastAsiaTheme="minorEastAsia"/>
          <w:spacing w:val="-4"/>
          <w:sz w:val="28"/>
          <w:vertAlign w:val="superscript"/>
          <w:rtl/>
        </w:rPr>
        <w:t>)</w:t>
      </w:r>
      <w:r w:rsidR="00B17403" w:rsidRPr="001852C7">
        <w:rPr>
          <w:rFonts w:eastAsiaTheme="minorEastAsia" w:hint="cs"/>
          <w:spacing w:val="-4"/>
          <w:rtl/>
        </w:rPr>
        <w:t xml:space="preserve">. </w:t>
      </w:r>
      <w:r w:rsidR="00B17403" w:rsidRPr="001852C7">
        <w:rPr>
          <w:rFonts w:eastAsiaTheme="minorEastAsia"/>
          <w:spacing w:val="-4"/>
          <w:rtl/>
        </w:rPr>
        <w:t xml:space="preserve">وعلى الدول، في الظروف الراهنة، أن تعطي الأولوية القصوى لتوفير لقاحات مضادة </w:t>
      </w:r>
      <w:proofErr w:type="spellStart"/>
      <w:r w:rsidR="00B17403" w:rsidRPr="001852C7">
        <w:rPr>
          <w:rFonts w:eastAsiaTheme="minorEastAsia"/>
          <w:spacing w:val="-4"/>
          <w:rtl/>
        </w:rPr>
        <w:t>لكوفيد</w:t>
      </w:r>
      <w:proofErr w:type="spellEnd"/>
      <w:r w:rsidR="00B17403" w:rsidRPr="001852C7">
        <w:rPr>
          <w:rFonts w:eastAsiaTheme="minorEastAsia"/>
          <w:spacing w:val="-4"/>
          <w:rtl/>
        </w:rPr>
        <w:t>-</w:t>
      </w:r>
      <w:r w:rsidR="00B17403" w:rsidRPr="001852C7">
        <w:rPr>
          <w:rFonts w:eastAsiaTheme="minorEastAsia"/>
          <w:spacing w:val="-4"/>
          <w:szCs w:val="20"/>
          <w:rtl/>
        </w:rPr>
        <w:t>19</w:t>
      </w:r>
      <w:r w:rsidR="00B17403" w:rsidRPr="001852C7">
        <w:rPr>
          <w:rFonts w:eastAsiaTheme="minorEastAsia"/>
          <w:spacing w:val="-4"/>
          <w:rtl/>
        </w:rPr>
        <w:t xml:space="preserve"> لجميع الناس. </w:t>
      </w:r>
    </w:p>
    <w:p w14:paraId="1CA09780" w14:textId="77777777" w:rsidR="00B17403" w:rsidRPr="007E4D29" w:rsidRDefault="001852C7" w:rsidP="00B17403">
      <w:pPr>
        <w:pStyle w:val="SingleTxtGA"/>
        <w:rPr>
          <w:rFonts w:eastAsiaTheme="minorEastAsia"/>
          <w:lang w:val="ar-SA" w:eastAsia="zh-TW" w:bidi="en-GB"/>
        </w:rPr>
      </w:pPr>
      <w:r>
        <w:rPr>
          <w:rFonts w:eastAsiaTheme="minorEastAsia" w:hint="cs"/>
          <w:szCs w:val="20"/>
          <w:rtl/>
        </w:rPr>
        <w:t>4</w:t>
      </w:r>
      <w:r w:rsidR="00B17403" w:rsidRPr="007E4D29">
        <w:rPr>
          <w:rFonts w:eastAsiaTheme="minorEastAsia" w:hint="cs"/>
          <w:rtl/>
        </w:rPr>
        <w:t>-</w:t>
      </w:r>
      <w:r w:rsidR="00B17403" w:rsidRPr="007E4D29">
        <w:rPr>
          <w:rFonts w:eastAsiaTheme="minorEastAsia"/>
          <w:rtl/>
        </w:rPr>
        <w:tab/>
      </w:r>
      <w:r w:rsidR="00B17403" w:rsidRPr="007E4D29">
        <w:rPr>
          <w:rFonts w:eastAsiaTheme="minorEastAsia"/>
          <w:rtl/>
        </w:rPr>
        <w:t>ويقتضي الحق في الصحة من الدول أن تجعل المرافق والخدمات والسلع الصحية، بما فيها اللقاحات، متاحة وميسورة ومقبولة وذات نوعية جيدة</w:t>
      </w:r>
      <w:r w:rsidR="00B17403" w:rsidRPr="007E4D29">
        <w:rPr>
          <w:rFonts w:eastAsiaTheme="minorEastAsia"/>
          <w:sz w:val="28"/>
          <w:vertAlign w:val="superscript"/>
          <w:rtl/>
        </w:rPr>
        <w:t>(</w:t>
      </w:r>
      <w:r w:rsidR="00B17403" w:rsidRPr="007E4D29">
        <w:rPr>
          <w:rFonts w:eastAsiaTheme="minorEastAsia" w:cs="Times New Roman"/>
          <w:position w:val="4"/>
          <w:vertAlign w:val="superscript"/>
        </w:rPr>
        <w:footnoteReference w:id="10"/>
      </w:r>
      <w:r w:rsidR="00B17403" w:rsidRPr="007E4D29">
        <w:rPr>
          <w:rFonts w:eastAsiaTheme="minorEastAsia"/>
          <w:sz w:val="28"/>
          <w:vertAlign w:val="superscript"/>
          <w:rtl/>
        </w:rPr>
        <w:t>)</w:t>
      </w:r>
      <w:r w:rsidR="00B17403" w:rsidRPr="007E4D29">
        <w:rPr>
          <w:rFonts w:eastAsiaTheme="minorEastAsia"/>
          <w:rtl/>
        </w:rPr>
        <w:t xml:space="preserve">. فلقاحات </w:t>
      </w:r>
      <w:proofErr w:type="spellStart"/>
      <w:r w:rsidR="00B17403" w:rsidRPr="007E4D29">
        <w:rPr>
          <w:rFonts w:eastAsiaTheme="minorEastAsia"/>
          <w:rtl/>
        </w:rPr>
        <w:t>كوفيد</w:t>
      </w:r>
      <w:proofErr w:type="spellEnd"/>
      <w:r w:rsidR="00B17403" w:rsidRPr="007E4D29">
        <w:rPr>
          <w:rFonts w:eastAsiaTheme="minorEastAsia"/>
          <w:rtl/>
        </w:rPr>
        <w:t>-</w:t>
      </w:r>
      <w:r w:rsidR="00B17403" w:rsidRPr="007E4D29">
        <w:rPr>
          <w:rFonts w:eastAsiaTheme="minorEastAsia"/>
          <w:szCs w:val="20"/>
          <w:rtl/>
        </w:rPr>
        <w:t>19</w:t>
      </w:r>
      <w:r w:rsidR="00B17403" w:rsidRPr="007E4D29">
        <w:rPr>
          <w:rFonts w:eastAsiaTheme="minorEastAsia"/>
          <w:rtl/>
        </w:rPr>
        <w:t xml:space="preserve"> يجب عدم الاكتفاء بإنتاجها وإتاحتها، بل يجب تَجاوز ذلك إلى تيسير حصول جميع الناس عليها. ولضمان الحصول على لقاحات </w:t>
      </w:r>
      <w:proofErr w:type="spellStart"/>
      <w:r w:rsidR="00B17403" w:rsidRPr="007E4D29">
        <w:rPr>
          <w:rFonts w:eastAsiaTheme="minorEastAsia"/>
          <w:rtl/>
        </w:rPr>
        <w:t>كوفيد</w:t>
      </w:r>
      <w:proofErr w:type="spellEnd"/>
      <w:r w:rsidR="00B17403" w:rsidRPr="007E4D29">
        <w:rPr>
          <w:rFonts w:eastAsiaTheme="minorEastAsia"/>
          <w:rtl/>
        </w:rPr>
        <w:t>-</w:t>
      </w:r>
      <w:r w:rsidR="00B17403" w:rsidRPr="007E4D29">
        <w:rPr>
          <w:rFonts w:eastAsiaTheme="minorEastAsia"/>
          <w:szCs w:val="20"/>
          <w:rtl/>
        </w:rPr>
        <w:t>19</w:t>
      </w:r>
      <w:r w:rsidR="00B17403" w:rsidRPr="007E4D29">
        <w:rPr>
          <w:rFonts w:eastAsiaTheme="minorEastAsia"/>
          <w:rtl/>
        </w:rPr>
        <w:t>، يجب على الدول، أولاً، أن تقضي على أي تمييز قائم على أسباب من قبيل الدين، أو الأصل القومي، أو الجنس، أو الميل الجنسي والهوية الجنسانية، أو العرق والهوية الإثنية، أو السن، أو الإعاقة، أو الوضع من حيث الهجرة، أو الوضع الاجتماعي، أو الفقر، أو أي وضع آخر ذي صلة؛ وثانياً، أن تضمن إمكانية الوصول المادي إلى اللقاحات، لا سيما للفئات المهمشة والأشخاص الذين يعيشون في مناطق نائية، باستخدام القنوات التي تديرها الدولة والقنوات الخاصة على السواء، وعن طريق تعزيز قدرة النظم الصحية على إيصال اللقاحات؛ وثالثا</w:t>
      </w:r>
      <w:r w:rsidR="007E4D29">
        <w:rPr>
          <w:rFonts w:eastAsiaTheme="minorEastAsia" w:hint="cs"/>
          <w:rtl/>
        </w:rPr>
        <w:t>ً</w:t>
      </w:r>
      <w:r w:rsidR="00B17403" w:rsidRPr="007E4D29">
        <w:rPr>
          <w:rFonts w:eastAsiaTheme="minorEastAsia"/>
          <w:rtl/>
        </w:rPr>
        <w:t>، أن تضمن يسر تكلفة اللقاحات على الجميع أو كونها في متناولهم اقتصاديا</w:t>
      </w:r>
      <w:r w:rsidR="007E4D29">
        <w:rPr>
          <w:rFonts w:eastAsiaTheme="minorEastAsia" w:hint="cs"/>
          <w:rtl/>
        </w:rPr>
        <w:t>ً</w:t>
      </w:r>
      <w:r w:rsidR="00B17403" w:rsidRPr="007E4D29">
        <w:rPr>
          <w:rFonts w:eastAsiaTheme="minorEastAsia"/>
          <w:rtl/>
        </w:rPr>
        <w:t>، بما في ذلك توفيرها مجانا</w:t>
      </w:r>
      <w:r w:rsidR="007E4D29">
        <w:rPr>
          <w:rFonts w:eastAsiaTheme="minorEastAsia" w:hint="cs"/>
          <w:rtl/>
        </w:rPr>
        <w:t>ً</w:t>
      </w:r>
      <w:r w:rsidR="00B17403" w:rsidRPr="007E4D29">
        <w:rPr>
          <w:rFonts w:eastAsiaTheme="minorEastAsia"/>
          <w:rtl/>
        </w:rPr>
        <w:t xml:space="preserve">، على الأقل لذوي الدخل المنخفض والفقراء؛ ورابعاً، أن تضمن الوصول إلى المعلومات ذات الصلة، خاصة من خلال نشر معلومات علمية دقيقة عن سلامة اللقاحات المختلفة </w:t>
      </w:r>
      <w:proofErr w:type="spellStart"/>
      <w:r w:rsidR="00B17403" w:rsidRPr="007E4D29">
        <w:rPr>
          <w:rFonts w:eastAsiaTheme="minorEastAsia"/>
          <w:rtl/>
        </w:rPr>
        <w:t>ونجاعتها</w:t>
      </w:r>
      <w:proofErr w:type="spellEnd"/>
      <w:r w:rsidR="00B17403" w:rsidRPr="007E4D29">
        <w:rPr>
          <w:rFonts w:eastAsiaTheme="minorEastAsia"/>
          <w:rtl/>
        </w:rPr>
        <w:t>، وتنظيم حملات عامة لحماية الناس من المعلومات الكاذبة أو المضللة أو الزائفة من الناحية العلمية المتعلقة باللقاحات التي تنتشر بسرعة على الإنترنت ووسائل التواصل الاجتماعي</w:t>
      </w:r>
      <w:r w:rsidR="00B17403" w:rsidRPr="007E4D29">
        <w:rPr>
          <w:rFonts w:eastAsiaTheme="minorEastAsia"/>
          <w:sz w:val="28"/>
          <w:vertAlign w:val="superscript"/>
          <w:rtl/>
        </w:rPr>
        <w:t>(</w:t>
      </w:r>
      <w:r w:rsidR="00B17403" w:rsidRPr="007E4D29">
        <w:rPr>
          <w:rFonts w:eastAsiaTheme="minorEastAsia" w:cs="Times New Roman"/>
          <w:position w:val="4"/>
          <w:vertAlign w:val="superscript"/>
        </w:rPr>
        <w:footnoteReference w:id="11"/>
      </w:r>
      <w:r w:rsidR="00B17403" w:rsidRPr="007E4D29">
        <w:rPr>
          <w:rFonts w:eastAsiaTheme="minorEastAsia"/>
          <w:sz w:val="28"/>
          <w:vertAlign w:val="superscript"/>
          <w:rtl/>
        </w:rPr>
        <w:t>)</w:t>
      </w:r>
      <w:r w:rsidR="00B17403" w:rsidRPr="007E4D29">
        <w:rPr>
          <w:rFonts w:eastAsiaTheme="minorEastAsia" w:cs="Times New Roman" w:hint="cs"/>
          <w:position w:val="4"/>
          <w:rtl/>
        </w:rPr>
        <w:t>.</w:t>
      </w:r>
    </w:p>
    <w:p w14:paraId="57E0B93A" w14:textId="77777777" w:rsidR="00B17403" w:rsidRPr="007E4D29" w:rsidRDefault="001852C7" w:rsidP="00B17403">
      <w:pPr>
        <w:pStyle w:val="SingleTxtGA"/>
        <w:rPr>
          <w:rFonts w:eastAsiaTheme="minorEastAsia"/>
          <w:lang w:val="ar-SA" w:eastAsia="zh-TW" w:bidi="en-GB"/>
        </w:rPr>
      </w:pPr>
      <w:r>
        <w:rPr>
          <w:rFonts w:eastAsiaTheme="minorEastAsia" w:hint="cs"/>
          <w:szCs w:val="20"/>
          <w:rtl/>
        </w:rPr>
        <w:t>5</w:t>
      </w:r>
      <w:r w:rsidR="00B17403" w:rsidRPr="007E4D29">
        <w:rPr>
          <w:rFonts w:eastAsiaTheme="minorEastAsia" w:hint="cs"/>
          <w:rtl/>
        </w:rPr>
        <w:t>-</w:t>
      </w:r>
      <w:r w:rsidR="00B17403" w:rsidRPr="007E4D29">
        <w:rPr>
          <w:rFonts w:eastAsiaTheme="minorEastAsia"/>
          <w:rtl/>
        </w:rPr>
        <w:tab/>
      </w:r>
      <w:r w:rsidR="00B17403" w:rsidRPr="007E4D29">
        <w:rPr>
          <w:rFonts w:eastAsiaTheme="minorEastAsia"/>
          <w:rtl/>
        </w:rPr>
        <w:t>ومن المستحيل ضمان حصول الجميع فورا</w:t>
      </w:r>
      <w:r w:rsidR="007E4D29">
        <w:rPr>
          <w:rFonts w:eastAsiaTheme="minorEastAsia" w:hint="cs"/>
          <w:rtl/>
        </w:rPr>
        <w:t>ً</w:t>
      </w:r>
      <w:r w:rsidR="00B17403" w:rsidRPr="007E4D29">
        <w:rPr>
          <w:rFonts w:eastAsiaTheme="minorEastAsia"/>
          <w:rtl/>
        </w:rPr>
        <w:t xml:space="preserve"> على لقاح لجائحة </w:t>
      </w:r>
      <w:proofErr w:type="spellStart"/>
      <w:r w:rsidR="00B17403" w:rsidRPr="007E4D29">
        <w:rPr>
          <w:rFonts w:eastAsiaTheme="minorEastAsia"/>
          <w:rtl/>
        </w:rPr>
        <w:t>كوفيد</w:t>
      </w:r>
      <w:proofErr w:type="spellEnd"/>
      <w:r w:rsidR="00B17403" w:rsidRPr="007E4D29">
        <w:rPr>
          <w:rFonts w:eastAsiaTheme="minorEastAsia"/>
          <w:rtl/>
        </w:rPr>
        <w:t>-</w:t>
      </w:r>
      <w:r w:rsidR="00B17403" w:rsidRPr="007E4D29">
        <w:rPr>
          <w:rFonts w:eastAsiaTheme="minorEastAsia"/>
          <w:szCs w:val="20"/>
          <w:rtl/>
        </w:rPr>
        <w:t>19</w:t>
      </w:r>
      <w:r w:rsidR="00B17403" w:rsidRPr="007E4D29">
        <w:rPr>
          <w:rFonts w:eastAsiaTheme="minorEastAsia"/>
          <w:rtl/>
        </w:rPr>
        <w:t xml:space="preserve"> حتى لو أُقرت لقاحات عدة قريباً. فإنتاج اللقاحات وتوزيعها على نطاق واسع لا ينطوي على تكاليف مالية هائلة فحسب، بل أيضاً على إجراءات إدارية وصحية معقدة. ولا يمكن تجنب ترتيب الأولويات لحصول فئات محددة على اللقاحات، على الأقل في المراحل الأولية، ليس على الصعيد الوطني فحسب، بل أيضاً على الصعيد الدولي. وعملاً بالحظر العام للتمييز</w:t>
      </w:r>
      <w:r w:rsidR="00B17403" w:rsidRPr="007E4D29">
        <w:rPr>
          <w:rFonts w:eastAsiaTheme="minorEastAsia"/>
          <w:sz w:val="28"/>
          <w:vertAlign w:val="superscript"/>
          <w:rtl/>
        </w:rPr>
        <w:t>(</w:t>
      </w:r>
      <w:r w:rsidR="00B17403" w:rsidRPr="007E4D29">
        <w:rPr>
          <w:rFonts w:eastAsiaTheme="minorEastAsia" w:cs="Times New Roman"/>
          <w:position w:val="4"/>
          <w:vertAlign w:val="superscript"/>
        </w:rPr>
        <w:footnoteReference w:id="12"/>
      </w:r>
      <w:r w:rsidR="00B17403" w:rsidRPr="007E4D29">
        <w:rPr>
          <w:rFonts w:eastAsiaTheme="minorEastAsia"/>
          <w:sz w:val="28"/>
          <w:vertAlign w:val="superscript"/>
          <w:rtl/>
        </w:rPr>
        <w:t>)</w:t>
      </w:r>
      <w:r w:rsidR="00B17403" w:rsidRPr="007E4D29">
        <w:rPr>
          <w:rFonts w:eastAsiaTheme="minorEastAsia"/>
          <w:rtl/>
        </w:rPr>
        <w:t>، يجب أن يستند ترتيب الأولويات هذا إلى الاحتياجات الطبية ودواعي الصحة العامة. ووفقا</w:t>
      </w:r>
      <w:r w:rsidR="007E4D29">
        <w:rPr>
          <w:rFonts w:eastAsiaTheme="minorEastAsia" w:hint="cs"/>
          <w:rtl/>
        </w:rPr>
        <w:t>ً</w:t>
      </w:r>
      <w:r w:rsidR="00B17403" w:rsidRPr="007E4D29">
        <w:rPr>
          <w:rFonts w:eastAsiaTheme="minorEastAsia"/>
          <w:rtl/>
        </w:rPr>
        <w:t xml:space="preserve"> لهذه المعايير، يمكن إعطاء الأولوية، على سبيل المثال، للعاملين في القطاع الصحي وفي مجال الرعاية أو للأشخاص المعرضين أكثر من غيرهم لظهور أعراض صحية خطيرة إن أُصيبوا بفيروس كورونا</w:t>
      </w:r>
      <w:r w:rsidR="007C3B93">
        <w:rPr>
          <w:rFonts w:eastAsiaTheme="minorEastAsia" w:hint="cs"/>
          <w:rtl/>
        </w:rPr>
        <w:t xml:space="preserve"> </w:t>
      </w:r>
      <w:r w:rsidR="00B17403" w:rsidRPr="007E4D29">
        <w:rPr>
          <w:rFonts w:eastAsiaTheme="minorEastAsia"/>
          <w:rtl/>
        </w:rPr>
        <w:t>-</w:t>
      </w:r>
      <w:r w:rsidR="007C3B93">
        <w:rPr>
          <w:rFonts w:eastAsiaTheme="minorEastAsia" w:hint="cs"/>
          <w:rtl/>
        </w:rPr>
        <w:t xml:space="preserve"> </w:t>
      </w:r>
      <w:r w:rsidR="00B17403" w:rsidRPr="007E4D29">
        <w:rPr>
          <w:rFonts w:eastAsiaTheme="minorEastAsia"/>
          <w:rtl/>
        </w:rPr>
        <w:t>سارس-</w:t>
      </w:r>
      <w:r w:rsidR="00B17403" w:rsidRPr="007E4D29">
        <w:rPr>
          <w:rFonts w:eastAsiaTheme="minorEastAsia"/>
          <w:szCs w:val="20"/>
          <w:rtl/>
        </w:rPr>
        <w:t>2</w:t>
      </w:r>
      <w:r w:rsidR="00B17403" w:rsidRPr="007E4D29">
        <w:rPr>
          <w:rFonts w:eastAsiaTheme="minorEastAsia"/>
          <w:rtl/>
        </w:rPr>
        <w:t xml:space="preserve"> بسبب السن أو المشاكل الصحية الموجودة مسبقا</w:t>
      </w:r>
      <w:r w:rsidR="007C3B93">
        <w:rPr>
          <w:rFonts w:eastAsiaTheme="minorEastAsia" w:hint="cs"/>
          <w:rtl/>
        </w:rPr>
        <w:t>ً</w:t>
      </w:r>
      <w:r w:rsidR="00B17403" w:rsidRPr="007E4D29">
        <w:rPr>
          <w:rFonts w:eastAsiaTheme="minorEastAsia"/>
          <w:rtl/>
        </w:rPr>
        <w:t>، أو لأكثر الناس تعرضاً للفيروس وأكثرهم قابلية للإصابة به بسبب المحددات الاجتماعية للصحة، مثل الأشخاص الذين يعيشون في الأحياء العشوائية أو أشكال أخرى من المساكن المكتظة أو غير المستقرة، والأشخاص الذين يعيشون في الفقر، والشعوب الأصلية، والأقليات العرقية، والمهاجرين، واللاجئين، والمشردين، والسجناء، وغيرهم من السكان المهمشين والمحرومين. وأيّا</w:t>
      </w:r>
      <w:r w:rsidR="007C3B93">
        <w:rPr>
          <w:rFonts w:eastAsiaTheme="minorEastAsia" w:hint="cs"/>
          <w:rtl/>
        </w:rPr>
        <w:t>ً</w:t>
      </w:r>
      <w:r>
        <w:rPr>
          <w:rFonts w:eastAsiaTheme="minorEastAsia" w:hint="cs"/>
          <w:rtl/>
        </w:rPr>
        <w:t> </w:t>
      </w:r>
      <w:r w:rsidR="00B17403" w:rsidRPr="007E4D29">
        <w:rPr>
          <w:rFonts w:eastAsiaTheme="minorEastAsia"/>
          <w:rtl/>
        </w:rPr>
        <w:t xml:space="preserve">يكن الأمر، يجب أن توضع معايير ترتيب الأولويات من خلال عملية مشاورة عامة كافية، وأن تكون شفافة وخاضعة للمراقبة العامة وللمراجعة القضائية في حال وجود نزاع لتجنب التمييز. </w:t>
      </w:r>
    </w:p>
    <w:p w14:paraId="632EDAF5" w14:textId="77777777" w:rsidR="00B17403" w:rsidRPr="007E4D29" w:rsidRDefault="001852C7" w:rsidP="00B17403">
      <w:pPr>
        <w:pStyle w:val="SingleTxtGA"/>
        <w:rPr>
          <w:rFonts w:eastAsiaTheme="minorEastAsia"/>
          <w:lang w:val="ar-SA" w:eastAsia="zh-TW" w:bidi="en-GB"/>
        </w:rPr>
      </w:pPr>
      <w:r>
        <w:rPr>
          <w:rFonts w:eastAsiaTheme="minorEastAsia" w:hint="cs"/>
          <w:szCs w:val="20"/>
          <w:rtl/>
        </w:rPr>
        <w:t>6</w:t>
      </w:r>
      <w:r w:rsidR="00B17403" w:rsidRPr="007E4D29">
        <w:rPr>
          <w:rFonts w:eastAsiaTheme="minorEastAsia" w:hint="cs"/>
          <w:rtl/>
        </w:rPr>
        <w:t>-</w:t>
      </w:r>
      <w:r w:rsidR="00B17403" w:rsidRPr="007E4D29">
        <w:rPr>
          <w:rFonts w:eastAsiaTheme="minorEastAsia"/>
          <w:rtl/>
        </w:rPr>
        <w:tab/>
      </w:r>
      <w:r w:rsidR="00B17403" w:rsidRPr="007E4D29">
        <w:rPr>
          <w:rFonts w:eastAsiaTheme="minorEastAsia"/>
          <w:rtl/>
        </w:rPr>
        <w:t>وصنعت شركات خاصة العديد من اللقاحات التي قد يتم إقرارها وقد تخضع لنظام الملكية الفكرية. وتتوقع هذه الشركات الحصول على ربح، ومن الإنصاف أن تحصل على تعويض معقول عن استثماراتها وأبحاثها. غير أن اللجنة تذكّر الدول الأطراف بأن الملكية الفكرية ليست حقاً من حقوق الإنسان بل هي نتاج اجتماعي ذو وظيفة اجتماعية</w:t>
      </w:r>
      <w:r w:rsidR="00B17403" w:rsidRPr="007E4D29">
        <w:rPr>
          <w:rFonts w:eastAsiaTheme="minorEastAsia"/>
          <w:sz w:val="28"/>
          <w:vertAlign w:val="superscript"/>
          <w:rtl/>
        </w:rPr>
        <w:t>(</w:t>
      </w:r>
      <w:r w:rsidR="00B17403" w:rsidRPr="007E4D29">
        <w:rPr>
          <w:rFonts w:eastAsiaTheme="minorEastAsia" w:cs="Times New Roman"/>
          <w:position w:val="4"/>
          <w:vertAlign w:val="superscript"/>
        </w:rPr>
        <w:footnoteReference w:id="13"/>
      </w:r>
      <w:r w:rsidR="00B17403" w:rsidRPr="007E4D29">
        <w:rPr>
          <w:rFonts w:eastAsiaTheme="minorEastAsia"/>
          <w:sz w:val="28"/>
          <w:vertAlign w:val="superscript"/>
          <w:rtl/>
        </w:rPr>
        <w:t>)</w:t>
      </w:r>
      <w:r w:rsidR="00B17403" w:rsidRPr="007E4D29">
        <w:rPr>
          <w:rFonts w:eastAsiaTheme="minorEastAsia" w:hint="cs"/>
          <w:rtl/>
        </w:rPr>
        <w:t xml:space="preserve">. </w:t>
      </w:r>
      <w:r w:rsidR="00B17403" w:rsidRPr="007E4D29">
        <w:rPr>
          <w:rFonts w:eastAsiaTheme="minorEastAsia"/>
          <w:rtl/>
        </w:rPr>
        <w:t>ومن واجب الدول الأطراف من ثم منع نظامَي الملكية الفكرية والبراءات القانونيَّين من تقويض التمتع بالحقوق الاقتصادية والاجتماعية والثقافية، بسل منها مثلاً جعل المنافع العامة الحيوية، مثل اللقاحات أو الأدوية، غير متاحة للبلدان النامية أو المجتمعات المحلية الفقيرة بسبب هياكل التكاليف غير المعقولة</w:t>
      </w:r>
      <w:r w:rsidR="00B17403" w:rsidRPr="007E4D29">
        <w:rPr>
          <w:rFonts w:eastAsiaTheme="minorEastAsia"/>
          <w:sz w:val="28"/>
          <w:vertAlign w:val="superscript"/>
          <w:rtl/>
        </w:rPr>
        <w:t>(</w:t>
      </w:r>
      <w:r w:rsidR="00B17403" w:rsidRPr="007E4D29">
        <w:rPr>
          <w:rFonts w:eastAsiaTheme="minorEastAsia" w:cs="Times New Roman"/>
          <w:position w:val="4"/>
          <w:vertAlign w:val="superscript"/>
        </w:rPr>
        <w:footnoteReference w:id="14"/>
      </w:r>
      <w:r w:rsidR="00B17403" w:rsidRPr="007E4D29">
        <w:rPr>
          <w:rFonts w:eastAsiaTheme="minorEastAsia"/>
          <w:sz w:val="28"/>
          <w:vertAlign w:val="superscript"/>
          <w:rtl/>
        </w:rPr>
        <w:t>)</w:t>
      </w:r>
      <w:r w:rsidR="00B17403" w:rsidRPr="007E4D29">
        <w:rPr>
          <w:rFonts w:eastAsiaTheme="minorEastAsia" w:hint="cs"/>
          <w:rtl/>
        </w:rPr>
        <w:t xml:space="preserve">. </w:t>
      </w:r>
      <w:r w:rsidR="00B17403" w:rsidRPr="007E4D29">
        <w:rPr>
          <w:rFonts w:eastAsiaTheme="minorEastAsia"/>
          <w:rtl/>
        </w:rPr>
        <w:t>وعلى هذا، كما جاء في إعلان الدوحة بشأن الاتفاق المتعلق بجوانب حقوق الملكية الفكرية المتصلة بالتجارة والصحة العامة، ينبغي تفسير نظام الملكية الفكرية وتنفيذه بطريقة تدعم واجب الدول المتمثل في "حماية الصحة العامة"</w:t>
      </w:r>
      <w:r w:rsidR="00B17403" w:rsidRPr="007E4D29">
        <w:rPr>
          <w:rFonts w:eastAsiaTheme="minorEastAsia"/>
          <w:sz w:val="28"/>
          <w:vertAlign w:val="superscript"/>
          <w:rtl/>
        </w:rPr>
        <w:t>(</w:t>
      </w:r>
      <w:r w:rsidR="00B17403" w:rsidRPr="007E4D29">
        <w:rPr>
          <w:rFonts w:eastAsiaTheme="minorEastAsia" w:cs="Times New Roman"/>
          <w:position w:val="4"/>
          <w:vertAlign w:val="superscript"/>
        </w:rPr>
        <w:footnoteReference w:id="15"/>
      </w:r>
      <w:r w:rsidR="00B17403" w:rsidRPr="007E4D29">
        <w:rPr>
          <w:rFonts w:eastAsiaTheme="minorEastAsia"/>
          <w:sz w:val="28"/>
          <w:vertAlign w:val="superscript"/>
          <w:rtl/>
        </w:rPr>
        <w:t>)</w:t>
      </w:r>
      <w:r w:rsidR="00B17403" w:rsidRPr="007E4D29">
        <w:rPr>
          <w:rFonts w:eastAsiaTheme="minorEastAsia" w:hint="cs"/>
          <w:rtl/>
        </w:rPr>
        <w:t xml:space="preserve">. </w:t>
      </w:r>
      <w:r w:rsidR="00B17403" w:rsidRPr="007E4D29">
        <w:rPr>
          <w:rFonts w:eastAsiaTheme="minorEastAsia"/>
          <w:rtl/>
        </w:rPr>
        <w:t xml:space="preserve">وينبغي أن تستخدم الدول الأطراف، عند الاقتضاء، جميع أوجه المرونة في الاتفاق المتعلق بجوانب حقوق الملكية الفكرية المتصلة بالتجارة، مثل الرخص الإلزامية، لضمان حصول الجميع على لقاح لجائحة </w:t>
      </w:r>
      <w:proofErr w:type="spellStart"/>
      <w:r w:rsidR="00B17403" w:rsidRPr="007E4D29">
        <w:rPr>
          <w:rFonts w:eastAsiaTheme="minorEastAsia"/>
          <w:rtl/>
        </w:rPr>
        <w:t>كوفيد</w:t>
      </w:r>
      <w:proofErr w:type="spellEnd"/>
      <w:r w:rsidR="00B17403" w:rsidRPr="007E4D29">
        <w:rPr>
          <w:rFonts w:eastAsiaTheme="minorEastAsia"/>
          <w:rtl/>
        </w:rPr>
        <w:t>-</w:t>
      </w:r>
      <w:r w:rsidR="00B17403" w:rsidRPr="007E4D29">
        <w:rPr>
          <w:rFonts w:eastAsiaTheme="minorEastAsia"/>
          <w:szCs w:val="20"/>
          <w:rtl/>
        </w:rPr>
        <w:t>19</w:t>
      </w:r>
      <w:r w:rsidR="00B17403" w:rsidRPr="007E4D29">
        <w:rPr>
          <w:rFonts w:eastAsiaTheme="minorEastAsia"/>
          <w:rtl/>
        </w:rPr>
        <w:t>. بيد أن أوجه المرونة هذه لن تكون على الأرجح كافية لمواجهة الجائحة كما يجب، لا سيما في البلدان النامية. لذلك اقترحت بعض الدول تدبيرا</w:t>
      </w:r>
      <w:r w:rsidR="007C3B93">
        <w:rPr>
          <w:rFonts w:eastAsiaTheme="minorEastAsia" w:hint="cs"/>
          <w:rtl/>
        </w:rPr>
        <w:t>ً</w:t>
      </w:r>
      <w:r w:rsidR="00B17403" w:rsidRPr="007E4D29">
        <w:rPr>
          <w:rFonts w:eastAsiaTheme="minorEastAsia"/>
          <w:rtl/>
        </w:rPr>
        <w:t xml:space="preserve"> إضافيا</w:t>
      </w:r>
      <w:r w:rsidR="007C3B93">
        <w:rPr>
          <w:rFonts w:eastAsiaTheme="minorEastAsia" w:hint="cs"/>
          <w:rtl/>
        </w:rPr>
        <w:t>ً</w:t>
      </w:r>
      <w:r w:rsidR="00B17403" w:rsidRPr="007E4D29">
        <w:rPr>
          <w:rFonts w:eastAsiaTheme="minorEastAsia"/>
          <w:rtl/>
        </w:rPr>
        <w:t xml:space="preserve"> مؤداه أن تتنازل منظمة التجارة العالمية عن بعض أحكام الاتفاق المذكور، في سياق الأزمة الصحية العالمية. وينبغي النظر في الاقتراح، الذي يدعمه عدد من الإجراءات الخاصة لمجلس حقوق الإنسان</w:t>
      </w:r>
      <w:r w:rsidR="00B17403" w:rsidRPr="007E4D29">
        <w:rPr>
          <w:rFonts w:eastAsiaTheme="minorEastAsia"/>
          <w:sz w:val="28"/>
          <w:vertAlign w:val="superscript"/>
          <w:rtl/>
        </w:rPr>
        <w:t>(</w:t>
      </w:r>
      <w:r w:rsidR="00B17403" w:rsidRPr="007E4D29">
        <w:rPr>
          <w:rFonts w:eastAsiaTheme="minorEastAsia" w:cs="Times New Roman"/>
          <w:position w:val="4"/>
          <w:vertAlign w:val="superscript"/>
        </w:rPr>
        <w:footnoteReference w:id="16"/>
      </w:r>
      <w:r w:rsidR="00B17403" w:rsidRPr="007E4D29">
        <w:rPr>
          <w:rFonts w:eastAsiaTheme="minorEastAsia"/>
          <w:sz w:val="28"/>
          <w:vertAlign w:val="superscript"/>
          <w:rtl/>
        </w:rPr>
        <w:t>)</w:t>
      </w:r>
      <w:r w:rsidR="00B17403" w:rsidRPr="007E4D29">
        <w:rPr>
          <w:rFonts w:eastAsiaTheme="minorEastAsia"/>
          <w:rtl/>
        </w:rPr>
        <w:t xml:space="preserve">، وتنفيذه من أجل تيسير الوقاية من </w:t>
      </w:r>
      <w:proofErr w:type="spellStart"/>
      <w:r w:rsidR="00B17403" w:rsidRPr="007E4D29">
        <w:rPr>
          <w:rFonts w:eastAsiaTheme="minorEastAsia"/>
          <w:rtl/>
        </w:rPr>
        <w:t>كوفيد</w:t>
      </w:r>
      <w:proofErr w:type="spellEnd"/>
      <w:r w:rsidR="00B17403" w:rsidRPr="007E4D29">
        <w:rPr>
          <w:rFonts w:eastAsiaTheme="minorEastAsia"/>
          <w:rtl/>
        </w:rPr>
        <w:t>-</w:t>
      </w:r>
      <w:r w:rsidR="00B17403" w:rsidRPr="007E4D29">
        <w:rPr>
          <w:rFonts w:eastAsiaTheme="minorEastAsia"/>
          <w:szCs w:val="20"/>
          <w:rtl/>
        </w:rPr>
        <w:t>19</w:t>
      </w:r>
      <w:r w:rsidR="00B17403" w:rsidRPr="007E4D29">
        <w:rPr>
          <w:rFonts w:eastAsiaTheme="minorEastAsia"/>
          <w:rtl/>
        </w:rPr>
        <w:t xml:space="preserve"> واحتوائه ومعالجته من خلال توافر اللقاحات بتكلفة ميسورة على الصعيد العالمي. </w:t>
      </w:r>
    </w:p>
    <w:p w14:paraId="1792D0A2" w14:textId="77777777" w:rsidR="00B17403" w:rsidRPr="007E4D29" w:rsidRDefault="001852C7" w:rsidP="00B17403">
      <w:pPr>
        <w:pStyle w:val="SingleTxtGA"/>
        <w:rPr>
          <w:rFonts w:eastAsiaTheme="minorEastAsia"/>
          <w:lang w:val="ar-SA" w:eastAsia="zh-TW" w:bidi="en-GB"/>
        </w:rPr>
      </w:pPr>
      <w:r>
        <w:rPr>
          <w:rFonts w:eastAsiaTheme="minorEastAsia" w:hint="cs"/>
          <w:szCs w:val="20"/>
          <w:rtl/>
        </w:rPr>
        <w:t>7</w:t>
      </w:r>
      <w:r w:rsidR="00B17403" w:rsidRPr="007E4D29">
        <w:rPr>
          <w:rFonts w:eastAsiaTheme="minorEastAsia" w:hint="cs"/>
          <w:rtl/>
        </w:rPr>
        <w:t>-</w:t>
      </w:r>
      <w:r w:rsidR="00B17403" w:rsidRPr="007E4D29">
        <w:rPr>
          <w:rFonts w:eastAsiaTheme="minorEastAsia"/>
          <w:rtl/>
        </w:rPr>
        <w:tab/>
      </w:r>
      <w:r w:rsidR="00B17403" w:rsidRPr="007E4D29">
        <w:rPr>
          <w:rFonts w:eastAsiaTheme="minorEastAsia"/>
          <w:rtl/>
        </w:rPr>
        <w:t>وتنص المعايير الدولية على أن الكيانات التجارية، بما فيها شركات صناعة الأدوية، ملزمة، على الأقل، باحترام الحقوق المبينة في العهد الدولي الخاص بالحقوق الاقتصادية والاجتماعية والثقافية</w:t>
      </w:r>
      <w:r w:rsidR="00B17403" w:rsidRPr="007E4D29">
        <w:rPr>
          <w:rFonts w:eastAsiaTheme="minorEastAsia"/>
          <w:sz w:val="28"/>
          <w:vertAlign w:val="superscript"/>
          <w:rtl/>
        </w:rPr>
        <w:t>(</w:t>
      </w:r>
      <w:r w:rsidR="00B17403" w:rsidRPr="007E4D29">
        <w:rPr>
          <w:rFonts w:eastAsiaTheme="minorEastAsia" w:cs="Times New Roman"/>
          <w:position w:val="4"/>
          <w:vertAlign w:val="superscript"/>
        </w:rPr>
        <w:footnoteReference w:id="17"/>
      </w:r>
      <w:r w:rsidR="00B17403" w:rsidRPr="007E4D29">
        <w:rPr>
          <w:rFonts w:eastAsiaTheme="minorEastAsia"/>
          <w:sz w:val="28"/>
          <w:vertAlign w:val="superscript"/>
          <w:rtl/>
        </w:rPr>
        <w:t>)</w:t>
      </w:r>
      <w:r w:rsidR="00B17403" w:rsidRPr="007E4D29">
        <w:rPr>
          <w:rFonts w:eastAsiaTheme="minorEastAsia" w:hint="cs"/>
          <w:rtl/>
        </w:rPr>
        <w:t xml:space="preserve">. </w:t>
      </w:r>
      <w:r w:rsidR="00B17403" w:rsidRPr="007E4D29">
        <w:rPr>
          <w:rFonts w:eastAsiaTheme="minorEastAsia"/>
          <w:rtl/>
        </w:rPr>
        <w:t xml:space="preserve">ولذلك ينبغي لهذه الكيانات أن تحجم عن الاحتجاج بحقوق الملكية الفكرية بطريقة غير متوافقة مع حق كل شخص في الحصول على لقاح مأمون وناجع لجائحة </w:t>
      </w:r>
      <w:proofErr w:type="spellStart"/>
      <w:r w:rsidR="00B17403" w:rsidRPr="007E4D29">
        <w:rPr>
          <w:rFonts w:eastAsiaTheme="minorEastAsia"/>
          <w:rtl/>
        </w:rPr>
        <w:t>كوفيد</w:t>
      </w:r>
      <w:proofErr w:type="spellEnd"/>
      <w:r w:rsidR="00B17403" w:rsidRPr="007E4D29">
        <w:rPr>
          <w:rFonts w:eastAsiaTheme="minorEastAsia"/>
          <w:rtl/>
        </w:rPr>
        <w:t>-</w:t>
      </w:r>
      <w:r w:rsidR="00B17403" w:rsidRPr="007E4D29">
        <w:rPr>
          <w:rFonts w:eastAsiaTheme="minorEastAsia"/>
          <w:szCs w:val="20"/>
          <w:rtl/>
        </w:rPr>
        <w:t>19</w:t>
      </w:r>
      <w:r w:rsidR="00B17403" w:rsidRPr="007E4D29">
        <w:rPr>
          <w:rFonts w:eastAsiaTheme="minorEastAsia"/>
          <w:rtl/>
        </w:rPr>
        <w:t>، ومع التزام الدول بضمان حصول الجميع على هذا اللقاح بأسرع ما يمكن وعلى قدم المساواة.</w:t>
      </w:r>
    </w:p>
    <w:p w14:paraId="765A9257" w14:textId="77777777" w:rsidR="00B17403" w:rsidRPr="007E4D29" w:rsidRDefault="001852C7" w:rsidP="00B17403">
      <w:pPr>
        <w:pStyle w:val="SingleTxtGA"/>
        <w:rPr>
          <w:rFonts w:eastAsiaTheme="minorEastAsia"/>
          <w:spacing w:val="-2"/>
          <w:lang w:eastAsia="zh-TW" w:bidi="en-GB"/>
        </w:rPr>
      </w:pPr>
      <w:r>
        <w:rPr>
          <w:rFonts w:eastAsiaTheme="minorEastAsia" w:hint="cs"/>
          <w:spacing w:val="-2"/>
          <w:szCs w:val="20"/>
          <w:rtl/>
        </w:rPr>
        <w:t>8</w:t>
      </w:r>
      <w:r w:rsidR="00B17403" w:rsidRPr="007E4D29">
        <w:rPr>
          <w:rFonts w:eastAsiaTheme="minorEastAsia" w:hint="cs"/>
          <w:spacing w:val="-2"/>
          <w:rtl/>
        </w:rPr>
        <w:t>-</w:t>
      </w:r>
      <w:r w:rsidR="00B17403" w:rsidRPr="007E4D29">
        <w:rPr>
          <w:rFonts w:eastAsiaTheme="minorEastAsia"/>
          <w:spacing w:val="-2"/>
          <w:rtl/>
        </w:rPr>
        <w:tab/>
      </w:r>
      <w:r w:rsidR="00B17403" w:rsidRPr="007E4D29">
        <w:rPr>
          <w:rFonts w:eastAsiaTheme="minorEastAsia"/>
          <w:spacing w:val="-2"/>
          <w:rtl/>
        </w:rPr>
        <w:t>ويجيز العهد تحميل الدول الأطراف المسؤولية المباشرة عما تفعله الكيانات التجارية أو لا تفعله في ظروف معينة</w:t>
      </w:r>
      <w:r w:rsidR="00B17403" w:rsidRPr="007E4D29">
        <w:rPr>
          <w:rFonts w:eastAsiaTheme="minorEastAsia"/>
          <w:spacing w:val="-2"/>
          <w:sz w:val="28"/>
          <w:vertAlign w:val="superscript"/>
          <w:rtl/>
        </w:rPr>
        <w:t>(</w:t>
      </w:r>
      <w:r w:rsidR="00B17403" w:rsidRPr="007E4D29">
        <w:rPr>
          <w:rFonts w:eastAsiaTheme="minorEastAsia" w:cs="Times New Roman"/>
          <w:spacing w:val="-2"/>
          <w:position w:val="4"/>
          <w:vertAlign w:val="superscript"/>
        </w:rPr>
        <w:footnoteReference w:id="18"/>
      </w:r>
      <w:r w:rsidR="00B17403" w:rsidRPr="007E4D29">
        <w:rPr>
          <w:rFonts w:eastAsiaTheme="minorEastAsia"/>
          <w:spacing w:val="-2"/>
          <w:sz w:val="28"/>
          <w:vertAlign w:val="superscript"/>
          <w:rtl/>
        </w:rPr>
        <w:t>)</w:t>
      </w:r>
      <w:r w:rsidR="00B17403" w:rsidRPr="007E4D29">
        <w:rPr>
          <w:rFonts w:eastAsiaTheme="minorEastAsia" w:hint="cs"/>
          <w:spacing w:val="-2"/>
          <w:rtl/>
        </w:rPr>
        <w:t xml:space="preserve">. </w:t>
      </w:r>
      <w:r w:rsidR="00B17403" w:rsidRPr="007E4D29">
        <w:rPr>
          <w:rFonts w:eastAsiaTheme="minorEastAsia"/>
          <w:spacing w:val="-2"/>
          <w:rtl/>
        </w:rPr>
        <w:t>وإضافة إلى ذلك، يقع على عاتق هذه الدول التزام خارج الحدود الإقليمية باتخاذ التدابير اللازمة لحماية الحقوق الاقتصادية والاجتماعية والثقافية لضمان عدم انتهاك هذه الحقوق في الخارج من جانب الشركات المقيمة في إقليمها و/أو الخاضعة لولايتها القضائية</w:t>
      </w:r>
      <w:r w:rsidR="00B17403" w:rsidRPr="007E4D29">
        <w:rPr>
          <w:rFonts w:eastAsiaTheme="minorEastAsia"/>
          <w:spacing w:val="-2"/>
          <w:sz w:val="28"/>
          <w:vertAlign w:val="superscript"/>
          <w:rtl/>
        </w:rPr>
        <w:t>(</w:t>
      </w:r>
      <w:r w:rsidR="00B17403" w:rsidRPr="007E4D29">
        <w:rPr>
          <w:rFonts w:eastAsiaTheme="minorEastAsia" w:cs="Times New Roman"/>
          <w:spacing w:val="-2"/>
          <w:position w:val="4"/>
          <w:vertAlign w:val="superscript"/>
        </w:rPr>
        <w:footnoteReference w:id="19"/>
      </w:r>
      <w:r w:rsidR="00B17403" w:rsidRPr="007E4D29">
        <w:rPr>
          <w:rFonts w:eastAsiaTheme="minorEastAsia"/>
          <w:spacing w:val="-2"/>
          <w:sz w:val="28"/>
          <w:vertAlign w:val="superscript"/>
          <w:rtl/>
        </w:rPr>
        <w:t>)</w:t>
      </w:r>
      <w:r w:rsidR="00B17403" w:rsidRPr="007E4D29">
        <w:rPr>
          <w:rFonts w:eastAsiaTheme="minorEastAsia" w:hint="cs"/>
          <w:spacing w:val="-2"/>
          <w:rtl/>
        </w:rPr>
        <w:t xml:space="preserve">. </w:t>
      </w:r>
      <w:r w:rsidR="00B17403" w:rsidRPr="007E4D29">
        <w:rPr>
          <w:rFonts w:eastAsiaTheme="minorEastAsia"/>
          <w:spacing w:val="-2"/>
          <w:rtl/>
        </w:rPr>
        <w:t xml:space="preserve">لذلك ينبغي للدول أن تتخذ جميع التدابير اللازمة لضمان عدم احتجاج هذه الكيانات التجارية بقانون الملكية الفكرية، سواء في إقليمها أو في الخارج، بطريقة غير متوافقة مع حق كل شخص في الحصول على لقاح مأمون وناجع لجائحة </w:t>
      </w:r>
      <w:proofErr w:type="spellStart"/>
      <w:r w:rsidR="00B17403" w:rsidRPr="007E4D29">
        <w:rPr>
          <w:rFonts w:eastAsiaTheme="minorEastAsia"/>
          <w:spacing w:val="-2"/>
          <w:rtl/>
        </w:rPr>
        <w:t>كوفيد</w:t>
      </w:r>
      <w:proofErr w:type="spellEnd"/>
      <w:r w:rsidR="00B17403" w:rsidRPr="007E4D29">
        <w:rPr>
          <w:rFonts w:eastAsiaTheme="minorEastAsia"/>
          <w:spacing w:val="-2"/>
          <w:rtl/>
        </w:rPr>
        <w:t>-</w:t>
      </w:r>
      <w:r w:rsidR="00B17403" w:rsidRPr="007E4D29">
        <w:rPr>
          <w:rFonts w:eastAsiaTheme="minorEastAsia"/>
          <w:spacing w:val="-2"/>
          <w:szCs w:val="20"/>
          <w:rtl/>
        </w:rPr>
        <w:t>19</w:t>
      </w:r>
      <w:r w:rsidR="00B17403" w:rsidRPr="007E4D29">
        <w:rPr>
          <w:rFonts w:eastAsiaTheme="minorEastAsia"/>
          <w:spacing w:val="-2"/>
          <w:rtl/>
        </w:rPr>
        <w:t>.</w:t>
      </w:r>
    </w:p>
    <w:p w14:paraId="0BAD1C5A" w14:textId="77777777" w:rsidR="00B17403" w:rsidRPr="007E4D29" w:rsidRDefault="001852C7" w:rsidP="007C3B93">
      <w:pPr>
        <w:pStyle w:val="SingleTxtGA"/>
        <w:spacing w:line="346" w:lineRule="exact"/>
        <w:rPr>
          <w:rFonts w:eastAsiaTheme="minorEastAsia"/>
          <w:lang w:val="ar-SA" w:eastAsia="zh-TW" w:bidi="en-GB"/>
        </w:rPr>
      </w:pPr>
      <w:r>
        <w:rPr>
          <w:rFonts w:eastAsiaTheme="minorEastAsia" w:hint="cs"/>
          <w:szCs w:val="20"/>
          <w:rtl/>
        </w:rPr>
        <w:t>9</w:t>
      </w:r>
      <w:r w:rsidR="00B17403" w:rsidRPr="007E4D29">
        <w:rPr>
          <w:rFonts w:eastAsiaTheme="minorEastAsia" w:hint="cs"/>
          <w:rtl/>
        </w:rPr>
        <w:t>-</w:t>
      </w:r>
      <w:r w:rsidR="00B17403" w:rsidRPr="007E4D29">
        <w:rPr>
          <w:rFonts w:eastAsiaTheme="minorEastAsia"/>
          <w:rtl/>
        </w:rPr>
        <w:tab/>
      </w:r>
      <w:r w:rsidR="00B17403" w:rsidRPr="007E4D29">
        <w:rPr>
          <w:rFonts w:eastAsiaTheme="minorEastAsia"/>
          <w:rtl/>
        </w:rPr>
        <w:t>ومن واجب الدول، بمقتضى العهد، التعاون والمساعدة على المستوى الدولي لضمان حصول الجميع على اللقاحات على قدم المساواة حيثما دعت الحاجة</w:t>
      </w:r>
      <w:r w:rsidR="00B17403" w:rsidRPr="007E4D29">
        <w:rPr>
          <w:rFonts w:eastAsiaTheme="minorEastAsia"/>
          <w:sz w:val="28"/>
          <w:vertAlign w:val="superscript"/>
          <w:rtl/>
        </w:rPr>
        <w:t>(</w:t>
      </w:r>
      <w:r w:rsidR="00B17403" w:rsidRPr="007E4D29">
        <w:rPr>
          <w:rFonts w:eastAsiaTheme="minorEastAsia" w:cs="Times New Roman"/>
          <w:position w:val="4"/>
          <w:vertAlign w:val="superscript"/>
        </w:rPr>
        <w:footnoteReference w:id="20"/>
      </w:r>
      <w:r w:rsidR="00B17403" w:rsidRPr="007E4D29">
        <w:rPr>
          <w:rFonts w:eastAsiaTheme="minorEastAsia"/>
          <w:sz w:val="28"/>
          <w:vertAlign w:val="superscript"/>
          <w:rtl/>
        </w:rPr>
        <w:t>)</w:t>
      </w:r>
      <w:r w:rsidR="00B17403" w:rsidRPr="007E4D29">
        <w:rPr>
          <w:rFonts w:eastAsiaTheme="minorEastAsia" w:hint="cs"/>
          <w:rtl/>
        </w:rPr>
        <w:t xml:space="preserve">. </w:t>
      </w:r>
      <w:r w:rsidR="00B17403" w:rsidRPr="007E4D29">
        <w:rPr>
          <w:rFonts w:eastAsiaTheme="minorEastAsia"/>
          <w:rtl/>
        </w:rPr>
        <w:t>وكون الأزمة الحالية جائحة يعزز التزام الدول هذا</w:t>
      </w:r>
      <w:r w:rsidR="00B17403" w:rsidRPr="007E4D29">
        <w:rPr>
          <w:rFonts w:eastAsiaTheme="minorEastAsia"/>
          <w:sz w:val="28"/>
          <w:vertAlign w:val="superscript"/>
          <w:rtl/>
        </w:rPr>
        <w:t>(</w:t>
      </w:r>
      <w:r w:rsidR="00B17403" w:rsidRPr="007E4D29">
        <w:rPr>
          <w:rFonts w:eastAsiaTheme="minorEastAsia" w:cs="Times New Roman"/>
          <w:position w:val="4"/>
          <w:vertAlign w:val="superscript"/>
        </w:rPr>
        <w:footnoteReference w:id="21"/>
      </w:r>
      <w:r w:rsidR="00B17403" w:rsidRPr="007E4D29">
        <w:rPr>
          <w:rFonts w:eastAsiaTheme="minorEastAsia"/>
          <w:sz w:val="28"/>
          <w:vertAlign w:val="superscript"/>
          <w:rtl/>
        </w:rPr>
        <w:t>)</w:t>
      </w:r>
      <w:r w:rsidR="00B17403" w:rsidRPr="007E4D29">
        <w:rPr>
          <w:rFonts w:eastAsiaTheme="minorEastAsia" w:hint="cs"/>
          <w:rtl/>
        </w:rPr>
        <w:t xml:space="preserve">. </w:t>
      </w:r>
      <w:r w:rsidR="00B17403" w:rsidRPr="007E4D29">
        <w:rPr>
          <w:rFonts w:eastAsiaTheme="minorEastAsia"/>
          <w:rtl/>
        </w:rPr>
        <w:t xml:space="preserve">ولذلك، على الدول أن توثّق تعاونها الدولي لكي تضمن في أقرب وقت ممكن الحصول على لقاحات لجائحة </w:t>
      </w:r>
      <w:proofErr w:type="spellStart"/>
      <w:r w:rsidR="00B17403" w:rsidRPr="007E4D29">
        <w:rPr>
          <w:rFonts w:eastAsiaTheme="minorEastAsia"/>
          <w:rtl/>
        </w:rPr>
        <w:t>كوفيد</w:t>
      </w:r>
      <w:proofErr w:type="spellEnd"/>
      <w:r w:rsidR="00B17403" w:rsidRPr="007E4D29">
        <w:rPr>
          <w:rFonts w:eastAsiaTheme="minorEastAsia"/>
          <w:rtl/>
        </w:rPr>
        <w:t>-</w:t>
      </w:r>
      <w:r w:rsidR="00B17403" w:rsidRPr="007E4D29">
        <w:rPr>
          <w:rFonts w:eastAsiaTheme="minorEastAsia"/>
          <w:szCs w:val="20"/>
          <w:rtl/>
        </w:rPr>
        <w:t>19</w:t>
      </w:r>
      <w:r w:rsidR="00B17403" w:rsidRPr="007E4D29">
        <w:rPr>
          <w:rFonts w:eastAsiaTheme="minorEastAsia"/>
          <w:rtl/>
        </w:rPr>
        <w:t xml:space="preserve"> على قدم المساواة في جميع أنحاء العالم، بما في ذلك لسكان أقل البلدان نموا</w:t>
      </w:r>
      <w:r w:rsidR="007C3B93">
        <w:rPr>
          <w:rFonts w:eastAsiaTheme="minorEastAsia" w:hint="cs"/>
          <w:rtl/>
        </w:rPr>
        <w:t>ً</w:t>
      </w:r>
      <w:r w:rsidR="00B17403" w:rsidRPr="007E4D29">
        <w:rPr>
          <w:rFonts w:eastAsiaTheme="minorEastAsia"/>
          <w:rtl/>
        </w:rPr>
        <w:t xml:space="preserve"> التي قد لا تتوفر لديها الموارد المالية اللازمة لضمان حصول شعوبها على اللقاحات. </w:t>
      </w:r>
    </w:p>
    <w:p w14:paraId="0B256F35" w14:textId="77777777" w:rsidR="00B17403" w:rsidRPr="007C3B93" w:rsidRDefault="001852C7" w:rsidP="007C3B93">
      <w:pPr>
        <w:pStyle w:val="SingleTxtGA"/>
        <w:spacing w:line="346" w:lineRule="exact"/>
        <w:rPr>
          <w:rFonts w:eastAsiaTheme="minorEastAsia" w:hint="cs"/>
          <w:spacing w:val="-2"/>
          <w:rtl/>
          <w:lang w:eastAsia="zh-TW"/>
        </w:rPr>
      </w:pPr>
      <w:r>
        <w:rPr>
          <w:rFonts w:eastAsiaTheme="minorEastAsia" w:hint="cs"/>
          <w:spacing w:val="-2"/>
          <w:szCs w:val="20"/>
          <w:rtl/>
        </w:rPr>
        <w:t>10</w:t>
      </w:r>
      <w:r w:rsidR="00B17403" w:rsidRPr="007C3B93">
        <w:rPr>
          <w:rFonts w:eastAsiaTheme="minorEastAsia" w:hint="cs"/>
          <w:spacing w:val="-2"/>
          <w:rtl/>
        </w:rPr>
        <w:t>-</w:t>
      </w:r>
      <w:r w:rsidR="00B17403" w:rsidRPr="007C3B93">
        <w:rPr>
          <w:rFonts w:eastAsiaTheme="minorEastAsia"/>
          <w:spacing w:val="-2"/>
          <w:rtl/>
        </w:rPr>
        <w:tab/>
      </w:r>
      <w:r w:rsidR="00B17403" w:rsidRPr="007C3B93">
        <w:rPr>
          <w:rFonts w:eastAsiaTheme="minorEastAsia"/>
          <w:spacing w:val="-2"/>
          <w:rtl/>
        </w:rPr>
        <w:t xml:space="preserve">ومن المفهوم أن تعطي الدول أولوية معينة لضمان حصول مواطنيها على اللقاحات قبل غيرهم. غير أن هذا الشاغل لا ينبغي أن يؤدي إلى شكل من أشكال الانعزالية الصحية أو إلى سباق بين الدول للحصول على لقاحات </w:t>
      </w:r>
      <w:proofErr w:type="spellStart"/>
      <w:r w:rsidR="00B17403" w:rsidRPr="007C3B93">
        <w:rPr>
          <w:rFonts w:eastAsiaTheme="minorEastAsia"/>
          <w:spacing w:val="-2"/>
          <w:rtl/>
        </w:rPr>
        <w:t>كوفيد</w:t>
      </w:r>
      <w:proofErr w:type="spellEnd"/>
      <w:r w:rsidR="00B17403" w:rsidRPr="007C3B93">
        <w:rPr>
          <w:rFonts w:eastAsiaTheme="minorEastAsia"/>
          <w:spacing w:val="-2"/>
          <w:rtl/>
        </w:rPr>
        <w:t>-</w:t>
      </w:r>
      <w:r w:rsidR="00B17403" w:rsidRPr="007C3B93">
        <w:rPr>
          <w:rFonts w:eastAsiaTheme="minorEastAsia"/>
          <w:spacing w:val="-2"/>
          <w:szCs w:val="20"/>
          <w:rtl/>
        </w:rPr>
        <w:t>19</w:t>
      </w:r>
      <w:r w:rsidR="00B17403" w:rsidRPr="007C3B93">
        <w:rPr>
          <w:rFonts w:eastAsiaTheme="minorEastAsia"/>
          <w:spacing w:val="-2"/>
          <w:rtl/>
        </w:rPr>
        <w:t>، حيث تتنافس بعض الدول، وخاصة الدول المتقدمة، مع دول أخرى لعقد صفقات مكلفة وغير شفافة مع شركات خاصة لتأمين اللقاحات لجميع مواطنيها أو معظمهم أوّلا</w:t>
      </w:r>
      <w:r w:rsidR="007E4D29" w:rsidRPr="007C3B93">
        <w:rPr>
          <w:rFonts w:eastAsiaTheme="minorEastAsia" w:hint="cs"/>
          <w:spacing w:val="-2"/>
          <w:rtl/>
        </w:rPr>
        <w:t>ً</w:t>
      </w:r>
      <w:r w:rsidR="00B17403" w:rsidRPr="007C3B93">
        <w:rPr>
          <w:rFonts w:eastAsiaTheme="minorEastAsia"/>
          <w:spacing w:val="-2"/>
          <w:rtl/>
        </w:rPr>
        <w:t>.</w:t>
      </w:r>
      <w:r w:rsidR="007C3B93">
        <w:rPr>
          <w:rFonts w:eastAsiaTheme="minorEastAsia" w:hint="cs"/>
          <w:spacing w:val="-2"/>
          <w:rtl/>
        </w:rPr>
        <w:t> </w:t>
      </w:r>
      <w:r w:rsidR="00B17403" w:rsidRPr="007C3B93">
        <w:rPr>
          <w:rFonts w:eastAsiaTheme="minorEastAsia"/>
          <w:spacing w:val="-2"/>
          <w:rtl/>
        </w:rPr>
        <w:t>وقد يؤدي هذا التنافس بين الدول إلى زيادة في سعر اللقاحات، بل قد ينشئ حالة احتكار مؤقت للحصول على اللقاحات الأولى المنتَجة لصالح بعض الدول المتقدمة، الأمر الذي يقوض، على الأقل مؤقتا</w:t>
      </w:r>
      <w:r w:rsidR="007C3B93">
        <w:rPr>
          <w:rFonts w:eastAsiaTheme="minorEastAsia" w:hint="cs"/>
          <w:spacing w:val="-2"/>
          <w:rtl/>
        </w:rPr>
        <w:t>ً</w:t>
      </w:r>
      <w:r w:rsidR="00B17403" w:rsidRPr="007C3B93">
        <w:rPr>
          <w:rFonts w:eastAsiaTheme="minorEastAsia"/>
          <w:spacing w:val="-2"/>
          <w:rtl/>
        </w:rPr>
        <w:t xml:space="preserve">، إمكانية ضمان بلدان أخرى، ولا سيما الدول النامية، حصول سكانها على لقاح. وهذا التنافس بين الدول على اللقاحات يفضي إلى نتائج عكسية من حيث انتهاج نهج صحي عالمي لأنه يجعل السيطرة على الجائحة أصعب وأطول مدة بكثير. وما دامت أجزاء كبيرة من سكان العالم لا يمكنها الوصول إلى تدابير التحكم في جائحة </w:t>
      </w:r>
      <w:proofErr w:type="spellStart"/>
      <w:r w:rsidR="00B17403" w:rsidRPr="007C3B93">
        <w:rPr>
          <w:rFonts w:eastAsiaTheme="minorEastAsia"/>
          <w:spacing w:val="-2"/>
          <w:rtl/>
        </w:rPr>
        <w:t>كوفيد</w:t>
      </w:r>
      <w:proofErr w:type="spellEnd"/>
      <w:r w:rsidR="00B17403" w:rsidRPr="007C3B93">
        <w:rPr>
          <w:rFonts w:eastAsiaTheme="minorEastAsia"/>
          <w:spacing w:val="-2"/>
          <w:rtl/>
        </w:rPr>
        <w:t>-</w:t>
      </w:r>
      <w:r w:rsidR="00B17403" w:rsidRPr="007C3B93">
        <w:rPr>
          <w:rFonts w:eastAsiaTheme="minorEastAsia"/>
          <w:spacing w:val="-2"/>
          <w:szCs w:val="20"/>
          <w:rtl/>
        </w:rPr>
        <w:t>19</w:t>
      </w:r>
      <w:r w:rsidR="00B17403" w:rsidRPr="007C3B93">
        <w:rPr>
          <w:rFonts w:eastAsiaTheme="minorEastAsia"/>
          <w:spacing w:val="-2"/>
          <w:rtl/>
        </w:rPr>
        <w:t xml:space="preserve"> والوقاية منها وعلاجها، وإلى لقاحاتها، فإن خطر الارتفاعات المفاجئة في حالات الإصابة بالجائحة يظل قائما</w:t>
      </w:r>
      <w:r w:rsidR="007C3B93">
        <w:rPr>
          <w:rFonts w:eastAsiaTheme="minorEastAsia" w:hint="cs"/>
          <w:spacing w:val="-2"/>
          <w:rtl/>
        </w:rPr>
        <w:t>ً</w:t>
      </w:r>
      <w:r w:rsidR="00B17403" w:rsidRPr="007C3B93">
        <w:rPr>
          <w:rFonts w:eastAsiaTheme="minorEastAsia"/>
          <w:spacing w:val="-2"/>
          <w:rtl/>
        </w:rPr>
        <w:t>. ويضاف إلى ذلك أن هذه المنافسة على اللقاح تتعارض مع التزامات الدول خارج الحدود الإقليمية بتفادي اتخاذ قرارات تحد من فرص الدول الأخرى في إعمال حقها في الصحة. وتعيق هذه المنافسة أيضاً وصول اللقاحات إلى من هم في أشد الحاجة إليها في أقل البلدان نموا</w:t>
      </w:r>
      <w:r w:rsidR="00B17403" w:rsidRPr="007C3B93">
        <w:rPr>
          <w:rFonts w:eastAsiaTheme="minorEastAsia" w:hint="cs"/>
          <w:spacing w:val="-2"/>
          <w:rtl/>
        </w:rPr>
        <w:t>ً</w:t>
      </w:r>
      <w:r w:rsidR="00B17403" w:rsidRPr="007C3B93">
        <w:rPr>
          <w:rFonts w:eastAsiaTheme="minorEastAsia"/>
          <w:spacing w:val="-2"/>
          <w:sz w:val="28"/>
          <w:vertAlign w:val="superscript"/>
          <w:rtl/>
        </w:rPr>
        <w:t>(</w:t>
      </w:r>
      <w:r w:rsidR="00B17403" w:rsidRPr="007C3B93">
        <w:rPr>
          <w:rFonts w:eastAsiaTheme="minorEastAsia" w:cs="Times New Roman"/>
          <w:spacing w:val="-2"/>
          <w:position w:val="4"/>
          <w:vertAlign w:val="superscript"/>
        </w:rPr>
        <w:footnoteReference w:id="22"/>
      </w:r>
      <w:r w:rsidR="00B17403" w:rsidRPr="007C3B93">
        <w:rPr>
          <w:rFonts w:eastAsiaTheme="minorEastAsia"/>
          <w:spacing w:val="-2"/>
          <w:sz w:val="28"/>
          <w:vertAlign w:val="superscript"/>
          <w:rtl/>
        </w:rPr>
        <w:t>)</w:t>
      </w:r>
      <w:r w:rsidR="00B17403" w:rsidRPr="007C3B93">
        <w:rPr>
          <w:rFonts w:eastAsiaTheme="minorEastAsia" w:hint="cs"/>
          <w:spacing w:val="-2"/>
          <w:rtl/>
        </w:rPr>
        <w:t xml:space="preserve">. </w:t>
      </w:r>
      <w:r w:rsidR="00B17403" w:rsidRPr="007C3B93">
        <w:rPr>
          <w:rFonts w:eastAsiaTheme="minorEastAsia"/>
          <w:spacing w:val="-2"/>
          <w:rtl/>
        </w:rPr>
        <w:t>والطبيعة السرية لبعض الصفقات تتعارض أيضاً مع واجب الدول القاضي بإنشاء آليات شفافة تسمح بالمساءلة والمراقبة العامة للقرارات المتعلقة بتخصيص الموارد وتطبيق التكنولوجيات من أجل إعمال الحق في الصحة ومشاركة المواطنين في تلك القرارات</w:t>
      </w:r>
      <w:r w:rsidR="00B17403" w:rsidRPr="007C3B93">
        <w:rPr>
          <w:rFonts w:eastAsiaTheme="minorEastAsia"/>
          <w:spacing w:val="-2"/>
          <w:sz w:val="28"/>
          <w:vertAlign w:val="superscript"/>
          <w:rtl/>
        </w:rPr>
        <w:t>(</w:t>
      </w:r>
      <w:r w:rsidR="00B17403" w:rsidRPr="007C3B93">
        <w:rPr>
          <w:rFonts w:eastAsiaTheme="minorEastAsia" w:cs="Times New Roman"/>
          <w:spacing w:val="-2"/>
          <w:position w:val="4"/>
          <w:vertAlign w:val="superscript"/>
        </w:rPr>
        <w:footnoteReference w:id="23"/>
      </w:r>
      <w:r w:rsidR="00B17403" w:rsidRPr="007C3B93">
        <w:rPr>
          <w:rFonts w:eastAsiaTheme="minorEastAsia"/>
          <w:spacing w:val="-2"/>
          <w:sz w:val="28"/>
          <w:vertAlign w:val="superscript"/>
          <w:rtl/>
        </w:rPr>
        <w:t>)</w:t>
      </w:r>
      <w:r w:rsidR="00B17403" w:rsidRPr="007C3B93">
        <w:rPr>
          <w:rFonts w:eastAsiaTheme="minorEastAsia" w:hint="cs"/>
          <w:spacing w:val="-2"/>
          <w:rtl/>
          <w:lang w:eastAsia="zh-TW"/>
        </w:rPr>
        <w:t>.</w:t>
      </w:r>
    </w:p>
    <w:p w14:paraId="3627F4CF" w14:textId="77777777" w:rsidR="00B17403" w:rsidRPr="007E4D29" w:rsidRDefault="001852C7" w:rsidP="007C3B93">
      <w:pPr>
        <w:pStyle w:val="SingleTxtGA"/>
        <w:spacing w:line="346" w:lineRule="exact"/>
        <w:rPr>
          <w:rFonts w:eastAsiaTheme="minorEastAsia"/>
          <w:lang w:val="ar-SA" w:eastAsia="zh-TW" w:bidi="en-GB"/>
        </w:rPr>
      </w:pPr>
      <w:r>
        <w:rPr>
          <w:rFonts w:eastAsiaTheme="minorEastAsia" w:hint="cs"/>
          <w:szCs w:val="20"/>
          <w:rtl/>
        </w:rPr>
        <w:t>11</w:t>
      </w:r>
      <w:r w:rsidR="00B17403" w:rsidRPr="007E4D29">
        <w:rPr>
          <w:rFonts w:eastAsiaTheme="minorEastAsia" w:hint="cs"/>
          <w:rtl/>
        </w:rPr>
        <w:t>-</w:t>
      </w:r>
      <w:r w:rsidR="00B17403" w:rsidRPr="007E4D29">
        <w:rPr>
          <w:rFonts w:eastAsiaTheme="minorEastAsia"/>
          <w:rtl/>
        </w:rPr>
        <w:tab/>
      </w:r>
      <w:r w:rsidR="00B17403" w:rsidRPr="007E4D29">
        <w:rPr>
          <w:rFonts w:eastAsiaTheme="minorEastAsia"/>
          <w:rtl/>
        </w:rPr>
        <w:t>وبدلاً من السعي إلى الانعزالية الصحية والسباق للحصول على لقاح، ينبغي للدول أن تفي بالتزاماتها بالمساهمة في التمتع بجميع حقوق الإنسان، بما في ذلك الحق في الصحة، على الصعيد العالمي</w:t>
      </w:r>
      <w:r w:rsidR="00B17403" w:rsidRPr="007E4D29">
        <w:rPr>
          <w:rFonts w:eastAsiaTheme="minorEastAsia"/>
          <w:sz w:val="28"/>
          <w:vertAlign w:val="superscript"/>
          <w:rtl/>
        </w:rPr>
        <w:t>(</w:t>
      </w:r>
      <w:r w:rsidR="00B17403" w:rsidRPr="007E4D29">
        <w:rPr>
          <w:rFonts w:eastAsiaTheme="minorEastAsia" w:cs="Times New Roman"/>
          <w:position w:val="4"/>
          <w:vertAlign w:val="superscript"/>
        </w:rPr>
        <w:footnoteReference w:id="24"/>
      </w:r>
      <w:r w:rsidR="00B17403" w:rsidRPr="007E4D29">
        <w:rPr>
          <w:rFonts w:eastAsiaTheme="minorEastAsia"/>
          <w:sz w:val="28"/>
          <w:vertAlign w:val="superscript"/>
          <w:rtl/>
        </w:rPr>
        <w:t>)</w:t>
      </w:r>
      <w:r w:rsidR="00B17403" w:rsidRPr="007E4D29">
        <w:rPr>
          <w:rFonts w:eastAsiaTheme="minorEastAsia" w:hint="cs"/>
          <w:rtl/>
        </w:rPr>
        <w:t xml:space="preserve">. </w:t>
      </w:r>
      <w:r w:rsidR="00B17403" w:rsidRPr="007E4D29">
        <w:rPr>
          <w:rFonts w:eastAsiaTheme="minorEastAsia"/>
          <w:rtl/>
        </w:rPr>
        <w:t>وينبغي تنظيم ودعم توزيع اللقاحات وترتيب أولويات الحصول عليها عن طريق التعاون والمساعدة على الصعيد الدولي، مما</w:t>
      </w:r>
      <w:r w:rsidR="00B17403" w:rsidRPr="007E4D29">
        <w:rPr>
          <w:rFonts w:eastAsiaTheme="minorEastAsia" w:hint="cs"/>
          <w:rtl/>
        </w:rPr>
        <w:t xml:space="preserve"> </w:t>
      </w:r>
      <w:r w:rsidR="00B17403" w:rsidRPr="007E4D29">
        <w:rPr>
          <w:rFonts w:eastAsiaTheme="minorEastAsia"/>
          <w:rtl/>
        </w:rPr>
        <w:t>يشمل تقاسم مزايا التقدم العلمي وتطبيقاته</w:t>
      </w:r>
      <w:r w:rsidR="00B17403" w:rsidRPr="007E4D29">
        <w:rPr>
          <w:rFonts w:eastAsiaTheme="minorEastAsia"/>
          <w:sz w:val="28"/>
          <w:vertAlign w:val="superscript"/>
          <w:rtl/>
        </w:rPr>
        <w:t>(</w:t>
      </w:r>
      <w:r w:rsidR="00B17403" w:rsidRPr="007E4D29">
        <w:rPr>
          <w:rFonts w:eastAsiaTheme="minorEastAsia" w:cs="Times New Roman"/>
          <w:position w:val="4"/>
          <w:vertAlign w:val="superscript"/>
        </w:rPr>
        <w:footnoteReference w:id="25"/>
      </w:r>
      <w:r w:rsidR="00B17403" w:rsidRPr="007E4D29">
        <w:rPr>
          <w:rFonts w:eastAsiaTheme="minorEastAsia"/>
          <w:sz w:val="28"/>
          <w:vertAlign w:val="superscript"/>
          <w:rtl/>
        </w:rPr>
        <w:t>)</w:t>
      </w:r>
      <w:r w:rsidR="00B17403" w:rsidRPr="007E4D29">
        <w:rPr>
          <w:rFonts w:eastAsiaTheme="minorEastAsia" w:hint="cs"/>
          <w:rtl/>
        </w:rPr>
        <w:t xml:space="preserve">. </w:t>
      </w:r>
      <w:r w:rsidR="00B17403" w:rsidRPr="007E4D29">
        <w:rPr>
          <w:rFonts w:eastAsiaTheme="minorEastAsia"/>
          <w:rtl/>
        </w:rPr>
        <w:t xml:space="preserve">لذلك ينبغي للدول الأطراف أن ترسم استراتيجيات وتنشئ آليات لتوزيع عادل للتكاليف المالية المرتبطة بالبحوث المتصلة بلقاحات </w:t>
      </w:r>
      <w:proofErr w:type="spellStart"/>
      <w:r w:rsidR="00B17403" w:rsidRPr="007E4D29">
        <w:rPr>
          <w:rFonts w:eastAsiaTheme="minorEastAsia"/>
          <w:rtl/>
        </w:rPr>
        <w:t>كوفيد</w:t>
      </w:r>
      <w:proofErr w:type="spellEnd"/>
      <w:r w:rsidR="00B17403" w:rsidRPr="007E4D29">
        <w:rPr>
          <w:rFonts w:eastAsiaTheme="minorEastAsia"/>
          <w:rtl/>
        </w:rPr>
        <w:t>-</w:t>
      </w:r>
      <w:r w:rsidR="00B17403" w:rsidRPr="007E4D29">
        <w:rPr>
          <w:rFonts w:eastAsiaTheme="minorEastAsia"/>
          <w:szCs w:val="20"/>
          <w:rtl/>
        </w:rPr>
        <w:t>19</w:t>
      </w:r>
      <w:r w:rsidR="00B17403" w:rsidRPr="007E4D29">
        <w:rPr>
          <w:rFonts w:eastAsiaTheme="minorEastAsia"/>
          <w:rtl/>
        </w:rPr>
        <w:t xml:space="preserve"> وبإنتاجها وتوزيعها، بطرق منها تقليص عبء الدين على البلدان التي تحتاجه. وينبغي لها أيضاً أن تعتمد آليات شفافة وتشاركية تكفل استناد ترتيب الأولويات في توزيع اللقاحات على الصعيد العالمي</w:t>
      </w:r>
      <w:r w:rsidR="007C3B93">
        <w:rPr>
          <w:rFonts w:eastAsiaTheme="minorEastAsia" w:hint="cs"/>
          <w:rtl/>
        </w:rPr>
        <w:t xml:space="preserve"> </w:t>
      </w:r>
      <w:r w:rsidR="00B17403" w:rsidRPr="007E4D29">
        <w:rPr>
          <w:rFonts w:eastAsiaTheme="minorEastAsia"/>
          <w:rtl/>
        </w:rPr>
        <w:t>-</w:t>
      </w:r>
      <w:r w:rsidR="007C3B93">
        <w:rPr>
          <w:rFonts w:eastAsiaTheme="minorEastAsia" w:hint="cs"/>
          <w:rtl/>
        </w:rPr>
        <w:t xml:space="preserve"> </w:t>
      </w:r>
      <w:r w:rsidR="00B17403" w:rsidRPr="007E4D29">
        <w:rPr>
          <w:rFonts w:eastAsiaTheme="minorEastAsia"/>
          <w:rtl/>
        </w:rPr>
        <w:t>وكذلك على الصعيد الوطني</w:t>
      </w:r>
      <w:r w:rsidR="00B17403" w:rsidRPr="007E4D29">
        <w:rPr>
          <w:rFonts w:eastAsiaTheme="minorEastAsia" w:hint="cs"/>
          <w:rtl/>
        </w:rPr>
        <w:t xml:space="preserve"> </w:t>
      </w:r>
      <w:r w:rsidR="00B17403" w:rsidRPr="007E4D29">
        <w:rPr>
          <w:rFonts w:eastAsiaTheme="minorEastAsia"/>
          <w:rtl/>
        </w:rPr>
        <w:t xml:space="preserve">- إلى الاحتياجات الطبية واعتبارات الصحة العامة. ويمكن تنظيم هذا الدعم باستخدام مرفق </w:t>
      </w:r>
      <w:proofErr w:type="spellStart"/>
      <w:r w:rsidR="00B17403" w:rsidRPr="007E4D29">
        <w:rPr>
          <w:rFonts w:eastAsiaTheme="minorEastAsia"/>
          <w:rtl/>
        </w:rPr>
        <w:t>كوفاكس</w:t>
      </w:r>
      <w:proofErr w:type="spellEnd"/>
      <w:r w:rsidR="00B17403" w:rsidRPr="007E4D29">
        <w:rPr>
          <w:rFonts w:eastAsiaTheme="minorEastAsia"/>
          <w:rtl/>
        </w:rPr>
        <w:t xml:space="preserve"> لإتاحة اللقاحات على الصعيد العالمي الذي تدعمه منظمة الصحة العالمية. </w:t>
      </w:r>
    </w:p>
    <w:p w14:paraId="35E777A6" w14:textId="77777777" w:rsidR="00B17403" w:rsidRPr="007E4D29" w:rsidRDefault="001852C7" w:rsidP="00B17403">
      <w:pPr>
        <w:pStyle w:val="SingleTxtGA"/>
        <w:rPr>
          <w:rFonts w:eastAsiaTheme="minorEastAsia"/>
          <w:szCs w:val="20"/>
          <w:lang w:eastAsia="zh-TW" w:bidi="en-GB"/>
        </w:rPr>
      </w:pPr>
      <w:r>
        <w:rPr>
          <w:rFonts w:eastAsiaTheme="minorEastAsia" w:hint="cs"/>
          <w:szCs w:val="20"/>
          <w:rtl/>
        </w:rPr>
        <w:t>12</w:t>
      </w:r>
      <w:r w:rsidR="00B17403" w:rsidRPr="007E4D29">
        <w:rPr>
          <w:rFonts w:eastAsiaTheme="minorEastAsia" w:hint="cs"/>
          <w:rtl/>
        </w:rPr>
        <w:t>-</w:t>
      </w:r>
      <w:r w:rsidR="00B17403" w:rsidRPr="007E4D29">
        <w:rPr>
          <w:rFonts w:eastAsiaTheme="minorEastAsia"/>
          <w:rtl/>
        </w:rPr>
        <w:tab/>
      </w:r>
      <w:r w:rsidR="00B17403" w:rsidRPr="007E4D29">
        <w:rPr>
          <w:rFonts w:eastAsiaTheme="minorEastAsia"/>
          <w:rtl/>
        </w:rPr>
        <w:t>وأخيرا</w:t>
      </w:r>
      <w:r w:rsidR="00B17403" w:rsidRPr="007E4D29">
        <w:rPr>
          <w:rFonts w:eastAsiaTheme="minorEastAsia" w:hint="cs"/>
          <w:rtl/>
        </w:rPr>
        <w:t>ً</w:t>
      </w:r>
      <w:r w:rsidR="00B17403" w:rsidRPr="007E4D29">
        <w:rPr>
          <w:rFonts w:eastAsiaTheme="minorEastAsia"/>
          <w:rtl/>
        </w:rPr>
        <w:t>، على الرغم من أن هذا البيان يركز أساسا</w:t>
      </w:r>
      <w:r w:rsidR="00B17403" w:rsidRPr="007E4D29">
        <w:rPr>
          <w:rFonts w:eastAsiaTheme="minorEastAsia" w:hint="cs"/>
          <w:rtl/>
        </w:rPr>
        <w:t>ً</w:t>
      </w:r>
      <w:r w:rsidR="00B17403" w:rsidRPr="007E4D29">
        <w:rPr>
          <w:rFonts w:eastAsiaTheme="minorEastAsia"/>
          <w:rtl/>
        </w:rPr>
        <w:t xml:space="preserve"> على إتاحة لقاحات لجائحة </w:t>
      </w:r>
      <w:proofErr w:type="spellStart"/>
      <w:r w:rsidR="00B17403" w:rsidRPr="007E4D29">
        <w:rPr>
          <w:rFonts w:eastAsiaTheme="minorEastAsia"/>
          <w:rtl/>
        </w:rPr>
        <w:t>كوفيد</w:t>
      </w:r>
      <w:proofErr w:type="spellEnd"/>
      <w:r w:rsidR="00B17403" w:rsidRPr="007E4D29">
        <w:rPr>
          <w:rFonts w:eastAsiaTheme="minorEastAsia"/>
          <w:rtl/>
        </w:rPr>
        <w:t>-</w:t>
      </w:r>
      <w:r w:rsidR="00B17403" w:rsidRPr="007E4D29">
        <w:rPr>
          <w:rFonts w:eastAsiaTheme="minorEastAsia"/>
          <w:szCs w:val="20"/>
          <w:rtl/>
        </w:rPr>
        <w:t>19</w:t>
      </w:r>
      <w:r w:rsidR="00B17403" w:rsidRPr="007E4D29">
        <w:rPr>
          <w:rFonts w:eastAsiaTheme="minorEastAsia"/>
          <w:rtl/>
        </w:rPr>
        <w:t xml:space="preserve"> للجميع على قدم المساواة، فإن اللجنة ترى أن اعتباراته الرئيسَة تتصل، مع تغيير ما يلزم تغييره، بالتزامات الدول بأن تكفل أيضا</w:t>
      </w:r>
      <w:r w:rsidR="007C3B93">
        <w:rPr>
          <w:rFonts w:eastAsiaTheme="minorEastAsia" w:hint="cs"/>
          <w:rtl/>
        </w:rPr>
        <w:t>ً</w:t>
      </w:r>
      <w:r w:rsidR="00B17403" w:rsidRPr="007E4D29">
        <w:rPr>
          <w:rFonts w:eastAsiaTheme="minorEastAsia"/>
          <w:rtl/>
        </w:rPr>
        <w:t xml:space="preserve"> حصول الجميع على قدم المساواة على علاج لجائحة </w:t>
      </w:r>
      <w:proofErr w:type="spellStart"/>
      <w:r w:rsidR="00B17403" w:rsidRPr="007E4D29">
        <w:rPr>
          <w:rFonts w:eastAsiaTheme="minorEastAsia"/>
          <w:rtl/>
        </w:rPr>
        <w:t>كوفيد</w:t>
      </w:r>
      <w:proofErr w:type="spellEnd"/>
      <w:r w:rsidR="00B17403" w:rsidRPr="007E4D29">
        <w:rPr>
          <w:rFonts w:eastAsiaTheme="minorEastAsia"/>
          <w:rtl/>
        </w:rPr>
        <w:t>-</w:t>
      </w:r>
      <w:r w:rsidR="00B17403" w:rsidRPr="007E4D29">
        <w:rPr>
          <w:rFonts w:eastAsiaTheme="minorEastAsia"/>
          <w:szCs w:val="20"/>
          <w:rtl/>
        </w:rPr>
        <w:t>19</w:t>
      </w:r>
      <w:r w:rsidR="00B17403" w:rsidRPr="007E4D29">
        <w:rPr>
          <w:rFonts w:eastAsiaTheme="minorEastAsia"/>
          <w:rtl/>
        </w:rPr>
        <w:t xml:space="preserve">. وإضافة إلى ذلك، تذكّر اللجنة الدول الأطراف بأن أي تدابير تتخذ للحد من الحقوق الاقتصادية والاجتماعية والثقافية بسبب الجائحة يجب أن تمتثل الشروط المنصوص عليها في المادة </w:t>
      </w:r>
      <w:r w:rsidR="00B17403" w:rsidRPr="007E4D29">
        <w:rPr>
          <w:rFonts w:eastAsiaTheme="minorEastAsia"/>
          <w:szCs w:val="20"/>
          <w:rtl/>
        </w:rPr>
        <w:t>4</w:t>
      </w:r>
      <w:r w:rsidR="00B17403" w:rsidRPr="007E4D29">
        <w:rPr>
          <w:rFonts w:eastAsiaTheme="minorEastAsia"/>
          <w:rtl/>
        </w:rPr>
        <w:t xml:space="preserve"> من العهد. وتذكّر في هذا الصدد ببيانها الصادر في </w:t>
      </w:r>
      <w:r w:rsidR="00B17403" w:rsidRPr="007E4D29">
        <w:rPr>
          <w:rFonts w:eastAsiaTheme="minorEastAsia"/>
          <w:szCs w:val="20"/>
          <w:rtl/>
        </w:rPr>
        <w:t>6</w:t>
      </w:r>
      <w:r w:rsidR="00B17403" w:rsidRPr="007E4D29">
        <w:rPr>
          <w:rFonts w:eastAsiaTheme="minorEastAsia"/>
          <w:rtl/>
        </w:rPr>
        <w:t xml:space="preserve"> نيسان/أبريل </w:t>
      </w:r>
      <w:r w:rsidR="00B17403" w:rsidRPr="007E4D29">
        <w:rPr>
          <w:rFonts w:eastAsiaTheme="minorEastAsia"/>
          <w:szCs w:val="20"/>
          <w:rtl/>
        </w:rPr>
        <w:t>2020</w:t>
      </w:r>
      <w:r w:rsidR="00B17403" w:rsidRPr="007E4D29">
        <w:rPr>
          <w:rFonts w:eastAsiaTheme="minorEastAsia"/>
          <w:rtl/>
        </w:rPr>
        <w:t xml:space="preserve"> بشأن الجائحة والحقوق الاقتصادية والاجتماعية والثقافية </w:t>
      </w:r>
      <w:r w:rsidR="00B17403" w:rsidRPr="007E4D29">
        <w:rPr>
          <w:rFonts w:eastAsiaTheme="minorEastAsia"/>
          <w:szCs w:val="20"/>
          <w:rtl/>
        </w:rPr>
        <w:t>(</w:t>
      </w:r>
      <w:r w:rsidR="00B17403" w:rsidRPr="007E4D29">
        <w:rPr>
          <w:rFonts w:eastAsiaTheme="minorEastAsia" w:cs="Times New Roman"/>
          <w:szCs w:val="20"/>
        </w:rPr>
        <w:t>E/</w:t>
      </w:r>
      <w:proofErr w:type="spellStart"/>
      <w:r w:rsidR="00B17403" w:rsidRPr="007E4D29">
        <w:rPr>
          <w:rFonts w:eastAsiaTheme="minorEastAsia" w:cs="Times New Roman"/>
          <w:szCs w:val="20"/>
        </w:rPr>
        <w:t>C.12</w:t>
      </w:r>
      <w:proofErr w:type="spellEnd"/>
      <w:r w:rsidR="00B17403" w:rsidRPr="007E4D29">
        <w:rPr>
          <w:rFonts w:eastAsiaTheme="minorEastAsia" w:cs="Times New Roman"/>
          <w:szCs w:val="20"/>
        </w:rPr>
        <w:t>/2020/1</w:t>
      </w:r>
      <w:r w:rsidR="00B17403" w:rsidRPr="007E4D29">
        <w:rPr>
          <w:rFonts w:eastAsiaTheme="minorEastAsia"/>
          <w:szCs w:val="20"/>
          <w:rtl/>
        </w:rPr>
        <w:t>)</w:t>
      </w:r>
      <w:r w:rsidR="00B17403" w:rsidRPr="007E4D29">
        <w:rPr>
          <w:rFonts w:eastAsiaTheme="minorEastAsia"/>
          <w:rtl/>
        </w:rPr>
        <w:t>.</w:t>
      </w:r>
    </w:p>
    <w:p w14:paraId="0BE5FBF7" w14:textId="77777777" w:rsidR="00B17403" w:rsidRPr="00B17403" w:rsidRDefault="00B17403" w:rsidP="00B17403">
      <w:pPr>
        <w:pStyle w:val="SingleTxtGA"/>
        <w:jc w:val="center"/>
        <w:rPr>
          <w:u w:val="single"/>
          <w:rtl/>
        </w:rPr>
      </w:pPr>
      <w:r>
        <w:rPr>
          <w:u w:val="single"/>
          <w:rtl/>
        </w:rPr>
        <w:tab/>
      </w:r>
      <w:r>
        <w:rPr>
          <w:u w:val="single"/>
          <w:rtl/>
        </w:rPr>
        <w:tab/>
      </w:r>
      <w:r>
        <w:rPr>
          <w:u w:val="single"/>
          <w:rtl/>
        </w:rPr>
        <w:tab/>
      </w:r>
    </w:p>
    <w:sectPr w:rsidR="00B17403" w:rsidRPr="00B17403" w:rsidSect="00EC3F02">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7AF2F" w14:textId="77777777" w:rsidR="00AB1CA5" w:rsidRPr="002901D9" w:rsidRDefault="00AB1CA5" w:rsidP="002901D9">
      <w:pPr>
        <w:spacing w:after="60" w:line="240" w:lineRule="auto"/>
        <w:rPr>
          <w:i/>
          <w:iCs/>
        </w:rPr>
      </w:pPr>
      <w:r>
        <w:rPr>
          <w:rFonts w:hint="cs"/>
          <w:i/>
          <w:iCs/>
          <w:rtl/>
        </w:rPr>
        <w:t>الحواشي</w:t>
      </w:r>
    </w:p>
  </w:endnote>
  <w:endnote w:type="continuationSeparator" w:id="0">
    <w:p w14:paraId="55216E6F" w14:textId="77777777" w:rsidR="00AB1CA5" w:rsidRDefault="00AB1CA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04BB0" w14:textId="77777777" w:rsidR="00EC3F02" w:rsidRPr="00EC3F02" w:rsidRDefault="00EC3F02" w:rsidP="00EC3F02">
    <w:pPr>
      <w:pStyle w:val="Footer"/>
      <w:tabs>
        <w:tab w:val="right" w:pos="9638"/>
      </w:tabs>
      <w:rPr>
        <w:b/>
        <w:sz w:val="18"/>
        <w:lang w:val="en-US"/>
      </w:rPr>
    </w:pPr>
    <w:r>
      <w:rPr>
        <w:lang w:val="en-US"/>
      </w:rPr>
      <w:t>GE.20-17009</w:t>
    </w:r>
    <w:r>
      <w:rPr>
        <w:lang w:val="en-US"/>
      </w:rPr>
      <w:tab/>
    </w:r>
    <w:r w:rsidRPr="00EC3F02">
      <w:rPr>
        <w:b/>
        <w:sz w:val="18"/>
        <w:lang w:val="en-US"/>
      </w:rPr>
      <w:fldChar w:fldCharType="begin"/>
    </w:r>
    <w:r w:rsidRPr="00EC3F02">
      <w:rPr>
        <w:b/>
        <w:sz w:val="18"/>
        <w:lang w:val="en-US"/>
      </w:rPr>
      <w:instrText xml:space="preserve"> PAGE  \* MERGEFORMAT </w:instrText>
    </w:r>
    <w:r w:rsidRPr="00EC3F02">
      <w:rPr>
        <w:b/>
        <w:sz w:val="18"/>
        <w:lang w:val="en-US"/>
      </w:rPr>
      <w:fldChar w:fldCharType="separate"/>
    </w:r>
    <w:r w:rsidRPr="00EC3F02">
      <w:rPr>
        <w:b/>
        <w:noProof/>
        <w:sz w:val="18"/>
        <w:lang w:val="en-US"/>
      </w:rPr>
      <w:t>2</w:t>
    </w:r>
    <w:r w:rsidRPr="00EC3F02">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8CCFB" w14:textId="77777777" w:rsidR="006959B0" w:rsidRPr="00EC3F02" w:rsidRDefault="00EC3F02" w:rsidP="00EC3F02">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GE.20-17009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952A3" w14:textId="77777777" w:rsidR="00FD4BC9" w:rsidRPr="00EC3F02" w:rsidRDefault="00EC3F02" w:rsidP="00EC3F02">
    <w:pPr>
      <w:pStyle w:val="Footer"/>
      <w:spacing w:before="600"/>
      <w:ind w:left="567"/>
      <w:jc w:val="right"/>
      <w:rPr>
        <w:sz w:val="20"/>
        <w:lang w:val="en-US"/>
      </w:rPr>
    </w:pPr>
    <w:r>
      <w:rPr>
        <w:sz w:val="20"/>
        <w:lang w:val="en-US"/>
      </w:rPr>
      <w:t>GE.</w:t>
    </w:r>
    <w:r w:rsidR="00BA1F0F">
      <w:rPr>
        <w:noProof/>
      </w:rPr>
      <w:drawing>
        <wp:anchor distT="0" distB="0" distL="114300" distR="114300" simplePos="0" relativeHeight="251658240" behindDoc="1" locked="1" layoutInCell="0" allowOverlap="1" wp14:anchorId="2BB7F670" wp14:editId="4B75F177">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20-17009 (A)</w:t>
    </w:r>
    <w:r>
      <w:rPr>
        <w:noProof/>
        <w:sz w:val="20"/>
        <w:lang w:val="en-US"/>
      </w:rPr>
      <w:drawing>
        <wp:anchor distT="0" distB="0" distL="114300" distR="114300" simplePos="0" relativeHeight="251659264" behindDoc="0" locked="0" layoutInCell="1" allowOverlap="1" wp14:anchorId="06BD46B7" wp14:editId="264E7DD9">
          <wp:simplePos x="0" y="0"/>
          <wp:positionH relativeFrom="margin">
            <wp:posOffset>0</wp:posOffset>
          </wp:positionH>
          <wp:positionV relativeFrom="margin">
            <wp:posOffset>8891905</wp:posOffset>
          </wp:positionV>
          <wp:extent cx="561975" cy="561975"/>
          <wp:effectExtent l="0" t="0" r="9525" b="9525"/>
          <wp:wrapSquare wrapText="bothSides"/>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F754A" w14:textId="77777777" w:rsidR="00AB1CA5" w:rsidRPr="0054762C" w:rsidRDefault="00AB1CA5" w:rsidP="000E524A">
      <w:pPr>
        <w:pStyle w:val="Footer"/>
        <w:bidi/>
        <w:spacing w:after="80" w:line="200" w:lineRule="exact"/>
        <w:ind w:left="680"/>
      </w:pPr>
      <w:r>
        <w:rPr>
          <w:rtl/>
        </w:rPr>
        <w:t>__________</w:t>
      </w:r>
    </w:p>
  </w:footnote>
  <w:footnote w:type="continuationSeparator" w:id="0">
    <w:p w14:paraId="0F5D5ECF" w14:textId="77777777" w:rsidR="00AB1CA5" w:rsidRDefault="00AB1CA5" w:rsidP="00656392">
      <w:pPr>
        <w:spacing w:line="240" w:lineRule="auto"/>
      </w:pPr>
      <w:r>
        <w:continuationSeparator/>
      </w:r>
    </w:p>
  </w:footnote>
  <w:footnote w:id="1">
    <w:p w14:paraId="2CF0F422" w14:textId="77777777" w:rsidR="00B17403" w:rsidRPr="00B17403" w:rsidRDefault="00B17403" w:rsidP="00B17403">
      <w:pPr>
        <w:pStyle w:val="FootnoteText1"/>
        <w:rPr>
          <w:lang w:val="ar-SA" w:eastAsia="zh-TW" w:bidi="en-GB"/>
        </w:rPr>
      </w:pPr>
      <w:r w:rsidRPr="00B17403">
        <w:rPr>
          <w:rFonts w:eastAsiaTheme="minorEastAsia"/>
          <w:szCs w:val="24"/>
        </w:rPr>
        <w:t>*</w:t>
      </w:r>
      <w:r w:rsidRPr="00B17403">
        <w:rPr>
          <w:rFonts w:eastAsiaTheme="minorEastAsia"/>
          <w:szCs w:val="24"/>
          <w:rtl/>
        </w:rPr>
        <w:tab/>
        <w:t xml:space="preserve">اعتمدته اللجنة بين دورتين بتاريخ </w:t>
      </w:r>
      <w:r w:rsidRPr="00B17403">
        <w:rPr>
          <w:rFonts w:eastAsiaTheme="minorEastAsia"/>
          <w:szCs w:val="18"/>
          <w:rtl/>
        </w:rPr>
        <w:t>27</w:t>
      </w:r>
      <w:r w:rsidRPr="00B17403">
        <w:rPr>
          <w:rFonts w:eastAsiaTheme="minorEastAsia"/>
          <w:szCs w:val="24"/>
          <w:rtl/>
        </w:rPr>
        <w:t xml:space="preserve"> تشرين الثاني/نوفمبر </w:t>
      </w:r>
      <w:r w:rsidRPr="00B17403">
        <w:rPr>
          <w:rFonts w:eastAsiaTheme="minorEastAsia"/>
          <w:szCs w:val="18"/>
          <w:rtl/>
        </w:rPr>
        <w:t>2020</w:t>
      </w:r>
      <w:r w:rsidRPr="00B17403">
        <w:rPr>
          <w:rFonts w:eastAsiaTheme="minorEastAsia"/>
          <w:szCs w:val="24"/>
          <w:rtl/>
        </w:rPr>
        <w:t>.</w:t>
      </w:r>
    </w:p>
  </w:footnote>
  <w:footnote w:id="2">
    <w:p w14:paraId="32D279DE" w14:textId="77777777" w:rsidR="00B17403" w:rsidRPr="00B17403" w:rsidRDefault="00B17403" w:rsidP="00B17403">
      <w:pPr>
        <w:pStyle w:val="FootnoteText1"/>
        <w:rPr>
          <w:lang w:val="ar-SA" w:eastAsia="zh-TW" w:bidi="en-GB"/>
        </w:rPr>
      </w:pPr>
      <w:r w:rsidRPr="00B17403">
        <w:rPr>
          <w:rFonts w:eastAsiaTheme="minorEastAsia"/>
          <w:szCs w:val="24"/>
          <w:rtl/>
        </w:rPr>
        <w:t>(</w:t>
      </w:r>
      <w:r w:rsidRPr="00B17403">
        <w:rPr>
          <w:rStyle w:val="FootnoteReference"/>
          <w:rFonts w:ascii="Times New Roman" w:eastAsiaTheme="minorEastAsia" w:hAnsi="Times New Roman" w:cs="Times New Roman" w:hint="eastAsia"/>
          <w:b w:val="0"/>
          <w:szCs w:val="24"/>
          <w:vertAlign w:val="baseline"/>
        </w:rPr>
        <w:footnoteRef/>
      </w:r>
      <w:r w:rsidRPr="00B17403">
        <w:rPr>
          <w:rFonts w:eastAsiaTheme="minorEastAsia"/>
          <w:szCs w:val="24"/>
          <w:rtl/>
        </w:rPr>
        <w:t>)</w:t>
      </w:r>
      <w:r w:rsidRPr="00B17403">
        <w:rPr>
          <w:rFonts w:eastAsiaTheme="minorEastAsia"/>
          <w:szCs w:val="24"/>
          <w:rtl/>
        </w:rPr>
        <w:tab/>
        <w:t xml:space="preserve">انظر(ي) منظمة الصحة العالمية، </w:t>
      </w:r>
      <w:r w:rsidRPr="00B17403">
        <w:rPr>
          <w:rFonts w:eastAsiaTheme="minorEastAsia"/>
          <w:szCs w:val="24"/>
        </w:rPr>
        <w:t>“Relevant WHO technical documents for COVID-</w:t>
      </w:r>
      <w:r w:rsidRPr="00B17403">
        <w:rPr>
          <w:rFonts w:eastAsiaTheme="minorEastAsia"/>
          <w:szCs w:val="18"/>
        </w:rPr>
        <w:t>19</w:t>
      </w:r>
      <w:r w:rsidRPr="00B17403">
        <w:rPr>
          <w:rFonts w:eastAsiaTheme="minorEastAsia"/>
          <w:szCs w:val="24"/>
        </w:rPr>
        <w:t xml:space="preserve"> vaccines and other biologicals”, </w:t>
      </w:r>
      <w:r w:rsidRPr="00B17403">
        <w:rPr>
          <w:rFonts w:eastAsiaTheme="minorEastAsia"/>
          <w:szCs w:val="18"/>
        </w:rPr>
        <w:t>25</w:t>
      </w:r>
      <w:r w:rsidRPr="00B17403">
        <w:rPr>
          <w:rFonts w:eastAsiaTheme="minorEastAsia"/>
          <w:szCs w:val="24"/>
        </w:rPr>
        <w:t xml:space="preserve"> September </w:t>
      </w:r>
      <w:r w:rsidRPr="00B17403">
        <w:rPr>
          <w:rFonts w:eastAsiaTheme="minorEastAsia"/>
          <w:szCs w:val="18"/>
        </w:rPr>
        <w:t>2020</w:t>
      </w:r>
      <w:r w:rsidRPr="00B17403">
        <w:rPr>
          <w:rFonts w:eastAsiaTheme="minorEastAsia"/>
          <w:szCs w:val="24"/>
        </w:rPr>
        <w:t xml:space="preserve">, </w:t>
      </w:r>
      <w:r w:rsidRPr="00B17403">
        <w:rPr>
          <w:rFonts w:eastAsiaTheme="minorEastAsia"/>
          <w:szCs w:val="18"/>
        </w:rPr>
        <w:t>25</w:t>
      </w:r>
      <w:r w:rsidRPr="00B17403">
        <w:rPr>
          <w:rFonts w:eastAsiaTheme="minorEastAsia"/>
          <w:szCs w:val="24"/>
        </w:rPr>
        <w:t xml:space="preserve"> September </w:t>
      </w:r>
      <w:r w:rsidRPr="00B17403">
        <w:rPr>
          <w:rFonts w:eastAsiaTheme="minorEastAsia"/>
          <w:szCs w:val="18"/>
        </w:rPr>
        <w:t>2020</w:t>
      </w:r>
      <w:r w:rsidRPr="00B17403">
        <w:rPr>
          <w:rFonts w:eastAsiaTheme="minorEastAsia"/>
          <w:szCs w:val="24"/>
          <w:rtl/>
        </w:rPr>
        <w:t xml:space="preserve">. </w:t>
      </w:r>
    </w:p>
  </w:footnote>
  <w:footnote w:id="3">
    <w:p w14:paraId="4F9A185B" w14:textId="77777777" w:rsidR="00B17403" w:rsidRPr="00B17403" w:rsidRDefault="00B17403" w:rsidP="00B17403">
      <w:pPr>
        <w:pStyle w:val="FootnoteText1"/>
        <w:rPr>
          <w:lang w:eastAsia="zh-TW" w:bidi="en-GB"/>
        </w:rPr>
      </w:pPr>
      <w:r w:rsidRPr="00B17403">
        <w:rPr>
          <w:rFonts w:eastAsiaTheme="minorEastAsia"/>
          <w:szCs w:val="24"/>
          <w:rtl/>
        </w:rPr>
        <w:t>(</w:t>
      </w:r>
      <w:r w:rsidRPr="00B17403">
        <w:rPr>
          <w:rStyle w:val="FootnoteReference"/>
          <w:rFonts w:ascii="Times New Roman" w:eastAsiaTheme="minorEastAsia" w:hAnsi="Times New Roman" w:cs="Times New Roman" w:hint="eastAsia"/>
          <w:b w:val="0"/>
          <w:szCs w:val="24"/>
          <w:vertAlign w:val="baseline"/>
        </w:rPr>
        <w:footnoteRef/>
      </w:r>
      <w:r w:rsidRPr="00B17403">
        <w:rPr>
          <w:rFonts w:eastAsiaTheme="minorEastAsia"/>
          <w:szCs w:val="24"/>
          <w:rtl/>
        </w:rPr>
        <w:t>)</w:t>
      </w:r>
      <w:r w:rsidRPr="00B17403">
        <w:rPr>
          <w:rFonts w:eastAsiaTheme="minorEastAsia"/>
          <w:szCs w:val="24"/>
          <w:rtl/>
        </w:rPr>
        <w:tab/>
        <w:t xml:space="preserve">للوقوف على نظرة عامة عن التزامات الدول الأطراف بموجب العهد فيما يخص هذه الجائحة، انظر(ي) بيان اللجنة الصادر في </w:t>
      </w:r>
      <w:r w:rsidRPr="00B17403">
        <w:rPr>
          <w:rFonts w:eastAsiaTheme="minorEastAsia"/>
          <w:szCs w:val="18"/>
          <w:rtl/>
        </w:rPr>
        <w:t>6</w:t>
      </w:r>
      <w:r w:rsidRPr="00B17403">
        <w:rPr>
          <w:rFonts w:eastAsiaTheme="minorEastAsia"/>
          <w:szCs w:val="24"/>
          <w:rtl/>
        </w:rPr>
        <w:t xml:space="preserve"> نيسان/أبريل </w:t>
      </w:r>
      <w:r w:rsidRPr="00B17403">
        <w:rPr>
          <w:rFonts w:eastAsiaTheme="minorEastAsia"/>
          <w:szCs w:val="18"/>
          <w:rtl/>
        </w:rPr>
        <w:t>2020</w:t>
      </w:r>
      <w:r w:rsidRPr="00B17403">
        <w:rPr>
          <w:rFonts w:eastAsiaTheme="minorEastAsia"/>
          <w:szCs w:val="24"/>
          <w:rtl/>
        </w:rPr>
        <w:t xml:space="preserve"> بشأن جائحة مرض فيروس كورونا (</w:t>
      </w:r>
      <w:proofErr w:type="spellStart"/>
      <w:r w:rsidRPr="00B17403">
        <w:rPr>
          <w:rFonts w:eastAsiaTheme="minorEastAsia"/>
          <w:szCs w:val="24"/>
          <w:rtl/>
        </w:rPr>
        <w:t>كوفيد</w:t>
      </w:r>
      <w:proofErr w:type="spellEnd"/>
      <w:r w:rsidRPr="00B17403">
        <w:rPr>
          <w:rFonts w:eastAsiaTheme="minorEastAsia"/>
          <w:szCs w:val="24"/>
        </w:rPr>
        <w:t>-</w:t>
      </w:r>
      <w:r w:rsidRPr="00B17403">
        <w:rPr>
          <w:rFonts w:eastAsiaTheme="minorEastAsia"/>
          <w:szCs w:val="18"/>
          <w:rtl/>
        </w:rPr>
        <w:t>19</w:t>
      </w:r>
      <w:r w:rsidRPr="00B17403">
        <w:rPr>
          <w:rFonts w:eastAsiaTheme="minorEastAsia"/>
          <w:szCs w:val="24"/>
          <w:rtl/>
        </w:rPr>
        <w:t>) والحقوق الاقتصادية والاجتماعية والثقافية (</w:t>
      </w:r>
      <w:r w:rsidRPr="00B17403">
        <w:rPr>
          <w:rFonts w:eastAsiaTheme="minorEastAsia"/>
          <w:szCs w:val="24"/>
        </w:rPr>
        <w:t>E/</w:t>
      </w:r>
      <w:proofErr w:type="spellStart"/>
      <w:r w:rsidRPr="00B17403">
        <w:rPr>
          <w:rFonts w:eastAsiaTheme="minorEastAsia"/>
          <w:szCs w:val="24"/>
        </w:rPr>
        <w:t>C.</w:t>
      </w:r>
      <w:r w:rsidRPr="00B17403">
        <w:rPr>
          <w:rFonts w:eastAsiaTheme="minorEastAsia"/>
          <w:szCs w:val="18"/>
        </w:rPr>
        <w:t>12</w:t>
      </w:r>
      <w:proofErr w:type="spellEnd"/>
      <w:r w:rsidRPr="00B17403">
        <w:rPr>
          <w:rFonts w:eastAsiaTheme="minorEastAsia"/>
          <w:szCs w:val="24"/>
        </w:rPr>
        <w:t>/</w:t>
      </w:r>
      <w:r w:rsidRPr="00B17403">
        <w:rPr>
          <w:rFonts w:eastAsiaTheme="minorEastAsia"/>
          <w:szCs w:val="18"/>
        </w:rPr>
        <w:t>2020</w:t>
      </w:r>
      <w:r w:rsidRPr="00B17403">
        <w:rPr>
          <w:rFonts w:eastAsiaTheme="minorEastAsia"/>
          <w:szCs w:val="24"/>
        </w:rPr>
        <w:t>/</w:t>
      </w:r>
      <w:r w:rsidRPr="00B17403">
        <w:rPr>
          <w:rFonts w:eastAsiaTheme="minorEastAsia"/>
          <w:szCs w:val="18"/>
        </w:rPr>
        <w:t>1</w:t>
      </w:r>
      <w:r w:rsidRPr="00B17403">
        <w:rPr>
          <w:rFonts w:eastAsiaTheme="minorEastAsia"/>
          <w:szCs w:val="24"/>
          <w:rtl/>
        </w:rPr>
        <w:t>).</w:t>
      </w:r>
    </w:p>
  </w:footnote>
  <w:footnote w:id="4">
    <w:p w14:paraId="65A54BAD" w14:textId="77777777" w:rsidR="00B17403" w:rsidRPr="00B17403" w:rsidRDefault="00B17403" w:rsidP="00B17403">
      <w:pPr>
        <w:pStyle w:val="FootnoteText1"/>
        <w:rPr>
          <w:lang w:eastAsia="zh-TW" w:bidi="en-GB"/>
        </w:rPr>
      </w:pPr>
      <w:r w:rsidRPr="00B17403">
        <w:rPr>
          <w:rFonts w:eastAsiaTheme="minorEastAsia"/>
          <w:szCs w:val="24"/>
          <w:rtl/>
        </w:rPr>
        <w:t>(</w:t>
      </w:r>
      <w:r w:rsidRPr="00B17403">
        <w:rPr>
          <w:rStyle w:val="FootnoteReference"/>
          <w:rFonts w:ascii="Times New Roman" w:eastAsiaTheme="minorEastAsia" w:hAnsi="Times New Roman" w:cs="Times New Roman" w:hint="eastAsia"/>
          <w:b w:val="0"/>
          <w:szCs w:val="24"/>
          <w:vertAlign w:val="baseline"/>
        </w:rPr>
        <w:footnoteRef/>
      </w:r>
      <w:r w:rsidRPr="00B17403">
        <w:rPr>
          <w:rFonts w:eastAsiaTheme="minorEastAsia"/>
          <w:szCs w:val="24"/>
          <w:rtl/>
        </w:rPr>
        <w:t>)</w:t>
      </w:r>
      <w:r w:rsidRPr="00B17403">
        <w:rPr>
          <w:rFonts w:eastAsiaTheme="minorEastAsia"/>
          <w:szCs w:val="24"/>
          <w:rtl/>
        </w:rPr>
        <w:tab/>
        <w:t xml:space="preserve">العهد الدولي الخاص بالحقوق الاقتصادية والاجتماعية والثقافية، المادة </w:t>
      </w:r>
      <w:r w:rsidRPr="00B17403">
        <w:rPr>
          <w:rFonts w:eastAsiaTheme="minorEastAsia"/>
          <w:szCs w:val="18"/>
          <w:rtl/>
        </w:rPr>
        <w:t>12</w:t>
      </w:r>
      <w:r w:rsidRPr="00B17403">
        <w:rPr>
          <w:rFonts w:eastAsiaTheme="minorEastAsia"/>
          <w:szCs w:val="24"/>
          <w:rtl/>
        </w:rPr>
        <w:t xml:space="preserve">؛ والإعلان العالمي لحقوق الإنسان، المادة </w:t>
      </w:r>
      <w:r w:rsidRPr="00B17403">
        <w:rPr>
          <w:rFonts w:eastAsiaTheme="minorEastAsia"/>
          <w:szCs w:val="18"/>
          <w:rtl/>
        </w:rPr>
        <w:t>25</w:t>
      </w:r>
      <w:r w:rsidRPr="00B17403">
        <w:rPr>
          <w:rFonts w:eastAsiaTheme="minorEastAsia"/>
          <w:szCs w:val="24"/>
          <w:rtl/>
        </w:rPr>
        <w:t>.</w:t>
      </w:r>
    </w:p>
  </w:footnote>
  <w:footnote w:id="5">
    <w:p w14:paraId="115505EA" w14:textId="77777777" w:rsidR="00B17403" w:rsidRPr="00B17403" w:rsidRDefault="00B17403" w:rsidP="00B17403">
      <w:pPr>
        <w:pStyle w:val="FootnoteText1"/>
        <w:rPr>
          <w:lang w:eastAsia="zh-TW" w:bidi="en-GB"/>
        </w:rPr>
      </w:pPr>
      <w:r w:rsidRPr="00B17403">
        <w:rPr>
          <w:rFonts w:eastAsiaTheme="minorEastAsia"/>
          <w:szCs w:val="24"/>
          <w:rtl/>
        </w:rPr>
        <w:t>(</w:t>
      </w:r>
      <w:r w:rsidRPr="00B17403">
        <w:rPr>
          <w:rStyle w:val="FootnoteReference"/>
          <w:rFonts w:ascii="Times New Roman" w:eastAsiaTheme="minorEastAsia" w:hAnsi="Times New Roman" w:cs="Times New Roman" w:hint="eastAsia"/>
          <w:b w:val="0"/>
          <w:szCs w:val="24"/>
          <w:vertAlign w:val="baseline"/>
        </w:rPr>
        <w:footnoteRef/>
      </w:r>
      <w:r w:rsidRPr="00B17403">
        <w:rPr>
          <w:rFonts w:eastAsiaTheme="minorEastAsia"/>
          <w:szCs w:val="24"/>
          <w:rtl/>
        </w:rPr>
        <w:t>)</w:t>
      </w:r>
      <w:r w:rsidRPr="00B17403">
        <w:rPr>
          <w:rFonts w:eastAsiaTheme="minorEastAsia"/>
          <w:szCs w:val="24"/>
          <w:rtl/>
        </w:rPr>
        <w:tab/>
        <w:t xml:space="preserve">اللجنة المعنية بالحقوق الاقتصادية والاجتماعية والثقافية، التعليق العام رقم </w:t>
      </w:r>
      <w:r w:rsidRPr="00B17403">
        <w:rPr>
          <w:rFonts w:eastAsiaTheme="minorEastAsia"/>
          <w:szCs w:val="18"/>
          <w:rtl/>
        </w:rPr>
        <w:t>14</w:t>
      </w:r>
      <w:r w:rsidRPr="00B17403">
        <w:rPr>
          <w:rFonts w:eastAsiaTheme="minorEastAsia"/>
          <w:szCs w:val="24"/>
          <w:rtl/>
        </w:rPr>
        <w:t>(</w:t>
      </w:r>
      <w:r w:rsidRPr="00B17403">
        <w:rPr>
          <w:rFonts w:eastAsiaTheme="minorEastAsia"/>
          <w:szCs w:val="18"/>
          <w:rtl/>
        </w:rPr>
        <w:t>2000</w:t>
      </w:r>
      <w:r w:rsidRPr="00B17403">
        <w:rPr>
          <w:rFonts w:eastAsiaTheme="minorEastAsia"/>
          <w:szCs w:val="24"/>
          <w:rtl/>
        </w:rPr>
        <w:t xml:space="preserve">)، الفقرة </w:t>
      </w:r>
      <w:r w:rsidRPr="00B17403">
        <w:rPr>
          <w:rFonts w:eastAsiaTheme="minorEastAsia"/>
          <w:szCs w:val="18"/>
          <w:rtl/>
        </w:rPr>
        <w:t>36</w:t>
      </w:r>
      <w:r w:rsidRPr="00B17403">
        <w:rPr>
          <w:rFonts w:eastAsiaTheme="minorEastAsia"/>
          <w:szCs w:val="24"/>
          <w:rtl/>
        </w:rPr>
        <w:t>.</w:t>
      </w:r>
    </w:p>
  </w:footnote>
  <w:footnote w:id="6">
    <w:p w14:paraId="05D0A23A" w14:textId="77777777" w:rsidR="00B17403" w:rsidRPr="00B17403" w:rsidRDefault="00B17403" w:rsidP="00B17403">
      <w:pPr>
        <w:pStyle w:val="FootnoteText1"/>
        <w:rPr>
          <w:lang w:eastAsia="zh-TW" w:bidi="en-GB"/>
        </w:rPr>
      </w:pPr>
      <w:r w:rsidRPr="00B17403">
        <w:rPr>
          <w:rFonts w:eastAsiaTheme="minorEastAsia"/>
          <w:szCs w:val="24"/>
          <w:rtl/>
        </w:rPr>
        <w:t>(</w:t>
      </w:r>
      <w:r w:rsidRPr="00B17403">
        <w:rPr>
          <w:rStyle w:val="FootnoteReference"/>
          <w:rFonts w:ascii="Times New Roman" w:eastAsiaTheme="minorEastAsia" w:hAnsi="Times New Roman" w:cs="Times New Roman" w:hint="eastAsia"/>
          <w:b w:val="0"/>
          <w:szCs w:val="24"/>
          <w:vertAlign w:val="baseline"/>
        </w:rPr>
        <w:footnoteRef/>
      </w:r>
      <w:r w:rsidRPr="00B17403">
        <w:rPr>
          <w:rFonts w:eastAsiaTheme="minorEastAsia"/>
          <w:szCs w:val="24"/>
          <w:rtl/>
        </w:rPr>
        <w:t>)</w:t>
      </w:r>
      <w:r w:rsidRPr="00B17403">
        <w:rPr>
          <w:rFonts w:eastAsiaTheme="minorEastAsia"/>
          <w:szCs w:val="24"/>
          <w:rtl/>
        </w:rPr>
        <w:tab/>
        <w:t xml:space="preserve">العهد الدولي الخاص بالحقوق الاقتصادية والاجتماعية والثقافية، المادة </w:t>
      </w:r>
      <w:r w:rsidRPr="00B17403">
        <w:rPr>
          <w:rFonts w:eastAsiaTheme="minorEastAsia"/>
          <w:szCs w:val="18"/>
          <w:rtl/>
        </w:rPr>
        <w:t>15</w:t>
      </w:r>
      <w:r w:rsidRPr="00B17403">
        <w:rPr>
          <w:rFonts w:eastAsiaTheme="minorEastAsia"/>
          <w:szCs w:val="24"/>
          <w:rtl/>
        </w:rPr>
        <w:t xml:space="preserve">؛ والإعلان العالمي لحقوق الإنسان، المادة </w:t>
      </w:r>
      <w:r w:rsidRPr="00B17403">
        <w:rPr>
          <w:rFonts w:eastAsiaTheme="minorEastAsia"/>
          <w:szCs w:val="18"/>
          <w:rtl/>
        </w:rPr>
        <w:t>27</w:t>
      </w:r>
      <w:r w:rsidRPr="00B17403">
        <w:rPr>
          <w:rFonts w:eastAsiaTheme="minorEastAsia"/>
          <w:szCs w:val="24"/>
          <w:rtl/>
        </w:rPr>
        <w:t>.</w:t>
      </w:r>
    </w:p>
  </w:footnote>
  <w:footnote w:id="7">
    <w:p w14:paraId="2FEC31BC" w14:textId="77777777" w:rsidR="00B17403" w:rsidRPr="00B17403" w:rsidRDefault="00B17403" w:rsidP="00B17403">
      <w:pPr>
        <w:pStyle w:val="FootnoteText1"/>
        <w:rPr>
          <w:lang w:eastAsia="zh-TW" w:bidi="en-GB"/>
        </w:rPr>
      </w:pPr>
      <w:r w:rsidRPr="00B17403">
        <w:rPr>
          <w:rFonts w:eastAsiaTheme="minorEastAsia"/>
          <w:szCs w:val="24"/>
          <w:rtl/>
        </w:rPr>
        <w:t>(</w:t>
      </w:r>
      <w:r w:rsidRPr="00B17403">
        <w:rPr>
          <w:rStyle w:val="FootnoteReference"/>
          <w:rFonts w:ascii="Times New Roman" w:eastAsiaTheme="minorEastAsia" w:hAnsi="Times New Roman" w:cs="Times New Roman" w:hint="eastAsia"/>
          <w:b w:val="0"/>
          <w:szCs w:val="24"/>
          <w:vertAlign w:val="baseline"/>
        </w:rPr>
        <w:footnoteRef/>
      </w:r>
      <w:r w:rsidRPr="00B17403">
        <w:rPr>
          <w:rFonts w:eastAsiaTheme="minorEastAsia"/>
          <w:szCs w:val="24"/>
          <w:rtl/>
        </w:rPr>
        <w:t>)</w:t>
      </w:r>
      <w:r w:rsidRPr="00B17403">
        <w:rPr>
          <w:rFonts w:eastAsiaTheme="minorEastAsia"/>
          <w:szCs w:val="24"/>
          <w:rtl/>
        </w:rPr>
        <w:tab/>
        <w:t xml:space="preserve">اللجنة المعنية بالحقوق الاقتصادية والاجتماعية والثقافية، التعليق العام رقم </w:t>
      </w:r>
      <w:r w:rsidRPr="00B17403">
        <w:rPr>
          <w:rFonts w:eastAsiaTheme="minorEastAsia"/>
          <w:szCs w:val="18"/>
          <w:rtl/>
        </w:rPr>
        <w:t>25</w:t>
      </w:r>
      <w:r w:rsidRPr="00B17403">
        <w:rPr>
          <w:rFonts w:eastAsiaTheme="minorEastAsia"/>
          <w:szCs w:val="24"/>
          <w:rtl/>
        </w:rPr>
        <w:t>(</w:t>
      </w:r>
      <w:r w:rsidRPr="00B17403">
        <w:rPr>
          <w:rFonts w:eastAsiaTheme="minorEastAsia"/>
          <w:szCs w:val="18"/>
          <w:rtl/>
        </w:rPr>
        <w:t>2020</w:t>
      </w:r>
      <w:r w:rsidRPr="00B17403">
        <w:rPr>
          <w:rFonts w:eastAsiaTheme="minorEastAsia"/>
          <w:szCs w:val="24"/>
          <w:rtl/>
        </w:rPr>
        <w:t xml:space="preserve">)، الفقرة </w:t>
      </w:r>
      <w:r w:rsidRPr="00B17403">
        <w:rPr>
          <w:rFonts w:eastAsiaTheme="minorEastAsia"/>
          <w:szCs w:val="18"/>
          <w:rtl/>
        </w:rPr>
        <w:t>70</w:t>
      </w:r>
      <w:r w:rsidRPr="00B17403">
        <w:rPr>
          <w:rFonts w:eastAsiaTheme="minorEastAsia"/>
          <w:szCs w:val="24"/>
          <w:rtl/>
        </w:rPr>
        <w:t>.</w:t>
      </w:r>
    </w:p>
  </w:footnote>
  <w:footnote w:id="8">
    <w:p w14:paraId="133CC8A6" w14:textId="77777777" w:rsidR="00B17403" w:rsidRPr="00B17403" w:rsidRDefault="00B17403" w:rsidP="00B17403">
      <w:pPr>
        <w:pStyle w:val="FootnoteText1"/>
        <w:rPr>
          <w:lang w:val="ar-SA" w:eastAsia="zh-TW" w:bidi="en-GB"/>
        </w:rPr>
      </w:pPr>
      <w:r w:rsidRPr="00B17403">
        <w:rPr>
          <w:rFonts w:eastAsiaTheme="minorEastAsia"/>
          <w:szCs w:val="24"/>
          <w:rtl/>
        </w:rPr>
        <w:t>(</w:t>
      </w:r>
      <w:r w:rsidRPr="00B17403">
        <w:rPr>
          <w:rStyle w:val="FootnoteReference"/>
          <w:rFonts w:ascii="Times New Roman" w:eastAsiaTheme="minorEastAsia" w:hAnsi="Times New Roman" w:cs="Times New Roman" w:hint="eastAsia"/>
          <w:b w:val="0"/>
          <w:szCs w:val="24"/>
          <w:vertAlign w:val="baseline"/>
        </w:rPr>
        <w:footnoteRef/>
      </w:r>
      <w:r w:rsidRPr="00B17403">
        <w:rPr>
          <w:rFonts w:eastAsiaTheme="minorEastAsia"/>
          <w:szCs w:val="24"/>
          <w:rtl/>
        </w:rPr>
        <w:t>)</w:t>
      </w:r>
      <w:r w:rsidRPr="00B17403">
        <w:rPr>
          <w:rFonts w:eastAsiaTheme="minorEastAsia"/>
          <w:szCs w:val="24"/>
          <w:rtl/>
        </w:rPr>
        <w:tab/>
        <w:t xml:space="preserve">انظر(ي) العهد الدولي الخاص بالحقوق الاقتصادية والاجتماعية والثقافية، المواد </w:t>
      </w:r>
      <w:r w:rsidRPr="00B17403">
        <w:rPr>
          <w:rFonts w:eastAsiaTheme="minorEastAsia"/>
          <w:szCs w:val="18"/>
          <w:rtl/>
        </w:rPr>
        <w:t>2</w:t>
      </w:r>
      <w:r w:rsidRPr="00B17403">
        <w:rPr>
          <w:rFonts w:eastAsiaTheme="minorEastAsia"/>
          <w:szCs w:val="24"/>
          <w:rtl/>
        </w:rPr>
        <w:t xml:space="preserve"> </w:t>
      </w:r>
      <w:proofErr w:type="spellStart"/>
      <w:r w:rsidRPr="00B17403">
        <w:rPr>
          <w:rFonts w:eastAsiaTheme="minorEastAsia"/>
          <w:szCs w:val="24"/>
          <w:rtl/>
        </w:rPr>
        <w:t>و</w:t>
      </w:r>
      <w:r w:rsidRPr="00B17403">
        <w:rPr>
          <w:rFonts w:eastAsiaTheme="minorEastAsia"/>
          <w:szCs w:val="18"/>
          <w:rtl/>
        </w:rPr>
        <w:t>12</w:t>
      </w:r>
      <w:proofErr w:type="spellEnd"/>
      <w:r w:rsidRPr="00B17403">
        <w:rPr>
          <w:rFonts w:eastAsiaTheme="minorEastAsia"/>
          <w:szCs w:val="24"/>
          <w:rtl/>
        </w:rPr>
        <w:t xml:space="preserve"> </w:t>
      </w:r>
      <w:proofErr w:type="spellStart"/>
      <w:r w:rsidRPr="00B17403">
        <w:rPr>
          <w:rFonts w:eastAsiaTheme="minorEastAsia"/>
          <w:szCs w:val="24"/>
          <w:rtl/>
        </w:rPr>
        <w:t>و</w:t>
      </w:r>
      <w:r w:rsidRPr="00B17403">
        <w:rPr>
          <w:rFonts w:eastAsiaTheme="minorEastAsia"/>
          <w:szCs w:val="18"/>
          <w:rtl/>
        </w:rPr>
        <w:t>15</w:t>
      </w:r>
      <w:proofErr w:type="spellEnd"/>
      <w:r w:rsidRPr="00B17403">
        <w:rPr>
          <w:rFonts w:eastAsiaTheme="minorEastAsia"/>
          <w:szCs w:val="24"/>
          <w:rtl/>
        </w:rPr>
        <w:t>.</w:t>
      </w:r>
    </w:p>
  </w:footnote>
  <w:footnote w:id="9">
    <w:p w14:paraId="1DEA497F" w14:textId="77777777" w:rsidR="00B17403" w:rsidRPr="00B17403" w:rsidRDefault="00B17403" w:rsidP="00B17403">
      <w:pPr>
        <w:pStyle w:val="FootnoteText1"/>
        <w:rPr>
          <w:lang w:val="ar-SA" w:eastAsia="zh-TW" w:bidi="en-GB"/>
        </w:rPr>
      </w:pPr>
      <w:r w:rsidRPr="00B17403">
        <w:rPr>
          <w:rFonts w:eastAsiaTheme="minorEastAsia"/>
          <w:szCs w:val="24"/>
          <w:rtl/>
        </w:rPr>
        <w:t>(</w:t>
      </w:r>
      <w:r w:rsidRPr="00B17403">
        <w:rPr>
          <w:rStyle w:val="FootnoteReference"/>
          <w:rFonts w:ascii="Times New Roman" w:eastAsiaTheme="minorEastAsia" w:hAnsi="Times New Roman" w:cs="Times New Roman" w:hint="eastAsia"/>
          <w:b w:val="0"/>
          <w:szCs w:val="24"/>
          <w:vertAlign w:val="baseline"/>
        </w:rPr>
        <w:footnoteRef/>
      </w:r>
      <w:r w:rsidRPr="00B17403">
        <w:rPr>
          <w:rFonts w:eastAsiaTheme="minorEastAsia"/>
          <w:szCs w:val="24"/>
          <w:rtl/>
        </w:rPr>
        <w:t>)</w:t>
      </w:r>
      <w:r w:rsidRPr="00B17403">
        <w:rPr>
          <w:rFonts w:eastAsiaTheme="minorEastAsia"/>
          <w:szCs w:val="24"/>
          <w:rtl/>
        </w:rPr>
        <w:tab/>
        <w:t xml:space="preserve">اللجنة المعنية بالحقوق الاقتصادية والاجتماعية والثقافية، التعليق العام رقم </w:t>
      </w:r>
      <w:r w:rsidRPr="00B17403">
        <w:rPr>
          <w:rFonts w:eastAsiaTheme="minorEastAsia"/>
          <w:szCs w:val="18"/>
          <w:rtl/>
        </w:rPr>
        <w:t>14</w:t>
      </w:r>
      <w:r w:rsidRPr="00B17403">
        <w:rPr>
          <w:rFonts w:eastAsiaTheme="minorEastAsia"/>
          <w:szCs w:val="24"/>
          <w:rtl/>
        </w:rPr>
        <w:t>(</w:t>
      </w:r>
      <w:r w:rsidRPr="00B17403">
        <w:rPr>
          <w:rFonts w:eastAsiaTheme="minorEastAsia"/>
          <w:szCs w:val="18"/>
          <w:rtl/>
        </w:rPr>
        <w:t>2000</w:t>
      </w:r>
      <w:r w:rsidRPr="00B17403">
        <w:rPr>
          <w:rFonts w:eastAsiaTheme="minorEastAsia"/>
          <w:szCs w:val="24"/>
          <w:rtl/>
        </w:rPr>
        <w:t xml:space="preserve">)، الفقرة </w:t>
      </w:r>
      <w:r w:rsidRPr="00B17403">
        <w:rPr>
          <w:rFonts w:eastAsiaTheme="minorEastAsia"/>
          <w:szCs w:val="18"/>
          <w:rtl/>
        </w:rPr>
        <w:t>44</w:t>
      </w:r>
      <w:r w:rsidRPr="00B17403">
        <w:rPr>
          <w:rFonts w:eastAsiaTheme="minorEastAsia"/>
          <w:szCs w:val="24"/>
          <w:rtl/>
        </w:rPr>
        <w:t>.</w:t>
      </w:r>
    </w:p>
  </w:footnote>
  <w:footnote w:id="10">
    <w:p w14:paraId="401241A9" w14:textId="77777777" w:rsidR="00B17403" w:rsidRPr="00B17403" w:rsidRDefault="00B17403" w:rsidP="00B17403">
      <w:pPr>
        <w:pStyle w:val="FootnoteText1"/>
        <w:rPr>
          <w:lang w:eastAsia="zh-TW" w:bidi="en-GB"/>
        </w:rPr>
      </w:pPr>
      <w:r w:rsidRPr="00B17403">
        <w:rPr>
          <w:rFonts w:eastAsiaTheme="minorEastAsia"/>
          <w:szCs w:val="24"/>
          <w:rtl/>
        </w:rPr>
        <w:t>(</w:t>
      </w:r>
      <w:r w:rsidRPr="00B17403">
        <w:rPr>
          <w:rStyle w:val="FootnoteReference"/>
          <w:rFonts w:ascii="Times New Roman" w:eastAsiaTheme="minorEastAsia" w:hAnsi="Times New Roman" w:cs="Times New Roman" w:hint="eastAsia"/>
          <w:b w:val="0"/>
          <w:szCs w:val="24"/>
          <w:vertAlign w:val="baseline"/>
        </w:rPr>
        <w:footnoteRef/>
      </w:r>
      <w:r w:rsidRPr="00B17403">
        <w:rPr>
          <w:rFonts w:eastAsiaTheme="minorEastAsia"/>
          <w:szCs w:val="24"/>
          <w:rtl/>
        </w:rPr>
        <w:t>)</w:t>
      </w:r>
      <w:r w:rsidRPr="00B17403">
        <w:rPr>
          <w:rFonts w:eastAsiaTheme="minorEastAsia"/>
          <w:szCs w:val="24"/>
          <w:rtl/>
        </w:rPr>
        <w:tab/>
        <w:t xml:space="preserve">المرجع نفسه، الفقرة </w:t>
      </w:r>
      <w:r w:rsidRPr="00B17403">
        <w:rPr>
          <w:rFonts w:eastAsiaTheme="minorEastAsia"/>
          <w:szCs w:val="18"/>
          <w:rtl/>
        </w:rPr>
        <w:t>12</w:t>
      </w:r>
      <w:r w:rsidRPr="00B17403">
        <w:rPr>
          <w:rFonts w:eastAsiaTheme="minorEastAsia"/>
          <w:szCs w:val="24"/>
          <w:rtl/>
        </w:rPr>
        <w:t>.</w:t>
      </w:r>
    </w:p>
  </w:footnote>
  <w:footnote w:id="11">
    <w:p w14:paraId="176DD6E6" w14:textId="77777777" w:rsidR="00B17403" w:rsidRPr="00B17403" w:rsidRDefault="00B17403" w:rsidP="00B17403">
      <w:pPr>
        <w:pStyle w:val="FootnoteText1"/>
        <w:rPr>
          <w:lang w:val="ar-SA" w:eastAsia="zh-TW" w:bidi="en-GB"/>
        </w:rPr>
      </w:pPr>
      <w:r w:rsidRPr="00B17403">
        <w:rPr>
          <w:rFonts w:eastAsiaTheme="minorEastAsia"/>
          <w:szCs w:val="24"/>
          <w:rtl/>
        </w:rPr>
        <w:t>(</w:t>
      </w:r>
      <w:r w:rsidRPr="00B17403">
        <w:rPr>
          <w:rStyle w:val="FootnoteReference"/>
          <w:rFonts w:ascii="Times New Roman" w:eastAsiaTheme="minorEastAsia" w:hAnsi="Times New Roman" w:cs="Times New Roman" w:hint="eastAsia"/>
          <w:b w:val="0"/>
          <w:szCs w:val="24"/>
          <w:vertAlign w:val="baseline"/>
        </w:rPr>
        <w:footnoteRef/>
      </w:r>
      <w:r w:rsidRPr="00B17403">
        <w:rPr>
          <w:rFonts w:eastAsiaTheme="minorEastAsia"/>
          <w:szCs w:val="24"/>
          <w:rtl/>
        </w:rPr>
        <w:t>)</w:t>
      </w:r>
      <w:r w:rsidRPr="00B17403">
        <w:rPr>
          <w:rFonts w:eastAsiaTheme="minorEastAsia"/>
          <w:szCs w:val="24"/>
          <w:rtl/>
        </w:rPr>
        <w:tab/>
        <w:t xml:space="preserve">انظر(ي) اللجنة المعنية بالحقوق الاقتصادية والاجتماعية والثقافية، التعليق العام رقم </w:t>
      </w:r>
      <w:r w:rsidRPr="00B17403">
        <w:rPr>
          <w:rFonts w:eastAsiaTheme="minorEastAsia"/>
          <w:szCs w:val="18"/>
          <w:rtl/>
        </w:rPr>
        <w:t>25</w:t>
      </w:r>
      <w:r w:rsidRPr="00B17403">
        <w:rPr>
          <w:rFonts w:eastAsiaTheme="minorEastAsia"/>
          <w:szCs w:val="24"/>
          <w:rtl/>
        </w:rPr>
        <w:t>(</w:t>
      </w:r>
      <w:r w:rsidRPr="00B17403">
        <w:rPr>
          <w:rFonts w:eastAsiaTheme="minorEastAsia"/>
          <w:szCs w:val="18"/>
          <w:rtl/>
        </w:rPr>
        <w:t>2020</w:t>
      </w:r>
      <w:r w:rsidRPr="00B17403">
        <w:rPr>
          <w:rFonts w:eastAsiaTheme="minorEastAsia"/>
          <w:szCs w:val="24"/>
          <w:rtl/>
        </w:rPr>
        <w:t xml:space="preserve">)، الفقرة </w:t>
      </w:r>
      <w:r w:rsidRPr="00B17403">
        <w:rPr>
          <w:rFonts w:eastAsiaTheme="minorEastAsia"/>
          <w:szCs w:val="18"/>
          <w:rtl/>
        </w:rPr>
        <w:t>52</w:t>
      </w:r>
      <w:r w:rsidRPr="00B17403">
        <w:rPr>
          <w:rFonts w:eastAsiaTheme="minorEastAsia"/>
          <w:szCs w:val="24"/>
          <w:rtl/>
        </w:rPr>
        <w:t>.</w:t>
      </w:r>
    </w:p>
  </w:footnote>
  <w:footnote w:id="12">
    <w:p w14:paraId="6BD9FB9C" w14:textId="77777777" w:rsidR="00B17403" w:rsidRPr="00B17403" w:rsidRDefault="00B17403" w:rsidP="00B17403">
      <w:pPr>
        <w:pStyle w:val="FootnoteText1"/>
        <w:rPr>
          <w:lang w:val="ar-SA" w:eastAsia="zh-TW" w:bidi="en-GB"/>
        </w:rPr>
      </w:pPr>
      <w:r w:rsidRPr="00B17403">
        <w:rPr>
          <w:rFonts w:eastAsiaTheme="minorEastAsia"/>
          <w:szCs w:val="24"/>
          <w:rtl/>
        </w:rPr>
        <w:t>(</w:t>
      </w:r>
      <w:r w:rsidRPr="00B17403">
        <w:rPr>
          <w:rStyle w:val="FootnoteReference"/>
          <w:rFonts w:ascii="Times New Roman" w:eastAsiaTheme="minorEastAsia" w:hAnsi="Times New Roman" w:cs="Times New Roman" w:hint="eastAsia"/>
          <w:b w:val="0"/>
          <w:szCs w:val="24"/>
          <w:vertAlign w:val="baseline"/>
        </w:rPr>
        <w:footnoteRef/>
      </w:r>
      <w:r w:rsidRPr="00B17403">
        <w:rPr>
          <w:rFonts w:eastAsiaTheme="minorEastAsia"/>
          <w:szCs w:val="24"/>
          <w:rtl/>
        </w:rPr>
        <w:t>)</w:t>
      </w:r>
      <w:r w:rsidRPr="00B17403">
        <w:rPr>
          <w:rFonts w:eastAsiaTheme="minorEastAsia"/>
          <w:szCs w:val="24"/>
          <w:rtl/>
        </w:rPr>
        <w:tab/>
        <w:t xml:space="preserve">انظر(ي) العهد الدولي الخاص بالحقوق الاقتصادية والاجتماعية والثقافية، المادة </w:t>
      </w:r>
      <w:r w:rsidRPr="00B17403">
        <w:rPr>
          <w:rFonts w:eastAsiaTheme="minorEastAsia"/>
          <w:szCs w:val="18"/>
          <w:rtl/>
        </w:rPr>
        <w:t>2</w:t>
      </w:r>
      <w:r w:rsidRPr="00B17403">
        <w:rPr>
          <w:rFonts w:eastAsiaTheme="minorEastAsia"/>
          <w:szCs w:val="24"/>
          <w:rtl/>
        </w:rPr>
        <w:t>؛ وانظر(ي) أيضا</w:t>
      </w:r>
      <w:r w:rsidR="007C3B93">
        <w:rPr>
          <w:rFonts w:eastAsiaTheme="minorEastAsia" w:hint="cs"/>
          <w:szCs w:val="24"/>
          <w:rtl/>
        </w:rPr>
        <w:t>ً</w:t>
      </w:r>
      <w:r w:rsidRPr="00B17403">
        <w:rPr>
          <w:rFonts w:eastAsiaTheme="minorEastAsia"/>
          <w:szCs w:val="24"/>
          <w:rtl/>
        </w:rPr>
        <w:t xml:space="preserve"> اللجنة المعنية بالحقوق الاقتصادية والاجتماعية والثقافية، التعليق العام رقم </w:t>
      </w:r>
      <w:r w:rsidRPr="00B17403">
        <w:rPr>
          <w:rFonts w:eastAsiaTheme="minorEastAsia"/>
          <w:szCs w:val="18"/>
          <w:rtl/>
        </w:rPr>
        <w:t>20</w:t>
      </w:r>
      <w:r w:rsidRPr="00B17403">
        <w:rPr>
          <w:rFonts w:eastAsiaTheme="minorEastAsia"/>
          <w:szCs w:val="24"/>
          <w:rtl/>
        </w:rPr>
        <w:t>(</w:t>
      </w:r>
      <w:r w:rsidRPr="00B17403">
        <w:rPr>
          <w:rFonts w:eastAsiaTheme="minorEastAsia"/>
          <w:szCs w:val="18"/>
          <w:rtl/>
        </w:rPr>
        <w:t>2009</w:t>
      </w:r>
      <w:r w:rsidRPr="00B17403">
        <w:rPr>
          <w:rFonts w:eastAsiaTheme="minorEastAsia"/>
          <w:szCs w:val="24"/>
          <w:rtl/>
        </w:rPr>
        <w:t>).</w:t>
      </w:r>
    </w:p>
  </w:footnote>
  <w:footnote w:id="13">
    <w:p w14:paraId="24968982" w14:textId="77777777" w:rsidR="00B17403" w:rsidRPr="00B17403" w:rsidRDefault="00B17403" w:rsidP="00B17403">
      <w:pPr>
        <w:pStyle w:val="FootnoteText1"/>
        <w:rPr>
          <w:lang w:val="ar-SA" w:eastAsia="zh-TW" w:bidi="en-GB"/>
        </w:rPr>
      </w:pPr>
      <w:r w:rsidRPr="00B17403">
        <w:rPr>
          <w:rFonts w:eastAsiaTheme="minorEastAsia"/>
          <w:szCs w:val="24"/>
          <w:rtl/>
        </w:rPr>
        <w:t>(</w:t>
      </w:r>
      <w:r w:rsidRPr="00B17403">
        <w:rPr>
          <w:rStyle w:val="FootnoteReference"/>
          <w:rFonts w:ascii="Times New Roman" w:eastAsiaTheme="minorEastAsia" w:hAnsi="Times New Roman" w:cs="Times New Roman" w:hint="eastAsia"/>
          <w:b w:val="0"/>
          <w:szCs w:val="24"/>
          <w:vertAlign w:val="baseline"/>
        </w:rPr>
        <w:footnoteRef/>
      </w:r>
      <w:r w:rsidRPr="00B17403">
        <w:rPr>
          <w:rFonts w:eastAsiaTheme="minorEastAsia"/>
          <w:szCs w:val="24"/>
          <w:rtl/>
        </w:rPr>
        <w:t>)</w:t>
      </w:r>
      <w:r w:rsidRPr="00B17403">
        <w:rPr>
          <w:rFonts w:eastAsiaTheme="minorEastAsia"/>
          <w:szCs w:val="24"/>
          <w:rtl/>
        </w:rPr>
        <w:tab/>
        <w:t xml:space="preserve">اللجنة المعنية بالحقوق الاقتصادية والاجتماعية والثقافية، التعليق العام رقم </w:t>
      </w:r>
      <w:r w:rsidRPr="00B17403">
        <w:rPr>
          <w:rFonts w:eastAsiaTheme="minorEastAsia"/>
          <w:szCs w:val="18"/>
          <w:rtl/>
        </w:rPr>
        <w:t>17</w:t>
      </w:r>
      <w:r w:rsidRPr="00B17403">
        <w:rPr>
          <w:rFonts w:eastAsiaTheme="minorEastAsia"/>
          <w:szCs w:val="24"/>
          <w:rtl/>
        </w:rPr>
        <w:t>(</w:t>
      </w:r>
      <w:r w:rsidRPr="00B17403">
        <w:rPr>
          <w:rFonts w:eastAsiaTheme="minorEastAsia"/>
          <w:szCs w:val="18"/>
          <w:rtl/>
        </w:rPr>
        <w:t>2006</w:t>
      </w:r>
      <w:r w:rsidRPr="00B17403">
        <w:rPr>
          <w:rFonts w:eastAsiaTheme="minorEastAsia"/>
          <w:szCs w:val="24"/>
          <w:rtl/>
        </w:rPr>
        <w:t xml:space="preserve">)، الفقرتان </w:t>
      </w:r>
      <w:r w:rsidRPr="00B17403">
        <w:rPr>
          <w:rFonts w:eastAsiaTheme="minorEastAsia"/>
          <w:szCs w:val="18"/>
          <w:rtl/>
        </w:rPr>
        <w:t>1</w:t>
      </w:r>
      <w:r w:rsidRPr="00B17403">
        <w:rPr>
          <w:rFonts w:eastAsiaTheme="minorEastAsia"/>
          <w:szCs w:val="24"/>
          <w:rtl/>
        </w:rPr>
        <w:t xml:space="preserve"> </w:t>
      </w:r>
      <w:proofErr w:type="spellStart"/>
      <w:r w:rsidRPr="00B17403">
        <w:rPr>
          <w:rFonts w:eastAsiaTheme="minorEastAsia"/>
          <w:szCs w:val="24"/>
          <w:rtl/>
        </w:rPr>
        <w:t>و</w:t>
      </w:r>
      <w:r w:rsidRPr="00B17403">
        <w:rPr>
          <w:rFonts w:eastAsiaTheme="minorEastAsia"/>
          <w:szCs w:val="18"/>
          <w:rtl/>
        </w:rPr>
        <w:t>2</w:t>
      </w:r>
      <w:proofErr w:type="spellEnd"/>
      <w:r w:rsidRPr="00B17403">
        <w:rPr>
          <w:rFonts w:eastAsiaTheme="minorEastAsia"/>
          <w:szCs w:val="24"/>
          <w:rtl/>
        </w:rPr>
        <w:t>.</w:t>
      </w:r>
    </w:p>
  </w:footnote>
  <w:footnote w:id="14">
    <w:p w14:paraId="3E260131" w14:textId="77777777" w:rsidR="00B17403" w:rsidRPr="00B17403" w:rsidRDefault="00B17403" w:rsidP="00B17403">
      <w:pPr>
        <w:pStyle w:val="FootnoteText1"/>
        <w:rPr>
          <w:lang w:eastAsia="zh-TW" w:bidi="en-GB"/>
        </w:rPr>
      </w:pPr>
      <w:r w:rsidRPr="00B17403">
        <w:rPr>
          <w:rFonts w:eastAsiaTheme="minorEastAsia"/>
          <w:szCs w:val="24"/>
          <w:rtl/>
        </w:rPr>
        <w:t>(</w:t>
      </w:r>
      <w:r w:rsidRPr="00B17403">
        <w:rPr>
          <w:rStyle w:val="FootnoteReference"/>
          <w:rFonts w:ascii="Times New Roman" w:eastAsiaTheme="minorEastAsia" w:hAnsi="Times New Roman" w:cs="Times New Roman" w:hint="eastAsia"/>
          <w:b w:val="0"/>
          <w:szCs w:val="24"/>
          <w:vertAlign w:val="baseline"/>
        </w:rPr>
        <w:footnoteRef/>
      </w:r>
      <w:r w:rsidRPr="00B17403">
        <w:rPr>
          <w:rFonts w:eastAsiaTheme="minorEastAsia"/>
          <w:szCs w:val="24"/>
          <w:rtl/>
        </w:rPr>
        <w:t>)</w:t>
      </w:r>
      <w:r w:rsidRPr="00B17403">
        <w:rPr>
          <w:rFonts w:eastAsiaTheme="minorEastAsia"/>
          <w:szCs w:val="24"/>
          <w:rtl/>
        </w:rPr>
        <w:tab/>
        <w:t xml:space="preserve">المرجع نفسه، الفقرة </w:t>
      </w:r>
      <w:r w:rsidRPr="00B17403">
        <w:rPr>
          <w:rFonts w:eastAsiaTheme="minorEastAsia"/>
          <w:szCs w:val="18"/>
          <w:rtl/>
        </w:rPr>
        <w:t>35</w:t>
      </w:r>
      <w:r w:rsidRPr="00B17403">
        <w:rPr>
          <w:rFonts w:eastAsiaTheme="minorEastAsia"/>
          <w:szCs w:val="24"/>
          <w:rtl/>
        </w:rPr>
        <w:t>.</w:t>
      </w:r>
    </w:p>
  </w:footnote>
  <w:footnote w:id="15">
    <w:p w14:paraId="53087AC8" w14:textId="77777777" w:rsidR="00B17403" w:rsidRPr="00B17403" w:rsidRDefault="00B17403" w:rsidP="00B17403">
      <w:pPr>
        <w:pStyle w:val="FootnoteText1"/>
        <w:rPr>
          <w:lang w:val="ar-SA" w:eastAsia="zh-TW" w:bidi="en-GB"/>
        </w:rPr>
      </w:pPr>
      <w:r w:rsidRPr="00B17403">
        <w:rPr>
          <w:rFonts w:eastAsiaTheme="minorEastAsia"/>
          <w:szCs w:val="24"/>
          <w:rtl/>
        </w:rPr>
        <w:t>(</w:t>
      </w:r>
      <w:r w:rsidRPr="00B17403">
        <w:rPr>
          <w:rStyle w:val="FootnoteReference"/>
          <w:rFonts w:ascii="Times New Roman" w:eastAsiaTheme="minorEastAsia" w:hAnsi="Times New Roman" w:cs="Times New Roman" w:hint="eastAsia"/>
          <w:b w:val="0"/>
          <w:szCs w:val="24"/>
          <w:vertAlign w:val="baseline"/>
        </w:rPr>
        <w:footnoteRef/>
      </w:r>
      <w:r w:rsidRPr="00B17403">
        <w:rPr>
          <w:rFonts w:eastAsiaTheme="minorEastAsia"/>
          <w:szCs w:val="24"/>
          <w:rtl/>
        </w:rPr>
        <w:t>)</w:t>
      </w:r>
      <w:r w:rsidRPr="00B17403">
        <w:rPr>
          <w:rFonts w:eastAsiaTheme="minorEastAsia"/>
          <w:szCs w:val="24"/>
          <w:rtl/>
        </w:rPr>
        <w:tab/>
        <w:t xml:space="preserve">انظر(ي) اللجنة المعنية بالحقوق الاقتصادية والاجتماعية والثقافية، التعليق العام رقم </w:t>
      </w:r>
      <w:r w:rsidRPr="00B17403">
        <w:rPr>
          <w:rFonts w:eastAsiaTheme="minorEastAsia"/>
          <w:szCs w:val="18"/>
          <w:rtl/>
        </w:rPr>
        <w:t>25</w:t>
      </w:r>
      <w:r w:rsidRPr="00B17403">
        <w:rPr>
          <w:rFonts w:eastAsiaTheme="minorEastAsia"/>
          <w:szCs w:val="24"/>
          <w:rtl/>
        </w:rPr>
        <w:t>(</w:t>
      </w:r>
      <w:r w:rsidRPr="00B17403">
        <w:rPr>
          <w:rFonts w:eastAsiaTheme="minorEastAsia"/>
          <w:szCs w:val="18"/>
          <w:rtl/>
        </w:rPr>
        <w:t>2020</w:t>
      </w:r>
      <w:r w:rsidRPr="00B17403">
        <w:rPr>
          <w:rFonts w:eastAsiaTheme="minorEastAsia"/>
          <w:szCs w:val="24"/>
          <w:rtl/>
        </w:rPr>
        <w:t xml:space="preserve">)، الفقرة </w:t>
      </w:r>
      <w:r w:rsidRPr="00B17403">
        <w:rPr>
          <w:rFonts w:eastAsiaTheme="minorEastAsia"/>
          <w:szCs w:val="18"/>
          <w:rtl/>
        </w:rPr>
        <w:t>69</w:t>
      </w:r>
      <w:r w:rsidRPr="00B17403">
        <w:rPr>
          <w:rFonts w:eastAsiaTheme="minorEastAsia"/>
          <w:szCs w:val="24"/>
          <w:rtl/>
        </w:rPr>
        <w:t>.</w:t>
      </w:r>
    </w:p>
  </w:footnote>
  <w:footnote w:id="16">
    <w:p w14:paraId="075B3D86" w14:textId="77777777" w:rsidR="00B17403" w:rsidRPr="00B17403" w:rsidRDefault="00B17403" w:rsidP="00B17403">
      <w:pPr>
        <w:pStyle w:val="FootnoteText1"/>
        <w:rPr>
          <w:lang w:eastAsia="zh-TW" w:bidi="en-GB"/>
        </w:rPr>
      </w:pPr>
      <w:r w:rsidRPr="00B17403">
        <w:rPr>
          <w:rFonts w:eastAsiaTheme="minorEastAsia"/>
          <w:szCs w:val="24"/>
          <w:rtl/>
        </w:rPr>
        <w:t>(</w:t>
      </w:r>
      <w:r w:rsidRPr="00B17403">
        <w:rPr>
          <w:rStyle w:val="FootnoteReference"/>
          <w:rFonts w:ascii="Times New Roman" w:eastAsiaTheme="minorEastAsia" w:hAnsi="Times New Roman" w:cs="Times New Roman" w:hint="eastAsia"/>
          <w:b w:val="0"/>
          <w:szCs w:val="24"/>
          <w:vertAlign w:val="baseline"/>
        </w:rPr>
        <w:footnoteRef/>
      </w:r>
      <w:r w:rsidRPr="00B17403">
        <w:rPr>
          <w:rFonts w:eastAsiaTheme="minorEastAsia"/>
          <w:szCs w:val="24"/>
          <w:rtl/>
        </w:rPr>
        <w:t>)</w:t>
      </w:r>
      <w:r w:rsidRPr="00B17403">
        <w:rPr>
          <w:rFonts w:eastAsiaTheme="minorEastAsia"/>
          <w:szCs w:val="24"/>
          <w:rtl/>
        </w:rPr>
        <w:tab/>
      </w:r>
      <w:r w:rsidRPr="00B17403">
        <w:rPr>
          <w:rFonts w:eastAsiaTheme="minorEastAsia"/>
          <w:szCs w:val="24"/>
        </w:rPr>
        <w:t>Office of the United Nations High Commissioner for Human Rights (OHCHR), “Statement by UN Human Rights Experts: Universal access to vaccines is essential for prevention and containment of COVID-</w:t>
      </w:r>
      <w:r w:rsidRPr="00B17403">
        <w:rPr>
          <w:rFonts w:eastAsiaTheme="minorEastAsia"/>
          <w:szCs w:val="18"/>
        </w:rPr>
        <w:t>19</w:t>
      </w:r>
      <w:r w:rsidRPr="00B17403">
        <w:rPr>
          <w:rFonts w:eastAsiaTheme="minorEastAsia"/>
          <w:szCs w:val="24"/>
        </w:rPr>
        <w:t xml:space="preserve"> around the world”, press statement, </w:t>
      </w:r>
      <w:r w:rsidRPr="00B17403">
        <w:rPr>
          <w:rFonts w:eastAsiaTheme="minorEastAsia"/>
          <w:szCs w:val="18"/>
        </w:rPr>
        <w:t>9</w:t>
      </w:r>
      <w:r w:rsidRPr="00B17403">
        <w:rPr>
          <w:rFonts w:eastAsiaTheme="minorEastAsia"/>
          <w:szCs w:val="24"/>
        </w:rPr>
        <w:t xml:space="preserve"> November </w:t>
      </w:r>
      <w:r w:rsidRPr="00B17403">
        <w:rPr>
          <w:rFonts w:eastAsiaTheme="minorEastAsia"/>
          <w:szCs w:val="18"/>
        </w:rPr>
        <w:t>2020</w:t>
      </w:r>
      <w:r w:rsidRPr="00B17403">
        <w:rPr>
          <w:rFonts w:eastAsiaTheme="minorEastAsia"/>
          <w:szCs w:val="24"/>
          <w:rtl/>
        </w:rPr>
        <w:t xml:space="preserve">. </w:t>
      </w:r>
    </w:p>
  </w:footnote>
  <w:footnote w:id="17">
    <w:p w14:paraId="5254029D" w14:textId="77777777" w:rsidR="00B17403" w:rsidRPr="00B17403" w:rsidRDefault="00B17403" w:rsidP="00B17403">
      <w:pPr>
        <w:pStyle w:val="FootnoteText1"/>
        <w:rPr>
          <w:lang w:eastAsia="zh-TW" w:bidi="en-GB"/>
        </w:rPr>
      </w:pPr>
      <w:r w:rsidRPr="00B17403">
        <w:rPr>
          <w:rFonts w:eastAsiaTheme="minorEastAsia"/>
          <w:szCs w:val="24"/>
          <w:rtl/>
        </w:rPr>
        <w:t>(</w:t>
      </w:r>
      <w:r w:rsidRPr="00B17403">
        <w:rPr>
          <w:rStyle w:val="FootnoteReference"/>
          <w:rFonts w:ascii="Times New Roman" w:eastAsiaTheme="minorEastAsia" w:hAnsi="Times New Roman" w:cs="Times New Roman" w:hint="eastAsia"/>
          <w:b w:val="0"/>
          <w:szCs w:val="24"/>
          <w:vertAlign w:val="baseline"/>
        </w:rPr>
        <w:footnoteRef/>
      </w:r>
      <w:r w:rsidRPr="00B17403">
        <w:rPr>
          <w:rFonts w:eastAsiaTheme="minorEastAsia"/>
          <w:szCs w:val="24"/>
          <w:rtl/>
        </w:rPr>
        <w:t>)</w:t>
      </w:r>
      <w:r w:rsidRPr="00B17403">
        <w:rPr>
          <w:rFonts w:eastAsiaTheme="minorEastAsia"/>
          <w:szCs w:val="24"/>
          <w:rtl/>
        </w:rPr>
        <w:tab/>
        <w:t xml:space="preserve">اللجنة المعنية بالحقوق الاقتصادية والاجتماعية والثقافية، التعليق العام رقم </w:t>
      </w:r>
      <w:r w:rsidRPr="00B17403">
        <w:rPr>
          <w:rFonts w:eastAsiaTheme="minorEastAsia"/>
          <w:szCs w:val="18"/>
          <w:rtl/>
        </w:rPr>
        <w:t>14</w:t>
      </w:r>
      <w:r w:rsidRPr="00B17403">
        <w:rPr>
          <w:rFonts w:eastAsiaTheme="minorEastAsia"/>
          <w:szCs w:val="24"/>
          <w:rtl/>
        </w:rPr>
        <w:t>(</w:t>
      </w:r>
      <w:r w:rsidRPr="00B17403">
        <w:rPr>
          <w:rFonts w:eastAsiaTheme="minorEastAsia"/>
          <w:szCs w:val="18"/>
          <w:rtl/>
        </w:rPr>
        <w:t>2017</w:t>
      </w:r>
      <w:r w:rsidRPr="00B17403">
        <w:rPr>
          <w:rFonts w:eastAsiaTheme="minorEastAsia"/>
          <w:szCs w:val="24"/>
          <w:rtl/>
        </w:rPr>
        <w:t xml:space="preserve">)، الفقرة </w:t>
      </w:r>
      <w:r w:rsidRPr="00B17403">
        <w:rPr>
          <w:rFonts w:eastAsiaTheme="minorEastAsia"/>
          <w:szCs w:val="18"/>
          <w:rtl/>
        </w:rPr>
        <w:t>5</w:t>
      </w:r>
      <w:r w:rsidRPr="00B17403">
        <w:rPr>
          <w:rFonts w:eastAsiaTheme="minorEastAsia"/>
          <w:szCs w:val="24"/>
          <w:rtl/>
        </w:rPr>
        <w:t xml:space="preserve">. وانظر(ي) المبادئ التوجيهية المتعلقة بالأعمال التجارية وحقوق الإنسان، المبدأ </w:t>
      </w:r>
      <w:r w:rsidRPr="00B17403">
        <w:rPr>
          <w:rFonts w:eastAsiaTheme="minorEastAsia"/>
          <w:szCs w:val="18"/>
          <w:rtl/>
        </w:rPr>
        <w:t>11</w:t>
      </w:r>
      <w:r w:rsidRPr="00B17403">
        <w:rPr>
          <w:rFonts w:eastAsiaTheme="minorEastAsia"/>
          <w:szCs w:val="24"/>
          <w:rtl/>
        </w:rPr>
        <w:t>.</w:t>
      </w:r>
    </w:p>
  </w:footnote>
  <w:footnote w:id="18">
    <w:p w14:paraId="7BF51F11" w14:textId="77777777" w:rsidR="00B17403" w:rsidRPr="00B17403" w:rsidRDefault="00B17403" w:rsidP="00B17403">
      <w:pPr>
        <w:pStyle w:val="FootnoteText1"/>
        <w:rPr>
          <w:lang w:val="ar-SA" w:eastAsia="zh-TW" w:bidi="en-GB"/>
        </w:rPr>
      </w:pPr>
      <w:r w:rsidRPr="00B17403">
        <w:rPr>
          <w:rFonts w:eastAsiaTheme="minorEastAsia"/>
          <w:szCs w:val="24"/>
          <w:rtl/>
        </w:rPr>
        <w:t>(</w:t>
      </w:r>
      <w:r w:rsidRPr="00B17403">
        <w:rPr>
          <w:rStyle w:val="FootnoteReference"/>
          <w:rFonts w:ascii="Times New Roman" w:eastAsiaTheme="minorEastAsia" w:hAnsi="Times New Roman" w:cs="Times New Roman" w:hint="eastAsia"/>
          <w:b w:val="0"/>
          <w:szCs w:val="24"/>
          <w:vertAlign w:val="baseline"/>
        </w:rPr>
        <w:footnoteRef/>
      </w:r>
      <w:r w:rsidRPr="00B17403">
        <w:rPr>
          <w:rFonts w:eastAsiaTheme="minorEastAsia"/>
          <w:szCs w:val="24"/>
          <w:rtl/>
        </w:rPr>
        <w:t>)</w:t>
      </w:r>
      <w:r w:rsidRPr="00B17403">
        <w:rPr>
          <w:rFonts w:eastAsiaTheme="minorEastAsia"/>
          <w:szCs w:val="24"/>
          <w:rtl/>
        </w:rPr>
        <w:tab/>
        <w:t xml:space="preserve">اللجنة المعنية بالحقوق الاقتصادية والاجتماعية والثقافية، التعليق العام رقم </w:t>
      </w:r>
      <w:r w:rsidRPr="00B17403">
        <w:rPr>
          <w:rFonts w:eastAsiaTheme="minorEastAsia"/>
          <w:szCs w:val="18"/>
          <w:rtl/>
        </w:rPr>
        <w:t>24</w:t>
      </w:r>
      <w:r w:rsidRPr="00B17403">
        <w:rPr>
          <w:rFonts w:eastAsiaTheme="minorEastAsia"/>
          <w:szCs w:val="24"/>
          <w:rtl/>
        </w:rPr>
        <w:t>(</w:t>
      </w:r>
      <w:r w:rsidRPr="00B17403">
        <w:rPr>
          <w:rFonts w:eastAsiaTheme="minorEastAsia"/>
          <w:szCs w:val="18"/>
          <w:rtl/>
        </w:rPr>
        <w:t>2017</w:t>
      </w:r>
      <w:r w:rsidRPr="00B17403">
        <w:rPr>
          <w:rFonts w:eastAsiaTheme="minorEastAsia"/>
          <w:szCs w:val="24"/>
          <w:rtl/>
        </w:rPr>
        <w:t xml:space="preserve">)، الفقرة </w:t>
      </w:r>
      <w:r w:rsidRPr="00B17403">
        <w:rPr>
          <w:rFonts w:eastAsiaTheme="minorEastAsia"/>
          <w:szCs w:val="18"/>
          <w:rtl/>
        </w:rPr>
        <w:t>11</w:t>
      </w:r>
      <w:r w:rsidRPr="00B17403">
        <w:rPr>
          <w:rFonts w:eastAsiaTheme="minorEastAsia"/>
          <w:szCs w:val="24"/>
          <w:rtl/>
        </w:rPr>
        <w:t>.</w:t>
      </w:r>
    </w:p>
  </w:footnote>
  <w:footnote w:id="19">
    <w:p w14:paraId="05B5CDCF" w14:textId="77777777" w:rsidR="00B17403" w:rsidRPr="00B17403" w:rsidRDefault="00B17403" w:rsidP="00B17403">
      <w:pPr>
        <w:pStyle w:val="FootnoteText1"/>
        <w:rPr>
          <w:lang w:eastAsia="zh-TW" w:bidi="en-GB"/>
        </w:rPr>
      </w:pPr>
      <w:r w:rsidRPr="00B17403">
        <w:rPr>
          <w:rFonts w:eastAsiaTheme="minorEastAsia"/>
          <w:szCs w:val="24"/>
          <w:rtl/>
        </w:rPr>
        <w:t>(</w:t>
      </w:r>
      <w:r w:rsidRPr="00B17403">
        <w:rPr>
          <w:rStyle w:val="FootnoteReference"/>
          <w:rFonts w:ascii="Times New Roman" w:eastAsiaTheme="minorEastAsia" w:hAnsi="Times New Roman" w:cs="Times New Roman" w:hint="eastAsia"/>
          <w:b w:val="0"/>
          <w:szCs w:val="24"/>
          <w:vertAlign w:val="baseline"/>
        </w:rPr>
        <w:footnoteRef/>
      </w:r>
      <w:r w:rsidRPr="00B17403">
        <w:rPr>
          <w:rFonts w:eastAsiaTheme="minorEastAsia"/>
          <w:szCs w:val="24"/>
          <w:rtl/>
        </w:rPr>
        <w:t>)</w:t>
      </w:r>
      <w:r w:rsidRPr="00B17403">
        <w:rPr>
          <w:rFonts w:eastAsiaTheme="minorEastAsia"/>
          <w:szCs w:val="24"/>
          <w:rtl/>
        </w:rPr>
        <w:tab/>
        <w:t xml:space="preserve">المرجع نفسه، الفقرتان </w:t>
      </w:r>
      <w:r w:rsidRPr="00B17403">
        <w:rPr>
          <w:rFonts w:eastAsiaTheme="minorEastAsia"/>
          <w:szCs w:val="18"/>
          <w:rtl/>
        </w:rPr>
        <w:t>26</w:t>
      </w:r>
      <w:r w:rsidRPr="00B17403">
        <w:rPr>
          <w:rFonts w:eastAsiaTheme="minorEastAsia"/>
          <w:szCs w:val="24"/>
          <w:rtl/>
        </w:rPr>
        <w:t xml:space="preserve"> </w:t>
      </w:r>
      <w:proofErr w:type="spellStart"/>
      <w:r w:rsidRPr="00B17403">
        <w:rPr>
          <w:rFonts w:eastAsiaTheme="minorEastAsia"/>
          <w:szCs w:val="24"/>
          <w:rtl/>
        </w:rPr>
        <w:t>و</w:t>
      </w:r>
      <w:r w:rsidRPr="00B17403">
        <w:rPr>
          <w:rFonts w:eastAsiaTheme="minorEastAsia"/>
          <w:szCs w:val="18"/>
          <w:rtl/>
        </w:rPr>
        <w:t>28</w:t>
      </w:r>
      <w:proofErr w:type="spellEnd"/>
      <w:r w:rsidRPr="00B17403">
        <w:rPr>
          <w:rFonts w:eastAsiaTheme="minorEastAsia"/>
          <w:szCs w:val="24"/>
          <w:rtl/>
        </w:rPr>
        <w:t>.</w:t>
      </w:r>
    </w:p>
  </w:footnote>
  <w:footnote w:id="20">
    <w:p w14:paraId="2AA530C7" w14:textId="77777777" w:rsidR="00B17403" w:rsidRPr="00B17403" w:rsidRDefault="00B17403" w:rsidP="00B17403">
      <w:pPr>
        <w:pStyle w:val="FootnoteText1"/>
        <w:rPr>
          <w:lang w:val="ar-SA" w:eastAsia="zh-TW" w:bidi="en-GB"/>
        </w:rPr>
      </w:pPr>
      <w:r w:rsidRPr="00B17403">
        <w:rPr>
          <w:rFonts w:eastAsiaTheme="minorEastAsia"/>
          <w:szCs w:val="24"/>
          <w:rtl/>
        </w:rPr>
        <w:t>(</w:t>
      </w:r>
      <w:r w:rsidRPr="00B17403">
        <w:rPr>
          <w:rStyle w:val="FootnoteReference"/>
          <w:rFonts w:ascii="Times New Roman" w:eastAsiaTheme="minorEastAsia" w:hAnsi="Times New Roman" w:cs="Times New Roman" w:hint="eastAsia"/>
          <w:b w:val="0"/>
          <w:szCs w:val="24"/>
          <w:vertAlign w:val="baseline"/>
        </w:rPr>
        <w:footnoteRef/>
      </w:r>
      <w:r w:rsidRPr="00B17403">
        <w:rPr>
          <w:rFonts w:eastAsiaTheme="minorEastAsia"/>
          <w:szCs w:val="24"/>
          <w:rtl/>
        </w:rPr>
        <w:t>)</w:t>
      </w:r>
      <w:r w:rsidRPr="00B17403">
        <w:rPr>
          <w:rFonts w:eastAsiaTheme="minorEastAsia"/>
          <w:szCs w:val="24"/>
          <w:rtl/>
        </w:rPr>
        <w:tab/>
        <w:t xml:space="preserve">انظر(ي) العهد الدولي الخاص بالحقوق الاقتصادية والاجتماعية والثقافية، المادة </w:t>
      </w:r>
      <w:r w:rsidRPr="00B17403">
        <w:rPr>
          <w:rFonts w:eastAsiaTheme="minorEastAsia"/>
          <w:szCs w:val="18"/>
          <w:rtl/>
        </w:rPr>
        <w:t>2</w:t>
      </w:r>
      <w:r w:rsidRPr="00B17403">
        <w:rPr>
          <w:rFonts w:eastAsiaTheme="minorEastAsia"/>
          <w:szCs w:val="24"/>
          <w:rtl/>
        </w:rPr>
        <w:t>(</w:t>
      </w:r>
      <w:r w:rsidRPr="00B17403">
        <w:rPr>
          <w:rFonts w:eastAsiaTheme="minorEastAsia"/>
          <w:szCs w:val="18"/>
          <w:rtl/>
        </w:rPr>
        <w:t>1</w:t>
      </w:r>
      <w:r w:rsidRPr="00B17403">
        <w:rPr>
          <w:rFonts w:eastAsiaTheme="minorEastAsia"/>
          <w:szCs w:val="24"/>
          <w:rtl/>
        </w:rPr>
        <w:t>).</w:t>
      </w:r>
    </w:p>
  </w:footnote>
  <w:footnote w:id="21">
    <w:p w14:paraId="1E4D0D13" w14:textId="77777777" w:rsidR="00B17403" w:rsidRPr="00B17403" w:rsidRDefault="00B17403" w:rsidP="00B17403">
      <w:pPr>
        <w:pStyle w:val="FootnoteText1"/>
        <w:rPr>
          <w:lang w:val="ar-SA" w:eastAsia="zh-TW" w:bidi="en-GB"/>
        </w:rPr>
      </w:pPr>
      <w:r w:rsidRPr="00B17403">
        <w:rPr>
          <w:rFonts w:eastAsiaTheme="minorEastAsia"/>
          <w:szCs w:val="24"/>
          <w:rtl/>
        </w:rPr>
        <w:t>(</w:t>
      </w:r>
      <w:r w:rsidRPr="00B17403">
        <w:rPr>
          <w:rStyle w:val="FootnoteReference"/>
          <w:rFonts w:ascii="Times New Roman" w:eastAsiaTheme="minorEastAsia" w:hAnsi="Times New Roman" w:cs="Times New Roman" w:hint="eastAsia"/>
          <w:b w:val="0"/>
          <w:szCs w:val="24"/>
          <w:vertAlign w:val="baseline"/>
        </w:rPr>
        <w:footnoteRef/>
      </w:r>
      <w:r w:rsidRPr="00B17403">
        <w:rPr>
          <w:rFonts w:eastAsiaTheme="minorEastAsia"/>
          <w:szCs w:val="24"/>
          <w:rtl/>
        </w:rPr>
        <w:t>)</w:t>
      </w:r>
      <w:r w:rsidRPr="00B17403">
        <w:rPr>
          <w:rFonts w:eastAsiaTheme="minorEastAsia"/>
          <w:szCs w:val="24"/>
          <w:rtl/>
        </w:rPr>
        <w:tab/>
        <w:t xml:space="preserve">انظر(ي) اللجنة المعنية بالحقوق الاقتصادية والاجتماعية والثقافية، التعليق العام رقم </w:t>
      </w:r>
      <w:r w:rsidRPr="00B17403">
        <w:rPr>
          <w:rFonts w:eastAsiaTheme="minorEastAsia"/>
          <w:szCs w:val="18"/>
          <w:rtl/>
        </w:rPr>
        <w:t>25</w:t>
      </w:r>
      <w:r w:rsidRPr="00B17403">
        <w:rPr>
          <w:rFonts w:eastAsiaTheme="minorEastAsia"/>
          <w:szCs w:val="24"/>
          <w:rtl/>
        </w:rPr>
        <w:t>(</w:t>
      </w:r>
      <w:r w:rsidRPr="00B17403">
        <w:rPr>
          <w:rFonts w:eastAsiaTheme="minorEastAsia"/>
          <w:szCs w:val="18"/>
          <w:rtl/>
        </w:rPr>
        <w:t>2020</w:t>
      </w:r>
      <w:r w:rsidRPr="00B17403">
        <w:rPr>
          <w:rFonts w:eastAsiaTheme="minorEastAsia"/>
          <w:szCs w:val="24"/>
          <w:rtl/>
        </w:rPr>
        <w:t xml:space="preserve">)، الفقرة </w:t>
      </w:r>
      <w:r w:rsidRPr="00B17403">
        <w:rPr>
          <w:rFonts w:eastAsiaTheme="minorEastAsia"/>
          <w:szCs w:val="18"/>
          <w:rtl/>
        </w:rPr>
        <w:t>82</w:t>
      </w:r>
      <w:r w:rsidRPr="00B17403">
        <w:rPr>
          <w:rFonts w:eastAsiaTheme="minorEastAsia"/>
          <w:szCs w:val="24"/>
          <w:rtl/>
        </w:rPr>
        <w:t>.</w:t>
      </w:r>
    </w:p>
  </w:footnote>
  <w:footnote w:id="22">
    <w:p w14:paraId="0CFB5005" w14:textId="77777777" w:rsidR="00B17403" w:rsidRPr="00B17403" w:rsidRDefault="00B17403" w:rsidP="00B17403">
      <w:pPr>
        <w:pStyle w:val="FootnoteText1"/>
        <w:rPr>
          <w:lang w:val="ar-SA" w:eastAsia="zh-TW" w:bidi="en-GB"/>
        </w:rPr>
      </w:pPr>
      <w:r w:rsidRPr="00B17403">
        <w:rPr>
          <w:rFonts w:eastAsiaTheme="minorEastAsia"/>
          <w:szCs w:val="24"/>
          <w:rtl/>
        </w:rPr>
        <w:t>(</w:t>
      </w:r>
      <w:r w:rsidRPr="00B17403">
        <w:rPr>
          <w:rStyle w:val="FootnoteReference"/>
          <w:rFonts w:ascii="Times New Roman" w:eastAsiaTheme="minorEastAsia" w:hAnsi="Times New Roman" w:cs="Times New Roman" w:hint="eastAsia"/>
          <w:b w:val="0"/>
          <w:szCs w:val="24"/>
          <w:vertAlign w:val="baseline"/>
        </w:rPr>
        <w:footnoteRef/>
      </w:r>
      <w:r w:rsidRPr="00B17403">
        <w:rPr>
          <w:rFonts w:eastAsiaTheme="minorEastAsia"/>
          <w:szCs w:val="24"/>
          <w:rtl/>
        </w:rPr>
        <w:t>)</w:t>
      </w:r>
      <w:r w:rsidRPr="00B17403">
        <w:rPr>
          <w:rFonts w:eastAsiaTheme="minorEastAsia"/>
          <w:szCs w:val="24"/>
          <w:rtl/>
        </w:rPr>
        <w:tab/>
        <w:t xml:space="preserve">انظر(ي) المرجع نفسه، التعليق العام رقم </w:t>
      </w:r>
      <w:r w:rsidRPr="00B17403">
        <w:rPr>
          <w:rFonts w:eastAsiaTheme="minorEastAsia"/>
          <w:szCs w:val="18"/>
          <w:rtl/>
        </w:rPr>
        <w:t>24</w:t>
      </w:r>
      <w:r w:rsidRPr="00B17403">
        <w:rPr>
          <w:rFonts w:eastAsiaTheme="minorEastAsia"/>
          <w:szCs w:val="24"/>
          <w:rtl/>
        </w:rPr>
        <w:t>(</w:t>
      </w:r>
      <w:r w:rsidRPr="00B17403">
        <w:rPr>
          <w:rFonts w:eastAsiaTheme="minorEastAsia"/>
          <w:szCs w:val="18"/>
          <w:rtl/>
        </w:rPr>
        <w:t>2017</w:t>
      </w:r>
      <w:r w:rsidRPr="00B17403">
        <w:rPr>
          <w:rFonts w:eastAsiaTheme="minorEastAsia"/>
          <w:szCs w:val="24"/>
          <w:rtl/>
        </w:rPr>
        <w:t>).</w:t>
      </w:r>
    </w:p>
  </w:footnote>
  <w:footnote w:id="23">
    <w:p w14:paraId="2039998C" w14:textId="77777777" w:rsidR="00B17403" w:rsidRPr="00B17403" w:rsidRDefault="00B17403" w:rsidP="00B17403">
      <w:pPr>
        <w:pStyle w:val="FootnoteText1"/>
        <w:rPr>
          <w:lang w:eastAsia="zh-TW" w:bidi="en-GB"/>
        </w:rPr>
      </w:pPr>
      <w:r w:rsidRPr="00B17403">
        <w:rPr>
          <w:rFonts w:eastAsiaTheme="minorEastAsia"/>
          <w:szCs w:val="24"/>
          <w:rtl/>
        </w:rPr>
        <w:t>(</w:t>
      </w:r>
      <w:r w:rsidRPr="00B17403">
        <w:rPr>
          <w:rStyle w:val="FootnoteReference"/>
          <w:rFonts w:ascii="Times New Roman" w:eastAsiaTheme="minorEastAsia" w:hAnsi="Times New Roman" w:cs="Times New Roman" w:hint="eastAsia"/>
          <w:b w:val="0"/>
          <w:szCs w:val="24"/>
          <w:vertAlign w:val="baseline"/>
        </w:rPr>
        <w:footnoteRef/>
      </w:r>
      <w:r w:rsidRPr="00B17403">
        <w:rPr>
          <w:rFonts w:eastAsiaTheme="minorEastAsia"/>
          <w:szCs w:val="24"/>
          <w:rtl/>
        </w:rPr>
        <w:t>)</w:t>
      </w:r>
      <w:r w:rsidRPr="00B17403">
        <w:rPr>
          <w:rFonts w:eastAsiaTheme="minorEastAsia"/>
          <w:szCs w:val="24"/>
          <w:rtl/>
        </w:rPr>
        <w:tab/>
        <w:t xml:space="preserve">انظر(ي) اللجنة المعنية بالحقوق الاقتصادية والاجتماعية والثقافية، التعليقان العامان رقم </w:t>
      </w:r>
      <w:r w:rsidRPr="00B17403">
        <w:rPr>
          <w:rFonts w:eastAsiaTheme="minorEastAsia"/>
          <w:szCs w:val="18"/>
          <w:rtl/>
        </w:rPr>
        <w:t>25</w:t>
      </w:r>
      <w:r w:rsidRPr="00B17403">
        <w:rPr>
          <w:rFonts w:eastAsiaTheme="minorEastAsia"/>
          <w:szCs w:val="24"/>
          <w:rtl/>
        </w:rPr>
        <w:t>(</w:t>
      </w:r>
      <w:r w:rsidRPr="00B17403">
        <w:rPr>
          <w:rFonts w:eastAsiaTheme="minorEastAsia"/>
          <w:szCs w:val="18"/>
          <w:rtl/>
        </w:rPr>
        <w:t>2020</w:t>
      </w:r>
      <w:r w:rsidRPr="00B17403">
        <w:rPr>
          <w:rFonts w:eastAsiaTheme="minorEastAsia"/>
          <w:szCs w:val="24"/>
          <w:rtl/>
        </w:rPr>
        <w:t xml:space="preserve">)، الفقرة </w:t>
      </w:r>
      <w:r w:rsidRPr="00B17403">
        <w:rPr>
          <w:rFonts w:eastAsiaTheme="minorEastAsia"/>
          <w:szCs w:val="18"/>
          <w:rtl/>
        </w:rPr>
        <w:t>55</w:t>
      </w:r>
      <w:r w:rsidRPr="00B17403">
        <w:rPr>
          <w:rFonts w:eastAsiaTheme="minorEastAsia"/>
          <w:szCs w:val="24"/>
          <w:rtl/>
        </w:rPr>
        <w:t>، ورقم</w:t>
      </w:r>
      <w:r w:rsidR="007E4D29">
        <w:rPr>
          <w:rFonts w:eastAsiaTheme="minorEastAsia" w:hint="cs"/>
          <w:szCs w:val="24"/>
          <w:rtl/>
        </w:rPr>
        <w:t> </w:t>
      </w:r>
      <w:r w:rsidRPr="00B17403">
        <w:rPr>
          <w:rFonts w:eastAsiaTheme="minorEastAsia"/>
          <w:szCs w:val="18"/>
          <w:rtl/>
        </w:rPr>
        <w:t>14</w:t>
      </w:r>
      <w:r w:rsidRPr="00B17403">
        <w:rPr>
          <w:rFonts w:eastAsiaTheme="minorEastAsia"/>
          <w:szCs w:val="24"/>
          <w:rtl/>
        </w:rPr>
        <w:t>(</w:t>
      </w:r>
      <w:r w:rsidRPr="00B17403">
        <w:rPr>
          <w:rFonts w:eastAsiaTheme="minorEastAsia"/>
          <w:szCs w:val="18"/>
          <w:rtl/>
        </w:rPr>
        <w:t>2000</w:t>
      </w:r>
      <w:r w:rsidRPr="00B17403">
        <w:rPr>
          <w:rFonts w:eastAsiaTheme="minorEastAsia"/>
          <w:szCs w:val="24"/>
          <w:rtl/>
        </w:rPr>
        <w:t xml:space="preserve">)، الفقرة </w:t>
      </w:r>
      <w:r w:rsidRPr="00B17403">
        <w:rPr>
          <w:rFonts w:eastAsiaTheme="minorEastAsia"/>
          <w:szCs w:val="18"/>
          <w:rtl/>
        </w:rPr>
        <w:t>55</w:t>
      </w:r>
      <w:r w:rsidRPr="00B17403">
        <w:rPr>
          <w:rFonts w:eastAsiaTheme="minorEastAsia"/>
          <w:szCs w:val="24"/>
          <w:rtl/>
        </w:rPr>
        <w:t>.</w:t>
      </w:r>
    </w:p>
  </w:footnote>
  <w:footnote w:id="24">
    <w:p w14:paraId="5CC45F82" w14:textId="77777777" w:rsidR="00B17403" w:rsidRPr="00B17403" w:rsidRDefault="00B17403" w:rsidP="00B17403">
      <w:pPr>
        <w:pStyle w:val="FootnoteText1"/>
        <w:rPr>
          <w:lang w:eastAsia="zh-TW" w:bidi="en-GB"/>
        </w:rPr>
      </w:pPr>
      <w:r w:rsidRPr="00B17403">
        <w:rPr>
          <w:rFonts w:eastAsiaTheme="minorEastAsia"/>
          <w:szCs w:val="24"/>
          <w:rtl/>
        </w:rPr>
        <w:t>(</w:t>
      </w:r>
      <w:r w:rsidRPr="00B17403">
        <w:rPr>
          <w:rStyle w:val="FootnoteReference"/>
          <w:rFonts w:ascii="Times New Roman" w:eastAsiaTheme="minorEastAsia" w:hAnsi="Times New Roman" w:cs="Times New Roman" w:hint="eastAsia"/>
          <w:b w:val="0"/>
          <w:szCs w:val="24"/>
          <w:vertAlign w:val="baseline"/>
        </w:rPr>
        <w:footnoteRef/>
      </w:r>
      <w:r w:rsidRPr="00B17403">
        <w:rPr>
          <w:rFonts w:eastAsiaTheme="minorEastAsia"/>
          <w:szCs w:val="24"/>
          <w:rtl/>
        </w:rPr>
        <w:t>)</w:t>
      </w:r>
      <w:r w:rsidRPr="00B17403">
        <w:rPr>
          <w:rFonts w:eastAsiaTheme="minorEastAsia"/>
          <w:szCs w:val="24"/>
          <w:rtl/>
        </w:rPr>
        <w:tab/>
        <w:t xml:space="preserve">انظر(ي) ميثاق الأمم المتحدة، المادتان </w:t>
      </w:r>
      <w:r w:rsidRPr="00B17403">
        <w:rPr>
          <w:rFonts w:eastAsiaTheme="minorEastAsia"/>
          <w:szCs w:val="18"/>
          <w:rtl/>
        </w:rPr>
        <w:t>55</w:t>
      </w:r>
      <w:r w:rsidRPr="00B17403">
        <w:rPr>
          <w:rFonts w:eastAsiaTheme="minorEastAsia"/>
          <w:szCs w:val="24"/>
          <w:rtl/>
        </w:rPr>
        <w:t xml:space="preserve"> </w:t>
      </w:r>
      <w:proofErr w:type="spellStart"/>
      <w:r w:rsidRPr="00B17403">
        <w:rPr>
          <w:rFonts w:eastAsiaTheme="minorEastAsia"/>
          <w:szCs w:val="24"/>
          <w:rtl/>
        </w:rPr>
        <w:t>و</w:t>
      </w:r>
      <w:r w:rsidRPr="00B17403">
        <w:rPr>
          <w:rFonts w:eastAsiaTheme="minorEastAsia"/>
          <w:szCs w:val="18"/>
          <w:rtl/>
        </w:rPr>
        <w:t>56</w:t>
      </w:r>
      <w:proofErr w:type="spellEnd"/>
      <w:r w:rsidRPr="00B17403">
        <w:rPr>
          <w:rFonts w:eastAsiaTheme="minorEastAsia"/>
          <w:szCs w:val="24"/>
          <w:rtl/>
        </w:rPr>
        <w:t>. وانظر(ي) أيضا</w:t>
      </w:r>
      <w:r w:rsidR="007E4D29">
        <w:rPr>
          <w:rFonts w:eastAsiaTheme="minorEastAsia" w:hint="cs"/>
          <w:szCs w:val="24"/>
          <w:rtl/>
        </w:rPr>
        <w:t>ً</w:t>
      </w:r>
      <w:r w:rsidRPr="00B17403">
        <w:rPr>
          <w:rFonts w:eastAsiaTheme="minorEastAsia"/>
          <w:szCs w:val="24"/>
          <w:rtl/>
        </w:rPr>
        <w:t xml:space="preserve"> اللجنة المعنية بالحقوق الاقتصادية والاجتماعية والثقافية، التعليق العام رقم </w:t>
      </w:r>
      <w:r w:rsidRPr="00B17403">
        <w:rPr>
          <w:rFonts w:eastAsiaTheme="minorEastAsia"/>
          <w:szCs w:val="18"/>
          <w:rtl/>
        </w:rPr>
        <w:t>24</w:t>
      </w:r>
      <w:r w:rsidRPr="00B17403">
        <w:rPr>
          <w:rFonts w:eastAsiaTheme="minorEastAsia"/>
          <w:szCs w:val="24"/>
          <w:rtl/>
        </w:rPr>
        <w:t>(</w:t>
      </w:r>
      <w:r w:rsidRPr="00B17403">
        <w:rPr>
          <w:rFonts w:eastAsiaTheme="minorEastAsia"/>
          <w:szCs w:val="18"/>
          <w:rtl/>
        </w:rPr>
        <w:t>2017</w:t>
      </w:r>
      <w:r w:rsidRPr="00B17403">
        <w:rPr>
          <w:rFonts w:eastAsiaTheme="minorEastAsia"/>
          <w:szCs w:val="24"/>
          <w:rtl/>
        </w:rPr>
        <w:t>).</w:t>
      </w:r>
    </w:p>
  </w:footnote>
  <w:footnote w:id="25">
    <w:p w14:paraId="7490DB49" w14:textId="77777777" w:rsidR="00B17403" w:rsidRPr="00B17403" w:rsidRDefault="00B17403" w:rsidP="00B17403">
      <w:pPr>
        <w:pStyle w:val="FootnoteText1"/>
        <w:rPr>
          <w:lang w:val="ar-SA" w:eastAsia="zh-TW" w:bidi="en-GB"/>
        </w:rPr>
      </w:pPr>
      <w:r w:rsidRPr="00B17403">
        <w:rPr>
          <w:rFonts w:eastAsiaTheme="minorEastAsia"/>
          <w:szCs w:val="24"/>
          <w:rtl/>
        </w:rPr>
        <w:t>(</w:t>
      </w:r>
      <w:r w:rsidRPr="00B17403">
        <w:rPr>
          <w:rStyle w:val="FootnoteReference"/>
          <w:rFonts w:ascii="Times New Roman" w:eastAsiaTheme="minorEastAsia" w:hAnsi="Times New Roman" w:cs="Times New Roman" w:hint="eastAsia"/>
          <w:b w:val="0"/>
          <w:szCs w:val="24"/>
          <w:vertAlign w:val="baseline"/>
        </w:rPr>
        <w:footnoteRef/>
      </w:r>
      <w:r w:rsidRPr="00B17403">
        <w:rPr>
          <w:rFonts w:eastAsiaTheme="minorEastAsia"/>
          <w:szCs w:val="24"/>
          <w:rtl/>
        </w:rPr>
        <w:t>)</w:t>
      </w:r>
      <w:r w:rsidRPr="00B17403">
        <w:rPr>
          <w:rFonts w:eastAsiaTheme="minorEastAsia"/>
          <w:szCs w:val="24"/>
          <w:rtl/>
        </w:rPr>
        <w:tab/>
        <w:t xml:space="preserve">انظر(ي) العهد الدولي الخاص بالحقوق الاقتصادية والاجتماعية والثقافية، المادة </w:t>
      </w:r>
      <w:r w:rsidRPr="00B17403">
        <w:rPr>
          <w:rFonts w:eastAsiaTheme="minorEastAsia"/>
          <w:szCs w:val="18"/>
          <w:rtl/>
        </w:rPr>
        <w:t>2</w:t>
      </w:r>
      <w:r w:rsidRPr="00B17403">
        <w:rPr>
          <w:rFonts w:eastAsiaTheme="minorEastAsia"/>
          <w:szCs w:val="24"/>
          <w:rtl/>
        </w:rPr>
        <w:t>. وانظر(ي) أيضا</w:t>
      </w:r>
      <w:r w:rsidR="007E4D29">
        <w:rPr>
          <w:rFonts w:eastAsiaTheme="minorEastAsia" w:hint="cs"/>
          <w:szCs w:val="24"/>
          <w:rtl/>
        </w:rPr>
        <w:t>ً</w:t>
      </w:r>
      <w:r w:rsidRPr="00B17403">
        <w:rPr>
          <w:rFonts w:eastAsiaTheme="minorEastAsia"/>
          <w:szCs w:val="24"/>
          <w:rtl/>
        </w:rPr>
        <w:t xml:space="preserve"> الالتزامات المقطوعة في الهدف </w:t>
      </w:r>
      <w:r w:rsidRPr="00B17403">
        <w:rPr>
          <w:rFonts w:eastAsiaTheme="minorEastAsia"/>
          <w:szCs w:val="18"/>
          <w:rtl/>
        </w:rPr>
        <w:t>3</w:t>
      </w:r>
      <w:r w:rsidRPr="00B17403">
        <w:rPr>
          <w:rFonts w:eastAsiaTheme="minorEastAsia"/>
          <w:szCs w:val="24"/>
          <w:rtl/>
        </w:rPr>
        <w:t xml:space="preserve"> من أهداف التنمية المستدامة.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246BA" w14:textId="7D744B28" w:rsidR="00EC3F02" w:rsidRPr="00EC3F02" w:rsidRDefault="00EC3F02" w:rsidP="00EC3F02">
    <w:pPr>
      <w:pStyle w:val="Header"/>
      <w:jc w:val="right"/>
    </w:pPr>
    <w:r>
      <w:fldChar w:fldCharType="begin"/>
    </w:r>
    <w:r>
      <w:instrText xml:space="preserve"> TITLE  \* MERGEFORMAT </w:instrText>
    </w:r>
    <w:r>
      <w:fldChar w:fldCharType="separate"/>
    </w:r>
    <w:r w:rsidR="002459AA">
      <w:t>E/</w:t>
    </w:r>
    <w:proofErr w:type="spellStart"/>
    <w:r w:rsidR="002459AA">
      <w:t>C.12</w:t>
    </w:r>
    <w:proofErr w:type="spellEnd"/>
    <w:r w:rsidR="002459AA">
      <w:t>/2020/2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928DB" w14:textId="11F897EA" w:rsidR="00EC3F02" w:rsidRPr="00EC3F02" w:rsidRDefault="00EC3F02" w:rsidP="00EC3F02">
    <w:pPr>
      <w:pStyle w:val="Header"/>
    </w:pPr>
    <w:r>
      <w:fldChar w:fldCharType="begin"/>
    </w:r>
    <w:r>
      <w:instrText xml:space="preserve"> TITLE  \* MERGEFORMAT </w:instrText>
    </w:r>
    <w:r>
      <w:fldChar w:fldCharType="separate"/>
    </w:r>
    <w:r w:rsidR="002459AA">
      <w:t>E/</w:t>
    </w:r>
    <w:proofErr w:type="spellStart"/>
    <w:r w:rsidR="002459AA">
      <w:t>C.12</w:t>
    </w:r>
    <w:proofErr w:type="spellEnd"/>
    <w:r w:rsidR="002459AA">
      <w:t>/2020/2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960A35"/>
    <w:multiLevelType w:val="hybridMultilevel"/>
    <w:tmpl w:val="A9AE22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2"/>
  </w:num>
  <w:num w:numId="6">
    <w:abstractNumId w:val="1"/>
  </w:num>
  <w:num w:numId="7">
    <w:abstractNumId w:val="7"/>
  </w:num>
  <w:num w:numId="8">
    <w:abstractNumId w:val="0"/>
  </w:num>
  <w:num w:numId="9">
    <w:abstractNumId w:val="4"/>
  </w:num>
  <w:num w:numId="10">
    <w:abstractNumId w:val="1"/>
  </w:num>
  <w:num w:numId="11">
    <w:abstractNumId w:val="7"/>
  </w:num>
  <w:num w:numId="12">
    <w:abstractNumId w:val="3"/>
    <w:lvlOverride w:ilvl="0">
      <w:lvl w:ilvl="0" w:tplc="240A000F">
        <w:start w:val="1"/>
        <w:numFmt w:val="decimal"/>
        <w:lvlText w:val="%1."/>
        <w:lvlJc w:val="left"/>
        <w:pPr>
          <w:ind w:left="72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567"/>
  <w:evenAndOddHeaders/>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CA5"/>
    <w:rsid w:val="000076D5"/>
    <w:rsid w:val="00043663"/>
    <w:rsid w:val="000505CF"/>
    <w:rsid w:val="000D701C"/>
    <w:rsid w:val="000E2A71"/>
    <w:rsid w:val="000E524A"/>
    <w:rsid w:val="00147B99"/>
    <w:rsid w:val="00160263"/>
    <w:rsid w:val="00181F96"/>
    <w:rsid w:val="001852C7"/>
    <w:rsid w:val="001A1371"/>
    <w:rsid w:val="001B346A"/>
    <w:rsid w:val="001D1FE9"/>
    <w:rsid w:val="001E1CAD"/>
    <w:rsid w:val="001E290D"/>
    <w:rsid w:val="002144FA"/>
    <w:rsid w:val="0023469A"/>
    <w:rsid w:val="00243C8A"/>
    <w:rsid w:val="002459AA"/>
    <w:rsid w:val="00267A0E"/>
    <w:rsid w:val="002901D9"/>
    <w:rsid w:val="002976C2"/>
    <w:rsid w:val="00325CC1"/>
    <w:rsid w:val="003260FF"/>
    <w:rsid w:val="00343D95"/>
    <w:rsid w:val="00374341"/>
    <w:rsid w:val="003D1062"/>
    <w:rsid w:val="003E159A"/>
    <w:rsid w:val="004205C7"/>
    <w:rsid w:val="00420D7B"/>
    <w:rsid w:val="00450B21"/>
    <w:rsid w:val="00453B63"/>
    <w:rsid w:val="00455780"/>
    <w:rsid w:val="004B0A1C"/>
    <w:rsid w:val="004D298E"/>
    <w:rsid w:val="004E32F4"/>
    <w:rsid w:val="005174F0"/>
    <w:rsid w:val="00517BC9"/>
    <w:rsid w:val="00527E4C"/>
    <w:rsid w:val="0054472E"/>
    <w:rsid w:val="0054762C"/>
    <w:rsid w:val="005662A9"/>
    <w:rsid w:val="005817D9"/>
    <w:rsid w:val="005827D4"/>
    <w:rsid w:val="0059622A"/>
    <w:rsid w:val="005C5878"/>
    <w:rsid w:val="005C7CEA"/>
    <w:rsid w:val="005D3C0B"/>
    <w:rsid w:val="005D57FB"/>
    <w:rsid w:val="005E5217"/>
    <w:rsid w:val="005F0FA4"/>
    <w:rsid w:val="005F30EE"/>
    <w:rsid w:val="0060473A"/>
    <w:rsid w:val="00606EDF"/>
    <w:rsid w:val="00656392"/>
    <w:rsid w:val="0068781D"/>
    <w:rsid w:val="006959B0"/>
    <w:rsid w:val="006B3E27"/>
    <w:rsid w:val="006B6507"/>
    <w:rsid w:val="006C104C"/>
    <w:rsid w:val="006E1F50"/>
    <w:rsid w:val="00733704"/>
    <w:rsid w:val="00740188"/>
    <w:rsid w:val="0078071A"/>
    <w:rsid w:val="007A70BB"/>
    <w:rsid w:val="007C3B93"/>
    <w:rsid w:val="007E4D29"/>
    <w:rsid w:val="00852A9A"/>
    <w:rsid w:val="00871544"/>
    <w:rsid w:val="008930DB"/>
    <w:rsid w:val="00895D16"/>
    <w:rsid w:val="008F49E1"/>
    <w:rsid w:val="0090370F"/>
    <w:rsid w:val="009269D2"/>
    <w:rsid w:val="00942135"/>
    <w:rsid w:val="009521B0"/>
    <w:rsid w:val="009A7E9F"/>
    <w:rsid w:val="009E5018"/>
    <w:rsid w:val="00A12B37"/>
    <w:rsid w:val="00A50EC0"/>
    <w:rsid w:val="00A74331"/>
    <w:rsid w:val="00AB1CA5"/>
    <w:rsid w:val="00AB6758"/>
    <w:rsid w:val="00B13763"/>
    <w:rsid w:val="00B17403"/>
    <w:rsid w:val="00B24420"/>
    <w:rsid w:val="00B477A4"/>
    <w:rsid w:val="00B54045"/>
    <w:rsid w:val="00BA1F0F"/>
    <w:rsid w:val="00C022F5"/>
    <w:rsid w:val="00C438D7"/>
    <w:rsid w:val="00C53FE8"/>
    <w:rsid w:val="00C81B50"/>
    <w:rsid w:val="00CA655B"/>
    <w:rsid w:val="00CB3C3C"/>
    <w:rsid w:val="00CD1801"/>
    <w:rsid w:val="00D10EF1"/>
    <w:rsid w:val="00D42810"/>
    <w:rsid w:val="00D914A7"/>
    <w:rsid w:val="00DD13C3"/>
    <w:rsid w:val="00DD596E"/>
    <w:rsid w:val="00DD621E"/>
    <w:rsid w:val="00DF0575"/>
    <w:rsid w:val="00E3601B"/>
    <w:rsid w:val="00E70E04"/>
    <w:rsid w:val="00EC05A7"/>
    <w:rsid w:val="00EC3F02"/>
    <w:rsid w:val="00EC4B6B"/>
    <w:rsid w:val="00ED7442"/>
    <w:rsid w:val="00EE0B18"/>
    <w:rsid w:val="00EE2AFF"/>
    <w:rsid w:val="00EF1EE5"/>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2A2047"/>
  <w15:docId w15:val="{587A5CC4-9D0C-4A83-845A-80FD159B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403"/>
    <w:pPr>
      <w:bidi/>
      <w:spacing w:after="0" w:line="240" w:lineRule="atLeast"/>
      <w:jc w:val="lowKashida"/>
    </w:pPr>
    <w:rPr>
      <w:rFonts w:ascii="Times New Roman" w:eastAsia="PMingLiU" w:hAnsi="Times New Roman" w:cs="Traditional Arabic"/>
      <w:sz w:val="20"/>
      <w:szCs w:val="28"/>
    </w:rPr>
  </w:style>
  <w:style w:type="paragraph" w:styleId="Heading1">
    <w:name w:val="heading 1"/>
    <w:aliases w:val="Table_GA"/>
    <w:basedOn w:val="SingleTxtGA"/>
    <w:next w:val="Normal"/>
    <w:link w:val="Heading1Char"/>
    <w:qFormat/>
    <w:rsid w:val="00B17403"/>
    <w:pPr>
      <w:suppressAutoHyphens/>
      <w:bidi w:val="0"/>
      <w:outlineLvl w:val="0"/>
    </w:pPr>
  </w:style>
  <w:style w:type="paragraph" w:styleId="Heading2">
    <w:name w:val="heading 2"/>
    <w:basedOn w:val="Normal"/>
    <w:next w:val="Normal"/>
    <w:link w:val="Heading2Char"/>
    <w:uiPriority w:val="9"/>
    <w:unhideWhenUsed/>
    <w:rsid w:val="00B17403"/>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B17403"/>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B17403"/>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B17403"/>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B17403"/>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B17403"/>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B17403"/>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B17403"/>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rsid w:val="00B174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7403"/>
  </w:style>
  <w:style w:type="paragraph" w:styleId="FootnoteText">
    <w:name w:val="footnote text"/>
    <w:aliases w:val="5_G"/>
    <w:basedOn w:val="Normal"/>
    <w:link w:val="FootnoteTextChar"/>
    <w:uiPriority w:val="99"/>
    <w:unhideWhenUsed/>
    <w:rsid w:val="00B17403"/>
    <w:pPr>
      <w:spacing w:line="240" w:lineRule="auto"/>
    </w:pPr>
    <w:rPr>
      <w:szCs w:val="20"/>
    </w:rPr>
  </w:style>
  <w:style w:type="character" w:customStyle="1" w:styleId="FootnoteTextChar">
    <w:name w:val="Footnote Text Char"/>
    <w:aliases w:val="5_G Char"/>
    <w:link w:val="FootnoteText"/>
    <w:uiPriority w:val="99"/>
    <w:rsid w:val="00B17403"/>
    <w:rPr>
      <w:rFonts w:ascii="Times New Roman" w:eastAsia="PMingLiU" w:hAnsi="Times New Roman" w:cs="Traditional Arabic"/>
      <w:sz w:val="20"/>
      <w:szCs w:val="20"/>
    </w:rPr>
  </w:style>
  <w:style w:type="character" w:styleId="FootnoteReference">
    <w:name w:val="footnote reference"/>
    <w:aliases w:val="4_GA,4_G"/>
    <w:qFormat/>
    <w:rsid w:val="00B17403"/>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B17403"/>
    <w:pPr>
      <w:keepNext/>
      <w:keepLines/>
      <w:tabs>
        <w:tab w:val="right" w:pos="1021"/>
      </w:tabs>
      <w:suppressAutoHyphens/>
      <w:spacing w:before="360" w:after="240" w:line="480" w:lineRule="exact"/>
      <w:ind w:left="1247" w:right="1247" w:hanging="1247"/>
      <w:outlineLvl w:val="0"/>
    </w:pPr>
    <w:rPr>
      <w:b/>
      <w:bCs/>
      <w:sz w:val="34"/>
      <w:szCs w:val="44"/>
    </w:rPr>
  </w:style>
  <w:style w:type="paragraph" w:customStyle="1" w:styleId="HChGA">
    <w:name w:val="_ H _Ch_GA"/>
    <w:basedOn w:val="Normal"/>
    <w:next w:val="Normal"/>
    <w:qFormat/>
    <w:rsid w:val="00B17403"/>
    <w:pPr>
      <w:keepNext/>
      <w:keepLines/>
      <w:tabs>
        <w:tab w:val="right" w:pos="1021"/>
      </w:tabs>
      <w:suppressAutoHyphens/>
      <w:spacing w:before="360" w:after="240" w:line="440" w:lineRule="exact"/>
      <w:ind w:left="1247" w:right="1247" w:hanging="1247"/>
      <w:outlineLvl w:val="1"/>
    </w:pPr>
    <w:rPr>
      <w:b/>
      <w:bCs/>
      <w:sz w:val="28"/>
      <w:szCs w:val="38"/>
    </w:rPr>
  </w:style>
  <w:style w:type="paragraph" w:customStyle="1" w:styleId="H1GA">
    <w:name w:val="_ H_1_GA"/>
    <w:basedOn w:val="Normal"/>
    <w:next w:val="Normal"/>
    <w:qFormat/>
    <w:rsid w:val="00B17403"/>
    <w:pPr>
      <w:keepNext/>
      <w:keepLines/>
      <w:tabs>
        <w:tab w:val="right" w:pos="1021"/>
      </w:tabs>
      <w:suppressAutoHyphens/>
      <w:spacing w:before="240" w:after="240" w:line="400" w:lineRule="exact"/>
      <w:ind w:left="1247" w:right="1247" w:hanging="1247"/>
      <w:outlineLvl w:val="2"/>
    </w:pPr>
    <w:rPr>
      <w:b/>
      <w:bCs/>
      <w:sz w:val="24"/>
      <w:szCs w:val="34"/>
    </w:rPr>
  </w:style>
  <w:style w:type="paragraph" w:customStyle="1" w:styleId="H23GA">
    <w:name w:val="_ H_2/3_GA"/>
    <w:basedOn w:val="Normal"/>
    <w:next w:val="Normal"/>
    <w:qFormat/>
    <w:rsid w:val="00B17403"/>
    <w:pPr>
      <w:keepNext/>
      <w:keepLines/>
      <w:tabs>
        <w:tab w:val="right" w:pos="1021"/>
      </w:tabs>
      <w:suppressAutoHyphens/>
      <w:spacing w:before="240" w:after="120" w:line="380" w:lineRule="exact"/>
      <w:ind w:left="1247" w:right="1247" w:hanging="1247"/>
      <w:outlineLvl w:val="3"/>
    </w:pPr>
    <w:rPr>
      <w:rFonts w:ascii="Times New Roman Bold" w:hAnsi="Times New Roman Bold"/>
      <w:b/>
      <w:bCs/>
      <w:lang w:eastAsia="ar-SA"/>
    </w:rPr>
  </w:style>
  <w:style w:type="paragraph" w:customStyle="1" w:styleId="H4GA">
    <w:name w:val="_ H_4_GA"/>
    <w:basedOn w:val="Normal"/>
    <w:next w:val="Normal"/>
    <w:qFormat/>
    <w:rsid w:val="00B17403"/>
    <w:pPr>
      <w:keepNext/>
      <w:keepLines/>
      <w:tabs>
        <w:tab w:val="right" w:pos="1021"/>
      </w:tabs>
      <w:suppressAutoHyphens/>
      <w:spacing w:before="240" w:after="120" w:line="380" w:lineRule="exact"/>
      <w:ind w:left="1247" w:right="1247" w:hanging="1247"/>
      <w:outlineLvl w:val="4"/>
    </w:pPr>
    <w:rPr>
      <w:i/>
      <w:iCs/>
    </w:rPr>
  </w:style>
  <w:style w:type="paragraph" w:customStyle="1" w:styleId="H56GA">
    <w:name w:val="_ H_5/6_GA"/>
    <w:basedOn w:val="Normal"/>
    <w:next w:val="Normal"/>
    <w:qFormat/>
    <w:rsid w:val="00B17403"/>
    <w:pPr>
      <w:keepNext/>
      <w:keepLines/>
      <w:tabs>
        <w:tab w:val="right" w:pos="1021"/>
      </w:tabs>
      <w:suppressAutoHyphens/>
      <w:spacing w:before="240" w:after="120" w:line="380" w:lineRule="exact"/>
      <w:ind w:left="1247" w:right="1247" w:hanging="1247"/>
      <w:outlineLvl w:val="5"/>
    </w:pPr>
  </w:style>
  <w:style w:type="paragraph" w:customStyle="1" w:styleId="SingleTxtGA">
    <w:name w:val="_ Single Txt_GA"/>
    <w:basedOn w:val="Normal"/>
    <w:link w:val="SingleTxtGAChar"/>
    <w:qFormat/>
    <w:rsid w:val="00B17403"/>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B17403"/>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B17403"/>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B17403"/>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B17403"/>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B17403"/>
    <w:pPr>
      <w:numPr>
        <w:numId w:val="3"/>
      </w:numPr>
      <w:suppressAutoHyphens/>
      <w:bidi w:val="0"/>
      <w:spacing w:after="120" w:line="360" w:lineRule="exact"/>
      <w:ind w:left="2494" w:right="1247" w:hanging="544"/>
    </w:pPr>
  </w:style>
  <w:style w:type="paragraph" w:customStyle="1" w:styleId="Bullet2GA">
    <w:name w:val="_Bullet 2_GA"/>
    <w:basedOn w:val="Normal"/>
    <w:qFormat/>
    <w:rsid w:val="00B17403"/>
    <w:pPr>
      <w:numPr>
        <w:numId w:val="4"/>
      </w:numPr>
      <w:tabs>
        <w:tab w:val="left" w:pos="3062"/>
      </w:tabs>
      <w:suppressAutoHyphens/>
      <w:bidi w:val="0"/>
      <w:spacing w:after="120" w:line="360" w:lineRule="exact"/>
      <w:ind w:right="1247" w:hanging="357"/>
    </w:pPr>
  </w:style>
  <w:style w:type="paragraph" w:customStyle="1" w:styleId="ParaNoGA">
    <w:name w:val="_ParaNo._GA"/>
    <w:basedOn w:val="SingleTxtGA"/>
    <w:qFormat/>
    <w:rsid w:val="00B17403"/>
    <w:pPr>
      <w:numPr>
        <w:numId w:val="5"/>
      </w:numPr>
      <w:suppressAutoHyphens/>
      <w:bidi w:val="0"/>
    </w:pPr>
  </w:style>
  <w:style w:type="paragraph" w:customStyle="1" w:styleId="Roman1GA">
    <w:name w:val="_Roman 1_GA"/>
    <w:basedOn w:val="Bullet1GA"/>
    <w:qFormat/>
    <w:rsid w:val="00B17403"/>
    <w:pPr>
      <w:numPr>
        <w:numId w:val="6"/>
      </w:numPr>
      <w:ind w:left="2307" w:hanging="357"/>
    </w:pPr>
  </w:style>
  <w:style w:type="paragraph" w:customStyle="1" w:styleId="Roman2GA">
    <w:name w:val="_Roman 2_GA"/>
    <w:basedOn w:val="Bullet2GA"/>
    <w:next w:val="Normal"/>
    <w:qFormat/>
    <w:rsid w:val="00B17403"/>
    <w:pPr>
      <w:numPr>
        <w:numId w:val="7"/>
      </w:numPr>
    </w:pPr>
  </w:style>
  <w:style w:type="paragraph" w:styleId="EndnoteText">
    <w:name w:val="endnote text"/>
    <w:aliases w:val="2_ GA"/>
    <w:basedOn w:val="Normal"/>
    <w:link w:val="EndnoteTextChar"/>
    <w:qFormat/>
    <w:rsid w:val="00B17403"/>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B17403"/>
    <w:rPr>
      <w:rFonts w:ascii="Times New Roman" w:eastAsia="PMingLiU" w:hAnsi="Times New Roman" w:cs="Traditional Arabic"/>
      <w:sz w:val="18"/>
      <w:szCs w:val="26"/>
    </w:rPr>
  </w:style>
  <w:style w:type="character" w:customStyle="1" w:styleId="EndtnoteReference">
    <w:name w:val="Endtnote Reference"/>
    <w:aliases w:val="1_GA"/>
    <w:qFormat/>
    <w:rsid w:val="00B17403"/>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B17403"/>
    <w:pPr>
      <w:suppressAutoHyphens/>
      <w:bidi w:val="0"/>
      <w:spacing w:line="240" w:lineRule="auto"/>
    </w:pPr>
    <w:rPr>
      <w:sz w:val="16"/>
      <w:szCs w:val="22"/>
      <w:lang w:val="en-GB"/>
    </w:rPr>
  </w:style>
  <w:style w:type="character" w:customStyle="1" w:styleId="FooterChar">
    <w:name w:val="Footer Char"/>
    <w:aliases w:val="3_GA Char,3_G Char"/>
    <w:link w:val="Footer"/>
    <w:rsid w:val="00B17403"/>
    <w:rPr>
      <w:rFonts w:ascii="Times New Roman" w:eastAsia="PMingLiU" w:hAnsi="Times New Roman" w:cs="Traditional Arabic"/>
      <w:sz w:val="16"/>
      <w:lang w:val="en-GB"/>
    </w:rPr>
  </w:style>
  <w:style w:type="paragraph" w:customStyle="1" w:styleId="FootnoteText1">
    <w:name w:val="Footnote Text1"/>
    <w:aliases w:val="5_GA"/>
    <w:basedOn w:val="Normal"/>
    <w:qFormat/>
    <w:rsid w:val="00B17403"/>
    <w:pPr>
      <w:spacing w:after="60" w:line="280" w:lineRule="exact"/>
      <w:ind w:left="1247" w:right="1247" w:hanging="567"/>
    </w:pPr>
    <w:rPr>
      <w:sz w:val="18"/>
      <w:szCs w:val="26"/>
    </w:rPr>
  </w:style>
  <w:style w:type="paragraph" w:styleId="Header">
    <w:name w:val="header"/>
    <w:aliases w:val="6_GA"/>
    <w:basedOn w:val="Normal"/>
    <w:link w:val="HeaderChar"/>
    <w:qFormat/>
    <w:rsid w:val="00B17403"/>
    <w:pPr>
      <w:pBdr>
        <w:bottom w:val="single" w:sz="4" w:space="4" w:color="auto"/>
      </w:pBdr>
      <w:suppressAutoHyphens/>
      <w:bidi w:val="0"/>
    </w:pPr>
    <w:rPr>
      <w:b/>
      <w:bCs/>
      <w:sz w:val="18"/>
      <w:szCs w:val="26"/>
    </w:rPr>
  </w:style>
  <w:style w:type="character" w:customStyle="1" w:styleId="HeaderChar">
    <w:name w:val="Header Char"/>
    <w:aliases w:val="6_GA Char"/>
    <w:link w:val="Header"/>
    <w:rsid w:val="00B17403"/>
    <w:rPr>
      <w:rFonts w:ascii="Times New Roman" w:eastAsia="PMingLiU" w:hAnsi="Times New Roman" w:cs="Traditional Arabic"/>
      <w:b/>
      <w:bCs/>
      <w:sz w:val="18"/>
      <w:szCs w:val="26"/>
    </w:rPr>
  </w:style>
  <w:style w:type="character" w:customStyle="1" w:styleId="Heading1Char">
    <w:name w:val="Heading 1 Char"/>
    <w:aliases w:val="Table_GA Char"/>
    <w:link w:val="Heading1"/>
    <w:rsid w:val="00B17403"/>
    <w:rPr>
      <w:rFonts w:ascii="Times New Roman" w:eastAsia="PMingLiU" w:hAnsi="Times New Roman" w:cs="Traditional Arabic"/>
      <w:sz w:val="20"/>
      <w:szCs w:val="28"/>
    </w:rPr>
  </w:style>
  <w:style w:type="character" w:styleId="PageNumber">
    <w:name w:val="page number"/>
    <w:aliases w:val="7_GA"/>
    <w:qFormat/>
    <w:rsid w:val="00B17403"/>
    <w:rPr>
      <w:rFonts w:ascii="Times New Roman" w:hAnsi="Times New Roman"/>
      <w:b/>
      <w:sz w:val="18"/>
    </w:rPr>
  </w:style>
  <w:style w:type="paragraph" w:customStyle="1" w:styleId="XXLargeGA">
    <w:name w:val="XXLarge_GA"/>
    <w:basedOn w:val="XLargeGA"/>
    <w:next w:val="Normal"/>
    <w:qFormat/>
    <w:rsid w:val="00B17403"/>
    <w:pPr>
      <w:spacing w:line="820" w:lineRule="exact"/>
    </w:pPr>
    <w:rPr>
      <w:spacing w:val="-8"/>
      <w:w w:val="96"/>
      <w:sz w:val="57"/>
      <w:szCs w:val="86"/>
    </w:rPr>
  </w:style>
  <w:style w:type="character" w:customStyle="1" w:styleId="Heading2Char">
    <w:name w:val="Heading 2 Char"/>
    <w:link w:val="Heading2"/>
    <w:uiPriority w:val="9"/>
    <w:rsid w:val="00B17403"/>
    <w:rPr>
      <w:rFonts w:ascii="Cambria" w:eastAsia="SimSun" w:hAnsi="Cambria" w:cs="Times New Roman"/>
      <w:b/>
      <w:bCs/>
      <w:color w:val="4F81BD"/>
      <w:sz w:val="26"/>
      <w:szCs w:val="26"/>
    </w:rPr>
  </w:style>
  <w:style w:type="character" w:styleId="BookTitle">
    <w:name w:val="Book Title"/>
    <w:uiPriority w:val="33"/>
    <w:rsid w:val="00B17403"/>
    <w:rPr>
      <w:b/>
      <w:bCs/>
      <w:smallCaps/>
      <w:spacing w:val="5"/>
    </w:rPr>
  </w:style>
  <w:style w:type="character" w:customStyle="1" w:styleId="Heading3Char">
    <w:name w:val="Heading 3 Char"/>
    <w:link w:val="Heading3"/>
    <w:uiPriority w:val="9"/>
    <w:rsid w:val="00B17403"/>
    <w:rPr>
      <w:rFonts w:ascii="Cambria" w:eastAsia="SimSun" w:hAnsi="Cambria" w:cs="Times New Roman"/>
      <w:b/>
      <w:bCs/>
      <w:color w:val="4F81BD"/>
      <w:sz w:val="20"/>
      <w:szCs w:val="28"/>
    </w:rPr>
  </w:style>
  <w:style w:type="character" w:customStyle="1" w:styleId="Heading4Char">
    <w:name w:val="Heading 4 Char"/>
    <w:link w:val="Heading4"/>
    <w:uiPriority w:val="9"/>
    <w:rsid w:val="00B17403"/>
    <w:rPr>
      <w:rFonts w:ascii="Cambria" w:eastAsia="SimSun" w:hAnsi="Cambria" w:cs="Times New Roman"/>
      <w:b/>
      <w:bCs/>
      <w:i/>
      <w:iCs/>
      <w:color w:val="4F81BD"/>
      <w:sz w:val="20"/>
      <w:szCs w:val="28"/>
    </w:rPr>
  </w:style>
  <w:style w:type="character" w:customStyle="1" w:styleId="Heading5Char">
    <w:name w:val="Heading 5 Char"/>
    <w:link w:val="Heading5"/>
    <w:uiPriority w:val="9"/>
    <w:rsid w:val="00B17403"/>
    <w:rPr>
      <w:rFonts w:ascii="Cambria" w:eastAsia="SimSun" w:hAnsi="Cambria" w:cs="Times New Roman"/>
      <w:color w:val="243F60"/>
      <w:sz w:val="20"/>
      <w:szCs w:val="28"/>
    </w:rPr>
  </w:style>
  <w:style w:type="character" w:customStyle="1" w:styleId="Heading6Char">
    <w:name w:val="Heading 6 Char"/>
    <w:link w:val="Heading6"/>
    <w:uiPriority w:val="9"/>
    <w:rsid w:val="00B17403"/>
    <w:rPr>
      <w:rFonts w:ascii="Cambria" w:eastAsia="SimSun" w:hAnsi="Cambria" w:cs="Times New Roman"/>
      <w:i/>
      <w:iCs/>
      <w:color w:val="243F60"/>
      <w:sz w:val="20"/>
      <w:szCs w:val="28"/>
    </w:rPr>
  </w:style>
  <w:style w:type="character" w:customStyle="1" w:styleId="Heading7Char">
    <w:name w:val="Heading 7 Char"/>
    <w:link w:val="Heading7"/>
    <w:uiPriority w:val="9"/>
    <w:rsid w:val="00B17403"/>
    <w:rPr>
      <w:rFonts w:ascii="Cambria" w:eastAsia="SimSun" w:hAnsi="Cambria" w:cs="Times New Roman"/>
      <w:i/>
      <w:iCs/>
      <w:color w:val="404040"/>
      <w:sz w:val="20"/>
      <w:szCs w:val="28"/>
    </w:rPr>
  </w:style>
  <w:style w:type="character" w:customStyle="1" w:styleId="Heading8Char">
    <w:name w:val="Heading 8 Char"/>
    <w:link w:val="Heading8"/>
    <w:uiPriority w:val="9"/>
    <w:rsid w:val="00B17403"/>
    <w:rPr>
      <w:rFonts w:ascii="Cambria" w:eastAsia="SimSun" w:hAnsi="Cambria" w:cs="Times New Roman"/>
      <w:color w:val="404040"/>
      <w:sz w:val="20"/>
      <w:szCs w:val="20"/>
    </w:rPr>
  </w:style>
  <w:style w:type="character" w:customStyle="1" w:styleId="Heading9Char">
    <w:name w:val="Heading 9 Char"/>
    <w:link w:val="Heading9"/>
    <w:uiPriority w:val="9"/>
    <w:rsid w:val="00B17403"/>
    <w:rPr>
      <w:rFonts w:ascii="Cambria" w:eastAsia="SimSun" w:hAnsi="Cambria" w:cs="Times New Roman"/>
      <w:i/>
      <w:iCs/>
      <w:color w:val="404040"/>
      <w:sz w:val="20"/>
      <w:szCs w:val="20"/>
    </w:rPr>
  </w:style>
  <w:style w:type="paragraph" w:styleId="Title">
    <w:name w:val="Title"/>
    <w:basedOn w:val="Normal"/>
    <w:next w:val="Normal"/>
    <w:link w:val="TitleChar"/>
    <w:uiPriority w:val="10"/>
    <w:rsid w:val="00B17403"/>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B17403"/>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B17403"/>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B17403"/>
    <w:rPr>
      <w:rFonts w:ascii="Cambria" w:eastAsia="SimSun" w:hAnsi="Cambria" w:cs="Times New Roman"/>
      <w:i/>
      <w:iCs/>
      <w:color w:val="4F81BD"/>
      <w:spacing w:val="15"/>
      <w:sz w:val="24"/>
      <w:szCs w:val="24"/>
    </w:rPr>
  </w:style>
  <w:style w:type="character" w:styleId="SubtleEmphasis">
    <w:name w:val="Subtle Emphasis"/>
    <w:uiPriority w:val="19"/>
    <w:rsid w:val="00B17403"/>
    <w:rPr>
      <w:i/>
      <w:iCs/>
      <w:color w:val="808080"/>
    </w:rPr>
  </w:style>
  <w:style w:type="table" w:styleId="ColorfulGrid-Accent6">
    <w:name w:val="Colorful Grid Accent 6"/>
    <w:basedOn w:val="TableNormal"/>
    <w:uiPriority w:val="73"/>
    <w:rsid w:val="00B17403"/>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B17403"/>
    <w:rPr>
      <w:i/>
      <w:iCs/>
    </w:rPr>
  </w:style>
  <w:style w:type="character" w:styleId="IntenseEmphasis">
    <w:name w:val="Intense Emphasis"/>
    <w:uiPriority w:val="21"/>
    <w:rsid w:val="00B17403"/>
    <w:rPr>
      <w:b/>
      <w:bCs/>
      <w:i/>
      <w:iCs/>
      <w:color w:val="4F81BD"/>
    </w:rPr>
  </w:style>
  <w:style w:type="character" w:styleId="Strong">
    <w:name w:val="Strong"/>
    <w:uiPriority w:val="22"/>
    <w:rsid w:val="00B17403"/>
    <w:rPr>
      <w:b/>
      <w:bCs/>
    </w:rPr>
  </w:style>
  <w:style w:type="paragraph" w:styleId="Quote">
    <w:name w:val="Quote"/>
    <w:basedOn w:val="Normal"/>
    <w:next w:val="Normal"/>
    <w:link w:val="QuoteChar"/>
    <w:uiPriority w:val="29"/>
    <w:rsid w:val="00B17403"/>
    <w:rPr>
      <w:i/>
      <w:iCs/>
      <w:color w:val="000000"/>
    </w:rPr>
  </w:style>
  <w:style w:type="character" w:customStyle="1" w:styleId="QuoteChar">
    <w:name w:val="Quote Char"/>
    <w:link w:val="Quote"/>
    <w:uiPriority w:val="29"/>
    <w:rsid w:val="00B17403"/>
    <w:rPr>
      <w:rFonts w:ascii="Times New Roman" w:eastAsia="PMingLiU" w:hAnsi="Times New Roman" w:cs="Traditional Arabic"/>
      <w:i/>
      <w:iCs/>
      <w:color w:val="000000"/>
      <w:sz w:val="20"/>
      <w:szCs w:val="28"/>
    </w:rPr>
  </w:style>
  <w:style w:type="paragraph" w:styleId="IntenseQuote">
    <w:name w:val="Intense Quote"/>
    <w:basedOn w:val="Normal"/>
    <w:next w:val="Normal"/>
    <w:link w:val="IntenseQuoteChar"/>
    <w:uiPriority w:val="30"/>
    <w:rsid w:val="00B1740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17403"/>
    <w:rPr>
      <w:rFonts w:ascii="Times New Roman" w:eastAsia="PMingLiU" w:hAnsi="Times New Roman" w:cs="Traditional Arabic"/>
      <w:b/>
      <w:bCs/>
      <w:i/>
      <w:iCs/>
      <w:color w:val="4F81BD"/>
      <w:sz w:val="20"/>
      <w:szCs w:val="28"/>
    </w:rPr>
  </w:style>
  <w:style w:type="character" w:styleId="SubtleReference">
    <w:name w:val="Subtle Reference"/>
    <w:uiPriority w:val="31"/>
    <w:rsid w:val="00B17403"/>
    <w:rPr>
      <w:smallCaps/>
      <w:color w:val="C0504D"/>
      <w:u w:val="single"/>
    </w:rPr>
  </w:style>
  <w:style w:type="character" w:styleId="IntenseReference">
    <w:name w:val="Intense Reference"/>
    <w:uiPriority w:val="32"/>
    <w:rsid w:val="00B17403"/>
    <w:rPr>
      <w:b/>
      <w:bCs/>
      <w:smallCaps/>
      <w:color w:val="C0504D"/>
      <w:spacing w:val="5"/>
      <w:u w:val="single"/>
    </w:rPr>
  </w:style>
  <w:style w:type="paragraph" w:styleId="ListParagraph">
    <w:name w:val="List Paragraph"/>
    <w:basedOn w:val="Normal"/>
    <w:uiPriority w:val="34"/>
    <w:rsid w:val="00B17403"/>
    <w:pPr>
      <w:ind w:left="720"/>
      <w:contextualSpacing/>
    </w:pPr>
  </w:style>
  <w:style w:type="table" w:styleId="MediumShading1-Accent4">
    <w:name w:val="Medium Shading 1 Accent 4"/>
    <w:basedOn w:val="TableNormal"/>
    <w:uiPriority w:val="63"/>
    <w:rsid w:val="00B17403"/>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B17403"/>
    <w:rPr>
      <w:vertAlign w:val="superscript"/>
    </w:rPr>
  </w:style>
  <w:style w:type="table" w:styleId="TableGrid">
    <w:name w:val="Table Grid"/>
    <w:basedOn w:val="TableNormal"/>
    <w:rsid w:val="00B17403"/>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740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17403"/>
    <w:rPr>
      <w:rFonts w:ascii="Tahoma" w:eastAsia="PMingLiU" w:hAnsi="Tahoma" w:cs="Tahoma"/>
      <w:sz w:val="16"/>
      <w:szCs w:val="16"/>
    </w:rPr>
  </w:style>
  <w:style w:type="character" w:styleId="Hyperlink">
    <w:name w:val="Hyperlink"/>
    <w:uiPriority w:val="99"/>
    <w:unhideWhenUsed/>
    <w:rsid w:val="00B17403"/>
    <w:rPr>
      <w:color w:val="0000FF"/>
      <w:u w:val="single"/>
    </w:rPr>
  </w:style>
  <w:style w:type="paragraph" w:styleId="TOC1">
    <w:name w:val="toc 1"/>
    <w:basedOn w:val="Normal"/>
    <w:next w:val="Normal"/>
    <w:link w:val="TOC1Char"/>
    <w:autoRedefine/>
    <w:uiPriority w:val="39"/>
    <w:unhideWhenUsed/>
    <w:rsid w:val="00B17403"/>
    <w:pPr>
      <w:tabs>
        <w:tab w:val="right" w:pos="1021"/>
        <w:tab w:val="left" w:pos="1077"/>
        <w:tab w:val="left" w:pos="1525"/>
        <w:tab w:val="left" w:leader="dot" w:pos="7467"/>
        <w:tab w:val="left" w:pos="7972"/>
        <w:tab w:val="right" w:pos="9639"/>
      </w:tabs>
      <w:spacing w:before="120" w:line="360" w:lineRule="exact"/>
      <w:ind w:left="1525" w:right="2211" w:hanging="1525"/>
    </w:pPr>
    <w:rPr>
      <w:rFonts w:eastAsia="Times New Roman"/>
      <w:noProof/>
      <w:lang w:val="fr-CH" w:bidi="ar-EG"/>
    </w:rPr>
  </w:style>
  <w:style w:type="paragraph" w:styleId="TOC2">
    <w:name w:val="toc 2"/>
    <w:basedOn w:val="Normal"/>
    <w:next w:val="Normal"/>
    <w:link w:val="TOC2Char"/>
    <w:autoRedefine/>
    <w:uiPriority w:val="39"/>
    <w:unhideWhenUsed/>
    <w:rsid w:val="00B17403"/>
    <w:pPr>
      <w:tabs>
        <w:tab w:val="left" w:pos="1843"/>
        <w:tab w:val="left" w:pos="2206"/>
        <w:tab w:val="left" w:leader="dot" w:pos="7467"/>
        <w:tab w:val="left" w:pos="7972"/>
        <w:tab w:val="right" w:pos="9639"/>
      </w:tabs>
      <w:spacing w:line="360" w:lineRule="exact"/>
      <w:ind w:left="2205" w:right="2206" w:hanging="680"/>
    </w:pPr>
    <w:rPr>
      <w:rFonts w:eastAsia="DengXian"/>
      <w:noProof/>
      <w:lang w:val="fr-CH"/>
    </w:rPr>
  </w:style>
  <w:style w:type="paragraph" w:styleId="TOC3">
    <w:name w:val="toc 3"/>
    <w:basedOn w:val="TOC2"/>
    <w:next w:val="Normal"/>
    <w:link w:val="TOC3Char"/>
    <w:autoRedefine/>
    <w:uiPriority w:val="39"/>
    <w:unhideWhenUsed/>
    <w:rsid w:val="00B17403"/>
    <w:pPr>
      <w:tabs>
        <w:tab w:val="clear" w:pos="1843"/>
        <w:tab w:val="clear" w:pos="2206"/>
        <w:tab w:val="left" w:pos="2325"/>
      </w:tabs>
      <w:bidi w:val="0"/>
      <w:ind w:left="2886"/>
    </w:pPr>
    <w:rPr>
      <w:lang w:bidi="ar-EG"/>
    </w:rPr>
  </w:style>
  <w:style w:type="character" w:customStyle="1" w:styleId="PagesNumbers">
    <w:name w:val="Pages Numbers"/>
    <w:uiPriority w:val="1"/>
    <w:qFormat/>
    <w:rsid w:val="00B17403"/>
    <w:rPr>
      <w:rFonts w:eastAsia="DengXian"/>
      <w:color w:val="auto"/>
      <w:sz w:val="20"/>
      <w:szCs w:val="20"/>
      <w:u w:val="none"/>
      <w:lang w:eastAsia="zh-CN" w:bidi="ar-EG"/>
    </w:rPr>
  </w:style>
  <w:style w:type="paragraph" w:styleId="TOC4">
    <w:name w:val="toc 4"/>
    <w:basedOn w:val="Normal"/>
    <w:next w:val="Normal"/>
    <w:link w:val="TOC4Char"/>
    <w:autoRedefine/>
    <w:uiPriority w:val="39"/>
    <w:unhideWhenUsed/>
    <w:rsid w:val="00B17403"/>
    <w:pPr>
      <w:tabs>
        <w:tab w:val="right" w:pos="1021"/>
        <w:tab w:val="left" w:pos="1077"/>
        <w:tab w:val="left" w:pos="1525"/>
        <w:tab w:val="left" w:leader="dot" w:pos="9065"/>
        <w:tab w:val="right" w:pos="9639"/>
      </w:tabs>
      <w:spacing w:before="120" w:line="360" w:lineRule="exact"/>
      <w:ind w:left="1525" w:right="567" w:hanging="1525"/>
    </w:pPr>
    <w:rPr>
      <w:rFonts w:eastAsia="Times New Roman"/>
      <w:noProof/>
    </w:rPr>
  </w:style>
  <w:style w:type="paragraph" w:styleId="TOC5">
    <w:name w:val="toc 5"/>
    <w:basedOn w:val="Normal"/>
    <w:next w:val="Normal"/>
    <w:link w:val="TOC5Char"/>
    <w:autoRedefine/>
    <w:uiPriority w:val="39"/>
    <w:unhideWhenUsed/>
    <w:rsid w:val="00B17403"/>
    <w:pPr>
      <w:tabs>
        <w:tab w:val="left" w:pos="1843"/>
        <w:tab w:val="left" w:pos="2206"/>
        <w:tab w:val="left" w:leader="dot" w:pos="9065"/>
        <w:tab w:val="right" w:pos="9639"/>
      </w:tabs>
      <w:spacing w:line="360" w:lineRule="exact"/>
      <w:ind w:left="2205" w:right="567" w:hanging="680"/>
    </w:pPr>
    <w:rPr>
      <w:rFonts w:eastAsia="Times New Roman"/>
      <w:noProof/>
    </w:rPr>
  </w:style>
  <w:style w:type="paragraph" w:styleId="TOC6">
    <w:name w:val="toc 6"/>
    <w:basedOn w:val="Normal"/>
    <w:next w:val="Normal"/>
    <w:link w:val="TOC6Char"/>
    <w:autoRedefine/>
    <w:uiPriority w:val="39"/>
    <w:unhideWhenUsed/>
    <w:rsid w:val="00B17403"/>
    <w:pPr>
      <w:tabs>
        <w:tab w:val="left" w:pos="2325"/>
        <w:tab w:val="left" w:leader="dot" w:pos="9065"/>
        <w:tab w:val="right" w:pos="9639"/>
      </w:tabs>
      <w:spacing w:line="360" w:lineRule="exact"/>
      <w:ind w:left="2886" w:right="567" w:hanging="680"/>
    </w:pPr>
    <w:rPr>
      <w:rFonts w:eastAsia="Times New Roman"/>
    </w:rPr>
  </w:style>
  <w:style w:type="paragraph" w:customStyle="1" w:styleId="a">
    <w:name w:val="المحتويات_بلا_فقرات"/>
    <w:rsid w:val="00B17403"/>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hAnsi="Times New Roman" w:cs="Traditional Arabic"/>
      <w:sz w:val="20"/>
      <w:szCs w:val="28"/>
    </w:rPr>
  </w:style>
  <w:style w:type="table" w:customStyle="1" w:styleId="TABLEA">
    <w:name w:val="TABLE_A"/>
    <w:basedOn w:val="TableNormal"/>
    <w:uiPriority w:val="99"/>
    <w:rsid w:val="00B17403"/>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B17403"/>
    <w:rPr>
      <w:rFonts w:ascii="Times New Roman" w:eastAsia="PMingLiU" w:hAnsi="Times New Roman" w:cs="Traditional Arabic"/>
      <w:sz w:val="20"/>
      <w:szCs w:val="28"/>
    </w:rPr>
  </w:style>
  <w:style w:type="character" w:styleId="UnresolvedMention">
    <w:name w:val="Unresolved Mention"/>
    <w:basedOn w:val="DefaultParagraphFont"/>
    <w:uiPriority w:val="99"/>
    <w:semiHidden/>
    <w:unhideWhenUsed/>
    <w:rsid w:val="00B17403"/>
    <w:rPr>
      <w:color w:val="605E5C"/>
      <w:shd w:val="clear" w:color="auto" w:fill="E1DFDD"/>
    </w:rPr>
  </w:style>
  <w:style w:type="paragraph" w:customStyle="1" w:styleId="HChG">
    <w:name w:val="_ H _Ch_G"/>
    <w:basedOn w:val="Normal"/>
    <w:next w:val="Normal"/>
    <w:qFormat/>
    <w:rsid w:val="00B17403"/>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szCs w:val="30"/>
      <w:lang w:val="en-GB" w:eastAsia="zh-CN"/>
    </w:rPr>
  </w:style>
  <w:style w:type="paragraph" w:customStyle="1" w:styleId="H1G">
    <w:name w:val="_ H_1_G"/>
    <w:basedOn w:val="Normal"/>
    <w:next w:val="Normal"/>
    <w:qFormat/>
    <w:rsid w:val="00B17403"/>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szCs w:val="30"/>
      <w:lang w:val="en-GB" w:eastAsia="zh-CN"/>
    </w:rPr>
  </w:style>
  <w:style w:type="paragraph" w:customStyle="1" w:styleId="SingleTxtG">
    <w:name w:val="_ Single Txt_G"/>
    <w:basedOn w:val="Normal"/>
    <w:link w:val="SingleTxtGChar"/>
    <w:qFormat/>
    <w:rsid w:val="00B17403"/>
    <w:pPr>
      <w:suppressAutoHyphens/>
      <w:bidi w:val="0"/>
      <w:spacing w:after="120"/>
      <w:ind w:left="1134" w:right="1134"/>
      <w:jc w:val="both"/>
    </w:pPr>
    <w:rPr>
      <w:rFonts w:eastAsia="SimSun" w:hAnsiTheme="minorHAnsi"/>
      <w:szCs w:val="30"/>
      <w:lang w:val="en-GB" w:eastAsia="zh-CN"/>
    </w:rPr>
  </w:style>
  <w:style w:type="character" w:customStyle="1" w:styleId="SingleTxtGChar">
    <w:name w:val="_ Single Txt_G Char"/>
    <w:basedOn w:val="DefaultParagraphFont"/>
    <w:link w:val="SingleTxtG"/>
    <w:rsid w:val="00B17403"/>
    <w:rPr>
      <w:rFonts w:ascii="Times New Roman" w:eastAsia="SimSun" w:cs="Traditional Arabic"/>
      <w:sz w:val="20"/>
      <w:szCs w:val="30"/>
      <w:lang w:val="en-GB" w:eastAsia="zh-CN"/>
    </w:rPr>
  </w:style>
  <w:style w:type="character" w:customStyle="1" w:styleId="TOC1Char">
    <w:name w:val="TOC 1 Char"/>
    <w:basedOn w:val="DefaultParagraphFont"/>
    <w:link w:val="TOC1"/>
    <w:uiPriority w:val="39"/>
    <w:rsid w:val="00B17403"/>
    <w:rPr>
      <w:rFonts w:ascii="Times New Roman" w:hAnsi="Times New Roman" w:cs="Traditional Arabic"/>
      <w:noProof/>
      <w:sz w:val="20"/>
      <w:szCs w:val="28"/>
      <w:lang w:val="fr-CH" w:bidi="ar-EG"/>
    </w:rPr>
  </w:style>
  <w:style w:type="character" w:customStyle="1" w:styleId="TOC2Char">
    <w:name w:val="TOC 2 Char"/>
    <w:basedOn w:val="DefaultParagraphFont"/>
    <w:link w:val="TOC2"/>
    <w:uiPriority w:val="39"/>
    <w:rsid w:val="00B17403"/>
    <w:rPr>
      <w:rFonts w:ascii="Times New Roman" w:eastAsia="DengXian" w:hAnsi="Times New Roman" w:cs="Traditional Arabic"/>
      <w:noProof/>
      <w:sz w:val="20"/>
      <w:szCs w:val="28"/>
      <w:lang w:val="fr-CH"/>
    </w:rPr>
  </w:style>
  <w:style w:type="character" w:customStyle="1" w:styleId="TOC3Char">
    <w:name w:val="TOC 3 Char"/>
    <w:basedOn w:val="TOC2Char"/>
    <w:link w:val="TOC3"/>
    <w:uiPriority w:val="39"/>
    <w:rsid w:val="00B17403"/>
    <w:rPr>
      <w:rFonts w:ascii="Times New Roman" w:eastAsia="DengXian" w:hAnsi="Times New Roman" w:cs="Traditional Arabic"/>
      <w:noProof/>
      <w:sz w:val="20"/>
      <w:szCs w:val="28"/>
      <w:lang w:val="fr-CH" w:bidi="ar-EG"/>
    </w:rPr>
  </w:style>
  <w:style w:type="character" w:customStyle="1" w:styleId="TOC4Char">
    <w:name w:val="TOC 4 Char"/>
    <w:basedOn w:val="DefaultParagraphFont"/>
    <w:link w:val="TOC4"/>
    <w:uiPriority w:val="39"/>
    <w:rsid w:val="00B17403"/>
    <w:rPr>
      <w:rFonts w:ascii="Times New Roman" w:hAnsi="Times New Roman" w:cs="Traditional Arabic"/>
      <w:noProof/>
      <w:sz w:val="20"/>
      <w:szCs w:val="28"/>
    </w:rPr>
  </w:style>
  <w:style w:type="character" w:customStyle="1" w:styleId="TOC5Char">
    <w:name w:val="TOC 5 Char"/>
    <w:basedOn w:val="DefaultParagraphFont"/>
    <w:link w:val="TOC5"/>
    <w:uiPriority w:val="39"/>
    <w:rsid w:val="00B17403"/>
    <w:rPr>
      <w:rFonts w:ascii="Times New Roman" w:hAnsi="Times New Roman" w:cs="Traditional Arabic"/>
      <w:noProof/>
      <w:sz w:val="20"/>
      <w:szCs w:val="28"/>
    </w:rPr>
  </w:style>
  <w:style w:type="character" w:customStyle="1" w:styleId="TOC6Char">
    <w:name w:val="TOC 6 Char"/>
    <w:basedOn w:val="DefaultParagraphFont"/>
    <w:link w:val="TOC6"/>
    <w:uiPriority w:val="39"/>
    <w:rsid w:val="00B17403"/>
    <w:rPr>
      <w:rFonts w:ascii="Times New Roman" w:hAnsi="Times New Roman" w:cs="Traditional Arabic"/>
      <w:sz w:val="20"/>
      <w:szCs w:val="28"/>
    </w:rPr>
  </w:style>
  <w:style w:type="paragraph" w:customStyle="1" w:styleId="SessionDate">
    <w:name w:val="Session_Date"/>
    <w:basedOn w:val="Normal"/>
    <w:qFormat/>
    <w:rsid w:val="00B17403"/>
    <w:pPr>
      <w:spacing w:before="240" w:after="240" w:line="460" w:lineRule="exact"/>
      <w:ind w:left="1247"/>
    </w:pPr>
    <w:rPr>
      <w:b/>
      <w:bCs/>
      <w:sz w:val="32"/>
      <w:szCs w:val="44"/>
    </w:rPr>
  </w:style>
  <w:style w:type="paragraph" w:customStyle="1" w:styleId="SessionNumber">
    <w:name w:val="Session_Number"/>
    <w:basedOn w:val="Normal"/>
    <w:qFormat/>
    <w:rsid w:val="00B17403"/>
    <w:pPr>
      <w:spacing w:line="480" w:lineRule="exact"/>
      <w:ind w:left="1247"/>
    </w:pPr>
    <w:rPr>
      <w:b/>
      <w:bCs/>
      <w:sz w:val="28"/>
      <w:szCs w:val="38"/>
    </w:rPr>
  </w:style>
  <w:style w:type="paragraph" w:customStyle="1" w:styleId="CityandYear">
    <w:name w:val="City and Year"/>
    <w:basedOn w:val="SingleTxtGA"/>
    <w:qFormat/>
    <w:rsid w:val="00B17403"/>
    <w:pPr>
      <w:spacing w:line="480" w:lineRule="exact"/>
    </w:pPr>
    <w:rPr>
      <w:rFonts w:ascii="Times New Roman Bold" w:hAnsi="Times New Roman Bold"/>
      <w:b/>
      <w:bCs/>
      <w:sz w:val="30"/>
      <w:szCs w:val="3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6C209-9FB2-4D07-A4B0-6709688BC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1</TotalTime>
  <Pages>5</Pages>
  <Words>1646</Words>
  <Characters>8463</Characters>
  <Application>Microsoft Office Word</Application>
  <DocSecurity>0</DocSecurity>
  <Lines>126</Lines>
  <Paragraphs>26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E/C.12/2020/2</vt:lpstr>
      <vt:lpstr>    بيان بشأن توفير لقاحات مضادة لمرض فيروس كورونا (كوفيد-19) للجميع على قدم المسا</vt:lpstr>
      <vt:lpstr>        بيان من اللجنة المعنية بالحقوق الاقتصادية والاجتماعية والثقافية*</vt:lpstr>
    </vt:vector>
  </TitlesOfParts>
  <Company>DCM</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E/C.12/2020/2</dc:title>
  <dc:subject>GE.</dc:subject>
  <dc:creator>IBAL</dc:creator>
  <cp:keywords>ODS No.</cp:keywords>
  <dc:description>Original: English _x000d_
Distribution: General_x000d_
Date:</dc:description>
  <cp:lastModifiedBy>Ibrahim Balan</cp:lastModifiedBy>
  <cp:revision>3</cp:revision>
  <cp:lastPrinted>2021-01-14T08:31:00Z</cp:lastPrinted>
  <dcterms:created xsi:type="dcterms:W3CDTF">2021-01-14T08:31:00Z</dcterms:created>
  <dcterms:modified xsi:type="dcterms:W3CDTF">2021-01-14T08:32:00Z</dcterms:modified>
  <cp:category>Final</cp:category>
</cp:coreProperties>
</file>