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C1190" w14:paraId="7F4C45DA" w14:textId="77777777" w:rsidTr="00980D2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380F4AF" w14:textId="77777777" w:rsidR="001E498C" w:rsidRPr="009C41E2" w:rsidRDefault="001E498C" w:rsidP="005C06D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537C9FF" w14:textId="77777777" w:rsidR="001E498C" w:rsidRPr="009C41E2" w:rsidRDefault="00CA2792" w:rsidP="005C06D4">
            <w:pPr>
              <w:spacing w:after="80" w:line="300" w:lineRule="exact"/>
              <w:rPr>
                <w:sz w:val="24"/>
                <w:szCs w:val="24"/>
              </w:rPr>
            </w:pPr>
            <w:r w:rsidRPr="009C41E2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84D0F2F" w14:textId="77777777" w:rsidR="001E498C" w:rsidRPr="009C41E2" w:rsidRDefault="00CA2792" w:rsidP="00716EE9">
            <w:pPr>
              <w:suppressAutoHyphens w:val="0"/>
              <w:spacing w:after="20"/>
              <w:jc w:val="right"/>
            </w:pPr>
            <w:r>
              <w:rPr>
                <w:sz w:val="40"/>
              </w:rPr>
              <w:t>E</w:t>
            </w:r>
            <w:r>
              <w:t>/</w:t>
            </w:r>
            <w:r w:rsidRPr="009C41E2">
              <w:t>C.12/2021/SR.1</w:t>
            </w:r>
          </w:p>
        </w:tc>
      </w:tr>
      <w:tr w:rsidR="00AC1190" w14:paraId="67F9120A" w14:textId="77777777" w:rsidTr="00980D2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C20BCD9" w14:textId="77777777" w:rsidR="003D7E61" w:rsidRPr="009C41E2" w:rsidRDefault="00CA2792" w:rsidP="003D7E61">
            <w:pPr>
              <w:spacing w:before="120"/>
              <w:jc w:val="center"/>
            </w:pPr>
            <w:r w:rsidRPr="009C41E2">
              <w:rPr>
                <w:noProof/>
                <w:lang w:val="fr-CH" w:eastAsia="fr-CH"/>
              </w:rPr>
              <w:drawing>
                <wp:inline distT="0" distB="0" distL="0" distR="0" wp14:anchorId="59F89B38" wp14:editId="31678EAF">
                  <wp:extent cx="714375" cy="590550"/>
                  <wp:effectExtent l="0" t="0" r="9525" b="0"/>
                  <wp:docPr id="888396694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292035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F9A606" w14:textId="77777777" w:rsidR="003D7E61" w:rsidRPr="006813D2" w:rsidRDefault="00CA2792" w:rsidP="003D7E61">
            <w:pPr>
              <w:spacing w:before="120" w:line="380" w:lineRule="exact"/>
              <w:rPr>
                <w:b/>
                <w:bCs/>
                <w:sz w:val="34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A63222D" w14:textId="77777777" w:rsidR="003D7E61" w:rsidRPr="0096005E" w:rsidRDefault="00CA2792" w:rsidP="003D7E61">
            <w:pPr>
              <w:suppressAutoHyphens w:val="0"/>
              <w:spacing w:before="240" w:line="240" w:lineRule="exact"/>
            </w:pPr>
            <w:r w:rsidRPr="0096005E">
              <w:t>Distr.: General</w:t>
            </w:r>
          </w:p>
          <w:p w14:paraId="5822E4B3" w14:textId="5C563EE0" w:rsidR="003D7E61" w:rsidRPr="0096005E" w:rsidRDefault="0096005E" w:rsidP="003D7E61">
            <w:pPr>
              <w:suppressAutoHyphens w:val="0"/>
            </w:pPr>
            <w:r>
              <w:t>19</w:t>
            </w:r>
            <w:r w:rsidR="00FE419A" w:rsidRPr="0096005E">
              <w:t xml:space="preserve"> February 202</w:t>
            </w:r>
            <w:r w:rsidR="00B91D5B">
              <w:t>1</w:t>
            </w:r>
            <w:bookmarkStart w:id="0" w:name="_GoBack"/>
            <w:bookmarkEnd w:id="0"/>
          </w:p>
          <w:p w14:paraId="4DAC8463" w14:textId="77777777" w:rsidR="003D7E61" w:rsidRPr="0096005E" w:rsidRDefault="003D7E61" w:rsidP="003D7E61">
            <w:pPr>
              <w:suppressAutoHyphens w:val="0"/>
            </w:pPr>
          </w:p>
          <w:p w14:paraId="6E5FB03D" w14:textId="77777777" w:rsidR="003D7E61" w:rsidRPr="0096005E" w:rsidRDefault="00CA2792" w:rsidP="003D7E61">
            <w:pPr>
              <w:suppressAutoHyphens w:val="0"/>
            </w:pPr>
            <w:r w:rsidRPr="0096005E">
              <w:t>Original: English</w:t>
            </w:r>
          </w:p>
        </w:tc>
      </w:tr>
    </w:tbl>
    <w:p w14:paraId="5935E977" w14:textId="77777777" w:rsidR="003D7E61" w:rsidRDefault="00CA2792" w:rsidP="003D7E61">
      <w:pPr>
        <w:spacing w:before="120"/>
        <w:rPr>
          <w:b/>
          <w:sz w:val="24"/>
        </w:rPr>
      </w:pPr>
      <w:r>
        <w:rPr>
          <w:b/>
          <w:sz w:val="24"/>
        </w:rPr>
        <w:t>Committee on Economic, Social and Cultural Rights</w:t>
      </w:r>
    </w:p>
    <w:p w14:paraId="044A6049" w14:textId="77777777" w:rsidR="00716EE9" w:rsidRPr="00C33133" w:rsidRDefault="00CA2792" w:rsidP="00716EE9">
      <w:pPr>
        <w:spacing w:after="120"/>
        <w:rPr>
          <w:b/>
        </w:rPr>
      </w:pPr>
      <w:r w:rsidRPr="009C41E2">
        <w:rPr>
          <w:b/>
          <w:bCs/>
        </w:rPr>
        <w:t>Sixty-ninth</w:t>
      </w:r>
      <w:r w:rsidRPr="00C33133">
        <w:rPr>
          <w:b/>
        </w:rPr>
        <w:t xml:space="preserve"> session</w:t>
      </w:r>
    </w:p>
    <w:p w14:paraId="345C9322" w14:textId="77777777" w:rsidR="003B0B0F" w:rsidRPr="00F24D6D" w:rsidRDefault="00CA2792" w:rsidP="004E4ACC">
      <w:pPr>
        <w:rPr>
          <w:b/>
          <w:bCs/>
        </w:rPr>
      </w:pPr>
      <w:r>
        <w:rPr>
          <w:b/>
        </w:rPr>
        <w:t>Summary record of the</w:t>
      </w:r>
      <w:r w:rsidR="008E3B8D">
        <w:rPr>
          <w:b/>
        </w:rPr>
        <w:t xml:space="preserve"> first part</w:t>
      </w:r>
      <w:r w:rsidR="008E3B8D">
        <w:rPr>
          <w:b/>
          <w:bCs/>
        </w:rPr>
        <w:t xml:space="preserve"> (public)</w:t>
      </w:r>
      <w:r w:rsidR="00F17B7E">
        <w:t>*</w:t>
      </w:r>
      <w:r w:rsidR="008E3B8D">
        <w:rPr>
          <w:b/>
          <w:bCs/>
        </w:rPr>
        <w:t xml:space="preserve"> </w:t>
      </w:r>
      <w:r w:rsidR="004E4ACC">
        <w:rPr>
          <w:b/>
          <w:bCs/>
        </w:rPr>
        <w:t xml:space="preserve">of the </w:t>
      </w:r>
      <w:r w:rsidR="002E6AF8" w:rsidRPr="00F24D6D">
        <w:rPr>
          <w:b/>
          <w:bCs/>
        </w:rPr>
        <w:t>1st</w:t>
      </w:r>
      <w:r w:rsidR="00716EE9">
        <w:rPr>
          <w:b/>
          <w:bCs/>
        </w:rPr>
        <w:t xml:space="preserve"> </w:t>
      </w:r>
      <w:r w:rsidR="008E3B8D">
        <w:rPr>
          <w:b/>
          <w:bCs/>
        </w:rPr>
        <w:t>me</w:t>
      </w:r>
      <w:r w:rsidR="00716EE9">
        <w:rPr>
          <w:b/>
          <w:bCs/>
        </w:rPr>
        <w:t>eting</w:t>
      </w:r>
      <w:r>
        <w:t xml:space="preserve"> </w:t>
      </w:r>
    </w:p>
    <w:p w14:paraId="5E85452F" w14:textId="6ED42454" w:rsidR="003B0B0F" w:rsidRPr="009C41E2" w:rsidRDefault="00CA2792" w:rsidP="00F24D6D">
      <w:pPr>
        <w:spacing w:after="120"/>
      </w:pPr>
      <w:r w:rsidRPr="009C41E2">
        <w:t xml:space="preserve">Held </w:t>
      </w:r>
      <w:r w:rsidR="00DE03C2">
        <w:t>via videoconference</w:t>
      </w:r>
      <w:r w:rsidRPr="009C41E2">
        <w:t xml:space="preserve"> on </w:t>
      </w:r>
      <w:r w:rsidR="00AE7729" w:rsidRPr="009C41E2">
        <w:t xml:space="preserve">Monday, 15 February 2021, at </w:t>
      </w:r>
      <w:r w:rsidR="00DE03C2">
        <w:t>12.30</w:t>
      </w:r>
      <w:r w:rsidR="00AE7729" w:rsidRPr="009C41E2">
        <w:t xml:space="preserve"> p.m.</w:t>
      </w:r>
      <w:r w:rsidRPr="009C41E2">
        <w:rPr>
          <w:color w:val="FF0000"/>
        </w:rPr>
        <w:t xml:space="preserve"> </w:t>
      </w:r>
      <w:r w:rsidR="00DE03C2" w:rsidRPr="00DE03C2">
        <w:t>Central European Ti</w:t>
      </w:r>
      <w:r w:rsidR="00DE03C2">
        <w:t>m</w:t>
      </w:r>
      <w:r w:rsidR="00DE03C2" w:rsidRPr="00DE03C2">
        <w:t>e</w:t>
      </w:r>
    </w:p>
    <w:p w14:paraId="39BC0101" w14:textId="77777777" w:rsidR="003B0B0F" w:rsidRDefault="00CA2792" w:rsidP="00AE7729">
      <w:pPr>
        <w:tabs>
          <w:tab w:val="left" w:pos="1134"/>
          <w:tab w:val="right" w:leader="dot" w:pos="8504"/>
        </w:tabs>
        <w:spacing w:after="120"/>
      </w:pPr>
      <w:r w:rsidRPr="009C41E2">
        <w:rPr>
          <w:i/>
        </w:rPr>
        <w:t>Chair</w:t>
      </w:r>
      <w:r w:rsidRPr="009C41E2">
        <w:t>:</w:t>
      </w:r>
      <w:r w:rsidRPr="009C41E2">
        <w:tab/>
      </w:r>
      <w:r w:rsidR="00AE7729" w:rsidRPr="00031C45">
        <w:t xml:space="preserve">Mr. </w:t>
      </w:r>
      <w:bookmarkStart w:id="1" w:name="_Hlk64451788"/>
      <w:proofErr w:type="spellStart"/>
      <w:r w:rsidR="00AE7729" w:rsidRPr="00031C45">
        <w:t>Zerbini</w:t>
      </w:r>
      <w:proofErr w:type="spellEnd"/>
      <w:r w:rsidR="00AE7729" w:rsidRPr="00031C45">
        <w:t xml:space="preserve"> Ribeiro </w:t>
      </w:r>
      <w:proofErr w:type="spellStart"/>
      <w:r w:rsidR="00AE7729" w:rsidRPr="00031C45">
        <w:t>Leão</w:t>
      </w:r>
      <w:bookmarkEnd w:id="1"/>
      <w:proofErr w:type="spellEnd"/>
    </w:p>
    <w:p w14:paraId="7C7F5089" w14:textId="6E422B74" w:rsidR="003B0B0F" w:rsidRDefault="00CA2792" w:rsidP="00ED68AE">
      <w:pPr>
        <w:tabs>
          <w:tab w:val="right" w:pos="992"/>
          <w:tab w:val="left" w:pos="1976"/>
        </w:tabs>
        <w:spacing w:before="360" w:after="240"/>
        <w:rPr>
          <w:sz w:val="28"/>
        </w:rPr>
      </w:pPr>
      <w:r w:rsidRPr="009C41E2">
        <w:rPr>
          <w:sz w:val="28"/>
        </w:rPr>
        <w:t>Contents</w:t>
      </w:r>
    </w:p>
    <w:p w14:paraId="71AA9E02" w14:textId="77777777" w:rsidR="005B4B14" w:rsidRDefault="005B4B14" w:rsidP="00324065">
      <w:pPr>
        <w:pStyle w:val="SingleTxtG"/>
      </w:pPr>
      <w:r w:rsidRPr="004D115F">
        <w:t>Opening of the session</w:t>
      </w:r>
    </w:p>
    <w:p w14:paraId="397CA5E4" w14:textId="77777777" w:rsidR="005B4B14" w:rsidRPr="004D115F" w:rsidRDefault="005B4B14" w:rsidP="00324065">
      <w:pPr>
        <w:pStyle w:val="SingleTxtG"/>
      </w:pPr>
      <w:r>
        <w:t>Statement by the representative of the Secretary-General</w:t>
      </w:r>
    </w:p>
    <w:p w14:paraId="3A8FA6A3" w14:textId="0F199835" w:rsidR="005B4B14" w:rsidRDefault="005B4B14" w:rsidP="00324065">
      <w:pPr>
        <w:pStyle w:val="SingleTxtG"/>
      </w:pPr>
      <w:r>
        <w:t>Statements by non-governmental organizations</w:t>
      </w:r>
    </w:p>
    <w:p w14:paraId="2CE5E5DD" w14:textId="1948D028" w:rsidR="005B4B14" w:rsidRDefault="005B4B14" w:rsidP="00324065">
      <w:pPr>
        <w:pStyle w:val="SingleTxtG"/>
      </w:pPr>
      <w:r w:rsidRPr="004D115F">
        <w:t>Solemn declaration by new members of the Committee</w:t>
      </w:r>
    </w:p>
    <w:p w14:paraId="025B3FC6" w14:textId="2175BFAB" w:rsidR="005E2F79" w:rsidRPr="004D115F" w:rsidRDefault="00FF0D6A" w:rsidP="00324065">
      <w:pPr>
        <w:pStyle w:val="SingleTxtG"/>
      </w:pPr>
      <w:r w:rsidRPr="00FF0D6A">
        <w:t>Election of the Chair and other officers of the Committee</w:t>
      </w:r>
    </w:p>
    <w:p w14:paraId="01AA46AE" w14:textId="77777777" w:rsidR="005E2F79" w:rsidRPr="004D115F" w:rsidRDefault="005E2F79" w:rsidP="00324065">
      <w:pPr>
        <w:pStyle w:val="SingleTxtG"/>
      </w:pPr>
      <w:r w:rsidRPr="004D115F">
        <w:t>Adoption of the agenda</w:t>
      </w:r>
    </w:p>
    <w:p w14:paraId="1230D4AF" w14:textId="0A1BFA75" w:rsidR="005E2C15" w:rsidRDefault="005E2C15">
      <w:pPr>
        <w:suppressAutoHyphens w:val="0"/>
        <w:spacing w:after="200" w:line="276" w:lineRule="auto"/>
        <w:rPr>
          <w:rFonts w:eastAsiaTheme="minorHAnsi"/>
        </w:rPr>
      </w:pPr>
      <w:r>
        <w:br w:type="page"/>
      </w:r>
    </w:p>
    <w:p w14:paraId="10A78656" w14:textId="77777777" w:rsidR="001734B2" w:rsidRPr="008C6E21" w:rsidRDefault="001734B2" w:rsidP="008C6E21">
      <w:pPr>
        <w:pStyle w:val="SingleTxtG"/>
        <w:rPr>
          <w:i/>
          <w:iCs/>
        </w:rPr>
      </w:pPr>
      <w:r w:rsidRPr="008C6E21">
        <w:rPr>
          <w:i/>
          <w:iCs/>
        </w:rPr>
        <w:lastRenderedPageBreak/>
        <w:t>The meeting was called to order at 12.35 p.m.</w:t>
      </w:r>
    </w:p>
    <w:p w14:paraId="05D95522" w14:textId="7F87B419" w:rsidR="001734B2" w:rsidRPr="001927C6" w:rsidRDefault="00477F82" w:rsidP="00477F82">
      <w:pPr>
        <w:pStyle w:val="H23G"/>
      </w:pPr>
      <w:r>
        <w:tab/>
      </w:r>
      <w:r>
        <w:tab/>
      </w:r>
      <w:r w:rsidR="001734B2" w:rsidRPr="001927C6">
        <w:t>Opening of the session</w:t>
      </w:r>
    </w:p>
    <w:p w14:paraId="7DA39C31" w14:textId="52ED812E" w:rsidR="001734B2" w:rsidRPr="001927C6" w:rsidRDefault="0096005E" w:rsidP="0096005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1927C6">
        <w:t>1.</w:t>
      </w:r>
      <w:r w:rsidRPr="001927C6">
        <w:tab/>
      </w:r>
      <w:r w:rsidR="001734B2" w:rsidRPr="001927C6">
        <w:rPr>
          <w:b/>
          <w:bCs/>
        </w:rPr>
        <w:t xml:space="preserve">The Chair </w:t>
      </w:r>
      <w:r w:rsidR="001734B2" w:rsidRPr="001927C6">
        <w:t xml:space="preserve">declared open the sixty-ninth session of the Committee on Economic, Social and Cultural Rights. </w:t>
      </w:r>
    </w:p>
    <w:p w14:paraId="08ABEF67" w14:textId="0953A0B7" w:rsidR="001734B2" w:rsidRPr="001927C6" w:rsidRDefault="00477F82" w:rsidP="00477F82">
      <w:pPr>
        <w:pStyle w:val="H23G"/>
      </w:pPr>
      <w:r>
        <w:tab/>
      </w:r>
      <w:r>
        <w:tab/>
      </w:r>
      <w:r w:rsidR="001734B2" w:rsidRPr="001927C6">
        <w:t>Statement by the representative of the Secretary-General</w:t>
      </w:r>
    </w:p>
    <w:p w14:paraId="470BEF9A" w14:textId="54476B55" w:rsidR="001734B2" w:rsidRDefault="0096005E" w:rsidP="0096005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2.</w:t>
      </w:r>
      <w:r>
        <w:tab/>
      </w:r>
      <w:r w:rsidR="001734B2" w:rsidRPr="001927C6">
        <w:rPr>
          <w:b/>
          <w:bCs/>
        </w:rPr>
        <w:t xml:space="preserve">Ms. Hicks </w:t>
      </w:r>
      <w:r w:rsidR="001734B2" w:rsidRPr="001927C6">
        <w:t>(Office of the United Nations High Commissioner for Human Rights (OHCHR)) said that economic, social and cultural rights</w:t>
      </w:r>
      <w:r w:rsidR="001734B2" w:rsidRPr="00E650DA">
        <w:rPr>
          <w:szCs w:val="24"/>
        </w:rPr>
        <w:t xml:space="preserve"> </w:t>
      </w:r>
      <w:r w:rsidR="001734B2">
        <w:rPr>
          <w:szCs w:val="24"/>
        </w:rPr>
        <w:t>were a priority for OHCHR</w:t>
      </w:r>
      <w:r w:rsidR="001734B2" w:rsidRPr="001927C6">
        <w:t xml:space="preserve">, </w:t>
      </w:r>
      <w:r w:rsidR="001734B2">
        <w:t>particularly</w:t>
      </w:r>
      <w:r w:rsidR="001734B2" w:rsidRPr="001927C6">
        <w:t xml:space="preserve"> during the </w:t>
      </w:r>
      <w:r w:rsidR="001734B2">
        <w:t xml:space="preserve">coronavirus disease (COVID-19) </w:t>
      </w:r>
      <w:r w:rsidR="001734B2" w:rsidRPr="001927C6">
        <w:t>pandemic</w:t>
      </w:r>
      <w:r w:rsidR="001734B2">
        <w:t xml:space="preserve">, which </w:t>
      </w:r>
      <w:r w:rsidR="001734B2" w:rsidRPr="001927C6">
        <w:t xml:space="preserve">had exacerbated existing inequalities. The measures taken by States to control </w:t>
      </w:r>
      <w:r w:rsidR="001734B2">
        <w:t>the pandemic</w:t>
      </w:r>
      <w:r w:rsidR="001734B2" w:rsidRPr="001927C6">
        <w:t xml:space="preserve"> were </w:t>
      </w:r>
      <w:r w:rsidR="001734B2">
        <w:t>affecting</w:t>
      </w:r>
      <w:r w:rsidR="001734B2" w:rsidRPr="001927C6">
        <w:t xml:space="preserve"> a wide range of rights, such as </w:t>
      </w:r>
      <w:r w:rsidR="001734B2">
        <w:t>those</w:t>
      </w:r>
      <w:r w:rsidR="001734B2" w:rsidRPr="001927C6">
        <w:t xml:space="preserve"> to health, </w:t>
      </w:r>
      <w:r w:rsidR="001734B2">
        <w:t>housing</w:t>
      </w:r>
      <w:r w:rsidR="001734B2" w:rsidRPr="001927C6">
        <w:t xml:space="preserve"> and work. </w:t>
      </w:r>
      <w:r w:rsidR="001734B2">
        <w:t xml:space="preserve">The Committee’s work in </w:t>
      </w:r>
      <w:r w:rsidR="001734B2" w:rsidRPr="001927C6">
        <w:t xml:space="preserve">monitoring implementation of </w:t>
      </w:r>
      <w:r w:rsidR="001734B2">
        <w:t>the Covenant</w:t>
      </w:r>
      <w:r w:rsidR="001734B2" w:rsidRPr="001927C6">
        <w:t xml:space="preserve"> </w:t>
      </w:r>
      <w:r w:rsidR="001734B2">
        <w:t xml:space="preserve">provisions </w:t>
      </w:r>
      <w:r w:rsidR="001734B2" w:rsidRPr="001927C6">
        <w:t>was critical to ensur</w:t>
      </w:r>
      <w:r w:rsidR="001734B2">
        <w:t>ing</w:t>
      </w:r>
      <w:r w:rsidR="001734B2" w:rsidRPr="001927C6">
        <w:t xml:space="preserve"> that rights were protected in the pandemic response and </w:t>
      </w:r>
      <w:r w:rsidR="001734B2">
        <w:t xml:space="preserve">the </w:t>
      </w:r>
      <w:r w:rsidR="001734B2" w:rsidRPr="001927C6">
        <w:t xml:space="preserve">recovery process. </w:t>
      </w:r>
    </w:p>
    <w:p w14:paraId="2FF3AEBA" w14:textId="0B51982B" w:rsidR="001734B2" w:rsidRPr="001927C6" w:rsidRDefault="0096005E" w:rsidP="0096005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1927C6">
        <w:t>3.</w:t>
      </w:r>
      <w:r w:rsidRPr="001927C6">
        <w:tab/>
      </w:r>
      <w:r w:rsidR="001734B2">
        <w:t>B</w:t>
      </w:r>
      <w:r w:rsidR="001734B2" w:rsidRPr="001927C6">
        <w:t>efore the pandemic</w:t>
      </w:r>
      <w:r w:rsidR="001734B2">
        <w:t>,</w:t>
      </w:r>
      <w:r w:rsidR="001734B2" w:rsidRPr="001927C6">
        <w:t xml:space="preserve"> OHCHR had </w:t>
      </w:r>
      <w:r w:rsidR="001734B2">
        <w:t>launched</w:t>
      </w:r>
      <w:r w:rsidR="001734B2" w:rsidRPr="001927C6">
        <w:t xml:space="preserve"> a </w:t>
      </w:r>
      <w:r w:rsidR="001734B2">
        <w:t>“</w:t>
      </w:r>
      <w:r w:rsidR="001734B2" w:rsidRPr="001927C6">
        <w:t>surge</w:t>
      </w:r>
      <w:r w:rsidR="001734B2">
        <w:t>”</w:t>
      </w:r>
      <w:r w:rsidR="001734B2" w:rsidRPr="001927C6">
        <w:t xml:space="preserve"> initiative to strengthen its country</w:t>
      </w:r>
      <w:r w:rsidR="001734B2">
        <w:t>-</w:t>
      </w:r>
      <w:r w:rsidR="001734B2" w:rsidRPr="001927C6">
        <w:t>level engagement on economic, social and cultural rights</w:t>
      </w:r>
      <w:r w:rsidR="001734B2">
        <w:t>,</w:t>
      </w:r>
      <w:r w:rsidR="001734B2" w:rsidRPr="001927C6">
        <w:t xml:space="preserve"> </w:t>
      </w:r>
      <w:r w:rsidR="001734B2">
        <w:t xml:space="preserve">through the provision of </w:t>
      </w:r>
      <w:r w:rsidR="001734B2" w:rsidRPr="001927C6">
        <w:t xml:space="preserve">specialized support and advice </w:t>
      </w:r>
      <w:r w:rsidR="001734B2">
        <w:t xml:space="preserve">from </w:t>
      </w:r>
      <w:r w:rsidR="001734B2" w:rsidRPr="001927C6">
        <w:t xml:space="preserve">a group of macroeconomists on </w:t>
      </w:r>
      <w:r w:rsidR="001734B2">
        <w:t xml:space="preserve">the </w:t>
      </w:r>
      <w:r w:rsidR="001734B2" w:rsidRPr="001927C6">
        <w:t>integrati</w:t>
      </w:r>
      <w:r w:rsidR="001734B2">
        <w:t>on of</w:t>
      </w:r>
      <w:r w:rsidR="001734B2" w:rsidRPr="001927C6">
        <w:t xml:space="preserve"> human rights into economic policies and strategies</w:t>
      </w:r>
      <w:r w:rsidR="001734B2">
        <w:t xml:space="preserve">; that work </w:t>
      </w:r>
      <w:r w:rsidR="001734B2" w:rsidRPr="001927C6">
        <w:t xml:space="preserve">had become </w:t>
      </w:r>
      <w:r w:rsidR="001734B2">
        <w:t>vital</w:t>
      </w:r>
      <w:r w:rsidR="001734B2" w:rsidRPr="001927C6">
        <w:t xml:space="preserve"> in the context of the pandemic and </w:t>
      </w:r>
      <w:r w:rsidR="001734B2">
        <w:t xml:space="preserve">the </w:t>
      </w:r>
      <w:r w:rsidR="001734B2" w:rsidRPr="001927C6">
        <w:t>accompanying socioeconomic crises.</w:t>
      </w:r>
      <w:r w:rsidR="001734B2">
        <w:t xml:space="preserve"> </w:t>
      </w:r>
      <w:r w:rsidR="001734B2" w:rsidRPr="001927C6">
        <w:t>Through the initiative, OHCHR had engage</w:t>
      </w:r>
      <w:r w:rsidR="001734B2">
        <w:t>d</w:t>
      </w:r>
      <w:r w:rsidR="001734B2" w:rsidRPr="001927C6">
        <w:t xml:space="preserve"> more extensively with United Nations country teams</w:t>
      </w:r>
      <w:r w:rsidR="001734B2">
        <w:t xml:space="preserve">, with human rights-focused </w:t>
      </w:r>
      <w:r w:rsidR="001734B2" w:rsidRPr="001927C6">
        <w:t>review</w:t>
      </w:r>
      <w:r w:rsidR="001734B2">
        <w:t>s</w:t>
      </w:r>
      <w:r w:rsidR="001734B2" w:rsidRPr="001927C6">
        <w:t xml:space="preserve"> </w:t>
      </w:r>
      <w:r w:rsidR="001734B2">
        <w:t>of</w:t>
      </w:r>
      <w:r w:rsidR="001734B2" w:rsidRPr="001927C6">
        <w:t xml:space="preserve"> stimulus packages and emergency measures</w:t>
      </w:r>
      <w:r w:rsidR="001734B2">
        <w:t>,</w:t>
      </w:r>
      <w:r w:rsidR="001734B2" w:rsidRPr="001927C6">
        <w:t xml:space="preserve"> </w:t>
      </w:r>
      <w:r w:rsidR="001734B2">
        <w:t>the provision of advice for</w:t>
      </w:r>
      <w:r w:rsidR="001734B2" w:rsidRPr="001927C6">
        <w:t xml:space="preserve"> long-term country</w:t>
      </w:r>
      <w:r w:rsidR="001734B2">
        <w:t>-level</w:t>
      </w:r>
      <w:r w:rsidR="001734B2" w:rsidRPr="001927C6">
        <w:t xml:space="preserve"> planning and programming, </w:t>
      </w:r>
      <w:r w:rsidR="001734B2">
        <w:t>the integration of</w:t>
      </w:r>
      <w:r w:rsidR="001734B2" w:rsidRPr="001927C6">
        <w:t xml:space="preserve"> thematic human rights indicators in the United Nations framework for the immediate socioeconomic response to COVID-19</w:t>
      </w:r>
      <w:r w:rsidR="001734B2">
        <w:t xml:space="preserve"> and, in cooperation with the U</w:t>
      </w:r>
      <w:r w:rsidR="001734B2" w:rsidRPr="001927C6">
        <w:t xml:space="preserve">nited Nations Development Programme and </w:t>
      </w:r>
      <w:r w:rsidR="001734B2">
        <w:t>the</w:t>
      </w:r>
      <w:r w:rsidR="001734B2" w:rsidRPr="001927C6">
        <w:t xml:space="preserve"> Development Cooperation Office</w:t>
      </w:r>
      <w:r w:rsidR="001734B2">
        <w:t>,</w:t>
      </w:r>
      <w:r w:rsidR="001734B2" w:rsidRPr="001927C6">
        <w:t xml:space="preserve"> </w:t>
      </w:r>
      <w:r w:rsidR="001734B2">
        <w:t>the</w:t>
      </w:r>
      <w:r w:rsidR="001734B2" w:rsidRPr="001927C6">
        <w:t xml:space="preserve"> issu</w:t>
      </w:r>
      <w:r w:rsidR="001734B2">
        <w:t>ance of</w:t>
      </w:r>
      <w:r w:rsidR="001734B2" w:rsidRPr="001927C6">
        <w:t xml:space="preserve"> a checklist to </w:t>
      </w:r>
      <w:r w:rsidR="001734B2">
        <w:t>support</w:t>
      </w:r>
      <w:r w:rsidR="001734B2" w:rsidRPr="001927C6">
        <w:t xml:space="preserve"> the United Nations in </w:t>
      </w:r>
      <w:r w:rsidR="001734B2">
        <w:t>assessing</w:t>
      </w:r>
      <w:r w:rsidR="001734B2" w:rsidRPr="001927C6">
        <w:t xml:space="preserve"> whether </w:t>
      </w:r>
      <w:r w:rsidR="001734B2">
        <w:t xml:space="preserve">States’ </w:t>
      </w:r>
      <w:r w:rsidR="001734B2" w:rsidRPr="001927C6">
        <w:t xml:space="preserve">socioeconomic responses to </w:t>
      </w:r>
      <w:r w:rsidR="001734B2">
        <w:t>the pandemic</w:t>
      </w:r>
      <w:r w:rsidR="001734B2" w:rsidRPr="00D240B3">
        <w:t xml:space="preserve"> </w:t>
      </w:r>
      <w:r w:rsidR="001734B2" w:rsidRPr="001927C6">
        <w:t>applied a human rights-based approach.</w:t>
      </w:r>
    </w:p>
    <w:p w14:paraId="3282EFDC" w14:textId="0C07338E" w:rsidR="001734B2" w:rsidRPr="001927C6" w:rsidRDefault="0096005E" w:rsidP="0096005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1927C6">
        <w:t>4.</w:t>
      </w:r>
      <w:r w:rsidRPr="001927C6">
        <w:tab/>
      </w:r>
      <w:r w:rsidR="001734B2">
        <w:t xml:space="preserve">OHCHR often used the Committee’s </w:t>
      </w:r>
      <w:r w:rsidR="001734B2" w:rsidRPr="001927C6">
        <w:t xml:space="preserve">recommendations and guidance </w:t>
      </w:r>
      <w:r w:rsidR="001734B2">
        <w:t>as a basis for such work, f</w:t>
      </w:r>
      <w:r w:rsidR="001734B2" w:rsidRPr="001927C6">
        <w:t xml:space="preserve">or example, </w:t>
      </w:r>
      <w:r w:rsidR="001734B2">
        <w:t xml:space="preserve">in supporting </w:t>
      </w:r>
      <w:r w:rsidR="001734B2" w:rsidRPr="001927C6">
        <w:t xml:space="preserve">a human rights analysis in Ecuador on the situation of groups </w:t>
      </w:r>
      <w:r w:rsidR="001734B2">
        <w:t>at risk of</w:t>
      </w:r>
      <w:r w:rsidR="001734B2" w:rsidRPr="001927C6">
        <w:t xml:space="preserve"> be</w:t>
      </w:r>
      <w:r w:rsidR="001734B2">
        <w:t>ing</w:t>
      </w:r>
      <w:r w:rsidR="001734B2" w:rsidRPr="001927C6">
        <w:t xml:space="preserve"> left behind</w:t>
      </w:r>
      <w:r w:rsidR="001734B2">
        <w:t xml:space="preserve"> and a</w:t>
      </w:r>
      <w:r w:rsidR="001734B2" w:rsidRPr="001927C6">
        <w:t xml:space="preserve"> review </w:t>
      </w:r>
      <w:r w:rsidR="001734B2">
        <w:t xml:space="preserve">of government </w:t>
      </w:r>
      <w:r w:rsidR="001734B2" w:rsidRPr="001927C6">
        <w:t xml:space="preserve">measures </w:t>
      </w:r>
      <w:r w:rsidR="001734B2">
        <w:t xml:space="preserve">taken </w:t>
      </w:r>
      <w:r w:rsidR="001734B2" w:rsidRPr="001927C6">
        <w:t>to confront the soci</w:t>
      </w:r>
      <w:r w:rsidR="001734B2">
        <w:t>o</w:t>
      </w:r>
      <w:r w:rsidR="001734B2" w:rsidRPr="001927C6">
        <w:t xml:space="preserve">economic impact of COVID-19. </w:t>
      </w:r>
      <w:r w:rsidR="001734B2">
        <w:t>It</w:t>
      </w:r>
      <w:r w:rsidR="001734B2" w:rsidRPr="001927C6">
        <w:t xml:space="preserve"> also </w:t>
      </w:r>
      <w:r w:rsidR="001734B2">
        <w:t>built on the Committee’s recommendations to apply</w:t>
      </w:r>
      <w:r w:rsidR="001734B2" w:rsidRPr="001927C6">
        <w:t xml:space="preserve"> key concepts, </w:t>
      </w:r>
      <w:r w:rsidR="001734B2">
        <w:t>such as</w:t>
      </w:r>
      <w:r w:rsidR="001734B2" w:rsidRPr="001927C6">
        <w:t xml:space="preserve"> “minimum core obligations” and “use of maximum available resources”</w:t>
      </w:r>
      <w:r w:rsidR="001734B2">
        <w:t>,</w:t>
      </w:r>
      <w:r w:rsidR="001734B2" w:rsidRPr="001927C6">
        <w:t xml:space="preserve"> in a country-specific context. </w:t>
      </w:r>
    </w:p>
    <w:p w14:paraId="6438A00A" w14:textId="18303252" w:rsidR="001734B2" w:rsidRPr="001927C6" w:rsidRDefault="0096005E" w:rsidP="0096005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1927C6">
        <w:t>5.</w:t>
      </w:r>
      <w:r w:rsidRPr="001927C6">
        <w:tab/>
      </w:r>
      <w:r w:rsidR="001734B2">
        <w:t>In countries such as Liberia, OHCHR</w:t>
      </w:r>
      <w:r w:rsidR="001734B2" w:rsidRPr="001927C6">
        <w:t xml:space="preserve"> </w:t>
      </w:r>
      <w:r w:rsidR="001734B2">
        <w:t xml:space="preserve">had produced human rights-based </w:t>
      </w:r>
      <w:r w:rsidR="001734B2" w:rsidRPr="001927C6">
        <w:t xml:space="preserve">budget analyses </w:t>
      </w:r>
      <w:r w:rsidR="001734B2">
        <w:t>focusing</w:t>
      </w:r>
      <w:r w:rsidR="001734B2" w:rsidRPr="001927C6">
        <w:t xml:space="preserve"> on economic, social and cultural rights,</w:t>
      </w:r>
      <w:r w:rsidR="001734B2">
        <w:t xml:space="preserve"> while i</w:t>
      </w:r>
      <w:r w:rsidR="001734B2" w:rsidRPr="001927C6">
        <w:t xml:space="preserve">n Ukraine, </w:t>
      </w:r>
      <w:r w:rsidR="001734B2">
        <w:t>the Office</w:t>
      </w:r>
      <w:r w:rsidR="001734B2" w:rsidRPr="001927C6">
        <w:t xml:space="preserve">’s advocacy brief, developed on the basis of the </w:t>
      </w:r>
      <w:r w:rsidR="001734B2">
        <w:t xml:space="preserve">Committee’s </w:t>
      </w:r>
      <w:r w:rsidR="001734B2" w:rsidRPr="001927C6">
        <w:t xml:space="preserve">recent concluding observations, was informing authorities </w:t>
      </w:r>
      <w:r w:rsidR="001734B2">
        <w:t>in their discussion</w:t>
      </w:r>
      <w:r w:rsidR="001734B2" w:rsidRPr="001927C6">
        <w:t xml:space="preserve"> </w:t>
      </w:r>
      <w:r w:rsidR="001734B2">
        <w:t>of</w:t>
      </w:r>
      <w:r w:rsidR="001734B2" w:rsidRPr="001927C6">
        <w:t xml:space="preserve"> reform</w:t>
      </w:r>
      <w:r w:rsidR="001734B2">
        <w:t>s to</w:t>
      </w:r>
      <w:r w:rsidR="001734B2" w:rsidRPr="001927C6">
        <w:t xml:space="preserve"> the national social protection system. </w:t>
      </w:r>
      <w:r w:rsidR="001734B2">
        <w:t xml:space="preserve">On the economy, </w:t>
      </w:r>
      <w:r w:rsidR="001734B2" w:rsidRPr="001927C6">
        <w:t xml:space="preserve">OHCHR had been invited to join the United Nations country team task force </w:t>
      </w:r>
      <w:r w:rsidR="001734B2">
        <w:t xml:space="preserve">in Zambia to advise on </w:t>
      </w:r>
      <w:r w:rsidR="001734B2" w:rsidRPr="001927C6">
        <w:t>the economic recovery</w:t>
      </w:r>
      <w:r w:rsidR="001734B2">
        <w:t xml:space="preserve"> from the effects of </w:t>
      </w:r>
      <w:r w:rsidR="001734B2" w:rsidRPr="001927C6">
        <w:t>COVID-19</w:t>
      </w:r>
      <w:r w:rsidR="001734B2">
        <w:t xml:space="preserve"> and</w:t>
      </w:r>
      <w:r w:rsidR="001734B2" w:rsidRPr="001927C6">
        <w:t xml:space="preserve"> in Ukraine it was helping</w:t>
      </w:r>
      <w:r w:rsidR="001734B2">
        <w:t xml:space="preserve"> to</w:t>
      </w:r>
      <w:r w:rsidR="001734B2" w:rsidRPr="001927C6">
        <w:t xml:space="preserve"> develop a common position on an International Monetary Fund </w:t>
      </w:r>
      <w:r w:rsidR="001734B2">
        <w:t xml:space="preserve">(IMF) </w:t>
      </w:r>
      <w:r w:rsidR="001734B2" w:rsidRPr="001927C6">
        <w:t xml:space="preserve">loan </w:t>
      </w:r>
      <w:r w:rsidR="001734B2">
        <w:t>currently under negotiation</w:t>
      </w:r>
      <w:r w:rsidR="001734B2" w:rsidRPr="001927C6">
        <w:t xml:space="preserve">. </w:t>
      </w:r>
      <w:r w:rsidR="001734B2">
        <w:t>From such work, OHCHR</w:t>
      </w:r>
      <w:r w:rsidR="001734B2" w:rsidRPr="001927C6">
        <w:t xml:space="preserve"> hoped to further develop methodologies to operationalize key concepts</w:t>
      </w:r>
      <w:r w:rsidR="001734B2" w:rsidRPr="0039591F">
        <w:t xml:space="preserve"> </w:t>
      </w:r>
      <w:r w:rsidR="001734B2">
        <w:t xml:space="preserve">of </w:t>
      </w:r>
      <w:r w:rsidR="001734B2" w:rsidRPr="001927C6">
        <w:t>economic, social and cultural rights.</w:t>
      </w:r>
    </w:p>
    <w:p w14:paraId="6B6086A8" w14:textId="1728ED9C" w:rsidR="001734B2" w:rsidRPr="001927C6" w:rsidRDefault="0096005E" w:rsidP="0096005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1927C6">
        <w:t>6.</w:t>
      </w:r>
      <w:r w:rsidRPr="001927C6">
        <w:tab/>
      </w:r>
      <w:r w:rsidR="001734B2">
        <w:t>In view of</w:t>
      </w:r>
      <w:r w:rsidR="001734B2" w:rsidRPr="001927C6">
        <w:t xml:space="preserve"> reports </w:t>
      </w:r>
      <w:r w:rsidR="001734B2">
        <w:t xml:space="preserve">that </w:t>
      </w:r>
      <w:r w:rsidR="001734B2" w:rsidRPr="001927C6">
        <w:t xml:space="preserve">90 per cent of the population in 67 </w:t>
      </w:r>
      <w:r w:rsidR="001734B2">
        <w:t>countries</w:t>
      </w:r>
      <w:r w:rsidR="001734B2" w:rsidRPr="001927C6">
        <w:t xml:space="preserve"> would </w:t>
      </w:r>
      <w:r w:rsidR="001734B2">
        <w:t xml:space="preserve">have no access to </w:t>
      </w:r>
      <w:r w:rsidR="001734B2" w:rsidRPr="001927C6">
        <w:t xml:space="preserve">a COVID-19 vaccine in 2021, while some more affluent States had purchased enough doses to vaccinate their entire populations </w:t>
      </w:r>
      <w:r w:rsidR="001734B2">
        <w:t xml:space="preserve">many </w:t>
      </w:r>
      <w:r w:rsidR="001734B2" w:rsidRPr="001927C6">
        <w:t>times</w:t>
      </w:r>
      <w:r w:rsidR="001734B2">
        <w:t xml:space="preserve"> over</w:t>
      </w:r>
      <w:r w:rsidR="001734B2" w:rsidRPr="001927C6">
        <w:t xml:space="preserve">, </w:t>
      </w:r>
      <w:r w:rsidR="001734B2">
        <w:t xml:space="preserve">OHCHR </w:t>
      </w:r>
      <w:r w:rsidR="001734B2" w:rsidRPr="001927C6">
        <w:t>was also focus</w:t>
      </w:r>
      <w:r w:rsidR="001734B2">
        <w:t>ed</w:t>
      </w:r>
      <w:r w:rsidR="001734B2" w:rsidRPr="001927C6">
        <w:t xml:space="preserve"> on ensuring equal access to vaccines for all. The </w:t>
      </w:r>
      <w:r w:rsidR="001734B2">
        <w:t xml:space="preserve">Committee’s </w:t>
      </w:r>
      <w:r w:rsidR="001734B2" w:rsidRPr="001927C6">
        <w:t xml:space="preserve">statement on universal and equitable access to vaccines for COVID-19 had provided timely guidance, which </w:t>
      </w:r>
      <w:r w:rsidR="001734B2">
        <w:t>OHCHR had been able to leverage</w:t>
      </w:r>
      <w:r w:rsidR="001734B2" w:rsidRPr="001927C6">
        <w:t xml:space="preserve"> </w:t>
      </w:r>
      <w:r w:rsidR="001734B2">
        <w:t>for its own</w:t>
      </w:r>
      <w:r w:rsidR="001734B2" w:rsidRPr="001927C6">
        <w:t xml:space="preserve"> messages.</w:t>
      </w:r>
    </w:p>
    <w:p w14:paraId="711AD1DD" w14:textId="625CA4BE" w:rsidR="001734B2" w:rsidRPr="001927C6" w:rsidRDefault="0096005E" w:rsidP="0096005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1927C6">
        <w:t>7.</w:t>
      </w:r>
      <w:r w:rsidRPr="001927C6">
        <w:tab/>
      </w:r>
      <w:r w:rsidR="001734B2">
        <w:t>OHCHR would</w:t>
      </w:r>
      <w:r w:rsidR="001734B2" w:rsidRPr="001927C6">
        <w:t xml:space="preserve"> continue </w:t>
      </w:r>
      <w:r w:rsidR="001734B2">
        <w:t>to</w:t>
      </w:r>
      <w:r w:rsidR="001734B2" w:rsidRPr="001927C6">
        <w:t xml:space="preserve"> support the Committee’s work, </w:t>
      </w:r>
      <w:r w:rsidR="001734B2">
        <w:t>including</w:t>
      </w:r>
      <w:r w:rsidR="001734B2" w:rsidRPr="001927C6">
        <w:t xml:space="preserve"> </w:t>
      </w:r>
      <w:r w:rsidR="001734B2">
        <w:t>on</w:t>
      </w:r>
      <w:r w:rsidR="001734B2" w:rsidRPr="001927C6">
        <w:t xml:space="preserve"> general comment</w:t>
      </w:r>
      <w:r w:rsidR="001734B2">
        <w:t xml:space="preserve">s; its consideration of </w:t>
      </w:r>
      <w:r w:rsidR="001734B2" w:rsidRPr="001927C6">
        <w:t xml:space="preserve">a general comment on sustainable development </w:t>
      </w:r>
      <w:r w:rsidR="001734B2">
        <w:t xml:space="preserve">was timely, given </w:t>
      </w:r>
      <w:r w:rsidR="001734B2" w:rsidRPr="001927C6">
        <w:t xml:space="preserve">the Secretary-General’s call to action </w:t>
      </w:r>
      <w:r w:rsidR="001734B2">
        <w:t>for</w:t>
      </w:r>
      <w:r w:rsidR="001734B2" w:rsidRPr="001927C6">
        <w:t xml:space="preserve"> human rights</w:t>
      </w:r>
      <w:r w:rsidR="001734B2">
        <w:t xml:space="preserve"> and</w:t>
      </w:r>
      <w:r w:rsidR="001734B2" w:rsidRPr="001927C6">
        <w:t xml:space="preserve"> </w:t>
      </w:r>
      <w:r w:rsidR="001734B2">
        <w:t>reflection by the</w:t>
      </w:r>
      <w:r w:rsidR="001734B2" w:rsidRPr="001927C6">
        <w:t xml:space="preserve"> United Nations Secretariat on a </w:t>
      </w:r>
      <w:r w:rsidR="001734B2">
        <w:t>new global deal</w:t>
      </w:r>
      <w:r w:rsidR="001734B2" w:rsidRPr="001927C6">
        <w:t xml:space="preserve"> to support </w:t>
      </w:r>
      <w:r w:rsidR="001734B2">
        <w:t>a</w:t>
      </w:r>
      <w:r w:rsidR="001734B2" w:rsidRPr="001927C6">
        <w:t xml:space="preserve"> transformation towards more equitable and sustainable societies</w:t>
      </w:r>
      <w:r w:rsidR="001734B2">
        <w:t>.</w:t>
      </w:r>
    </w:p>
    <w:p w14:paraId="2CF20EC9" w14:textId="3127E3D8" w:rsidR="001734B2" w:rsidRPr="001927C6" w:rsidRDefault="0096005E" w:rsidP="0096005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1927C6">
        <w:t>8.</w:t>
      </w:r>
      <w:r w:rsidRPr="001927C6">
        <w:tab/>
      </w:r>
      <w:r w:rsidR="001734B2">
        <w:t>T</w:t>
      </w:r>
      <w:r w:rsidR="001734B2" w:rsidRPr="001927C6">
        <w:t>he impact of the pandemic</w:t>
      </w:r>
      <w:r w:rsidR="001734B2">
        <w:t xml:space="preserve"> and the recent announcement of the </w:t>
      </w:r>
      <w:r w:rsidR="001734B2" w:rsidRPr="005A699D">
        <w:t>United Nations Decade of Healthy Ageing</w:t>
      </w:r>
      <w:r w:rsidR="001734B2">
        <w:t xml:space="preserve"> </w:t>
      </w:r>
      <w:r w:rsidR="001734B2" w:rsidRPr="005A699D">
        <w:t>(2021–2030)</w:t>
      </w:r>
      <w:r w:rsidR="001734B2">
        <w:t xml:space="preserve"> had given</w:t>
      </w:r>
      <w:r w:rsidR="001734B2" w:rsidRPr="001927C6">
        <w:t xml:space="preserve"> renewed impetus to </w:t>
      </w:r>
      <w:r w:rsidR="001734B2">
        <w:t>discussions on</w:t>
      </w:r>
      <w:r w:rsidR="001734B2" w:rsidRPr="001927C6">
        <w:t xml:space="preserve"> </w:t>
      </w:r>
      <w:r w:rsidR="001734B2">
        <w:t xml:space="preserve">the </w:t>
      </w:r>
      <w:r w:rsidR="001734B2">
        <w:lastRenderedPageBreak/>
        <w:t>idea of a new convention on the rights of older persons</w:t>
      </w:r>
      <w:r w:rsidR="001734B2" w:rsidRPr="001927C6">
        <w:t xml:space="preserve">. </w:t>
      </w:r>
      <w:r w:rsidR="001734B2">
        <w:t>T</w:t>
      </w:r>
      <w:r w:rsidR="001734B2" w:rsidRPr="001927C6">
        <w:t xml:space="preserve">he Committee </w:t>
      </w:r>
      <w:r w:rsidR="001734B2">
        <w:t>could make an important</w:t>
      </w:r>
      <w:r w:rsidR="001734B2" w:rsidRPr="001927C6">
        <w:t xml:space="preserve"> contribut</w:t>
      </w:r>
      <w:r w:rsidR="001734B2">
        <w:t>ion</w:t>
      </w:r>
      <w:r w:rsidR="001734B2" w:rsidRPr="001927C6">
        <w:t xml:space="preserve"> to </w:t>
      </w:r>
      <w:r w:rsidR="001734B2">
        <w:t>the</w:t>
      </w:r>
      <w:r w:rsidR="001734B2" w:rsidRPr="001927C6">
        <w:t xml:space="preserve"> effort </w:t>
      </w:r>
      <w:r w:rsidR="001734B2">
        <w:t>by updating its</w:t>
      </w:r>
      <w:r w:rsidR="001734B2" w:rsidRPr="001927C6">
        <w:t xml:space="preserve"> general comment No. 6 </w:t>
      </w:r>
      <w:r w:rsidR="001734B2">
        <w:t>(</w:t>
      </w:r>
      <w:r w:rsidR="001734B2" w:rsidRPr="001927C6">
        <w:t>1995</w:t>
      </w:r>
      <w:r w:rsidR="001734B2">
        <w:t>)</w:t>
      </w:r>
      <w:r w:rsidR="001734B2" w:rsidRPr="001927C6">
        <w:t xml:space="preserve"> </w:t>
      </w:r>
      <w:r w:rsidR="001734B2" w:rsidRPr="00F661F3">
        <w:t>on the economic, social and cultural rights of older persons</w:t>
      </w:r>
      <w:r w:rsidR="001734B2">
        <w:t xml:space="preserve"> and giving its </w:t>
      </w:r>
      <w:r w:rsidR="001734B2" w:rsidRPr="001927C6">
        <w:t>view on a</w:t>
      </w:r>
      <w:r w:rsidR="001734B2">
        <w:t>n OHCHR</w:t>
      </w:r>
      <w:r w:rsidR="001734B2" w:rsidRPr="001927C6">
        <w:t xml:space="preserve"> study on gaps</w:t>
      </w:r>
      <w:r w:rsidR="001734B2">
        <w:t xml:space="preserve"> in</w:t>
      </w:r>
      <w:r w:rsidR="001734B2" w:rsidRPr="001927C6">
        <w:t xml:space="preserve"> </w:t>
      </w:r>
      <w:r w:rsidR="001734B2">
        <w:t xml:space="preserve">the </w:t>
      </w:r>
      <w:r w:rsidR="001734B2" w:rsidRPr="001927C6">
        <w:t xml:space="preserve">protection </w:t>
      </w:r>
      <w:r w:rsidR="001734B2">
        <w:t xml:space="preserve">afforded to </w:t>
      </w:r>
      <w:r w:rsidR="001734B2" w:rsidRPr="001927C6">
        <w:t>older persons</w:t>
      </w:r>
      <w:r w:rsidR="001734B2">
        <w:t>,</w:t>
      </w:r>
      <w:r w:rsidR="001734B2" w:rsidRPr="001927C6">
        <w:t xml:space="preserve"> </w:t>
      </w:r>
      <w:r w:rsidR="001734B2">
        <w:t>currently being finalized.</w:t>
      </w:r>
    </w:p>
    <w:p w14:paraId="5D2E0677" w14:textId="38265216" w:rsidR="001734B2" w:rsidRPr="001927C6" w:rsidRDefault="0096005E" w:rsidP="0096005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1927C6">
        <w:t>9.</w:t>
      </w:r>
      <w:r w:rsidRPr="001927C6">
        <w:tab/>
      </w:r>
      <w:r w:rsidR="001734B2">
        <w:t>To conclude</w:t>
      </w:r>
      <w:r w:rsidR="001734B2" w:rsidRPr="001927C6">
        <w:t xml:space="preserve">, she </w:t>
      </w:r>
      <w:r w:rsidR="001734B2">
        <w:t>wished</w:t>
      </w:r>
      <w:r w:rsidR="001734B2" w:rsidRPr="001927C6">
        <w:t xml:space="preserve"> to express </w:t>
      </w:r>
      <w:r w:rsidR="001734B2">
        <w:t>her</w:t>
      </w:r>
      <w:r w:rsidR="001734B2" w:rsidRPr="001927C6">
        <w:t xml:space="preserve"> appreciation for the Committee’s commitment to </w:t>
      </w:r>
      <w:r w:rsidR="001734B2">
        <w:t>continu</w:t>
      </w:r>
      <w:r w:rsidR="005B5E0E">
        <w:t>ing</w:t>
      </w:r>
      <w:r w:rsidR="001734B2" w:rsidRPr="001927C6">
        <w:t xml:space="preserve"> its </w:t>
      </w:r>
      <w:r w:rsidR="001734B2">
        <w:t>activities</w:t>
      </w:r>
      <w:r w:rsidR="001734B2" w:rsidRPr="001927C6">
        <w:t xml:space="preserve"> in </w:t>
      </w:r>
      <w:r w:rsidR="001734B2">
        <w:t>t</w:t>
      </w:r>
      <w:r w:rsidR="001734B2" w:rsidRPr="001927C6">
        <w:t xml:space="preserve">he difficult context </w:t>
      </w:r>
      <w:r w:rsidR="001734B2">
        <w:t>of the</w:t>
      </w:r>
      <w:r w:rsidR="001734B2" w:rsidRPr="001927C6">
        <w:t xml:space="preserve"> COVID-19 </w:t>
      </w:r>
      <w:r w:rsidR="001734B2">
        <w:t xml:space="preserve">pandemic </w:t>
      </w:r>
      <w:r w:rsidR="001734B2" w:rsidRPr="001927C6">
        <w:t xml:space="preserve">and the </w:t>
      </w:r>
      <w:r w:rsidR="001734B2">
        <w:t>continuing</w:t>
      </w:r>
      <w:r w:rsidR="001734B2" w:rsidRPr="001927C6">
        <w:t xml:space="preserve"> </w:t>
      </w:r>
      <w:r w:rsidR="001734B2">
        <w:t xml:space="preserve">regular budget </w:t>
      </w:r>
      <w:r w:rsidR="001734B2" w:rsidRPr="001927C6">
        <w:t xml:space="preserve">liquidity crisis of the United Nations. </w:t>
      </w:r>
      <w:r w:rsidR="001734B2">
        <w:t>E</w:t>
      </w:r>
      <w:r w:rsidR="001734B2" w:rsidRPr="001927C6">
        <w:t xml:space="preserve">fforts </w:t>
      </w:r>
      <w:r w:rsidR="001734B2">
        <w:t xml:space="preserve">were under way </w:t>
      </w:r>
      <w:r w:rsidR="001734B2" w:rsidRPr="001927C6">
        <w:t xml:space="preserve">to work with Member States to </w:t>
      </w:r>
      <w:r w:rsidR="001734B2">
        <w:t>address the liquidity crisis and thus be able to</w:t>
      </w:r>
      <w:r w:rsidR="001734B2" w:rsidRPr="001927C6">
        <w:t xml:space="preserve"> provide the Committee with the </w:t>
      </w:r>
      <w:r w:rsidR="001734B2">
        <w:t xml:space="preserve">proper level of </w:t>
      </w:r>
      <w:r w:rsidR="001734B2" w:rsidRPr="001927C6">
        <w:t>support.</w:t>
      </w:r>
    </w:p>
    <w:p w14:paraId="49BAEE14" w14:textId="1ABE7909" w:rsidR="001734B2" w:rsidRPr="001927C6" w:rsidRDefault="00306DF1" w:rsidP="00306DF1">
      <w:pPr>
        <w:pStyle w:val="H23G"/>
      </w:pPr>
      <w:r>
        <w:tab/>
      </w:r>
      <w:r>
        <w:tab/>
      </w:r>
      <w:r w:rsidR="001734B2" w:rsidRPr="001927C6">
        <w:t>Statements by non-governmental organizations</w:t>
      </w:r>
    </w:p>
    <w:p w14:paraId="234C4FDB" w14:textId="713277AE" w:rsidR="001734B2" w:rsidRPr="001927C6" w:rsidRDefault="0096005E" w:rsidP="0096005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1927C6">
        <w:t>10.</w:t>
      </w:r>
      <w:r w:rsidRPr="001927C6">
        <w:tab/>
      </w:r>
      <w:r w:rsidR="001734B2" w:rsidRPr="001927C6">
        <w:rPr>
          <w:b/>
          <w:bCs/>
        </w:rPr>
        <w:t xml:space="preserve">Ms. Lazzaro </w:t>
      </w:r>
      <w:r w:rsidR="001734B2" w:rsidRPr="001927C6">
        <w:t>(</w:t>
      </w:r>
      <w:r w:rsidR="001734B2" w:rsidRPr="001927C6">
        <w:rPr>
          <w:rFonts w:eastAsia="Times New Roman"/>
          <w:bCs/>
          <w:szCs w:val="24"/>
        </w:rPr>
        <w:t>Sindicato Obreros Curtidores de la República Argentina</w:t>
      </w:r>
      <w:r w:rsidR="001734B2" w:rsidRPr="001927C6">
        <w:rPr>
          <w:rFonts w:eastAsia="Times New Roman"/>
          <w:szCs w:val="24"/>
        </w:rPr>
        <w:t xml:space="preserve"> (FATICA)</w:t>
      </w:r>
      <w:r w:rsidR="001734B2" w:rsidRPr="001927C6">
        <w:t>) said that</w:t>
      </w:r>
      <w:r w:rsidR="001734B2">
        <w:t>,</w:t>
      </w:r>
      <w:r w:rsidR="001734B2" w:rsidRPr="001927C6">
        <w:t xml:space="preserve"> as a representative of the trade union movement, </w:t>
      </w:r>
      <w:r w:rsidR="001734B2">
        <w:t xml:space="preserve">she </w:t>
      </w:r>
      <w:r w:rsidR="001734B2" w:rsidRPr="001927C6">
        <w:t xml:space="preserve">wished to emphasize </w:t>
      </w:r>
      <w:r w:rsidR="001734B2">
        <w:t xml:space="preserve">the impact of the </w:t>
      </w:r>
      <w:r w:rsidR="001734B2" w:rsidRPr="001927C6">
        <w:t xml:space="preserve">COVID-19 pandemic </w:t>
      </w:r>
      <w:r w:rsidR="001734B2">
        <w:t>on</w:t>
      </w:r>
      <w:r w:rsidR="001734B2" w:rsidRPr="001927C6">
        <w:t xml:space="preserve"> women and the </w:t>
      </w:r>
      <w:r w:rsidR="001734B2">
        <w:t>lesbian, gay, bisexual and transgender</w:t>
      </w:r>
      <w:r w:rsidR="001734B2" w:rsidRPr="001927C6">
        <w:t xml:space="preserve"> community. </w:t>
      </w:r>
      <w:r w:rsidR="001734B2">
        <w:t>The pandemic had highlighted</w:t>
      </w:r>
      <w:r w:rsidR="001734B2" w:rsidRPr="001927C6">
        <w:t xml:space="preserve"> the unfair social distribution of care</w:t>
      </w:r>
      <w:r w:rsidR="001734B2">
        <w:t xml:space="preserve"> work</w:t>
      </w:r>
      <w:r w:rsidR="001734B2" w:rsidRPr="001927C6">
        <w:t xml:space="preserve"> and </w:t>
      </w:r>
      <w:r w:rsidR="001734B2">
        <w:t>shown the need for in-depth</w:t>
      </w:r>
      <w:r w:rsidR="001734B2" w:rsidRPr="001927C6">
        <w:t xml:space="preserve"> structural responses</w:t>
      </w:r>
      <w:r w:rsidR="001734B2">
        <w:t>. Women had taken on an increased burden of c</w:t>
      </w:r>
      <w:r w:rsidR="001734B2" w:rsidRPr="001927C6">
        <w:t xml:space="preserve">are, </w:t>
      </w:r>
      <w:r w:rsidR="001734B2">
        <w:t>filling</w:t>
      </w:r>
      <w:r w:rsidR="001734B2" w:rsidRPr="001927C6">
        <w:t xml:space="preserve"> the gaps in social protection systems</w:t>
      </w:r>
      <w:r w:rsidR="001734B2">
        <w:t xml:space="preserve"> in the face of</w:t>
      </w:r>
      <w:r w:rsidR="001734B2" w:rsidRPr="001927C6">
        <w:t xml:space="preserve"> school closures and </w:t>
      </w:r>
      <w:r w:rsidR="001734B2">
        <w:t>enforced isolation in the home</w:t>
      </w:r>
      <w:r w:rsidR="001734B2" w:rsidRPr="001927C6">
        <w:t xml:space="preserve">. </w:t>
      </w:r>
      <w:r w:rsidR="001734B2">
        <w:t>Domestic v</w:t>
      </w:r>
      <w:r w:rsidR="001734B2" w:rsidRPr="001927C6">
        <w:t xml:space="preserve">iolence </w:t>
      </w:r>
      <w:r w:rsidR="001734B2">
        <w:t xml:space="preserve">and the </w:t>
      </w:r>
      <w:r w:rsidR="001734B2" w:rsidRPr="001927C6">
        <w:t xml:space="preserve">workplace harassment </w:t>
      </w:r>
      <w:r w:rsidR="001734B2">
        <w:t xml:space="preserve">of </w:t>
      </w:r>
      <w:r w:rsidR="001734B2" w:rsidRPr="001927C6">
        <w:t>female care workers ha</w:t>
      </w:r>
      <w:r w:rsidR="001734B2">
        <w:t xml:space="preserve">d both </w:t>
      </w:r>
      <w:r w:rsidR="001734B2" w:rsidRPr="001927C6">
        <w:t xml:space="preserve">increased. </w:t>
      </w:r>
      <w:r w:rsidR="001734B2">
        <w:t>Women were more vulnerable than men to</w:t>
      </w:r>
      <w:r w:rsidR="001734B2" w:rsidRPr="001927C6">
        <w:t xml:space="preserve"> </w:t>
      </w:r>
      <w:r w:rsidR="001734B2">
        <w:t xml:space="preserve">pandemic-related </w:t>
      </w:r>
      <w:r w:rsidR="001734B2" w:rsidRPr="001927C6">
        <w:t>job loss</w:t>
      </w:r>
      <w:r w:rsidR="001734B2">
        <w:t xml:space="preserve">es, as many worked in the informal economy and in the </w:t>
      </w:r>
      <w:r w:rsidR="001734B2" w:rsidRPr="001927C6">
        <w:t xml:space="preserve">sectors </w:t>
      </w:r>
      <w:r w:rsidR="001734B2">
        <w:t>most affected</w:t>
      </w:r>
      <w:r w:rsidR="001734B2" w:rsidRPr="001927C6">
        <w:t xml:space="preserve">. </w:t>
      </w:r>
      <w:r w:rsidR="001734B2">
        <w:t>Moreover, governments were likely to cut public spending on care in response to</w:t>
      </w:r>
      <w:r w:rsidR="001734B2" w:rsidRPr="001927C6">
        <w:t xml:space="preserve"> economic crisis, </w:t>
      </w:r>
      <w:r w:rsidR="001734B2">
        <w:t>including as a condition for the granting of IMF loans</w:t>
      </w:r>
      <w:r w:rsidR="001734B2" w:rsidRPr="001927C6">
        <w:t xml:space="preserve">. </w:t>
      </w:r>
      <w:r w:rsidR="001734B2">
        <w:t>I</w:t>
      </w:r>
      <w:r w:rsidR="001734B2" w:rsidRPr="001927C6">
        <w:t>nternational organizations</w:t>
      </w:r>
      <w:r w:rsidR="001734B2">
        <w:t xml:space="preserve"> had projected that</w:t>
      </w:r>
      <w:r w:rsidR="001734B2" w:rsidRPr="001927C6">
        <w:t xml:space="preserve"> the pandemic w</w:t>
      </w:r>
      <w:r w:rsidR="001734B2">
        <w:t>ould</w:t>
      </w:r>
      <w:r w:rsidR="001734B2" w:rsidRPr="001927C6">
        <w:t xml:space="preserve"> push 47 million women and girls below the poverty line. </w:t>
      </w:r>
    </w:p>
    <w:p w14:paraId="41A04F30" w14:textId="61FE3B36" w:rsidR="001734B2" w:rsidRPr="001927C6" w:rsidRDefault="0096005E" w:rsidP="0096005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1927C6">
        <w:t>11.</w:t>
      </w:r>
      <w:r w:rsidRPr="001927C6">
        <w:tab/>
      </w:r>
      <w:r w:rsidR="001734B2" w:rsidRPr="001927C6">
        <w:t xml:space="preserve">The global crisis </w:t>
      </w:r>
      <w:r w:rsidR="001734B2">
        <w:t xml:space="preserve">in </w:t>
      </w:r>
      <w:r w:rsidR="001734B2" w:rsidRPr="001927C6">
        <w:t xml:space="preserve">care </w:t>
      </w:r>
      <w:r w:rsidR="001734B2">
        <w:t>resulted from</w:t>
      </w:r>
      <w:r w:rsidR="001734B2" w:rsidRPr="001927C6">
        <w:t xml:space="preserve"> a social </w:t>
      </w:r>
      <w:r w:rsidR="001734B2">
        <w:t>contract</w:t>
      </w:r>
      <w:r w:rsidR="001734B2" w:rsidRPr="001927C6">
        <w:t xml:space="preserve"> that women </w:t>
      </w:r>
      <w:r w:rsidR="001734B2">
        <w:t xml:space="preserve">had </w:t>
      </w:r>
      <w:r w:rsidR="001734B2" w:rsidRPr="001927C6">
        <w:t>never agreed to</w:t>
      </w:r>
      <w:r w:rsidR="001734B2">
        <w:t>, which</w:t>
      </w:r>
      <w:r w:rsidR="001734B2" w:rsidRPr="001927C6">
        <w:t xml:space="preserve"> render</w:t>
      </w:r>
      <w:r w:rsidR="001734B2">
        <w:t>ed</w:t>
      </w:r>
      <w:r w:rsidR="001734B2" w:rsidRPr="001927C6">
        <w:t xml:space="preserve"> social reproduction invisible, </w:t>
      </w:r>
      <w:r w:rsidR="001734B2">
        <w:t>made women’s responsibility for care work seem natural</w:t>
      </w:r>
      <w:r w:rsidR="001734B2" w:rsidRPr="001927C6">
        <w:t xml:space="preserve"> and fuel</w:t>
      </w:r>
      <w:r w:rsidR="001734B2">
        <w:t>led</w:t>
      </w:r>
      <w:r w:rsidR="001734B2" w:rsidRPr="001927C6">
        <w:t xml:space="preserve"> a neoliberal capitalist model focuse</w:t>
      </w:r>
      <w:r w:rsidR="001734B2">
        <w:t>d</w:t>
      </w:r>
      <w:r w:rsidR="001734B2" w:rsidRPr="001927C6">
        <w:t xml:space="preserve"> on economic growth rather than well-being. </w:t>
      </w:r>
      <w:r w:rsidR="001734B2">
        <w:t>T</w:t>
      </w:r>
      <w:r w:rsidR="001734B2" w:rsidRPr="001927C6">
        <w:t xml:space="preserve">he current crisis </w:t>
      </w:r>
      <w:r w:rsidR="001734B2">
        <w:t>highlighted its unjust and</w:t>
      </w:r>
      <w:r w:rsidR="001734B2" w:rsidRPr="001927C6">
        <w:t xml:space="preserve"> unsustainable</w:t>
      </w:r>
      <w:r w:rsidR="001734B2">
        <w:t xml:space="preserve"> nature and the need for</w:t>
      </w:r>
      <w:r w:rsidR="001734B2" w:rsidRPr="001927C6">
        <w:t xml:space="preserve"> a new human rights-based</w:t>
      </w:r>
      <w:r w:rsidR="001734B2">
        <w:t>,</w:t>
      </w:r>
      <w:r w:rsidR="001734B2" w:rsidRPr="001927C6">
        <w:t xml:space="preserve"> feminist</w:t>
      </w:r>
      <w:r w:rsidR="001734B2" w:rsidRPr="00ED65E8">
        <w:t xml:space="preserve"> </w:t>
      </w:r>
      <w:r w:rsidR="001734B2" w:rsidRPr="001927C6">
        <w:t xml:space="preserve">social </w:t>
      </w:r>
      <w:r w:rsidR="001734B2">
        <w:t>contract, involving</w:t>
      </w:r>
      <w:r w:rsidR="001734B2" w:rsidRPr="001927C6">
        <w:t xml:space="preserve"> </w:t>
      </w:r>
      <w:r w:rsidR="001734B2">
        <w:t>the r</w:t>
      </w:r>
      <w:r w:rsidR="001734B2" w:rsidRPr="001927C6">
        <w:t>edistribut</w:t>
      </w:r>
      <w:r w:rsidR="001734B2">
        <w:t>ion</w:t>
      </w:r>
      <w:r w:rsidR="001734B2" w:rsidRPr="001927C6">
        <w:t xml:space="preserve">, </w:t>
      </w:r>
      <w:r w:rsidR="001734B2">
        <w:t>reduction and recognition of</w:t>
      </w:r>
      <w:r w:rsidR="001734B2" w:rsidRPr="001927C6">
        <w:t xml:space="preserve"> care</w:t>
      </w:r>
      <w:r w:rsidR="001734B2">
        <w:t xml:space="preserve"> work</w:t>
      </w:r>
      <w:r w:rsidR="001734B2" w:rsidRPr="001927C6">
        <w:t xml:space="preserve">, </w:t>
      </w:r>
      <w:r w:rsidR="001734B2">
        <w:t>r</w:t>
      </w:r>
      <w:r w:rsidR="001734B2" w:rsidRPr="001927C6">
        <w:t xml:space="preserve">epresentation </w:t>
      </w:r>
      <w:r w:rsidR="001734B2">
        <w:t xml:space="preserve">for </w:t>
      </w:r>
      <w:r w:rsidR="001734B2" w:rsidRPr="001927C6">
        <w:t>care</w:t>
      </w:r>
      <w:r w:rsidR="001734B2">
        <w:t>rs</w:t>
      </w:r>
      <w:r w:rsidR="001734B2" w:rsidRPr="001927C6">
        <w:t xml:space="preserve"> in the definition of care policies, </w:t>
      </w:r>
      <w:r w:rsidR="001734B2">
        <w:t>r</w:t>
      </w:r>
      <w:r w:rsidR="001734B2" w:rsidRPr="001927C6">
        <w:t>ealiz</w:t>
      </w:r>
      <w:r w:rsidR="001734B2">
        <w:t>ation of</w:t>
      </w:r>
      <w:r w:rsidR="001734B2" w:rsidRPr="001927C6">
        <w:t xml:space="preserve"> the </w:t>
      </w:r>
      <w:r w:rsidR="001734B2">
        <w:t>r</w:t>
      </w:r>
      <w:r w:rsidR="001734B2" w:rsidRPr="001927C6">
        <w:t>ights of paid and unpaid care workers</w:t>
      </w:r>
      <w:r w:rsidR="001734B2">
        <w:t xml:space="preserve"> </w:t>
      </w:r>
      <w:r w:rsidR="001734B2" w:rsidRPr="001927C6">
        <w:t xml:space="preserve">and </w:t>
      </w:r>
      <w:r w:rsidR="001734B2">
        <w:t>economic reconstruction to achieve a caring economy</w:t>
      </w:r>
      <w:r w:rsidR="001734B2" w:rsidRPr="001927C6">
        <w:t>.</w:t>
      </w:r>
    </w:p>
    <w:p w14:paraId="3E0ABAFB" w14:textId="35358A0F" w:rsidR="001734B2" w:rsidRPr="001927C6" w:rsidRDefault="0096005E" w:rsidP="0096005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1927C6">
        <w:t>12.</w:t>
      </w:r>
      <w:r w:rsidRPr="001927C6">
        <w:tab/>
      </w:r>
      <w:r w:rsidR="001734B2">
        <w:t>C</w:t>
      </w:r>
      <w:r w:rsidR="001734B2" w:rsidRPr="001927C6">
        <w:t xml:space="preserve">are </w:t>
      </w:r>
      <w:r w:rsidR="001734B2">
        <w:t>wa</w:t>
      </w:r>
      <w:r w:rsidR="001734B2" w:rsidRPr="001927C6">
        <w:t>s a fundamental human activity</w:t>
      </w:r>
      <w:r w:rsidR="001734B2">
        <w:t>,</w:t>
      </w:r>
      <w:r w:rsidR="001734B2" w:rsidRPr="001927C6">
        <w:t xml:space="preserve"> </w:t>
      </w:r>
      <w:r w:rsidR="001734B2">
        <w:t>which should be understood as</w:t>
      </w:r>
      <w:r w:rsidR="001734B2" w:rsidRPr="001927C6">
        <w:t xml:space="preserve"> a </w:t>
      </w:r>
      <w:r w:rsidR="001734B2">
        <w:t xml:space="preserve">need, a </w:t>
      </w:r>
      <w:r w:rsidR="001734B2" w:rsidRPr="001927C6">
        <w:t>job and a right</w:t>
      </w:r>
      <w:r w:rsidR="001734B2">
        <w:t xml:space="preserve"> and be seen in</w:t>
      </w:r>
      <w:r w:rsidR="001734B2" w:rsidRPr="001927C6">
        <w:t xml:space="preserve"> the </w:t>
      </w:r>
      <w:r w:rsidR="001734B2">
        <w:t xml:space="preserve">context of the </w:t>
      </w:r>
      <w:r w:rsidR="001734B2" w:rsidRPr="001927C6">
        <w:t>historical unequal</w:t>
      </w:r>
      <w:r w:rsidR="001734B2">
        <w:t xml:space="preserve"> division of labour between</w:t>
      </w:r>
      <w:r w:rsidR="001734B2" w:rsidRPr="001927C6">
        <w:t xml:space="preserve"> men and women. </w:t>
      </w:r>
      <w:r w:rsidR="001734B2">
        <w:t xml:space="preserve">Carers must be assured </w:t>
      </w:r>
      <w:r w:rsidR="001734B2" w:rsidRPr="001927C6">
        <w:t xml:space="preserve">social protection and </w:t>
      </w:r>
      <w:r w:rsidR="001734B2">
        <w:t xml:space="preserve">labour </w:t>
      </w:r>
      <w:r w:rsidR="001734B2" w:rsidRPr="001927C6">
        <w:t xml:space="preserve">rights. </w:t>
      </w:r>
      <w:r w:rsidR="001734B2">
        <w:t>In addition to a more equal</w:t>
      </w:r>
      <w:r w:rsidR="001734B2" w:rsidRPr="001927C6">
        <w:t xml:space="preserve"> distribution of care within families, the State, </w:t>
      </w:r>
      <w:r w:rsidR="001734B2">
        <w:t>business</w:t>
      </w:r>
      <w:r w:rsidR="001734B2" w:rsidRPr="001927C6">
        <w:t xml:space="preserve"> and the </w:t>
      </w:r>
      <w:r w:rsidR="001734B2">
        <w:t>wider</w:t>
      </w:r>
      <w:r w:rsidR="001734B2" w:rsidRPr="001927C6">
        <w:t xml:space="preserve"> community</w:t>
      </w:r>
      <w:r w:rsidR="001734B2">
        <w:t xml:space="preserve"> must contribute </w:t>
      </w:r>
      <w:r w:rsidR="001734B2" w:rsidRPr="001927C6">
        <w:t xml:space="preserve">to </w:t>
      </w:r>
      <w:r w:rsidR="001734B2">
        <w:t>the creation of a fairer</w:t>
      </w:r>
      <w:r w:rsidR="001734B2" w:rsidRPr="001927C6">
        <w:t xml:space="preserve"> society </w:t>
      </w:r>
      <w:r w:rsidR="001734B2">
        <w:t xml:space="preserve">in which </w:t>
      </w:r>
      <w:r w:rsidR="001734B2" w:rsidRPr="001927C6">
        <w:t>care work</w:t>
      </w:r>
      <w:r w:rsidR="001734B2">
        <w:t xml:space="preserve"> was no longer feminized and precarious</w:t>
      </w:r>
      <w:r w:rsidR="001734B2" w:rsidRPr="001927C6">
        <w:t>.</w:t>
      </w:r>
      <w:r w:rsidR="001734B2">
        <w:t xml:space="preserve"> For a post-pandemic world </w:t>
      </w:r>
      <w:r w:rsidR="001734B2" w:rsidRPr="001927C6">
        <w:t xml:space="preserve">where the value of care work </w:t>
      </w:r>
      <w:r w:rsidR="001734B2">
        <w:t>wa</w:t>
      </w:r>
      <w:r w:rsidR="001734B2" w:rsidRPr="001927C6">
        <w:t xml:space="preserve">s recognized, all countries </w:t>
      </w:r>
      <w:r w:rsidR="001734B2">
        <w:t>should</w:t>
      </w:r>
      <w:r w:rsidR="001734B2" w:rsidRPr="001927C6">
        <w:t xml:space="preserve"> ratify and implement the </w:t>
      </w:r>
      <w:r w:rsidR="001734B2">
        <w:t xml:space="preserve">International Labour Organization </w:t>
      </w:r>
      <w:r w:rsidR="001734B2" w:rsidRPr="001927C6">
        <w:t xml:space="preserve">conventions </w:t>
      </w:r>
      <w:r w:rsidR="001734B2">
        <w:t>related to women’s</w:t>
      </w:r>
      <w:r w:rsidR="001734B2" w:rsidRPr="001927C6">
        <w:t xml:space="preserve"> participation in the workforce, </w:t>
      </w:r>
      <w:r w:rsidR="001734B2">
        <w:t>ensure e</w:t>
      </w:r>
      <w:r w:rsidR="001734B2" w:rsidRPr="001927C6">
        <w:t>qu</w:t>
      </w:r>
      <w:r w:rsidR="001734B2">
        <w:t>al</w:t>
      </w:r>
      <w:r w:rsidR="001734B2" w:rsidRPr="001927C6">
        <w:t xml:space="preserve"> and affordable access to </w:t>
      </w:r>
      <w:r w:rsidR="001734B2">
        <w:t>high-</w:t>
      </w:r>
      <w:r w:rsidR="001734B2" w:rsidRPr="001927C6">
        <w:t xml:space="preserve">quality </w:t>
      </w:r>
      <w:r w:rsidR="001734B2">
        <w:t xml:space="preserve">gender-sensitive </w:t>
      </w:r>
      <w:r w:rsidR="001734B2" w:rsidRPr="001927C6">
        <w:t>care services</w:t>
      </w:r>
      <w:r w:rsidR="001734B2">
        <w:t xml:space="preserve"> and adopt</w:t>
      </w:r>
      <w:r w:rsidR="001734B2" w:rsidRPr="001927C6">
        <w:t xml:space="preserve"> laws and policies </w:t>
      </w:r>
      <w:r w:rsidR="001734B2">
        <w:t>to improve the</w:t>
      </w:r>
      <w:r w:rsidR="001734B2" w:rsidRPr="001927C6">
        <w:t xml:space="preserve"> </w:t>
      </w:r>
      <w:r w:rsidR="001734B2">
        <w:t>work/life balance and</w:t>
      </w:r>
      <w:r w:rsidR="001734B2" w:rsidRPr="001927C6">
        <w:t xml:space="preserve"> redistribut</w:t>
      </w:r>
      <w:r w:rsidR="001734B2">
        <w:t>e</w:t>
      </w:r>
      <w:r w:rsidR="001734B2" w:rsidRPr="001927C6">
        <w:t xml:space="preserve"> unpaid care responsibilities.</w:t>
      </w:r>
    </w:p>
    <w:p w14:paraId="3CB40128" w14:textId="07FAA26B" w:rsidR="001734B2" w:rsidRPr="001927C6" w:rsidRDefault="0096005E" w:rsidP="0096005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1927C6">
        <w:t>13.</w:t>
      </w:r>
      <w:r w:rsidRPr="001927C6">
        <w:tab/>
      </w:r>
      <w:r w:rsidR="001734B2" w:rsidRPr="001927C6">
        <w:rPr>
          <w:b/>
          <w:bCs/>
        </w:rPr>
        <w:t xml:space="preserve">Mr. Fish Hodgson </w:t>
      </w:r>
      <w:r w:rsidR="001734B2" w:rsidRPr="001927C6">
        <w:t xml:space="preserve">(International Commission of Jurists) said that the Committee’s statements </w:t>
      </w:r>
      <w:r w:rsidR="001734B2">
        <w:t xml:space="preserve">on </w:t>
      </w:r>
      <w:r w:rsidR="001734B2" w:rsidRPr="001927C6">
        <w:t xml:space="preserve">access to vaccines and on </w:t>
      </w:r>
      <w:r w:rsidR="001734B2">
        <w:t xml:space="preserve">the </w:t>
      </w:r>
      <w:r w:rsidR="001734B2" w:rsidRPr="001927C6">
        <w:t xml:space="preserve">COVID-19 </w:t>
      </w:r>
      <w:r w:rsidR="001734B2">
        <w:t xml:space="preserve">pandemic and </w:t>
      </w:r>
      <w:r w:rsidR="001734B2" w:rsidRPr="001927C6">
        <w:t>economic, social and cultural rights had become rallying points for human rights defenders and lawyers around the world. However, many governments continued to fail to meet even the</w:t>
      </w:r>
      <w:r w:rsidR="001734B2">
        <w:t>ir</w:t>
      </w:r>
      <w:r w:rsidR="001734B2" w:rsidRPr="001927C6">
        <w:t xml:space="preserve"> minimum core obligations </w:t>
      </w:r>
      <w:r w:rsidR="001734B2">
        <w:t>under</w:t>
      </w:r>
      <w:r w:rsidR="001734B2" w:rsidRPr="001927C6">
        <w:t xml:space="preserve"> the right to health. </w:t>
      </w:r>
      <w:r w:rsidR="001734B2">
        <w:t>He</w:t>
      </w:r>
      <w:r w:rsidR="001734B2" w:rsidRPr="001927C6">
        <w:t xml:space="preserve"> </w:t>
      </w:r>
      <w:r w:rsidR="001734B2">
        <w:t>urged</w:t>
      </w:r>
      <w:r w:rsidR="001734B2" w:rsidRPr="001927C6">
        <w:t xml:space="preserve"> the Committee to use the State </w:t>
      </w:r>
      <w:r w:rsidR="001734B2">
        <w:t xml:space="preserve">party </w:t>
      </w:r>
      <w:r w:rsidR="001734B2" w:rsidRPr="001927C6">
        <w:t xml:space="preserve">reporting procedure to provide guidance to individual States on how best to ensure compliance with </w:t>
      </w:r>
      <w:r w:rsidR="001734B2">
        <w:t xml:space="preserve">their </w:t>
      </w:r>
      <w:r w:rsidR="001734B2" w:rsidRPr="001927C6">
        <w:t>Covenant obligations during the pandemic</w:t>
      </w:r>
      <w:r w:rsidR="001734B2">
        <w:t>, particularly with respect to</w:t>
      </w:r>
      <w:r w:rsidR="001734B2" w:rsidRPr="001927C6">
        <w:t xml:space="preserve"> access to vaccines. </w:t>
      </w:r>
    </w:p>
    <w:p w14:paraId="0871A212" w14:textId="69E81857" w:rsidR="001734B2" w:rsidRPr="001927C6" w:rsidRDefault="0096005E" w:rsidP="0096005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1927C6">
        <w:t>14.</w:t>
      </w:r>
      <w:r w:rsidRPr="001927C6">
        <w:tab/>
      </w:r>
      <w:r w:rsidR="001734B2">
        <w:t xml:space="preserve">In view of reports that the Governments of </w:t>
      </w:r>
      <w:r w:rsidR="001734B2" w:rsidRPr="001927C6">
        <w:t>Tanzania</w:t>
      </w:r>
      <w:r w:rsidR="001734B2">
        <w:t>,</w:t>
      </w:r>
      <w:r w:rsidR="001734B2" w:rsidRPr="001927C6">
        <w:t xml:space="preserve"> Burundi, Eritrea and Madagascar had refused free access to vaccines through </w:t>
      </w:r>
      <w:r w:rsidR="001734B2">
        <w:t xml:space="preserve">the </w:t>
      </w:r>
      <w:r w:rsidR="001734B2" w:rsidRPr="00D41347">
        <w:t xml:space="preserve">COVID-19 Vaccine Global Access (COVAX) </w:t>
      </w:r>
      <w:r w:rsidR="001734B2" w:rsidRPr="00C42ECE">
        <w:t>Facility</w:t>
      </w:r>
      <w:r w:rsidR="001734B2">
        <w:t xml:space="preserve">, it was important for </w:t>
      </w:r>
      <w:r w:rsidR="001734B2" w:rsidRPr="001927C6">
        <w:t xml:space="preserve">States parties </w:t>
      </w:r>
      <w:r w:rsidR="001734B2">
        <w:t>to</w:t>
      </w:r>
      <w:r w:rsidR="001734B2" w:rsidRPr="001927C6">
        <w:t xml:space="preserve"> acknowledge that access to vaccines was a necessary condition for the enjoyment of the right to health</w:t>
      </w:r>
      <w:r w:rsidR="001734B2">
        <w:t xml:space="preserve"> and to</w:t>
      </w:r>
      <w:r w:rsidR="001734B2" w:rsidRPr="001927C6">
        <w:t xml:space="preserve"> comply with their obligations under the Covenant to take </w:t>
      </w:r>
      <w:r w:rsidR="001734B2">
        <w:t xml:space="preserve">vaccine procurement </w:t>
      </w:r>
      <w:r w:rsidR="001734B2" w:rsidRPr="001927C6">
        <w:t>measures.</w:t>
      </w:r>
      <w:r w:rsidR="001734B2">
        <w:t xml:space="preserve"> M</w:t>
      </w:r>
      <w:r w:rsidR="001734B2" w:rsidRPr="001927C6">
        <w:t xml:space="preserve">any States parties </w:t>
      </w:r>
      <w:r w:rsidR="001734B2">
        <w:t xml:space="preserve">also needed to produce </w:t>
      </w:r>
      <w:r w:rsidR="001734B2" w:rsidRPr="001927C6">
        <w:t>vaccine procurement and distribution plans consistent with their Covenant obligation to ensure access to health information</w:t>
      </w:r>
      <w:r w:rsidR="001734B2">
        <w:t>. For example, i</w:t>
      </w:r>
      <w:r w:rsidR="001734B2" w:rsidRPr="001927C6">
        <w:t xml:space="preserve">n </w:t>
      </w:r>
      <w:r w:rsidR="001734B2" w:rsidRPr="001927C6">
        <w:lastRenderedPageBreak/>
        <w:t xml:space="preserve">Zimbabwe, </w:t>
      </w:r>
      <w:r w:rsidR="001734B2">
        <w:t xml:space="preserve">a </w:t>
      </w:r>
      <w:r w:rsidR="001734B2" w:rsidRPr="001927C6">
        <w:t>human rights organization had app</w:t>
      </w:r>
      <w:r w:rsidR="001734B2">
        <w:t>lied to</w:t>
      </w:r>
      <w:r w:rsidR="001734B2" w:rsidRPr="001927C6">
        <w:t xml:space="preserve"> the High Court </w:t>
      </w:r>
      <w:r w:rsidR="001734B2">
        <w:t>for an order</w:t>
      </w:r>
      <w:r w:rsidR="001734B2" w:rsidRPr="001927C6">
        <w:t xml:space="preserve"> requiring the </w:t>
      </w:r>
      <w:r w:rsidR="001734B2">
        <w:t>G</w:t>
      </w:r>
      <w:r w:rsidR="001734B2" w:rsidRPr="001927C6">
        <w:t>overnment to produce a vaccine roll-out plan</w:t>
      </w:r>
      <w:r w:rsidR="001734B2">
        <w:t>, while similar litigation was being contemplated i</w:t>
      </w:r>
      <w:r w:rsidR="001734B2" w:rsidRPr="001927C6">
        <w:t xml:space="preserve">n South Africa. </w:t>
      </w:r>
    </w:p>
    <w:p w14:paraId="0A63336E" w14:textId="6A5F6D11" w:rsidR="001734B2" w:rsidRPr="001927C6" w:rsidRDefault="0096005E" w:rsidP="0096005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1927C6">
        <w:t>15.</w:t>
      </w:r>
      <w:r w:rsidRPr="001927C6">
        <w:tab/>
      </w:r>
      <w:r w:rsidR="001734B2">
        <w:t xml:space="preserve">Some vaccine roll-out </w:t>
      </w:r>
      <w:r w:rsidR="001734B2" w:rsidRPr="001927C6">
        <w:t xml:space="preserve">plans were </w:t>
      </w:r>
      <w:r w:rsidR="001734B2">
        <w:t>not compatible</w:t>
      </w:r>
      <w:r w:rsidR="001734B2" w:rsidRPr="001927C6">
        <w:t xml:space="preserve"> with human rights</w:t>
      </w:r>
      <w:r w:rsidR="001734B2">
        <w:t>,</w:t>
      </w:r>
      <w:r w:rsidR="001734B2" w:rsidRPr="001927C6">
        <w:t xml:space="preserve"> </w:t>
      </w:r>
      <w:r w:rsidR="001734B2">
        <w:t>as they provided for access only for</w:t>
      </w:r>
      <w:r w:rsidR="001734B2" w:rsidRPr="001927C6">
        <w:t xml:space="preserve"> citizens</w:t>
      </w:r>
      <w:r w:rsidR="001734B2">
        <w:t xml:space="preserve"> </w:t>
      </w:r>
      <w:r w:rsidR="001734B2" w:rsidRPr="001927C6">
        <w:t xml:space="preserve">and not </w:t>
      </w:r>
      <w:r w:rsidR="001734B2">
        <w:t>for</w:t>
      </w:r>
      <w:r w:rsidR="001734B2" w:rsidRPr="001927C6">
        <w:t xml:space="preserve"> foreign nationals</w:t>
      </w:r>
      <w:r w:rsidR="001734B2">
        <w:t>, or stipulated documentation</w:t>
      </w:r>
      <w:r w:rsidR="001734B2" w:rsidRPr="001927C6">
        <w:t xml:space="preserve"> requirements </w:t>
      </w:r>
      <w:r w:rsidR="001734B2">
        <w:t>that could</w:t>
      </w:r>
      <w:r w:rsidR="001734B2" w:rsidRPr="001927C6">
        <w:t xml:space="preserve"> discourage undocumented migrants</w:t>
      </w:r>
      <w:r w:rsidR="001734B2">
        <w:t xml:space="preserve"> from seeking vaccination</w:t>
      </w:r>
      <w:r w:rsidR="001734B2" w:rsidRPr="001927C6">
        <w:t>.</w:t>
      </w:r>
      <w:r w:rsidR="001734B2">
        <w:t xml:space="preserve"> Israel had allowed</w:t>
      </w:r>
      <w:r w:rsidR="001734B2" w:rsidRPr="001927C6">
        <w:t xml:space="preserve"> access to vaccines </w:t>
      </w:r>
      <w:r w:rsidR="001734B2">
        <w:t xml:space="preserve">for </w:t>
      </w:r>
      <w:r w:rsidR="001734B2" w:rsidRPr="001927C6">
        <w:t>Palestinian residents of East Jerusalem</w:t>
      </w:r>
      <w:r w:rsidR="001734B2">
        <w:t xml:space="preserve"> but not for</w:t>
      </w:r>
      <w:r w:rsidR="001734B2" w:rsidRPr="001927C6">
        <w:t xml:space="preserve"> </w:t>
      </w:r>
      <w:r w:rsidR="001734B2">
        <w:t>those</w:t>
      </w:r>
      <w:r w:rsidR="001734B2" w:rsidRPr="001927C6">
        <w:t xml:space="preserve"> living in the Occupied Palestinian Territor</w:t>
      </w:r>
      <w:r w:rsidR="001734B2">
        <w:t>y</w:t>
      </w:r>
      <w:r w:rsidR="001734B2" w:rsidRPr="001927C6">
        <w:t xml:space="preserve">. States parties should provide disaggregated data on vaccine access for all marginalized and disadvantaged </w:t>
      </w:r>
      <w:r w:rsidR="001734B2">
        <w:t>groups</w:t>
      </w:r>
      <w:r w:rsidR="001734B2" w:rsidRPr="001927C6">
        <w:t xml:space="preserve"> </w:t>
      </w:r>
      <w:r w:rsidR="001734B2">
        <w:t>in order to</w:t>
      </w:r>
      <w:r w:rsidR="001734B2" w:rsidRPr="001927C6">
        <w:t xml:space="preserve"> </w:t>
      </w:r>
      <w:r w:rsidR="001734B2">
        <w:t>demonstrate</w:t>
      </w:r>
      <w:r w:rsidR="001734B2" w:rsidRPr="001927C6">
        <w:t xml:space="preserve"> compliance with their obligation of non-discrimination. </w:t>
      </w:r>
    </w:p>
    <w:p w14:paraId="1AB8C0DB" w14:textId="4D55A9C9" w:rsidR="001734B2" w:rsidRPr="001927C6" w:rsidRDefault="0096005E" w:rsidP="0096005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1927C6">
        <w:t>16.</w:t>
      </w:r>
      <w:r w:rsidRPr="001927C6">
        <w:tab/>
      </w:r>
      <w:r w:rsidR="001734B2">
        <w:t xml:space="preserve">Many </w:t>
      </w:r>
      <w:r w:rsidR="001734B2" w:rsidRPr="001927C6">
        <w:t xml:space="preserve">States </w:t>
      </w:r>
      <w:r w:rsidR="001734B2">
        <w:t>were failing</w:t>
      </w:r>
      <w:r w:rsidR="001734B2" w:rsidRPr="001927C6">
        <w:t xml:space="preserve"> </w:t>
      </w:r>
      <w:r w:rsidR="001734B2">
        <w:t xml:space="preserve">to support initiatives such as </w:t>
      </w:r>
      <w:r w:rsidR="001734B2" w:rsidRPr="001927C6">
        <w:t>the COVID-19 Technology Access Pool</w:t>
      </w:r>
      <w:r w:rsidR="001734B2">
        <w:t xml:space="preserve"> of the </w:t>
      </w:r>
      <w:r w:rsidR="001734B2" w:rsidRPr="001927C6">
        <w:t>World Health Organizatio</w:t>
      </w:r>
      <w:r w:rsidR="001734B2">
        <w:t xml:space="preserve">n, in violation of their </w:t>
      </w:r>
      <w:r w:rsidR="001734B2" w:rsidRPr="001927C6">
        <w:t xml:space="preserve">obligation to cooperate internationally to realize the right to health. The consequence was a continuing divide in vaccine access between </w:t>
      </w:r>
      <w:r w:rsidR="001734B2">
        <w:t>high- and</w:t>
      </w:r>
      <w:r w:rsidR="001734B2" w:rsidRPr="001927C6">
        <w:t xml:space="preserve"> low-income countries</w:t>
      </w:r>
      <w:r w:rsidR="001734B2">
        <w:t xml:space="preserve">, including reports of countries of the global South being forced to pay more for vaccines than </w:t>
      </w:r>
      <w:r w:rsidR="001734B2" w:rsidRPr="001927C6">
        <w:t>European countrie</w:t>
      </w:r>
      <w:r w:rsidR="001734B2">
        <w:t>s</w:t>
      </w:r>
      <w:r w:rsidR="001734B2" w:rsidRPr="001927C6">
        <w:t>. States parties should explain how they had complied with the</w:t>
      </w:r>
      <w:r w:rsidR="001734B2">
        <w:t>ir</w:t>
      </w:r>
      <w:r w:rsidR="001734B2" w:rsidRPr="001927C6">
        <w:t xml:space="preserve"> international cooperation obligations with respect to equitable access to vaccines </w:t>
      </w:r>
      <w:r w:rsidR="001734B2">
        <w:t>and state</w:t>
      </w:r>
      <w:r w:rsidR="001734B2" w:rsidRPr="001927C6">
        <w:t xml:space="preserve"> the measures </w:t>
      </w:r>
      <w:r w:rsidR="001734B2">
        <w:t xml:space="preserve">they had </w:t>
      </w:r>
      <w:r w:rsidR="001734B2" w:rsidRPr="001927C6">
        <w:t xml:space="preserve">taken to ensure that </w:t>
      </w:r>
      <w:r w:rsidR="001734B2">
        <w:t xml:space="preserve">private </w:t>
      </w:r>
      <w:r w:rsidR="001734B2" w:rsidRPr="001927C6">
        <w:t>companies d</w:t>
      </w:r>
      <w:r w:rsidR="001734B2">
        <w:t>id</w:t>
      </w:r>
      <w:r w:rsidR="001734B2" w:rsidRPr="001927C6">
        <w:t xml:space="preserve"> not </w:t>
      </w:r>
      <w:r w:rsidR="001734B2">
        <w:t>obstruct affordable</w:t>
      </w:r>
      <w:r w:rsidR="001734B2" w:rsidRPr="001927C6">
        <w:t xml:space="preserve"> access.  </w:t>
      </w:r>
    </w:p>
    <w:p w14:paraId="3CCB4662" w14:textId="10028FDC" w:rsidR="001734B2" w:rsidRPr="001927C6" w:rsidRDefault="0096005E" w:rsidP="0096005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1927C6">
        <w:t>17.</w:t>
      </w:r>
      <w:r w:rsidRPr="001927C6">
        <w:tab/>
      </w:r>
      <w:r w:rsidR="001734B2" w:rsidRPr="001927C6">
        <w:t xml:space="preserve">In </w:t>
      </w:r>
      <w:proofErr w:type="gramStart"/>
      <w:r w:rsidR="001734B2">
        <w:t>a number of</w:t>
      </w:r>
      <w:proofErr w:type="gramEnd"/>
      <w:r w:rsidR="001734B2" w:rsidRPr="001927C6">
        <w:t xml:space="preserve"> countries, continued access to justice had proven invaluable </w:t>
      </w:r>
      <w:r w:rsidR="001734B2">
        <w:t>for</w:t>
      </w:r>
      <w:r w:rsidR="001734B2" w:rsidRPr="001927C6">
        <w:t xml:space="preserve"> the fulfilment of Covenant rights </w:t>
      </w:r>
      <w:r w:rsidR="001734B2">
        <w:t>during the pandemic, with courts handing</w:t>
      </w:r>
      <w:r w:rsidR="001734B2" w:rsidRPr="001927C6">
        <w:t xml:space="preserve"> down decisions </w:t>
      </w:r>
      <w:r w:rsidR="001734B2">
        <w:t>about</w:t>
      </w:r>
      <w:r w:rsidR="001734B2" w:rsidRPr="001927C6">
        <w:t xml:space="preserve"> </w:t>
      </w:r>
      <w:r w:rsidR="001734B2">
        <w:t xml:space="preserve">matters such as </w:t>
      </w:r>
      <w:r w:rsidR="001734B2" w:rsidRPr="001927C6">
        <w:t xml:space="preserve">access to </w:t>
      </w:r>
      <w:r w:rsidR="001734B2">
        <w:t xml:space="preserve">personal protective equipment </w:t>
      </w:r>
      <w:r w:rsidR="001734B2" w:rsidRPr="001927C6">
        <w:t>for health</w:t>
      </w:r>
      <w:r w:rsidR="001734B2">
        <w:t>-</w:t>
      </w:r>
      <w:r w:rsidR="001734B2" w:rsidRPr="001927C6">
        <w:t>care workers.</w:t>
      </w:r>
      <w:r w:rsidR="001734B2">
        <w:t xml:space="preserve"> </w:t>
      </w:r>
      <w:r w:rsidR="001734B2" w:rsidRPr="001927C6">
        <w:t xml:space="preserve">In </w:t>
      </w:r>
      <w:r w:rsidR="001734B2">
        <w:t>other countries</w:t>
      </w:r>
      <w:r w:rsidR="001734B2" w:rsidRPr="001927C6">
        <w:t xml:space="preserve">, </w:t>
      </w:r>
      <w:r w:rsidR="001734B2">
        <w:t>courts had considered ch</w:t>
      </w:r>
      <w:r w:rsidR="001734B2" w:rsidRPr="001927C6">
        <w:t>allenges to the legality of lockdown regulations.</w:t>
      </w:r>
      <w:r w:rsidR="001734B2">
        <w:t xml:space="preserve"> However</w:t>
      </w:r>
      <w:r w:rsidR="001734B2" w:rsidRPr="001927C6">
        <w:t xml:space="preserve">, many States had taken </w:t>
      </w:r>
      <w:r w:rsidR="001734B2">
        <w:t>measures supposedly intended to respond</w:t>
      </w:r>
      <w:r w:rsidR="001734B2" w:rsidRPr="001927C6">
        <w:t xml:space="preserve"> to the pandemi</w:t>
      </w:r>
      <w:r w:rsidR="001734B2">
        <w:t>c that</w:t>
      </w:r>
      <w:r w:rsidR="001734B2" w:rsidRPr="001927C6">
        <w:t xml:space="preserve"> had severely curtailed access to justice. States parties should provide information about the functioning of the</w:t>
      </w:r>
      <w:r w:rsidR="001734B2">
        <w:t>ir</w:t>
      </w:r>
      <w:r w:rsidR="001734B2" w:rsidRPr="001927C6">
        <w:t xml:space="preserve"> judicial mechanisms and how </w:t>
      </w:r>
      <w:r w:rsidR="001734B2">
        <w:t>they ensured</w:t>
      </w:r>
      <w:r w:rsidR="001734B2" w:rsidRPr="001927C6">
        <w:t xml:space="preserve"> compliance with judicial and administrative decisions related to Covenant rights. Court proceedings</w:t>
      </w:r>
      <w:r w:rsidR="001734B2" w:rsidRPr="007A02C7">
        <w:t xml:space="preserve"> </w:t>
      </w:r>
      <w:r w:rsidR="001734B2" w:rsidRPr="001927C6">
        <w:t xml:space="preserve">must continue to secure meaningful access to </w:t>
      </w:r>
      <w:r w:rsidR="001734B2">
        <w:t xml:space="preserve">justice and uphold Covenant rights </w:t>
      </w:r>
      <w:r w:rsidR="001734B2" w:rsidRPr="001927C6">
        <w:t>during the time of COVID-19.</w:t>
      </w:r>
    </w:p>
    <w:p w14:paraId="5D57F99D" w14:textId="2C8F497A" w:rsidR="001734B2" w:rsidRPr="001927C6" w:rsidRDefault="0096005E" w:rsidP="0096005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1927C6">
        <w:t>18.</w:t>
      </w:r>
      <w:r w:rsidRPr="001927C6">
        <w:tab/>
      </w:r>
      <w:r w:rsidR="001734B2" w:rsidRPr="001927C6">
        <w:rPr>
          <w:b/>
          <w:bCs/>
        </w:rPr>
        <w:t xml:space="preserve">Mr. Bagshaw </w:t>
      </w:r>
      <w:r w:rsidR="001734B2" w:rsidRPr="001927C6">
        <w:t xml:space="preserve">(Global Initiative for Economic, Social and Cultural Rights) said that </w:t>
      </w:r>
      <w:r w:rsidR="001734B2" w:rsidRPr="00A93B31">
        <w:rPr>
          <w:szCs w:val="24"/>
        </w:rPr>
        <w:t>the</w:t>
      </w:r>
      <w:r w:rsidR="001734B2">
        <w:t xml:space="preserve"> COVID-19</w:t>
      </w:r>
      <w:r w:rsidR="001734B2" w:rsidRPr="001927C6">
        <w:t xml:space="preserve"> pandemic and the lockdown measures necessary to restrict its spread had had a profound impact on </w:t>
      </w:r>
      <w:r w:rsidR="001734B2">
        <w:t>all the</w:t>
      </w:r>
      <w:r w:rsidR="001734B2" w:rsidRPr="001927C6">
        <w:t xml:space="preserve"> Covenant</w:t>
      </w:r>
      <w:r w:rsidR="001734B2">
        <w:t xml:space="preserve"> rights</w:t>
      </w:r>
      <w:r w:rsidR="001734B2" w:rsidRPr="001927C6">
        <w:t>.</w:t>
      </w:r>
      <w:r w:rsidR="001734B2">
        <w:t xml:space="preserve"> </w:t>
      </w:r>
      <w:r w:rsidR="001734B2" w:rsidRPr="001927C6">
        <w:t>Over 100 million people had contracted the virus</w:t>
      </w:r>
      <w:r w:rsidR="001734B2">
        <w:t>,</w:t>
      </w:r>
      <w:r w:rsidR="001734B2" w:rsidRPr="001927C6">
        <w:t xml:space="preserve"> </w:t>
      </w:r>
      <w:r w:rsidR="001734B2">
        <w:t xml:space="preserve">and </w:t>
      </w:r>
      <w:r w:rsidR="001734B2" w:rsidRPr="001927C6">
        <w:t xml:space="preserve">the livelihoods of nearly half the global workforce </w:t>
      </w:r>
      <w:r w:rsidR="001734B2">
        <w:t xml:space="preserve">had been </w:t>
      </w:r>
      <w:r w:rsidR="001734B2" w:rsidRPr="001927C6">
        <w:t>placed at risk by lockdown measures. Economic inequality had soared to even greater heights</w:t>
      </w:r>
      <w:r w:rsidR="001734B2">
        <w:t xml:space="preserve"> and it</w:t>
      </w:r>
      <w:r w:rsidR="001734B2" w:rsidRPr="001927C6">
        <w:t xml:space="preserve"> was estimated that an additional 150 million people had been pushed into extreme poverty, with women, </w:t>
      </w:r>
      <w:r w:rsidR="001734B2">
        <w:t>persons living in</w:t>
      </w:r>
      <w:r w:rsidR="001734B2" w:rsidRPr="001927C6">
        <w:t xml:space="preserve"> po</w:t>
      </w:r>
      <w:r w:rsidR="001734B2">
        <w:t>ve</w:t>
      </w:r>
      <w:r w:rsidR="001734B2" w:rsidRPr="001927C6">
        <w:t>r</w:t>
      </w:r>
      <w:r w:rsidR="001734B2">
        <w:t>ty</w:t>
      </w:r>
      <w:r w:rsidR="001734B2" w:rsidRPr="001927C6">
        <w:t xml:space="preserve">, </w:t>
      </w:r>
      <w:r w:rsidR="001734B2">
        <w:t xml:space="preserve">persons with </w:t>
      </w:r>
      <w:r w:rsidR="001734B2" w:rsidRPr="001927C6">
        <w:t>disab</w:t>
      </w:r>
      <w:r w:rsidR="001734B2">
        <w:t>i</w:t>
      </w:r>
      <w:r w:rsidR="001734B2" w:rsidRPr="001927C6">
        <w:t>l</w:t>
      </w:r>
      <w:r w:rsidR="001734B2">
        <w:t>ities</w:t>
      </w:r>
      <w:r w:rsidR="001734B2" w:rsidRPr="001927C6">
        <w:t xml:space="preserve"> and migrant populations </w:t>
      </w:r>
      <w:r w:rsidR="001734B2">
        <w:t>disproportionately affected</w:t>
      </w:r>
      <w:r w:rsidR="001734B2" w:rsidRPr="001927C6">
        <w:t xml:space="preserve">. </w:t>
      </w:r>
    </w:p>
    <w:p w14:paraId="130FD7FA" w14:textId="145F716E" w:rsidR="001734B2" w:rsidRPr="001927C6" w:rsidRDefault="0096005E" w:rsidP="0096005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1927C6">
        <w:t>19.</w:t>
      </w:r>
      <w:r w:rsidRPr="001927C6">
        <w:tab/>
      </w:r>
      <w:r w:rsidR="001734B2">
        <w:t>In that context, t</w:t>
      </w:r>
      <w:r w:rsidR="001734B2" w:rsidRPr="001927C6">
        <w:t xml:space="preserve">he Committee had </w:t>
      </w:r>
      <w:r w:rsidR="001734B2">
        <w:t>helped to</w:t>
      </w:r>
      <w:r w:rsidR="001734B2" w:rsidRPr="001927C6">
        <w:t xml:space="preserve"> clarif</w:t>
      </w:r>
      <w:r w:rsidR="001734B2">
        <w:t>y</w:t>
      </w:r>
      <w:r w:rsidR="001734B2" w:rsidRPr="001927C6">
        <w:t xml:space="preserve"> the links between the Covenant and the </w:t>
      </w:r>
      <w:r w:rsidR="001734B2">
        <w:t>current situation</w:t>
      </w:r>
      <w:r w:rsidR="001734B2" w:rsidRPr="001927C6">
        <w:t xml:space="preserve">, </w:t>
      </w:r>
      <w:r w:rsidR="001734B2">
        <w:t>including th</w:t>
      </w:r>
      <w:r w:rsidR="00986F24">
        <w:t>r</w:t>
      </w:r>
      <w:r w:rsidR="001734B2">
        <w:t>ough its</w:t>
      </w:r>
      <w:r w:rsidR="001734B2" w:rsidRPr="001927C6">
        <w:t xml:space="preserve"> timely general comment</w:t>
      </w:r>
      <w:r w:rsidR="001734B2">
        <w:t xml:space="preserve"> No. 25 (2020) on science</w:t>
      </w:r>
      <w:r w:rsidR="001734B2" w:rsidRPr="00D418A1">
        <w:t xml:space="preserve"> and economic, social and cultural rights</w:t>
      </w:r>
      <w:r w:rsidR="001734B2">
        <w:t>,</w:t>
      </w:r>
      <w:r w:rsidR="001734B2" w:rsidRPr="001927C6">
        <w:t xml:space="preserve"> </w:t>
      </w:r>
      <w:r w:rsidR="001734B2">
        <w:t xml:space="preserve">which covered </w:t>
      </w:r>
      <w:r w:rsidR="001734B2" w:rsidRPr="001927C6">
        <w:t>the right to enjoy the benefits of vaccines.</w:t>
      </w:r>
      <w:r w:rsidR="001734B2">
        <w:t xml:space="preserve"> H</w:t>
      </w:r>
      <w:r w:rsidR="001734B2" w:rsidRPr="001927C6">
        <w:t xml:space="preserve">e </w:t>
      </w:r>
      <w:r w:rsidR="001734B2">
        <w:t>particularly</w:t>
      </w:r>
      <w:r w:rsidR="001734B2" w:rsidRPr="001927C6">
        <w:t xml:space="preserve"> welcome</w:t>
      </w:r>
      <w:r w:rsidR="001734B2">
        <w:t>d</w:t>
      </w:r>
      <w:r w:rsidR="001734B2" w:rsidRPr="001927C6">
        <w:t xml:space="preserve"> the </w:t>
      </w:r>
      <w:r w:rsidR="001734B2">
        <w:t xml:space="preserve">Committee’s </w:t>
      </w:r>
      <w:r w:rsidR="001734B2" w:rsidRPr="001927C6">
        <w:t xml:space="preserve">decision to pilot State </w:t>
      </w:r>
      <w:r w:rsidR="001734B2">
        <w:t xml:space="preserve">party </w:t>
      </w:r>
      <w:r w:rsidR="001734B2" w:rsidRPr="001927C6">
        <w:t>reviews</w:t>
      </w:r>
      <w:r w:rsidR="001734B2">
        <w:t xml:space="preserve"> in its online sessions, as that could provide</w:t>
      </w:r>
      <w:r w:rsidR="001734B2" w:rsidRPr="001927C6">
        <w:t xml:space="preserve"> an effective temporary solution at a time whe</w:t>
      </w:r>
      <w:r w:rsidR="001734B2">
        <w:t>n</w:t>
      </w:r>
      <w:r w:rsidR="001734B2" w:rsidRPr="001927C6">
        <w:t xml:space="preserve"> economic</w:t>
      </w:r>
      <w:r w:rsidR="001734B2">
        <w:t>, s</w:t>
      </w:r>
      <w:r w:rsidR="001734B2" w:rsidRPr="001927C6">
        <w:t xml:space="preserve">ocial and cultural rights </w:t>
      </w:r>
      <w:r w:rsidR="001734B2">
        <w:t>we</w:t>
      </w:r>
      <w:r w:rsidR="001734B2" w:rsidRPr="001927C6">
        <w:t xml:space="preserve">re under </w:t>
      </w:r>
      <w:proofErr w:type="gramStart"/>
      <w:r w:rsidR="001734B2">
        <w:t xml:space="preserve">particular </w:t>
      </w:r>
      <w:r w:rsidR="001734B2" w:rsidRPr="001927C6">
        <w:t>threat</w:t>
      </w:r>
      <w:proofErr w:type="gramEnd"/>
      <w:r w:rsidR="001734B2" w:rsidRPr="001927C6">
        <w:t xml:space="preserve">. </w:t>
      </w:r>
    </w:p>
    <w:p w14:paraId="61DD406D" w14:textId="251AE8BD" w:rsidR="001734B2" w:rsidRPr="001927C6" w:rsidRDefault="0096005E" w:rsidP="0096005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1927C6">
        <w:t>20.</w:t>
      </w:r>
      <w:r w:rsidRPr="001927C6">
        <w:tab/>
      </w:r>
      <w:r w:rsidR="001734B2" w:rsidRPr="001927C6">
        <w:t xml:space="preserve">After several decades </w:t>
      </w:r>
      <w:r w:rsidR="001734B2">
        <w:t>dominated by</w:t>
      </w:r>
      <w:r w:rsidR="001734B2" w:rsidRPr="001927C6">
        <w:t xml:space="preserve"> market-based models of welfare provision, the pandemic ha</w:t>
      </w:r>
      <w:r w:rsidR="001734B2">
        <w:t>d</w:t>
      </w:r>
      <w:r w:rsidR="001734B2" w:rsidRPr="001927C6">
        <w:t xml:space="preserve"> </w:t>
      </w:r>
      <w:r w:rsidR="001734B2">
        <w:t xml:space="preserve">shown </w:t>
      </w:r>
      <w:r w:rsidR="001734B2" w:rsidRPr="001927C6">
        <w:t>that</w:t>
      </w:r>
      <w:r w:rsidR="001734B2">
        <w:t xml:space="preserve"> it was possible for</w:t>
      </w:r>
      <w:r w:rsidR="001734B2" w:rsidRPr="001927C6">
        <w:t xml:space="preserve"> States </w:t>
      </w:r>
      <w:r w:rsidR="001734B2">
        <w:t>to channel large sums of money</w:t>
      </w:r>
      <w:r w:rsidR="001734B2" w:rsidRPr="001927C6">
        <w:t xml:space="preserve"> into public </w:t>
      </w:r>
      <w:proofErr w:type="gramStart"/>
      <w:r w:rsidR="001734B2" w:rsidRPr="001927C6">
        <w:t>health</w:t>
      </w:r>
      <w:r w:rsidR="001734B2">
        <w:t>-</w:t>
      </w:r>
      <w:r w:rsidR="001734B2" w:rsidRPr="001927C6">
        <w:t>care</w:t>
      </w:r>
      <w:proofErr w:type="gramEnd"/>
      <w:r w:rsidR="001734B2" w:rsidRPr="001927C6">
        <w:t xml:space="preserve"> and social security program</w:t>
      </w:r>
      <w:r w:rsidR="001734B2">
        <w:t>me</w:t>
      </w:r>
      <w:r w:rsidR="001734B2" w:rsidRPr="001927C6">
        <w:t xml:space="preserve">s. </w:t>
      </w:r>
      <w:r w:rsidR="001734B2">
        <w:t>However, n</w:t>
      </w:r>
      <w:r w:rsidR="001734B2" w:rsidRPr="001927C6">
        <w:t>ew debt crises appear</w:t>
      </w:r>
      <w:r w:rsidR="001734B2">
        <w:t>ed</w:t>
      </w:r>
      <w:r w:rsidR="001734B2" w:rsidRPr="001927C6">
        <w:t xml:space="preserve"> increasingly likely, whil</w:t>
      </w:r>
      <w:r w:rsidR="001734B2">
        <w:t>e</w:t>
      </w:r>
      <w:r w:rsidR="001734B2" w:rsidRPr="001927C6">
        <w:t xml:space="preserve"> threats of austerity </w:t>
      </w:r>
      <w:r w:rsidR="001734B2">
        <w:t>we</w:t>
      </w:r>
      <w:r w:rsidR="001734B2" w:rsidRPr="001927C6">
        <w:t xml:space="preserve">re already beginning to emerge. </w:t>
      </w:r>
      <w:r w:rsidR="001734B2">
        <w:t>Furthermore, w</w:t>
      </w:r>
      <w:r w:rsidR="001734B2" w:rsidRPr="001927C6">
        <w:t>hil</w:t>
      </w:r>
      <w:r w:rsidR="001734B2">
        <w:t>e</w:t>
      </w:r>
      <w:r w:rsidR="001734B2" w:rsidRPr="001927C6">
        <w:t xml:space="preserve"> action to tackle climate change ha</w:t>
      </w:r>
      <w:r w:rsidR="001734B2">
        <w:t>d</w:t>
      </w:r>
      <w:r w:rsidR="001734B2" w:rsidRPr="001927C6">
        <w:t xml:space="preserve"> been delayed</w:t>
      </w:r>
      <w:r w:rsidR="001734B2">
        <w:t xml:space="preserve"> by the pandemic</w:t>
      </w:r>
      <w:r w:rsidR="001734B2" w:rsidRPr="001927C6">
        <w:t xml:space="preserve">, livelihoods </w:t>
      </w:r>
      <w:r w:rsidR="001734B2">
        <w:t>we</w:t>
      </w:r>
      <w:r w:rsidR="001734B2" w:rsidRPr="001927C6">
        <w:t xml:space="preserve">re </w:t>
      </w:r>
      <w:r w:rsidR="001734B2">
        <w:t xml:space="preserve">increasingly </w:t>
      </w:r>
      <w:r w:rsidR="001734B2" w:rsidRPr="001927C6">
        <w:t>being devastated by the effects of ecological breakdown. In th</w:t>
      </w:r>
      <w:r w:rsidR="001734B2">
        <w:t>at</w:t>
      </w:r>
      <w:r w:rsidR="001734B2" w:rsidRPr="001927C6">
        <w:t xml:space="preserve"> context, it </w:t>
      </w:r>
      <w:r w:rsidR="001734B2">
        <w:t>wa</w:t>
      </w:r>
      <w:r w:rsidR="001734B2" w:rsidRPr="001927C6">
        <w:t xml:space="preserve">s </w:t>
      </w:r>
      <w:r w:rsidR="001734B2">
        <w:t>important for</w:t>
      </w:r>
      <w:r w:rsidR="001734B2" w:rsidRPr="001927C6">
        <w:t xml:space="preserve"> the Committee </w:t>
      </w:r>
      <w:r w:rsidR="001734B2">
        <w:t>to minimize</w:t>
      </w:r>
      <w:r w:rsidR="001734B2" w:rsidRPr="001927C6">
        <w:t xml:space="preserve"> the number of State reviews that it postpone</w:t>
      </w:r>
      <w:r w:rsidR="001734B2">
        <w:t>d</w:t>
      </w:r>
      <w:r w:rsidR="001734B2" w:rsidRPr="001927C6">
        <w:t>.</w:t>
      </w:r>
    </w:p>
    <w:p w14:paraId="7FFD6EAF" w14:textId="439ACF99" w:rsidR="001734B2" w:rsidRDefault="0096005E" w:rsidP="0096005E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21.</w:t>
      </w:r>
      <w:r>
        <w:tab/>
      </w:r>
      <w:r w:rsidR="001734B2">
        <w:t>T</w:t>
      </w:r>
      <w:r w:rsidR="001734B2" w:rsidRPr="001927C6">
        <w:t>he Global Initiative work</w:t>
      </w:r>
      <w:r w:rsidR="001734B2">
        <w:t>ed</w:t>
      </w:r>
      <w:r w:rsidR="001734B2" w:rsidRPr="001927C6">
        <w:t xml:space="preserve"> to help national and local rights advocates engage with the Committee and </w:t>
      </w:r>
      <w:r w:rsidR="001734B2">
        <w:t>to</w:t>
      </w:r>
      <w:r w:rsidR="001734B2" w:rsidRPr="001927C6">
        <w:t xml:space="preserve"> </w:t>
      </w:r>
      <w:r w:rsidR="001734B2">
        <w:t xml:space="preserve">improve the visibility of </w:t>
      </w:r>
      <w:r w:rsidR="001734B2" w:rsidRPr="001927C6">
        <w:t>the Committee’s work.</w:t>
      </w:r>
      <w:r w:rsidR="001734B2">
        <w:t xml:space="preserve"> To that end</w:t>
      </w:r>
      <w:r w:rsidR="001734B2" w:rsidRPr="001927C6">
        <w:t xml:space="preserve">, </w:t>
      </w:r>
      <w:r w:rsidR="001734B2">
        <w:t>it had</w:t>
      </w:r>
      <w:r w:rsidR="001734B2" w:rsidRPr="001927C6">
        <w:t xml:space="preserve"> recently </w:t>
      </w:r>
      <w:r w:rsidR="001734B2">
        <w:t>updated</w:t>
      </w:r>
      <w:r w:rsidR="001734B2" w:rsidRPr="001927C6">
        <w:t xml:space="preserve"> </w:t>
      </w:r>
      <w:r w:rsidR="001734B2">
        <w:t>its</w:t>
      </w:r>
      <w:r w:rsidR="001734B2" w:rsidRPr="001927C6">
        <w:t xml:space="preserve"> website</w:t>
      </w:r>
      <w:r w:rsidR="001734B2">
        <w:t>, adding new pages on the Committee’s</w:t>
      </w:r>
      <w:r w:rsidR="001734B2" w:rsidRPr="001927C6">
        <w:t xml:space="preserve"> jurisprudence, </w:t>
      </w:r>
      <w:r w:rsidR="001734B2">
        <w:t xml:space="preserve">the individual communications procedure and </w:t>
      </w:r>
      <w:r w:rsidR="001734B2" w:rsidRPr="001927C6">
        <w:t>the latest activities of the Committee.</w:t>
      </w:r>
    </w:p>
    <w:p w14:paraId="388C2EA7" w14:textId="51A167D7" w:rsidR="001734B2" w:rsidRPr="00507EA2" w:rsidRDefault="00306DF1" w:rsidP="00306DF1">
      <w:pPr>
        <w:pStyle w:val="H23G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="001734B2" w:rsidRPr="00507EA2">
        <w:rPr>
          <w:lang w:val="en-US"/>
        </w:rPr>
        <w:t xml:space="preserve">Solemn declaration by new members of the Committee </w:t>
      </w:r>
    </w:p>
    <w:p w14:paraId="74E698E7" w14:textId="50B8261C" w:rsidR="001734B2" w:rsidRPr="00E67A8D" w:rsidRDefault="0096005E" w:rsidP="0096005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i/>
          <w:iCs/>
          <w:lang w:val="en-US"/>
        </w:rPr>
      </w:pPr>
      <w:r w:rsidRPr="00E67A8D">
        <w:rPr>
          <w:iCs/>
          <w:lang w:val="en-US"/>
        </w:rPr>
        <w:t>22.</w:t>
      </w:r>
      <w:r w:rsidRPr="00E67A8D">
        <w:rPr>
          <w:iCs/>
          <w:lang w:val="en-US"/>
        </w:rPr>
        <w:tab/>
      </w:r>
      <w:r w:rsidR="001734B2" w:rsidRPr="00E67A8D">
        <w:rPr>
          <w:i/>
          <w:iCs/>
          <w:lang w:val="en-US"/>
        </w:rPr>
        <w:t>Mr. Adilov, Mr. Amarti, Mr. Nonthasoot and Mr. Shen made the solemn declaration provided for in rule 13 of the Committee’s rules of procedure.</w:t>
      </w:r>
    </w:p>
    <w:p w14:paraId="4D84C6C2" w14:textId="46B84C1E" w:rsidR="001734B2" w:rsidRPr="00507EA2" w:rsidRDefault="00306DF1" w:rsidP="00306DF1">
      <w:pPr>
        <w:pStyle w:val="H23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1734B2" w:rsidRPr="00507EA2">
        <w:rPr>
          <w:lang w:val="en-US"/>
        </w:rPr>
        <w:t>Election of the Chair and other officers of the Committee</w:t>
      </w:r>
    </w:p>
    <w:p w14:paraId="79C9EF98" w14:textId="06825309" w:rsidR="001734B2" w:rsidRPr="00507EA2" w:rsidRDefault="0096005E" w:rsidP="0096005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lang w:val="en-US"/>
        </w:rPr>
      </w:pPr>
      <w:r w:rsidRPr="00507EA2">
        <w:rPr>
          <w:lang w:val="en-US"/>
        </w:rPr>
        <w:t>23.</w:t>
      </w:r>
      <w:r w:rsidRPr="00507EA2">
        <w:rPr>
          <w:lang w:val="en-US"/>
        </w:rPr>
        <w:tab/>
      </w:r>
      <w:r w:rsidR="001734B2" w:rsidRPr="00507EA2">
        <w:rPr>
          <w:b/>
          <w:bCs/>
          <w:lang w:val="en-US"/>
        </w:rPr>
        <w:t xml:space="preserve">The Chair </w:t>
      </w:r>
      <w:r w:rsidR="001734B2" w:rsidRPr="00507EA2">
        <w:rPr>
          <w:lang w:val="en-US"/>
        </w:rPr>
        <w:t xml:space="preserve">said that, in the light of the exceptional circumstances that had arisen owing to the COVID-19 pandemic, it had been decided to postpone the election of the Chair and other officers until the following session, in September 2021, when </w:t>
      </w:r>
      <w:r w:rsidR="001734B2">
        <w:rPr>
          <w:lang w:val="en-US"/>
        </w:rPr>
        <w:t xml:space="preserve">it was hoped that </w:t>
      </w:r>
      <w:r w:rsidR="001734B2" w:rsidRPr="00507EA2">
        <w:rPr>
          <w:lang w:val="en-US"/>
        </w:rPr>
        <w:t xml:space="preserve">the Committee would </w:t>
      </w:r>
      <w:r w:rsidR="001734B2">
        <w:rPr>
          <w:lang w:val="en-US"/>
        </w:rPr>
        <w:t xml:space="preserve">be able to </w:t>
      </w:r>
      <w:r w:rsidR="001734B2" w:rsidRPr="00507EA2">
        <w:rPr>
          <w:lang w:val="en-US"/>
        </w:rPr>
        <w:t>meet in person</w:t>
      </w:r>
      <w:r w:rsidR="001734B2">
        <w:rPr>
          <w:lang w:val="en-US"/>
        </w:rPr>
        <w:t xml:space="preserve"> once again</w:t>
      </w:r>
      <w:r w:rsidR="001734B2" w:rsidRPr="00507EA2">
        <w:rPr>
          <w:lang w:val="en-US"/>
        </w:rPr>
        <w:t>. In the interim, the current bureau members would continue in their posts.</w:t>
      </w:r>
    </w:p>
    <w:p w14:paraId="52F9825E" w14:textId="4F3BBDFC" w:rsidR="001734B2" w:rsidRPr="00507EA2" w:rsidRDefault="00306DF1" w:rsidP="00306DF1">
      <w:pPr>
        <w:pStyle w:val="H23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1734B2" w:rsidRPr="00507EA2">
        <w:rPr>
          <w:lang w:val="en-US"/>
        </w:rPr>
        <w:t>Adoption of the agenda</w:t>
      </w:r>
    </w:p>
    <w:p w14:paraId="490B3C92" w14:textId="212794C0" w:rsidR="001734B2" w:rsidRPr="00BF41DD" w:rsidRDefault="0096005E" w:rsidP="0096005E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i/>
          <w:iCs/>
          <w:lang w:val="en-US"/>
        </w:rPr>
      </w:pPr>
      <w:r w:rsidRPr="00BF41DD">
        <w:rPr>
          <w:iCs/>
          <w:lang w:val="en-US"/>
        </w:rPr>
        <w:t>24.</w:t>
      </w:r>
      <w:r w:rsidRPr="00BF41DD">
        <w:rPr>
          <w:iCs/>
          <w:lang w:val="en-US"/>
        </w:rPr>
        <w:tab/>
      </w:r>
      <w:r w:rsidR="001734B2" w:rsidRPr="00BF41DD">
        <w:rPr>
          <w:i/>
          <w:iCs/>
          <w:lang w:val="en-US"/>
        </w:rPr>
        <w:t>The agenda was adopted.</w:t>
      </w:r>
    </w:p>
    <w:p w14:paraId="4F1F8082" w14:textId="77777777" w:rsidR="001734B2" w:rsidRPr="00BF41DD" w:rsidRDefault="001734B2" w:rsidP="00BF41DD">
      <w:pPr>
        <w:pStyle w:val="SingleTxtG"/>
        <w:rPr>
          <w:i/>
          <w:iCs/>
          <w:lang w:val="en-US"/>
        </w:rPr>
      </w:pPr>
      <w:r w:rsidRPr="00BF41DD">
        <w:rPr>
          <w:i/>
          <w:iCs/>
          <w:lang w:val="en-US"/>
        </w:rPr>
        <w:t>The public part of the meeting rose at 1.20 p.m.</w:t>
      </w:r>
    </w:p>
    <w:sectPr w:rsidR="001734B2" w:rsidRPr="00BF41DD" w:rsidSect="005C06D4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9B779" w14:textId="77777777" w:rsidR="00FA5A96" w:rsidRDefault="00FA5A96">
      <w:pPr>
        <w:spacing w:line="240" w:lineRule="auto"/>
      </w:pPr>
      <w:r>
        <w:separator/>
      </w:r>
    </w:p>
  </w:endnote>
  <w:endnote w:type="continuationSeparator" w:id="0">
    <w:p w14:paraId="1AA8A58A" w14:textId="77777777" w:rsidR="00FA5A96" w:rsidRDefault="00FA5A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0DACE" w14:textId="099DE9B8" w:rsidR="006056E0" w:rsidRPr="005E2C15" w:rsidRDefault="005E2C15" w:rsidP="005E2C15">
    <w:pPr>
      <w:pStyle w:val="Footer"/>
      <w:tabs>
        <w:tab w:val="right" w:pos="9638"/>
      </w:tabs>
    </w:pPr>
    <w:r w:rsidRPr="005E2C15">
      <w:rPr>
        <w:b/>
        <w:bCs/>
        <w:sz w:val="18"/>
      </w:rPr>
      <w:fldChar w:fldCharType="begin"/>
    </w:r>
    <w:r w:rsidRPr="005E2C15">
      <w:rPr>
        <w:b/>
        <w:bCs/>
        <w:sz w:val="18"/>
      </w:rPr>
      <w:instrText xml:space="preserve"> PAGE  \* MERGEFORMAT </w:instrText>
    </w:r>
    <w:r w:rsidRPr="005E2C15">
      <w:rPr>
        <w:b/>
        <w:bCs/>
        <w:sz w:val="18"/>
      </w:rPr>
      <w:fldChar w:fldCharType="separate"/>
    </w:r>
    <w:r w:rsidRPr="005E2C15">
      <w:rPr>
        <w:b/>
        <w:bCs/>
        <w:noProof/>
        <w:sz w:val="18"/>
      </w:rPr>
      <w:t>2</w:t>
    </w:r>
    <w:r w:rsidRPr="005E2C15">
      <w:rPr>
        <w:b/>
        <w:bCs/>
        <w:sz w:val="18"/>
      </w:rPr>
      <w:fldChar w:fldCharType="end"/>
    </w:r>
    <w:r>
      <w:tab/>
      <w:t>GE.21-02071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0BF5E" w14:textId="60667ECA" w:rsidR="001E498C" w:rsidRPr="005E2C15" w:rsidRDefault="005E2C15" w:rsidP="005E2C15">
    <w:pPr>
      <w:pStyle w:val="Footer"/>
      <w:tabs>
        <w:tab w:val="right" w:pos="9638"/>
      </w:tabs>
    </w:pPr>
    <w:r>
      <w:t>GE.21-02071</w:t>
    </w:r>
    <w:r>
      <w:tab/>
    </w:r>
    <w:r w:rsidRPr="005E2C15">
      <w:rPr>
        <w:b/>
        <w:bCs/>
        <w:sz w:val="18"/>
      </w:rPr>
      <w:fldChar w:fldCharType="begin"/>
    </w:r>
    <w:r w:rsidRPr="005E2C15">
      <w:rPr>
        <w:b/>
        <w:bCs/>
        <w:sz w:val="18"/>
      </w:rPr>
      <w:instrText xml:space="preserve"> PAGE  \* MERGEFORMAT </w:instrText>
    </w:r>
    <w:r w:rsidRPr="005E2C15">
      <w:rPr>
        <w:b/>
        <w:bCs/>
        <w:sz w:val="18"/>
      </w:rPr>
      <w:fldChar w:fldCharType="separate"/>
    </w:r>
    <w:r w:rsidRPr="005E2C15">
      <w:rPr>
        <w:b/>
        <w:bCs/>
        <w:noProof/>
        <w:sz w:val="18"/>
      </w:rPr>
      <w:t>3</w:t>
    </w:r>
    <w:r w:rsidRPr="005E2C15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DB682" w14:textId="77777777" w:rsidR="00AB4E74" w:rsidRDefault="00CA2792" w:rsidP="00AB4E74">
    <w:pPr>
      <w:pStyle w:val="FootnoteText"/>
      <w:tabs>
        <w:tab w:val="clear" w:pos="1021"/>
        <w:tab w:val="right" w:pos="2154"/>
      </w:tabs>
      <w:spacing w:after="80"/>
      <w:ind w:left="680" w:firstLine="0"/>
      <w:rPr>
        <w:u w:val="single"/>
      </w:rPr>
    </w:pPr>
    <w:r>
      <w:rPr>
        <w:u w:val="single"/>
      </w:rPr>
      <w:tab/>
    </w:r>
  </w:p>
  <w:p w14:paraId="1F5F837A" w14:textId="15023651" w:rsidR="00AB4E74" w:rsidRDefault="00CA2792" w:rsidP="00987A74">
    <w:pPr>
      <w:pStyle w:val="FootnoteText"/>
    </w:pPr>
    <w:r>
      <w:tab/>
    </w:r>
    <w:r>
      <w:rPr>
        <w:sz w:val="20"/>
      </w:rPr>
      <w:t>*</w:t>
    </w:r>
    <w:r>
      <w:tab/>
      <w:t xml:space="preserve">The summary record of the second part (closed) of the meeting appears as document </w:t>
    </w:r>
    <w:hyperlink r:id="rId1" w:history="1">
      <w:r w:rsidRPr="00B91D5B">
        <w:rPr>
          <w:rStyle w:val="Hyperlink"/>
        </w:rPr>
        <w:t>E/C.12/20</w:t>
      </w:r>
      <w:r w:rsidR="003924D4" w:rsidRPr="00B91D5B">
        <w:rPr>
          <w:rStyle w:val="Hyperlink"/>
        </w:rPr>
        <w:t>2</w:t>
      </w:r>
      <w:r w:rsidR="002D2A57" w:rsidRPr="00B91D5B">
        <w:rPr>
          <w:rStyle w:val="Hyperlink"/>
        </w:rPr>
        <w:t>1</w:t>
      </w:r>
      <w:r w:rsidRPr="00B91D5B">
        <w:rPr>
          <w:rStyle w:val="Hyperlink"/>
        </w:rPr>
        <w:t>/SR.</w:t>
      </w:r>
      <w:r w:rsidR="00EC0B9F" w:rsidRPr="00B91D5B">
        <w:rPr>
          <w:rStyle w:val="Hyperlink"/>
        </w:rPr>
        <w:t>1</w:t>
      </w:r>
      <w:r w:rsidRPr="00B91D5B">
        <w:rPr>
          <w:rStyle w:val="Hyperlink"/>
        </w:rPr>
        <w:t>/Add</w:t>
      </w:r>
      <w:r w:rsidRPr="00B91D5B">
        <w:rPr>
          <w:rStyle w:val="Hyperlink"/>
          <w:sz w:val="20"/>
        </w:rPr>
        <w:t>.</w:t>
      </w:r>
      <w:r w:rsidRPr="00B91D5B">
        <w:rPr>
          <w:rStyle w:val="Hyperlink"/>
          <w:szCs w:val="18"/>
        </w:rPr>
        <w:t>1</w:t>
      </w:r>
    </w:hyperlink>
    <w:r>
      <w:rPr>
        <w:szCs w:val="18"/>
      </w:rPr>
      <w:t>.</w:t>
    </w:r>
  </w:p>
  <w:p w14:paraId="2E43A8AD" w14:textId="77777777" w:rsidR="00AB4E74" w:rsidRDefault="00AB4E74" w:rsidP="00AB4E74">
    <w:pPr>
      <w:pStyle w:val="FootnoteText"/>
      <w:pBdr>
        <w:bottom w:val="single" w:sz="4" w:space="1" w:color="auto"/>
      </w:pBdr>
      <w:ind w:left="0" w:right="0" w:firstLine="0"/>
    </w:pPr>
  </w:p>
  <w:p w14:paraId="74AAC804" w14:textId="77777777" w:rsidR="00AB4E74" w:rsidRDefault="00CA2792" w:rsidP="00AB4E74">
    <w:pPr>
      <w:pStyle w:val="FootnoteText"/>
      <w:spacing w:after="120"/>
      <w:ind w:firstLine="0"/>
    </w:pPr>
    <w:r>
      <w:t xml:space="preserve">This record is subject to correction. Corrections should be set forth in a memorandum </w:t>
    </w:r>
    <w:proofErr w:type="gramStart"/>
    <w:r>
      <w:t>and also</w:t>
    </w:r>
    <w:proofErr w:type="gramEnd"/>
    <w:r>
      <w:t xml:space="preserve"> incorporated in a copy of the record. They should be sent within one week of the date of the present record to the Documents Management Section (DMS-DCM@un.org).</w:t>
    </w:r>
  </w:p>
  <w:p w14:paraId="56C8331E" w14:textId="77777777" w:rsidR="003B0B0F" w:rsidRPr="007C1285" w:rsidRDefault="00CA2792" w:rsidP="00AB4E74">
    <w:pPr>
      <w:pStyle w:val="FootnoteText"/>
      <w:kinsoku/>
      <w:overflowPunct/>
      <w:autoSpaceDE/>
      <w:autoSpaceDN/>
      <w:adjustRightInd/>
      <w:snapToGrid/>
      <w:spacing w:after="240"/>
      <w:ind w:firstLine="0"/>
      <w:rPr>
        <w:rFonts w:eastAsia="SimSun"/>
        <w:szCs w:val="18"/>
        <w:lang w:eastAsia="zh-CN"/>
      </w:rPr>
    </w:pPr>
    <w:r>
      <w:t xml:space="preserve">Any corrected records of the public </w:t>
    </w:r>
    <w:r w:rsidRPr="00816033">
      <w:t>meetings of the Committee at this session will be reissued for technical reaso</w:t>
    </w:r>
    <w:r>
      <w:t>ns after the end of the session.</w:t>
    </w:r>
  </w:p>
  <w:p w14:paraId="364A410E" w14:textId="1EEC91A9" w:rsidR="006056E0" w:rsidRDefault="005E2C15" w:rsidP="004F1C76">
    <w:pPr>
      <w:pStyle w:val="Footer"/>
      <w:rPr>
        <w:sz w:val="20"/>
      </w:rPr>
    </w:pPr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21AE1107" wp14:editId="2DCFFB68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9CC1CE" w14:textId="5A5F9D6F" w:rsidR="005E2C15" w:rsidRPr="005E2C15" w:rsidRDefault="005E2C15" w:rsidP="005E2C15">
    <w:pPr>
      <w:pStyle w:val="Footer"/>
      <w:rPr>
        <w:sz w:val="20"/>
      </w:rPr>
    </w:pPr>
    <w:r>
      <w:rPr>
        <w:sz w:val="20"/>
      </w:rPr>
      <w:t>GE.21-</w:t>
    </w:r>
    <w:proofErr w:type="gramStart"/>
    <w:r>
      <w:rPr>
        <w:sz w:val="20"/>
      </w:rPr>
      <w:t>02071  (</w:t>
    </w:r>
    <w:proofErr w:type="gramEnd"/>
    <w:r>
      <w:rPr>
        <w:sz w:val="20"/>
      </w:rPr>
      <w:t>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53465C0" wp14:editId="58C90353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5BB">
      <w:rPr>
        <w:sz w:val="20"/>
      </w:rPr>
      <w:t xml:space="preserve">    180221    </w:t>
    </w:r>
    <w:r w:rsidR="0096005E">
      <w:rPr>
        <w:sz w:val="20"/>
      </w:rPr>
      <w:t>19</w:t>
    </w:r>
    <w:r w:rsidR="000735BB">
      <w:rPr>
        <w:sz w:val="20"/>
      </w:rPr>
      <w:t>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BED4A" w14:textId="77777777" w:rsidR="00FA5A96" w:rsidRDefault="00FA5A96">
      <w:pPr>
        <w:spacing w:line="240" w:lineRule="auto"/>
      </w:pPr>
      <w:r>
        <w:separator/>
      </w:r>
    </w:p>
  </w:footnote>
  <w:footnote w:type="continuationSeparator" w:id="0">
    <w:p w14:paraId="24D1E398" w14:textId="77777777" w:rsidR="00FA5A96" w:rsidRDefault="00FA5A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3E8EF" w14:textId="77777777" w:rsidR="006056E0" w:rsidRDefault="00257838">
    <w:pPr>
      <w:pStyle w:val="Header"/>
    </w:pPr>
    <w:r>
      <w:t>E/C.12/2021/SR.1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C559D" w14:textId="77777777" w:rsidR="005B6BC9" w:rsidRDefault="00257838" w:rsidP="005B6BC9">
    <w:pPr>
      <w:pStyle w:val="Header"/>
      <w:jc w:val="right"/>
    </w:pPr>
    <w:r>
      <w:t>E/C.12/2021/SR.1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2B362816"/>
    <w:lvl w:ilvl="0" w:tplc="7D466032">
      <w:start w:val="1"/>
      <w:numFmt w:val="decimal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F1AE2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ECB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1C8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1475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6464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DAA9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0E0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B6D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F4EB2"/>
    <w:multiLevelType w:val="hybridMultilevel"/>
    <w:tmpl w:val="CB6C816A"/>
    <w:lvl w:ilvl="0" w:tplc="6B02B82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FC6C892A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BA665E9E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62A23C7A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A1BA0AFC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E15AD6BC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A41C60D0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A51CCF90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6778D102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44DD0BF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D6664D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19F62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AD07B2"/>
    <w:multiLevelType w:val="hybridMultilevel"/>
    <w:tmpl w:val="7FEE3222"/>
    <w:lvl w:ilvl="0" w:tplc="859C49C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D5254A6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CE6C9034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B2F2612C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4162C9AA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92C5644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D770A132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62745344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DAC6984C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2"/>
  </w:num>
  <w:num w:numId="16">
    <w:abstractNumId w:val="11"/>
  </w:num>
  <w:num w:numId="17">
    <w:abstractNumId w:val="13"/>
  </w:num>
  <w:num w:numId="18">
    <w:abstractNumId w:val="15"/>
  </w:num>
  <w:num w:numId="19">
    <w:abstractNumId w:val="14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567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01F605B-F444-4700-B7D7-E2B44836A922}"/>
    <w:docVar w:name="dgnword-eventsink" w:val="649632936"/>
  </w:docVars>
  <w:rsids>
    <w:rsidRoot w:val="00FE4E9D"/>
    <w:rsid w:val="000047B1"/>
    <w:rsid w:val="00017F94"/>
    <w:rsid w:val="00021A0B"/>
    <w:rsid w:val="00023842"/>
    <w:rsid w:val="00031C45"/>
    <w:rsid w:val="000334F9"/>
    <w:rsid w:val="000735BB"/>
    <w:rsid w:val="0007796D"/>
    <w:rsid w:val="00080BE5"/>
    <w:rsid w:val="00084F6E"/>
    <w:rsid w:val="000B7790"/>
    <w:rsid w:val="000C1357"/>
    <w:rsid w:val="000C27B4"/>
    <w:rsid w:val="000C2E08"/>
    <w:rsid w:val="000C390E"/>
    <w:rsid w:val="000C4A15"/>
    <w:rsid w:val="00111F2F"/>
    <w:rsid w:val="0014365E"/>
    <w:rsid w:val="00150724"/>
    <w:rsid w:val="00150DB2"/>
    <w:rsid w:val="001734B2"/>
    <w:rsid w:val="00176178"/>
    <w:rsid w:val="001D6CB1"/>
    <w:rsid w:val="001E498C"/>
    <w:rsid w:val="001F525A"/>
    <w:rsid w:val="00223272"/>
    <w:rsid w:val="0024779E"/>
    <w:rsid w:val="00257838"/>
    <w:rsid w:val="00260EAE"/>
    <w:rsid w:val="00291F1D"/>
    <w:rsid w:val="002A2AE3"/>
    <w:rsid w:val="002D2A57"/>
    <w:rsid w:val="002E6AF8"/>
    <w:rsid w:val="002F1C80"/>
    <w:rsid w:val="00306DF1"/>
    <w:rsid w:val="00324065"/>
    <w:rsid w:val="00353ED5"/>
    <w:rsid w:val="0039005B"/>
    <w:rsid w:val="003924D4"/>
    <w:rsid w:val="003B0B0F"/>
    <w:rsid w:val="003D1AD0"/>
    <w:rsid w:val="003D3938"/>
    <w:rsid w:val="003D7E61"/>
    <w:rsid w:val="0043365C"/>
    <w:rsid w:val="00446FE5"/>
    <w:rsid w:val="00452396"/>
    <w:rsid w:val="0046257D"/>
    <w:rsid w:val="00477F82"/>
    <w:rsid w:val="00482156"/>
    <w:rsid w:val="004B48C6"/>
    <w:rsid w:val="004D0848"/>
    <w:rsid w:val="004D76C3"/>
    <w:rsid w:val="004E4ACC"/>
    <w:rsid w:val="004F1C76"/>
    <w:rsid w:val="00500B45"/>
    <w:rsid w:val="00502B10"/>
    <w:rsid w:val="00503F80"/>
    <w:rsid w:val="005059D0"/>
    <w:rsid w:val="00516CB6"/>
    <w:rsid w:val="0053126E"/>
    <w:rsid w:val="005505B7"/>
    <w:rsid w:val="00573BE5"/>
    <w:rsid w:val="00573E67"/>
    <w:rsid w:val="00586ED3"/>
    <w:rsid w:val="00587172"/>
    <w:rsid w:val="00596AA9"/>
    <w:rsid w:val="005A14CB"/>
    <w:rsid w:val="005B3FF4"/>
    <w:rsid w:val="005B43E7"/>
    <w:rsid w:val="005B4B14"/>
    <w:rsid w:val="005B5E0E"/>
    <w:rsid w:val="005B6BC9"/>
    <w:rsid w:val="005C06D4"/>
    <w:rsid w:val="005E2C15"/>
    <w:rsid w:val="005E2F79"/>
    <w:rsid w:val="006056E0"/>
    <w:rsid w:val="00640AA0"/>
    <w:rsid w:val="00670DFB"/>
    <w:rsid w:val="006748CF"/>
    <w:rsid w:val="006813D2"/>
    <w:rsid w:val="006861E6"/>
    <w:rsid w:val="006A2080"/>
    <w:rsid w:val="006B627B"/>
    <w:rsid w:val="006E3F0A"/>
    <w:rsid w:val="00706E82"/>
    <w:rsid w:val="0071601D"/>
    <w:rsid w:val="00716EE9"/>
    <w:rsid w:val="0072392D"/>
    <w:rsid w:val="007332D6"/>
    <w:rsid w:val="00766CEC"/>
    <w:rsid w:val="007A26B7"/>
    <w:rsid w:val="007A62E6"/>
    <w:rsid w:val="007C1285"/>
    <w:rsid w:val="0080684C"/>
    <w:rsid w:val="00815502"/>
    <w:rsid w:val="00816033"/>
    <w:rsid w:val="00831242"/>
    <w:rsid w:val="00861053"/>
    <w:rsid w:val="00871C75"/>
    <w:rsid w:val="008776DC"/>
    <w:rsid w:val="00880106"/>
    <w:rsid w:val="008A0E26"/>
    <w:rsid w:val="008C6E21"/>
    <w:rsid w:val="008C7952"/>
    <w:rsid w:val="008E2BD2"/>
    <w:rsid w:val="008E3B8D"/>
    <w:rsid w:val="008F69EF"/>
    <w:rsid w:val="00936AA1"/>
    <w:rsid w:val="00957790"/>
    <w:rsid w:val="0096005E"/>
    <w:rsid w:val="00966C53"/>
    <w:rsid w:val="009705C8"/>
    <w:rsid w:val="00980D22"/>
    <w:rsid w:val="009843CF"/>
    <w:rsid w:val="00986F24"/>
    <w:rsid w:val="00987A74"/>
    <w:rsid w:val="00997826"/>
    <w:rsid w:val="009C41E2"/>
    <w:rsid w:val="009D33C0"/>
    <w:rsid w:val="009F76A0"/>
    <w:rsid w:val="00A319E9"/>
    <w:rsid w:val="00A75EB9"/>
    <w:rsid w:val="00A815AF"/>
    <w:rsid w:val="00A8722D"/>
    <w:rsid w:val="00AB4E74"/>
    <w:rsid w:val="00AC1190"/>
    <w:rsid w:val="00AC2CCD"/>
    <w:rsid w:val="00AC3823"/>
    <w:rsid w:val="00AE323C"/>
    <w:rsid w:val="00AE421C"/>
    <w:rsid w:val="00AE7729"/>
    <w:rsid w:val="00B00181"/>
    <w:rsid w:val="00B26632"/>
    <w:rsid w:val="00B34BE7"/>
    <w:rsid w:val="00B41FDC"/>
    <w:rsid w:val="00B43C66"/>
    <w:rsid w:val="00B561CE"/>
    <w:rsid w:val="00B765F7"/>
    <w:rsid w:val="00B9024D"/>
    <w:rsid w:val="00B91D5B"/>
    <w:rsid w:val="00B937DA"/>
    <w:rsid w:val="00BA07AB"/>
    <w:rsid w:val="00BA0CA9"/>
    <w:rsid w:val="00BC4C66"/>
    <w:rsid w:val="00BE4745"/>
    <w:rsid w:val="00BF30B9"/>
    <w:rsid w:val="00BF3C2C"/>
    <w:rsid w:val="00BF41DD"/>
    <w:rsid w:val="00C02897"/>
    <w:rsid w:val="00C17971"/>
    <w:rsid w:val="00C33133"/>
    <w:rsid w:val="00C808DE"/>
    <w:rsid w:val="00C91C49"/>
    <w:rsid w:val="00CA2792"/>
    <w:rsid w:val="00CB43B4"/>
    <w:rsid w:val="00CB56FC"/>
    <w:rsid w:val="00CC2887"/>
    <w:rsid w:val="00D26292"/>
    <w:rsid w:val="00D3439C"/>
    <w:rsid w:val="00DA22F4"/>
    <w:rsid w:val="00DA40FE"/>
    <w:rsid w:val="00DB1831"/>
    <w:rsid w:val="00DB766C"/>
    <w:rsid w:val="00DC0AE6"/>
    <w:rsid w:val="00DD0E05"/>
    <w:rsid w:val="00DD3BFD"/>
    <w:rsid w:val="00DE03C2"/>
    <w:rsid w:val="00DE5F21"/>
    <w:rsid w:val="00DF6678"/>
    <w:rsid w:val="00E01E77"/>
    <w:rsid w:val="00E22CF2"/>
    <w:rsid w:val="00E52D9F"/>
    <w:rsid w:val="00E56B4F"/>
    <w:rsid w:val="00E67A8D"/>
    <w:rsid w:val="00EC0B9F"/>
    <w:rsid w:val="00ED68AE"/>
    <w:rsid w:val="00F01808"/>
    <w:rsid w:val="00F0412F"/>
    <w:rsid w:val="00F06AD2"/>
    <w:rsid w:val="00F164B0"/>
    <w:rsid w:val="00F17B7E"/>
    <w:rsid w:val="00F24D6D"/>
    <w:rsid w:val="00F41D5B"/>
    <w:rsid w:val="00F660DF"/>
    <w:rsid w:val="00F80094"/>
    <w:rsid w:val="00F95C08"/>
    <w:rsid w:val="00FA5A75"/>
    <w:rsid w:val="00FA5A96"/>
    <w:rsid w:val="00FA70B9"/>
    <w:rsid w:val="00FC4FB5"/>
    <w:rsid w:val="00FE419A"/>
    <w:rsid w:val="00FE4E9D"/>
    <w:rsid w:val="00FF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38EAC9E"/>
  <w15:docId w15:val="{12F5F0E3-3ABD-4769-BEAE-19C1C91A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0C2E0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2156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2156"/>
    <w:pPr>
      <w:kinsoku w:val="0"/>
      <w:overflowPunct w:val="0"/>
      <w:autoSpaceDE w:val="0"/>
      <w:autoSpaceDN w:val="0"/>
      <w:adjustRightInd w:val="0"/>
      <w:snapToGrid w:val="0"/>
      <w:outlineLvl w:val="1"/>
    </w:pPr>
    <w:rPr>
      <w:rFonts w:eastAsiaTheme="minorHAnsi"/>
      <w:lang w:val="fr-CH"/>
    </w:rPr>
  </w:style>
  <w:style w:type="paragraph" w:styleId="Heading3">
    <w:name w:val="heading 3"/>
    <w:basedOn w:val="Normal"/>
    <w:next w:val="Normal"/>
    <w:link w:val="Heading3Char"/>
    <w:semiHidden/>
    <w:qFormat/>
    <w:rsid w:val="00482156"/>
    <w:pPr>
      <w:kinsoku w:val="0"/>
      <w:overflowPunct w:val="0"/>
      <w:autoSpaceDE w:val="0"/>
      <w:autoSpaceDN w:val="0"/>
      <w:adjustRightInd w:val="0"/>
      <w:snapToGrid w:val="0"/>
      <w:outlineLvl w:val="2"/>
    </w:pPr>
    <w:rPr>
      <w:rFonts w:eastAsiaTheme="minorHAnsi"/>
      <w:lang w:val="fr-CH"/>
    </w:rPr>
  </w:style>
  <w:style w:type="paragraph" w:styleId="Heading4">
    <w:name w:val="heading 4"/>
    <w:basedOn w:val="Normal"/>
    <w:next w:val="Normal"/>
    <w:link w:val="Heading4Char"/>
    <w:semiHidden/>
    <w:qFormat/>
    <w:rsid w:val="00482156"/>
    <w:pPr>
      <w:kinsoku w:val="0"/>
      <w:overflowPunct w:val="0"/>
      <w:autoSpaceDE w:val="0"/>
      <w:autoSpaceDN w:val="0"/>
      <w:adjustRightInd w:val="0"/>
      <w:snapToGrid w:val="0"/>
      <w:outlineLvl w:val="3"/>
    </w:pPr>
    <w:rPr>
      <w:rFonts w:eastAsiaTheme="minorHAnsi"/>
      <w:lang w:val="fr-CH"/>
    </w:rPr>
  </w:style>
  <w:style w:type="paragraph" w:styleId="Heading5">
    <w:name w:val="heading 5"/>
    <w:basedOn w:val="Normal"/>
    <w:next w:val="Normal"/>
    <w:link w:val="Heading5Char"/>
    <w:semiHidden/>
    <w:qFormat/>
    <w:rsid w:val="00482156"/>
    <w:pPr>
      <w:kinsoku w:val="0"/>
      <w:overflowPunct w:val="0"/>
      <w:autoSpaceDE w:val="0"/>
      <w:autoSpaceDN w:val="0"/>
      <w:adjustRightInd w:val="0"/>
      <w:snapToGrid w:val="0"/>
      <w:outlineLvl w:val="4"/>
    </w:pPr>
    <w:rPr>
      <w:rFonts w:eastAsiaTheme="minorHAnsi"/>
      <w:lang w:val="fr-CH"/>
    </w:rPr>
  </w:style>
  <w:style w:type="paragraph" w:styleId="Heading6">
    <w:name w:val="heading 6"/>
    <w:basedOn w:val="Normal"/>
    <w:next w:val="Normal"/>
    <w:link w:val="Heading6Char"/>
    <w:semiHidden/>
    <w:qFormat/>
    <w:rsid w:val="00482156"/>
    <w:pPr>
      <w:kinsoku w:val="0"/>
      <w:overflowPunct w:val="0"/>
      <w:autoSpaceDE w:val="0"/>
      <w:autoSpaceDN w:val="0"/>
      <w:adjustRightInd w:val="0"/>
      <w:snapToGrid w:val="0"/>
      <w:outlineLvl w:val="5"/>
    </w:pPr>
    <w:rPr>
      <w:rFonts w:eastAsiaTheme="minorHAnsi"/>
      <w:lang w:val="fr-CH"/>
    </w:rPr>
  </w:style>
  <w:style w:type="paragraph" w:styleId="Heading7">
    <w:name w:val="heading 7"/>
    <w:basedOn w:val="Normal"/>
    <w:next w:val="Normal"/>
    <w:link w:val="Heading7Char"/>
    <w:semiHidden/>
    <w:qFormat/>
    <w:rsid w:val="00482156"/>
    <w:pPr>
      <w:kinsoku w:val="0"/>
      <w:overflowPunct w:val="0"/>
      <w:autoSpaceDE w:val="0"/>
      <w:autoSpaceDN w:val="0"/>
      <w:adjustRightInd w:val="0"/>
      <w:snapToGrid w:val="0"/>
      <w:outlineLvl w:val="6"/>
    </w:pPr>
    <w:rPr>
      <w:rFonts w:eastAsiaTheme="minorHAnsi"/>
      <w:lang w:val="fr-CH"/>
    </w:rPr>
  </w:style>
  <w:style w:type="paragraph" w:styleId="Heading8">
    <w:name w:val="heading 8"/>
    <w:basedOn w:val="Normal"/>
    <w:next w:val="Normal"/>
    <w:link w:val="Heading8Char"/>
    <w:semiHidden/>
    <w:qFormat/>
    <w:rsid w:val="00482156"/>
    <w:pPr>
      <w:kinsoku w:val="0"/>
      <w:overflowPunct w:val="0"/>
      <w:autoSpaceDE w:val="0"/>
      <w:autoSpaceDN w:val="0"/>
      <w:adjustRightInd w:val="0"/>
      <w:snapToGrid w:val="0"/>
      <w:outlineLvl w:val="7"/>
    </w:pPr>
    <w:rPr>
      <w:rFonts w:eastAsiaTheme="minorHAnsi"/>
      <w:lang w:val="fr-CH"/>
    </w:rPr>
  </w:style>
  <w:style w:type="paragraph" w:styleId="Heading9">
    <w:name w:val="heading 9"/>
    <w:basedOn w:val="Normal"/>
    <w:next w:val="Normal"/>
    <w:link w:val="Heading9Char"/>
    <w:semiHidden/>
    <w:qFormat/>
    <w:rsid w:val="00482156"/>
    <w:pPr>
      <w:kinsoku w:val="0"/>
      <w:overflowPunct w:val="0"/>
      <w:autoSpaceDE w:val="0"/>
      <w:autoSpaceDN w:val="0"/>
      <w:adjustRightInd w:val="0"/>
      <w:snapToGrid w:val="0"/>
      <w:outlineLvl w:val="8"/>
    </w:pPr>
    <w:rPr>
      <w:rFonts w:eastAsiaTheme="minorHAnsi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482156"/>
    <w:pPr>
      <w:pBdr>
        <w:bottom w:val="single" w:sz="4" w:space="4" w:color="auto"/>
      </w:pBdr>
      <w:suppressAutoHyphens w:val="0"/>
      <w:spacing w:line="240" w:lineRule="auto"/>
    </w:pPr>
    <w:rPr>
      <w:rFonts w:eastAsiaTheme="minorHAnsi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482156"/>
    <w:rPr>
      <w:rFonts w:ascii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link w:val="FooterChar"/>
    <w:rsid w:val="00482156"/>
    <w:pPr>
      <w:suppressAutoHyphens w:val="0"/>
      <w:spacing w:line="240" w:lineRule="auto"/>
    </w:pPr>
    <w:rPr>
      <w:rFonts w:eastAsiaTheme="minorHAnsi"/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482156"/>
    <w:rPr>
      <w:rFonts w:ascii="Times New Roman" w:hAnsi="Times New Roman" w:cs="Times New Roman"/>
      <w:sz w:val="16"/>
      <w:szCs w:val="20"/>
      <w:lang w:val="en-GB"/>
    </w:rPr>
  </w:style>
  <w:style w:type="paragraph" w:customStyle="1" w:styleId="HMG">
    <w:name w:val="_ H __M_G"/>
    <w:basedOn w:val="Normal"/>
    <w:next w:val="Normal"/>
    <w:qFormat/>
    <w:rsid w:val="00482156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240" w:line="360" w:lineRule="exact"/>
      <w:ind w:left="1134" w:right="1134" w:hanging="1134"/>
      <w:outlineLvl w:val="0"/>
    </w:pPr>
    <w:rPr>
      <w:rFonts w:eastAsiaTheme="minorHAnsi"/>
      <w:b/>
      <w:sz w:val="34"/>
    </w:rPr>
  </w:style>
  <w:style w:type="paragraph" w:customStyle="1" w:styleId="HChG">
    <w:name w:val="_ H _Ch_G"/>
    <w:basedOn w:val="Normal"/>
    <w:next w:val="Normal"/>
    <w:qFormat/>
    <w:rsid w:val="00482156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  <w:outlineLvl w:val="1"/>
    </w:pPr>
    <w:rPr>
      <w:rFonts w:eastAsiaTheme="minorHAnsi"/>
      <w:b/>
      <w:sz w:val="28"/>
    </w:rPr>
  </w:style>
  <w:style w:type="paragraph" w:customStyle="1" w:styleId="H1G">
    <w:name w:val="_ H_1_G"/>
    <w:basedOn w:val="Normal"/>
    <w:next w:val="Normal"/>
    <w:qFormat/>
    <w:rsid w:val="00482156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  <w:outlineLvl w:val="2"/>
    </w:pPr>
    <w:rPr>
      <w:rFonts w:eastAsiaTheme="minorHAnsi"/>
      <w:b/>
      <w:sz w:val="24"/>
    </w:rPr>
  </w:style>
  <w:style w:type="paragraph" w:customStyle="1" w:styleId="H23G">
    <w:name w:val="_ H_2/3_G"/>
    <w:basedOn w:val="Normal"/>
    <w:next w:val="Normal"/>
    <w:qFormat/>
    <w:rsid w:val="00482156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  <w:outlineLvl w:val="3"/>
    </w:pPr>
    <w:rPr>
      <w:rFonts w:eastAsiaTheme="minorHAnsi"/>
      <w:b/>
    </w:rPr>
  </w:style>
  <w:style w:type="paragraph" w:customStyle="1" w:styleId="H4G">
    <w:name w:val="_ H_4_G"/>
    <w:basedOn w:val="Normal"/>
    <w:next w:val="Normal"/>
    <w:qFormat/>
    <w:rsid w:val="00482156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  <w:outlineLvl w:val="4"/>
    </w:pPr>
    <w:rPr>
      <w:rFonts w:eastAsiaTheme="minorHAnsi"/>
      <w:i/>
    </w:rPr>
  </w:style>
  <w:style w:type="paragraph" w:customStyle="1" w:styleId="H56G">
    <w:name w:val="_ H_5/6_G"/>
    <w:basedOn w:val="Normal"/>
    <w:next w:val="Normal"/>
    <w:qFormat/>
    <w:rsid w:val="00482156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  <w:outlineLvl w:val="5"/>
    </w:pPr>
    <w:rPr>
      <w:rFonts w:eastAsiaTheme="minorHAnsi"/>
    </w:rPr>
  </w:style>
  <w:style w:type="paragraph" w:customStyle="1" w:styleId="SingleTxtG">
    <w:name w:val="_ Single Txt_G"/>
    <w:basedOn w:val="Normal"/>
    <w:link w:val="SingleTxtGChar"/>
    <w:qFormat/>
    <w:rsid w:val="00482156"/>
    <w:pPr>
      <w:tabs>
        <w:tab w:val="left" w:pos="1701"/>
        <w:tab w:val="left" w:pos="2268"/>
        <w:tab w:val="left" w:pos="2835"/>
      </w:tabs>
      <w:kinsoku w:val="0"/>
      <w:overflowPunct w:val="0"/>
      <w:autoSpaceDE w:val="0"/>
      <w:autoSpaceDN w:val="0"/>
      <w:adjustRightInd w:val="0"/>
      <w:snapToGrid w:val="0"/>
      <w:spacing w:after="120"/>
      <w:ind w:left="1134" w:right="1134"/>
      <w:jc w:val="both"/>
    </w:pPr>
    <w:rPr>
      <w:rFonts w:eastAsiaTheme="minorHAnsi"/>
    </w:rPr>
  </w:style>
  <w:style w:type="paragraph" w:customStyle="1" w:styleId="SLG">
    <w:name w:val="__S_L_G"/>
    <w:basedOn w:val="Normal"/>
    <w:next w:val="Normal"/>
    <w:rsid w:val="0048215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8215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8215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215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2156"/>
    <w:pPr>
      <w:numPr>
        <w:numId w:val="14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</w:rPr>
  </w:style>
  <w:style w:type="paragraph" w:customStyle="1" w:styleId="Bullet2G">
    <w:name w:val="_Bullet 2_G"/>
    <w:basedOn w:val="Normal"/>
    <w:qFormat/>
    <w:rsid w:val="00482156"/>
    <w:pPr>
      <w:numPr>
        <w:numId w:val="15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</w:rPr>
  </w:style>
  <w:style w:type="paragraph" w:customStyle="1" w:styleId="ParaNoG">
    <w:name w:val="_ParaNo._G"/>
    <w:basedOn w:val="SingleTxtG"/>
    <w:rsid w:val="00BF41DD"/>
    <w:pPr>
      <w:numPr>
        <w:numId w:val="21"/>
      </w:numPr>
      <w:tabs>
        <w:tab w:val="clear" w:pos="2835"/>
      </w:tabs>
      <w:suppressAutoHyphens w:val="0"/>
      <w:kinsoku/>
      <w:overflowPunct/>
      <w:autoSpaceDE/>
      <w:autoSpaceDN/>
      <w:adjustRightInd/>
      <w:snapToGrid/>
    </w:pPr>
    <w:rPr>
      <w:rFonts w:eastAsia="SimSun"/>
      <w:lang w:eastAsia="zh-CN"/>
    </w:rPr>
  </w:style>
  <w:style w:type="character" w:styleId="FootnoteReference">
    <w:name w:val="footnote reference"/>
    <w:aliases w:val="4_G"/>
    <w:basedOn w:val="DefaultParagraphFont"/>
    <w:qFormat/>
    <w:rsid w:val="00482156"/>
    <w:rPr>
      <w:rFonts w:ascii="Times New Roman" w:hAnsi="Times New Roman"/>
      <w:sz w:val="18"/>
      <w:vertAlign w:val="superscript"/>
      <w:lang w:val="en-GB"/>
    </w:rPr>
  </w:style>
  <w:style w:type="character" w:styleId="EndnoteReference">
    <w:name w:val="endnote reference"/>
    <w:aliases w:val="1_G"/>
    <w:basedOn w:val="FootnoteReference"/>
    <w:qFormat/>
    <w:rsid w:val="00482156"/>
    <w:rPr>
      <w:rFonts w:ascii="Times New Roman" w:hAnsi="Times New Roman"/>
      <w:sz w:val="18"/>
      <w:vertAlign w:val="superscript"/>
      <w:lang w:val="en-GB"/>
    </w:rPr>
  </w:style>
  <w:style w:type="character" w:styleId="Hyperlink">
    <w:name w:val="Hyperlink"/>
    <w:basedOn w:val="DefaultParagraphFont"/>
    <w:semiHidden/>
    <w:rsid w:val="00482156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482156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482156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Theme="minorHAnsi"/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482156"/>
    <w:rPr>
      <w:rFonts w:ascii="Times New Roman" w:hAnsi="Times New Roman" w:cs="Times New Roman"/>
      <w:sz w:val="18"/>
      <w:szCs w:val="20"/>
      <w:lang w:val="en-GB"/>
    </w:rPr>
  </w:style>
  <w:style w:type="paragraph" w:styleId="EndnoteText">
    <w:name w:val="endnote text"/>
    <w:aliases w:val="2_G"/>
    <w:basedOn w:val="FootnoteText"/>
    <w:link w:val="EndnoteTextChar"/>
    <w:qFormat/>
    <w:rsid w:val="00482156"/>
  </w:style>
  <w:style w:type="character" w:customStyle="1" w:styleId="EndnoteTextChar">
    <w:name w:val="Endnote Text Char"/>
    <w:aliases w:val="2_G Char"/>
    <w:basedOn w:val="DefaultParagraphFont"/>
    <w:link w:val="EndnoteText"/>
    <w:rsid w:val="00482156"/>
    <w:rPr>
      <w:rFonts w:ascii="Times New Roman" w:hAnsi="Times New Roman" w:cs="Times New Roman"/>
      <w:sz w:val="18"/>
      <w:szCs w:val="20"/>
      <w:lang w:val="en-GB"/>
    </w:rPr>
  </w:style>
  <w:style w:type="character" w:styleId="PageNumber">
    <w:name w:val="page number"/>
    <w:aliases w:val="7_G"/>
    <w:basedOn w:val="DefaultParagraphFont"/>
    <w:qFormat/>
    <w:rsid w:val="00482156"/>
    <w:rPr>
      <w:rFonts w:ascii="Times New Roman" w:hAnsi="Times New Roman"/>
      <w:b/>
      <w:sz w:val="18"/>
      <w:lang w:val="en-GB"/>
    </w:rPr>
  </w:style>
  <w:style w:type="character" w:customStyle="1" w:styleId="Heading1Char">
    <w:name w:val="Heading 1 Char"/>
    <w:aliases w:val="Table_G Char"/>
    <w:basedOn w:val="DefaultParagraphFont"/>
    <w:link w:val="Heading1"/>
    <w:rsid w:val="00482156"/>
    <w:rPr>
      <w:rFonts w:ascii="Times New Roman" w:hAnsi="Times New Roman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482156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482156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482156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482156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482156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482156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482156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482156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1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56"/>
    <w:rPr>
      <w:rFonts w:ascii="Tahoma" w:eastAsia="Times New Roman" w:hAnsi="Tahoma" w:cs="Tahoma"/>
      <w:sz w:val="16"/>
      <w:szCs w:val="16"/>
      <w:lang w:val="en-GB"/>
    </w:rPr>
  </w:style>
  <w:style w:type="character" w:customStyle="1" w:styleId="SingleTxtGChar">
    <w:name w:val="_ Single Txt_G Char"/>
    <w:link w:val="SingleTxtG"/>
    <w:locked/>
    <w:rsid w:val="00482156"/>
    <w:rPr>
      <w:rFonts w:ascii="Times New Roman" w:hAnsi="Times New Roman" w:cs="Times New Roman"/>
      <w:sz w:val="20"/>
      <w:szCs w:val="20"/>
      <w:lang w:val="en-GB"/>
    </w:rPr>
  </w:style>
  <w:style w:type="numbering" w:styleId="111111">
    <w:name w:val="Outline List 2"/>
    <w:basedOn w:val="NoList"/>
    <w:semiHidden/>
    <w:rsid w:val="00482156"/>
    <w:pPr>
      <w:numPr>
        <w:numId w:val="18"/>
      </w:numPr>
    </w:pPr>
  </w:style>
  <w:style w:type="numbering" w:styleId="1ai">
    <w:name w:val="Outline List 1"/>
    <w:basedOn w:val="NoList"/>
    <w:semiHidden/>
    <w:rsid w:val="00482156"/>
    <w:pPr>
      <w:numPr>
        <w:numId w:val="20"/>
      </w:numPr>
    </w:pPr>
  </w:style>
  <w:style w:type="character" w:styleId="PlaceholderText">
    <w:name w:val="Placeholder Text"/>
    <w:basedOn w:val="DefaultParagraphFont"/>
    <w:uiPriority w:val="99"/>
    <w:semiHidden/>
    <w:rsid w:val="009843C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C2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7B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7B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7B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rsid w:val="00B91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hyperlink" Target="https://undocs.org/en/E/C.12/2021/SR.1/Add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009AA20B2ED4399E9C39C77341190" ma:contentTypeVersion="13" ma:contentTypeDescription="Create a new document." ma:contentTypeScope="" ma:versionID="4d4102610a7146d527e71997bf814e3a">
  <xsd:schema xmlns:xsd="http://www.w3.org/2001/XMLSchema" xmlns:xs="http://www.w3.org/2001/XMLSchema" xmlns:p="http://schemas.microsoft.com/office/2006/metadata/properties" xmlns:ns3="483dba53-7734-44b0-a8e9-8dd24ce872c9" xmlns:ns4="c7d0f312-d748-48d1-b1de-9d5105df2206" targetNamespace="http://schemas.microsoft.com/office/2006/metadata/properties" ma:root="true" ma:fieldsID="5209d9eccd980c4bfe85919a97230b30" ns3:_="" ns4:_="">
    <xsd:import namespace="483dba53-7734-44b0-a8e9-8dd24ce872c9"/>
    <xsd:import namespace="c7d0f312-d748-48d1-b1de-9d5105df2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dba53-7734-44b0-a8e9-8dd24ce87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f312-d748-48d1-b1de-9d5105df2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F76E3F-4825-4034-B79E-DD4841AA13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F5CBFF-5535-41B5-949F-60B36EF1F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6D57B5-4B0C-45FE-8686-88C083DD8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dba53-7734-44b0-a8e9-8dd24ce872c9"/>
    <ds:schemaRef ds:uri="c7d0f312-d748-48d1-b1de-9d5105df2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2236</Words>
  <Characters>12411</Characters>
  <Application>Microsoft Office Word</Application>
  <DocSecurity>4</DocSecurity>
  <Lines>195</Lines>
  <Paragraphs>50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E/C.12/2021/SR.1</vt:lpstr>
      <vt:lpstr/>
      <vt:lpstr/>
    </vt:vector>
  </TitlesOfParts>
  <Company>DCM</Company>
  <LinksUpToDate>false</LinksUpToDate>
  <CharactersWithSpaces>14621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E/C.12/2021/SR.1</dc:title>
  <dc:subject>2102071</dc:subject>
  <dc:creator>cg</dc:creator>
  <cp:keywords/>
  <dc:description/>
  <cp:lastModifiedBy>Pauline Anne Princesa ESCALANTE</cp:lastModifiedBy>
  <cp:revision>2</cp:revision>
  <cp:lastPrinted>2021-02-19T08:06:00Z</cp:lastPrinted>
  <dcterms:created xsi:type="dcterms:W3CDTF">2021-02-19T10:48:00Z</dcterms:created>
  <dcterms:modified xsi:type="dcterms:W3CDTF">2021-02-19T10:48:00Z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um">
    <vt:lpwstr>anum</vt:lpwstr>
  </property>
  <property fmtid="{D5CDD505-2E9C-101B-9397-08002B2CF9AE}" pid="3" name="atitle">
    <vt:lpwstr>atitle</vt:lpwstr>
  </property>
  <property fmtid="{D5CDD505-2E9C-101B-9397-08002B2CF9AE}" pid="4" name="bar">
    <vt:lpwstr> </vt:lpwstr>
  </property>
  <property fmtid="{D5CDD505-2E9C-101B-9397-08002B2CF9AE}" pid="5" name="category">
    <vt:lpwstr>CESCR SR</vt:lpwstr>
  </property>
  <property fmtid="{D5CDD505-2E9C-101B-9397-08002B2CF9AE}" pid="6" name="count">
    <vt:lpwstr>count</vt:lpwstr>
  </property>
  <property fmtid="{D5CDD505-2E9C-101B-9397-08002B2CF9AE}" pid="7" name="date">
    <vt:lpwstr> </vt:lpwstr>
  </property>
  <property fmtid="{D5CDD505-2E9C-101B-9397-08002B2CF9AE}" pid="8" name="Date-Generated">
    <vt:lpwstr>15/02/2021 14:46:07</vt:lpwstr>
  </property>
  <property fmtid="{D5CDD505-2E9C-101B-9397-08002B2CF9AE}" pid="9" name="dist">
    <vt:lpwstr>General</vt:lpwstr>
  </property>
  <property fmtid="{D5CDD505-2E9C-101B-9397-08002B2CF9AE}" pid="10" name="dname">
    <vt:lpwstr>Mr. Zerbini Ribeiro Leão</vt:lpwstr>
  </property>
  <property fmtid="{D5CDD505-2E9C-101B-9397-08002B2CF9AE}" pid="11" name="doctype">
    <vt:lpwstr>First Part</vt:lpwstr>
  </property>
  <property fmtid="{D5CDD505-2E9C-101B-9397-08002B2CF9AE}" pid="12" name="Entity">
    <vt:lpwstr>Public</vt:lpwstr>
  </property>
  <property fmtid="{D5CDD505-2E9C-101B-9397-08002B2CF9AE}" pid="13" name="gdoc">
    <vt:lpwstr> </vt:lpwstr>
  </property>
  <property fmtid="{D5CDD505-2E9C-101B-9397-08002B2CF9AE}" pid="14" name="gdocf">
    <vt:lpwstr> </vt:lpwstr>
  </property>
  <property fmtid="{D5CDD505-2E9C-101B-9397-08002B2CF9AE}" pid="15" name="ldate">
    <vt:lpwstr>Monday, 15 February 2021, at 3 p.m.</vt:lpwstr>
  </property>
  <property fmtid="{D5CDD505-2E9C-101B-9397-08002B2CF9AE}" pid="16" name="lname1">
    <vt:lpwstr/>
  </property>
  <property fmtid="{D5CDD505-2E9C-101B-9397-08002B2CF9AE}" pid="17" name="lname2">
    <vt:lpwstr/>
  </property>
  <property fmtid="{D5CDD505-2E9C-101B-9397-08002B2CF9AE}" pid="18" name="loca">
    <vt:lpwstr>Palais des Nations, Geneva</vt:lpwstr>
  </property>
  <property fmtid="{D5CDD505-2E9C-101B-9397-08002B2CF9AE}" pid="19" name="mnum">
    <vt:lpwstr>1st</vt:lpwstr>
  </property>
  <property fmtid="{D5CDD505-2E9C-101B-9397-08002B2CF9AE}" pid="20" name="olang">
    <vt:lpwstr>English</vt:lpwstr>
  </property>
  <property fmtid="{D5CDD505-2E9C-101B-9397-08002B2CF9AE}" pid="21" name="Org">
    <vt:lpwstr>SR</vt:lpwstr>
  </property>
  <property fmtid="{D5CDD505-2E9C-101B-9397-08002B2CF9AE}" pid="22" name="osdate">
    <vt:lpwstr>The meeting was called to order at 3 p.m.</vt:lpwstr>
  </property>
  <property fmtid="{D5CDD505-2E9C-101B-9397-08002B2CF9AE}" pid="23" name="prep">
    <vt:lpwstr>prep</vt:lpwstr>
  </property>
  <property fmtid="{D5CDD505-2E9C-101B-9397-08002B2CF9AE}" pid="24" name="sdate">
    <vt:lpwstr>sdate</vt:lpwstr>
  </property>
  <property fmtid="{D5CDD505-2E9C-101B-9397-08002B2CF9AE}" pid="25" name="snum">
    <vt:lpwstr>Sixty-ninth</vt:lpwstr>
  </property>
  <property fmtid="{D5CDD505-2E9C-101B-9397-08002B2CF9AE}" pid="26" name="stitle">
    <vt:lpwstr>stitle</vt:lpwstr>
  </property>
  <property fmtid="{D5CDD505-2E9C-101B-9397-08002B2CF9AE}" pid="27" name="sym1">
    <vt:lpwstr>C.12/2021/SR.1</vt:lpwstr>
  </property>
  <property fmtid="{D5CDD505-2E9C-101B-9397-08002B2CF9AE}" pid="28" name="symh">
    <vt:lpwstr>E/C.12/2021/SR.1</vt:lpwstr>
  </property>
  <property fmtid="{D5CDD505-2E9C-101B-9397-08002B2CF9AE}" pid="29" name="tlang">
    <vt:lpwstr>tlang</vt:lpwstr>
  </property>
  <property fmtid="{D5CDD505-2E9C-101B-9397-08002B2CF9AE}" pid="30" name="virs">
    <vt:lpwstr>virs</vt:lpwstr>
  </property>
  <property fmtid="{D5CDD505-2E9C-101B-9397-08002B2CF9AE}" pid="31" name="ContentTypeId">
    <vt:lpwstr>0x01010043F009AA20B2ED4399E9C39C77341190</vt:lpwstr>
  </property>
</Properties>
</file>