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75FCB" w:rsidP="007C7184">
            <w:pPr>
              <w:jc w:val="right"/>
            </w:pPr>
            <w:r w:rsidRPr="00175FCB">
              <w:rPr>
                <w:sz w:val="40"/>
              </w:rPr>
              <w:t>E</w:t>
            </w:r>
            <w:r>
              <w:t>/C.12/ARG/CO/3</w:t>
            </w:r>
          </w:p>
        </w:tc>
      </w:tr>
      <w:tr w:rsid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175FCB" w:rsidRDefault="00175FCB" w:rsidP="00175FCB">
            <w:pPr>
              <w:spacing w:before="240" w:line="240" w:lineRule="exact"/>
            </w:pPr>
            <w:r>
              <w:t xml:space="preserve">Distr.: </w:t>
            </w:r>
            <w:r w:rsidR="002917C4">
              <w:t>General</w:t>
            </w:r>
          </w:p>
          <w:p w:rsidR="00175FCB" w:rsidRDefault="005B31D8" w:rsidP="00175FCB">
            <w:pPr>
              <w:spacing w:line="240" w:lineRule="exact"/>
            </w:pPr>
            <w:r>
              <w:t>14</w:t>
            </w:r>
            <w:r w:rsidR="007C7184">
              <w:t xml:space="preserve"> December</w:t>
            </w:r>
            <w:r w:rsidR="00175FCB">
              <w:t xml:space="preserve"> 2011</w:t>
            </w:r>
          </w:p>
          <w:p w:rsidR="00175FCB" w:rsidRDefault="00175FCB" w:rsidP="00175FCB">
            <w:pPr>
              <w:spacing w:line="240" w:lineRule="exact"/>
            </w:pPr>
          </w:p>
          <w:p w:rsidR="009E6CB7" w:rsidRDefault="00175FCB" w:rsidP="00175FCB">
            <w:pPr>
              <w:spacing w:line="240" w:lineRule="exact"/>
            </w:pPr>
            <w:r>
              <w:t>Original: English</w:t>
            </w:r>
          </w:p>
        </w:tc>
      </w:tr>
    </w:tbl>
    <w:p w:rsidR="00175FCB" w:rsidRDefault="00175FCB" w:rsidP="00175FCB">
      <w:pPr>
        <w:spacing w:before="120"/>
        <w:rPr>
          <w:rFonts w:eastAsia="SimHei"/>
          <w:b/>
          <w:sz w:val="24"/>
          <w:szCs w:val="24"/>
        </w:rPr>
      </w:pPr>
      <w:r w:rsidRPr="00516A02">
        <w:rPr>
          <w:rFonts w:eastAsia="SimHei"/>
          <w:b/>
          <w:sz w:val="24"/>
          <w:szCs w:val="24"/>
        </w:rPr>
        <w:t xml:space="preserve">Committee on </w:t>
      </w:r>
      <w:r>
        <w:rPr>
          <w:rFonts w:eastAsia="SimHei"/>
          <w:b/>
          <w:sz w:val="24"/>
          <w:szCs w:val="24"/>
        </w:rPr>
        <w:t>Economic, Social and Cultural Rights</w:t>
      </w:r>
    </w:p>
    <w:p w:rsidR="005E18A1" w:rsidRDefault="005E18A1" w:rsidP="005E18A1">
      <w:pPr>
        <w:spacing w:line="240" w:lineRule="auto"/>
      </w:pPr>
      <w:r>
        <w:rPr>
          <w:b/>
        </w:rPr>
        <w:t xml:space="preserve">Forty-seventh </w:t>
      </w:r>
      <w:r w:rsidRPr="005929FE">
        <w:rPr>
          <w:b/>
        </w:rPr>
        <w:t>session</w:t>
      </w:r>
    </w:p>
    <w:p w:rsidR="00175FCB" w:rsidRDefault="00175FCB" w:rsidP="00175FCB">
      <w:pPr>
        <w:spacing w:line="240" w:lineRule="auto"/>
      </w:pPr>
      <w:r>
        <w:t>14 November</w:t>
      </w:r>
      <w:r w:rsidR="00381621">
        <w:noBreakHyphen/>
      </w:r>
      <w:r>
        <w:t>2 December 2011</w:t>
      </w:r>
    </w:p>
    <w:p w:rsidR="00175FCB" w:rsidRDefault="00175FCB" w:rsidP="00175FCB">
      <w:pPr>
        <w:pStyle w:val="HChG"/>
        <w:rPr>
          <w:snapToGrid w:val="0"/>
        </w:rPr>
      </w:pPr>
      <w:r>
        <w:rPr>
          <w:snapToGrid w:val="0"/>
        </w:rPr>
        <w:tab/>
      </w:r>
      <w:r>
        <w:rPr>
          <w:snapToGrid w:val="0"/>
        </w:rPr>
        <w:tab/>
        <w:t xml:space="preserve">Consideration of reports submitted by States parties under </w:t>
      </w:r>
      <w:r w:rsidR="00381621">
        <w:rPr>
          <w:snapToGrid w:val="0"/>
        </w:rPr>
        <w:t>a</w:t>
      </w:r>
      <w:r>
        <w:rPr>
          <w:snapToGrid w:val="0"/>
        </w:rPr>
        <w:t>rticles 16 and 17 of the Covenant</w:t>
      </w:r>
    </w:p>
    <w:p w:rsidR="00175FCB" w:rsidRDefault="00175FCB" w:rsidP="00175FCB">
      <w:pPr>
        <w:pStyle w:val="H1G"/>
        <w:rPr>
          <w:snapToGrid w:val="0"/>
        </w:rPr>
      </w:pPr>
      <w:r>
        <w:rPr>
          <w:snapToGrid w:val="0"/>
        </w:rPr>
        <w:tab/>
      </w:r>
      <w:r>
        <w:rPr>
          <w:snapToGrid w:val="0"/>
        </w:rPr>
        <w:tab/>
        <w:t xml:space="preserve">Concluding </w:t>
      </w:r>
      <w:r w:rsidR="00765825">
        <w:rPr>
          <w:snapToGrid w:val="0"/>
        </w:rPr>
        <w:t>o</w:t>
      </w:r>
      <w:r>
        <w:rPr>
          <w:snapToGrid w:val="0"/>
        </w:rPr>
        <w:t>bservations of the Committee on Economic, Social and Cultural Rights</w:t>
      </w:r>
    </w:p>
    <w:p w:rsidR="00175FCB" w:rsidRDefault="00175FCB" w:rsidP="00175FCB">
      <w:pPr>
        <w:pStyle w:val="HChG"/>
        <w:rPr>
          <w:snapToGrid w:val="0"/>
        </w:rPr>
      </w:pPr>
      <w:r>
        <w:rPr>
          <w:snapToGrid w:val="0"/>
        </w:rPr>
        <w:tab/>
      </w:r>
      <w:r>
        <w:rPr>
          <w:snapToGrid w:val="0"/>
        </w:rPr>
        <w:tab/>
      </w:r>
      <w:smartTag w:uri="urn:schemas-microsoft-com:office:smarttags" w:element="place">
        <w:smartTag w:uri="urn:schemas-microsoft-com:office:smarttags" w:element="country-region">
          <w:r>
            <w:rPr>
              <w:snapToGrid w:val="0"/>
            </w:rPr>
            <w:t>Argentina</w:t>
          </w:r>
        </w:smartTag>
      </w:smartTag>
    </w:p>
    <w:p w:rsidR="00175FCB" w:rsidRDefault="00175FCB" w:rsidP="00175FCB">
      <w:pPr>
        <w:pStyle w:val="SingleTxtG"/>
        <w:numPr>
          <w:ilvl w:val="0"/>
          <w:numId w:val="19"/>
        </w:numPr>
        <w:tabs>
          <w:tab w:val="clear" w:pos="1494"/>
          <w:tab w:val="num" w:pos="1800"/>
        </w:tabs>
        <w:ind w:left="1128" w:firstLine="6"/>
      </w:pPr>
      <w:r w:rsidRPr="00314A57">
        <w:t xml:space="preserve">The Committee on Economic, Social and Cultural Rights considered the </w:t>
      </w:r>
      <w:r w:rsidR="00381621">
        <w:t xml:space="preserve">third periodic </w:t>
      </w:r>
      <w:r w:rsidR="001F4514">
        <w:t>report</w:t>
      </w:r>
      <w:r w:rsidR="001F4514" w:rsidRPr="00314A57">
        <w:t xml:space="preserve"> </w:t>
      </w:r>
      <w:r w:rsidR="001F4514">
        <w:t xml:space="preserve">of the State party on the </w:t>
      </w:r>
      <w:r w:rsidRPr="00314A57">
        <w:t xml:space="preserve">implementation of the International Covenant on Economic, Social and Cultural Rights (E/C.12/ARG/3) at its </w:t>
      </w:r>
      <w:r>
        <w:t>44</w:t>
      </w:r>
      <w:r w:rsidRPr="00381621">
        <w:t>th</w:t>
      </w:r>
      <w:r>
        <w:t xml:space="preserve"> </w:t>
      </w:r>
      <w:r w:rsidRPr="00314A57">
        <w:t xml:space="preserve">to </w:t>
      </w:r>
      <w:r>
        <w:t>46</w:t>
      </w:r>
      <w:r w:rsidRPr="00381621">
        <w:t>th</w:t>
      </w:r>
      <w:r>
        <w:t xml:space="preserve"> </w:t>
      </w:r>
      <w:r w:rsidRPr="00314A57">
        <w:t xml:space="preserve">meetings, held on </w:t>
      </w:r>
      <w:r>
        <w:t xml:space="preserve">23 </w:t>
      </w:r>
      <w:r w:rsidRPr="00314A57">
        <w:t>and</w:t>
      </w:r>
      <w:r>
        <w:t xml:space="preserve"> 24 November 2011 (E/C</w:t>
      </w:r>
      <w:r w:rsidRPr="00314A57">
        <w:t>.</w:t>
      </w:r>
      <w:r>
        <w:t>12/2011/SR</w:t>
      </w:r>
      <w:r w:rsidRPr="00314A57">
        <w:t>.</w:t>
      </w:r>
      <w:r>
        <w:t>44-46</w:t>
      </w:r>
      <w:r w:rsidRPr="00314A57">
        <w:t xml:space="preserve">), and adopted, at its </w:t>
      </w:r>
      <w:r>
        <w:t>5</w:t>
      </w:r>
      <w:r w:rsidR="00015662">
        <w:t>9</w:t>
      </w:r>
      <w:r w:rsidRPr="00381621">
        <w:t>th</w:t>
      </w:r>
      <w:r>
        <w:t xml:space="preserve"> </w:t>
      </w:r>
      <w:r w:rsidRPr="00314A57">
        <w:t>meeting</w:t>
      </w:r>
      <w:r w:rsidR="000B4605">
        <w:t>,</w:t>
      </w:r>
      <w:r w:rsidRPr="00314A57">
        <w:t xml:space="preserve"> held on</w:t>
      </w:r>
      <w:r>
        <w:t xml:space="preserve"> 2 December</w:t>
      </w:r>
      <w:r w:rsidRPr="00314A57">
        <w:t xml:space="preserve"> 2011, the following concluding observations.</w:t>
      </w:r>
    </w:p>
    <w:p w:rsidR="00175FCB" w:rsidRDefault="00175FCB" w:rsidP="00175FCB">
      <w:pPr>
        <w:pStyle w:val="H1G"/>
      </w:pPr>
      <w:r>
        <w:tab/>
        <w:t>A.</w:t>
      </w:r>
      <w:r>
        <w:tab/>
      </w:r>
      <w:r w:rsidRPr="004A0854">
        <w:t>Introduction</w:t>
      </w:r>
    </w:p>
    <w:p w:rsidR="00175FCB" w:rsidRPr="003B6D6C" w:rsidRDefault="00175FCB" w:rsidP="00175FCB">
      <w:pPr>
        <w:pStyle w:val="SingleTxtG"/>
        <w:numPr>
          <w:ilvl w:val="0"/>
          <w:numId w:val="19"/>
        </w:numPr>
        <w:tabs>
          <w:tab w:val="clear" w:pos="1494"/>
          <w:tab w:val="num" w:pos="1800"/>
        </w:tabs>
        <w:ind w:left="1128" w:firstLine="6"/>
      </w:pPr>
      <w:r w:rsidRPr="00314A57">
        <w:t xml:space="preserve">The Committee welcomes the submission of the third report of </w:t>
      </w:r>
      <w:r w:rsidR="001F4514">
        <w:t>the State party</w:t>
      </w:r>
      <w:r w:rsidR="00CC56D0">
        <w:t xml:space="preserve"> but</w:t>
      </w:r>
      <w:r>
        <w:t xml:space="preserve"> regret</w:t>
      </w:r>
      <w:r w:rsidR="00CC56D0">
        <w:t>s</w:t>
      </w:r>
      <w:r>
        <w:t xml:space="preserve">, however, that it was submitted </w:t>
      </w:r>
      <w:r w:rsidRPr="003B6D6C">
        <w:t>with</w:t>
      </w:r>
      <w:r w:rsidR="00D7231C">
        <w:t xml:space="preserve"> a </w:t>
      </w:r>
      <w:r w:rsidR="00D7231C" w:rsidRPr="003B6D6C">
        <w:t>delay</w:t>
      </w:r>
      <w:r w:rsidR="00D7231C" w:rsidDel="00CC56D0">
        <w:t xml:space="preserve"> </w:t>
      </w:r>
      <w:r w:rsidR="00D7231C">
        <w:t xml:space="preserve">of </w:t>
      </w:r>
      <w:r>
        <w:t>eight</w:t>
      </w:r>
      <w:r w:rsidRPr="003B6D6C">
        <w:t xml:space="preserve"> years</w:t>
      </w:r>
      <w:r>
        <w:t xml:space="preserve">. It also acknowledges </w:t>
      </w:r>
      <w:r w:rsidRPr="003B6D6C">
        <w:t xml:space="preserve">the </w:t>
      </w:r>
      <w:r>
        <w:t xml:space="preserve">submission of the comprehensive </w:t>
      </w:r>
      <w:r w:rsidRPr="003B6D6C">
        <w:t xml:space="preserve">written replies to the list of issues </w:t>
      </w:r>
      <w:r w:rsidRPr="00907EFC">
        <w:rPr>
          <w:color w:val="000000"/>
        </w:rPr>
        <w:t xml:space="preserve">(E/C.12/ARG/Q/3/Add.1) </w:t>
      </w:r>
      <w:r w:rsidRPr="003B6D6C">
        <w:t>on 14 November 2011</w:t>
      </w:r>
      <w:r>
        <w:t xml:space="preserve">, although </w:t>
      </w:r>
      <w:r w:rsidR="00D7231C">
        <w:t xml:space="preserve">their </w:t>
      </w:r>
      <w:r>
        <w:t xml:space="preserve">late submission made </w:t>
      </w:r>
      <w:r w:rsidRPr="003B6D6C">
        <w:t>their translation into the working languages of the Committee</w:t>
      </w:r>
      <w:r>
        <w:t xml:space="preserve"> impossible</w:t>
      </w:r>
      <w:r w:rsidRPr="00CC1D65">
        <w:t xml:space="preserve"> </w:t>
      </w:r>
      <w:r>
        <w:t>before the dialogue with the State party</w:t>
      </w:r>
      <w:r w:rsidRPr="003B6D6C">
        <w:t xml:space="preserve">. </w:t>
      </w:r>
    </w:p>
    <w:p w:rsidR="00175FCB" w:rsidRPr="00907EFC" w:rsidRDefault="00175FCB" w:rsidP="00F654C5">
      <w:pPr>
        <w:pStyle w:val="SingleTxtG"/>
        <w:numPr>
          <w:ilvl w:val="0"/>
          <w:numId w:val="19"/>
        </w:numPr>
        <w:tabs>
          <w:tab w:val="clear" w:pos="1494"/>
          <w:tab w:val="num" w:pos="1800"/>
        </w:tabs>
        <w:ind w:left="1128" w:firstLine="6"/>
      </w:pPr>
      <w:r w:rsidRPr="00907EFC">
        <w:t xml:space="preserve">The Committee appreciates the </w:t>
      </w:r>
      <w:r>
        <w:t xml:space="preserve">constructive </w:t>
      </w:r>
      <w:r w:rsidRPr="00907EFC">
        <w:t xml:space="preserve">dialogue </w:t>
      </w:r>
      <w:r>
        <w:t xml:space="preserve">held </w:t>
      </w:r>
      <w:r w:rsidRPr="00907EFC">
        <w:t>with the State party</w:t>
      </w:r>
      <w:r>
        <w:t xml:space="preserve">, </w:t>
      </w:r>
      <w:r w:rsidR="000B4605">
        <w:t xml:space="preserve">which was </w:t>
      </w:r>
      <w:r>
        <w:t xml:space="preserve">represented </w:t>
      </w:r>
      <w:r w:rsidRPr="00907EFC">
        <w:t>by a</w:t>
      </w:r>
      <w:r>
        <w:t xml:space="preserve"> </w:t>
      </w:r>
      <w:r w:rsidRPr="00907EFC">
        <w:t>high</w:t>
      </w:r>
      <w:r w:rsidR="000B4605">
        <w:t>-</w:t>
      </w:r>
      <w:r w:rsidRPr="00907EFC">
        <w:t xml:space="preserve">level delegation </w:t>
      </w:r>
      <w:r>
        <w:t xml:space="preserve">that </w:t>
      </w:r>
      <w:r w:rsidRPr="00907EFC">
        <w:t>included</w:t>
      </w:r>
      <w:r>
        <w:t xml:space="preserve"> representatives from relevant m</w:t>
      </w:r>
      <w:r w:rsidRPr="00907EFC">
        <w:t>inistries.</w:t>
      </w:r>
    </w:p>
    <w:p w:rsidR="00175FCB" w:rsidRPr="00AE6C41" w:rsidRDefault="00175FCB" w:rsidP="00175FCB">
      <w:pPr>
        <w:pStyle w:val="H1G"/>
      </w:pPr>
      <w:r>
        <w:rPr>
          <w:b w:val="0"/>
        </w:rPr>
        <w:tab/>
      </w:r>
      <w:r w:rsidRPr="00AE6C41">
        <w:t>B.</w:t>
      </w:r>
      <w:r w:rsidRPr="00AE6C41">
        <w:tab/>
        <w:t>Positive aspects</w:t>
      </w:r>
    </w:p>
    <w:p w:rsidR="00175FCB" w:rsidRDefault="00175FCB" w:rsidP="00F654C5">
      <w:pPr>
        <w:pStyle w:val="SingleTxtG"/>
        <w:numPr>
          <w:ilvl w:val="0"/>
          <w:numId w:val="19"/>
        </w:numPr>
        <w:tabs>
          <w:tab w:val="clear" w:pos="1494"/>
          <w:tab w:val="num" w:pos="1800"/>
        </w:tabs>
        <w:ind w:left="1128" w:firstLine="6"/>
      </w:pPr>
      <w:r w:rsidRPr="008A6E3B">
        <w:t xml:space="preserve">The Committee </w:t>
      </w:r>
      <w:r>
        <w:t xml:space="preserve">welcomes </w:t>
      </w:r>
      <w:r w:rsidRPr="008A6E3B">
        <w:t>the ratification</w:t>
      </w:r>
      <w:r>
        <w:t xml:space="preserve"> by the State party </w:t>
      </w:r>
      <w:r w:rsidRPr="008A6E3B">
        <w:t xml:space="preserve">of the Optional Protocol </w:t>
      </w:r>
      <w:r>
        <w:t xml:space="preserve">to the </w:t>
      </w:r>
      <w:r w:rsidRPr="008A6E3B">
        <w:t>International Covenant on Economic, Social and Cultural Rights</w:t>
      </w:r>
      <w:r>
        <w:t xml:space="preserve"> on </w:t>
      </w:r>
      <w:r w:rsidRPr="008A6E3B">
        <w:t>24 October 2011</w:t>
      </w:r>
      <w:r>
        <w:t>.</w:t>
      </w:r>
    </w:p>
    <w:p w:rsidR="00175FCB" w:rsidRDefault="00175FCB" w:rsidP="00F654C5">
      <w:pPr>
        <w:pStyle w:val="SingleTxtG"/>
        <w:numPr>
          <w:ilvl w:val="0"/>
          <w:numId w:val="19"/>
        </w:numPr>
        <w:tabs>
          <w:tab w:val="clear" w:pos="1494"/>
          <w:tab w:val="num" w:pos="1800"/>
        </w:tabs>
        <w:ind w:left="1128" w:firstLine="6"/>
      </w:pPr>
      <w:r w:rsidRPr="00220782">
        <w:t xml:space="preserve">The Committee </w:t>
      </w:r>
      <w:r w:rsidRPr="008A6E3B">
        <w:t xml:space="preserve">notes with appreciation </w:t>
      </w:r>
      <w:r w:rsidRPr="00220782">
        <w:t>the</w:t>
      </w:r>
      <w:r>
        <w:t xml:space="preserve"> legislative and other measures</w:t>
      </w:r>
      <w:r w:rsidRPr="00220782">
        <w:t xml:space="preserve"> </w:t>
      </w:r>
      <w:r>
        <w:t xml:space="preserve">undertaken </w:t>
      </w:r>
      <w:r w:rsidRPr="00220782">
        <w:t xml:space="preserve">by the State party </w:t>
      </w:r>
      <w:r>
        <w:t xml:space="preserve">to </w:t>
      </w:r>
      <w:r w:rsidRPr="00220782">
        <w:t xml:space="preserve">implement </w:t>
      </w:r>
      <w:r w:rsidR="00015662">
        <w:t xml:space="preserve">economic, </w:t>
      </w:r>
      <w:r w:rsidRPr="00220782">
        <w:t>social</w:t>
      </w:r>
      <w:r>
        <w:t xml:space="preserve"> and cultural rights, and </w:t>
      </w:r>
      <w:r w:rsidRPr="00220782">
        <w:t>in particular:</w:t>
      </w:r>
    </w:p>
    <w:p w:rsidR="00175FCB" w:rsidRDefault="000B4605" w:rsidP="000B4605">
      <w:pPr>
        <w:pStyle w:val="SingleTxtG"/>
        <w:ind w:firstLine="567"/>
      </w:pPr>
      <w:r>
        <w:t>(a)</w:t>
      </w:r>
      <w:r>
        <w:tab/>
        <w:t>T</w:t>
      </w:r>
      <w:r w:rsidR="00175FCB">
        <w:t xml:space="preserve">he </w:t>
      </w:r>
      <w:r w:rsidR="00175FCB" w:rsidRPr="00F654C5">
        <w:t>inclusion</w:t>
      </w:r>
      <w:r w:rsidR="00175FCB" w:rsidRPr="0023323D">
        <w:t xml:space="preserve"> </w:t>
      </w:r>
      <w:r w:rsidR="00175FCB">
        <w:t xml:space="preserve">for the first time in 2010 of a question based on self-identification of Argentinians of African descent in the National Census;  </w:t>
      </w:r>
    </w:p>
    <w:p w:rsidR="00175FCB" w:rsidRDefault="000B4605" w:rsidP="000B4605">
      <w:pPr>
        <w:pStyle w:val="SingleTxtG"/>
        <w:ind w:firstLine="567"/>
      </w:pPr>
      <w:r>
        <w:t>(b)</w:t>
      </w:r>
      <w:r>
        <w:tab/>
        <w:t>T</w:t>
      </w:r>
      <w:r w:rsidR="00175FCB">
        <w:t xml:space="preserve">he Migration </w:t>
      </w:r>
      <w:r>
        <w:t xml:space="preserve">Act </w:t>
      </w:r>
      <w:r w:rsidR="00175FCB">
        <w:t xml:space="preserve">(No. 25871 of 2004) which, </w:t>
      </w:r>
      <w:r w:rsidR="00CA4ED3">
        <w:t>inter alia</w:t>
      </w:r>
      <w:r w:rsidR="00175FCB">
        <w:t xml:space="preserve">, protects the right of all migrants, including those in an irregular situation, to free access to education and health services (arts. 7 and 8);  </w:t>
      </w:r>
    </w:p>
    <w:p w:rsidR="00175FCB" w:rsidRDefault="000B4605" w:rsidP="000B4605">
      <w:pPr>
        <w:pStyle w:val="SingleTxtG"/>
        <w:ind w:firstLine="567"/>
      </w:pPr>
      <w:r>
        <w:t>(c)</w:t>
      </w:r>
      <w:r>
        <w:tab/>
        <w:t>T</w:t>
      </w:r>
      <w:r w:rsidR="00175FCB" w:rsidRPr="002217B9">
        <w:t xml:space="preserve">he </w:t>
      </w:r>
      <w:r w:rsidR="00175FCB">
        <w:t xml:space="preserve">National Mental Health </w:t>
      </w:r>
      <w:r w:rsidR="0049017F">
        <w:t xml:space="preserve">Act </w:t>
      </w:r>
      <w:r w:rsidR="00175FCB">
        <w:t>(</w:t>
      </w:r>
      <w:r w:rsidR="00175FCB" w:rsidRPr="002217B9">
        <w:t>No. 26657</w:t>
      </w:r>
      <w:r w:rsidR="00175FCB">
        <w:t xml:space="preserve"> of 2010</w:t>
      </w:r>
      <w:r w:rsidR="00175FCB" w:rsidRPr="002217B9">
        <w:t xml:space="preserve">) promoting community-based health services and </w:t>
      </w:r>
      <w:r w:rsidR="00175FCB">
        <w:t xml:space="preserve">guaranteeing </w:t>
      </w:r>
      <w:r w:rsidR="00175FCB" w:rsidRPr="002217B9">
        <w:t>an interdisciplinary approach</w:t>
      </w:r>
      <w:r w:rsidR="00175FCB">
        <w:t>;</w:t>
      </w:r>
    </w:p>
    <w:p w:rsidR="00175FCB" w:rsidRDefault="000B4605" w:rsidP="000B4605">
      <w:pPr>
        <w:pStyle w:val="SingleTxtG"/>
        <w:ind w:firstLine="567"/>
      </w:pPr>
      <w:r>
        <w:t>(d)</w:t>
      </w:r>
      <w:r>
        <w:tab/>
        <w:t>T</w:t>
      </w:r>
      <w:r w:rsidR="00175FCB">
        <w:t xml:space="preserve">he Equal Marriage </w:t>
      </w:r>
      <w:r w:rsidR="0049017F">
        <w:t xml:space="preserve">Act </w:t>
      </w:r>
      <w:r w:rsidR="00175FCB">
        <w:t>(</w:t>
      </w:r>
      <w:r w:rsidR="0049017F">
        <w:t xml:space="preserve">No. </w:t>
      </w:r>
      <w:r w:rsidR="00175FCB">
        <w:t xml:space="preserve">26618 of 2010) </w:t>
      </w:r>
      <w:r w:rsidR="0049017F">
        <w:t xml:space="preserve">which, </w:t>
      </w:r>
      <w:r w:rsidR="00175FCB" w:rsidRPr="0049017F">
        <w:t>inter alia</w:t>
      </w:r>
      <w:r w:rsidR="0049017F">
        <w:t>, provides</w:t>
      </w:r>
      <w:r w:rsidR="00175FCB">
        <w:rPr>
          <w:i/>
        </w:rPr>
        <w:t xml:space="preserve"> </w:t>
      </w:r>
      <w:r w:rsidR="00175FCB">
        <w:t>same-sex couples the same marital rights as heterosexuals;</w:t>
      </w:r>
      <w:r w:rsidR="00175FCB" w:rsidRPr="000B3047">
        <w:t xml:space="preserve"> </w:t>
      </w:r>
    </w:p>
    <w:p w:rsidR="009E0C5F" w:rsidRDefault="000B4605" w:rsidP="000B4605">
      <w:pPr>
        <w:pStyle w:val="SingleTxtG"/>
        <w:ind w:firstLine="567"/>
      </w:pPr>
      <w:r>
        <w:t>(e)</w:t>
      </w:r>
      <w:r>
        <w:tab/>
        <w:t>T</w:t>
      </w:r>
      <w:r w:rsidR="00175FCB">
        <w:t xml:space="preserve">he </w:t>
      </w:r>
      <w:r w:rsidR="0049017F">
        <w:t xml:space="preserve">Act </w:t>
      </w:r>
      <w:r w:rsidR="00175FCB">
        <w:t xml:space="preserve">on the protection of glaciers (No. </w:t>
      </w:r>
      <w:r w:rsidR="00175FCB" w:rsidRPr="00C27CAC">
        <w:t>26639</w:t>
      </w:r>
      <w:r w:rsidR="00175FCB">
        <w:t xml:space="preserve"> of 2010) </w:t>
      </w:r>
      <w:r w:rsidR="00175FCB" w:rsidRPr="0099638D">
        <w:t>safeguard</w:t>
      </w:r>
      <w:r w:rsidR="00175FCB">
        <w:t>ing</w:t>
      </w:r>
      <w:r w:rsidR="00175FCB" w:rsidRPr="0099638D">
        <w:t xml:space="preserve"> </w:t>
      </w:r>
      <w:r w:rsidR="00175FCB">
        <w:t>the</w:t>
      </w:r>
      <w:r w:rsidR="00175FCB" w:rsidRPr="0099638D">
        <w:t xml:space="preserve"> glaciers and periglacial areas </w:t>
      </w:r>
      <w:r w:rsidR="00175FCB">
        <w:t>of the State party</w:t>
      </w:r>
      <w:r w:rsidR="00D7231C">
        <w:t>;</w:t>
      </w:r>
      <w:r w:rsidR="00175FCB">
        <w:t xml:space="preserve"> </w:t>
      </w:r>
    </w:p>
    <w:p w:rsidR="00075564" w:rsidRDefault="000B4605" w:rsidP="000B4605">
      <w:pPr>
        <w:pStyle w:val="SingleTxtG"/>
        <w:ind w:firstLine="567"/>
      </w:pPr>
      <w:r>
        <w:t>(f)</w:t>
      </w:r>
      <w:r>
        <w:tab/>
        <w:t>T</w:t>
      </w:r>
      <w:r w:rsidR="00D7231C">
        <w:t xml:space="preserve">he </w:t>
      </w:r>
      <w:r w:rsidR="00075564">
        <w:t xml:space="preserve">National Education </w:t>
      </w:r>
      <w:r w:rsidR="0049017F">
        <w:t xml:space="preserve">Act </w:t>
      </w:r>
      <w:r w:rsidR="00075564">
        <w:t>(</w:t>
      </w:r>
      <w:r w:rsidR="00075564" w:rsidRPr="00075564">
        <w:t>N</w:t>
      </w:r>
      <w:r w:rsidR="0049017F">
        <w:t>o.</w:t>
      </w:r>
      <w:r w:rsidR="00075564" w:rsidRPr="00075564">
        <w:t xml:space="preserve"> 26075</w:t>
      </w:r>
      <w:r w:rsidR="00075564">
        <w:t xml:space="preserve"> of 2006) which</w:t>
      </w:r>
      <w:r w:rsidR="0049017F">
        <w:t>,</w:t>
      </w:r>
      <w:r w:rsidR="00075564">
        <w:t xml:space="preserve"> inter alia</w:t>
      </w:r>
      <w:r w:rsidR="0049017F">
        <w:t>,</w:t>
      </w:r>
      <w:r w:rsidR="00075564">
        <w:t xml:space="preserve"> allocates 6</w:t>
      </w:r>
      <w:r w:rsidR="0049017F">
        <w:t xml:space="preserve"> per cent</w:t>
      </w:r>
      <w:r w:rsidR="00075564">
        <w:t xml:space="preserve"> of the </w:t>
      </w:r>
      <w:r w:rsidR="0049017F">
        <w:t>gross domestic product</w:t>
      </w:r>
      <w:r w:rsidR="00075564">
        <w:t xml:space="preserve"> for education purposes.  </w:t>
      </w:r>
    </w:p>
    <w:p w:rsidR="00175FCB" w:rsidRPr="00314A57" w:rsidRDefault="00F654C5" w:rsidP="00F654C5">
      <w:pPr>
        <w:pStyle w:val="H1G"/>
      </w:pPr>
      <w:r>
        <w:tab/>
        <w:t>C.</w:t>
      </w:r>
      <w:r>
        <w:tab/>
      </w:r>
      <w:r w:rsidR="00175FCB">
        <w:t>Principal subjects of concern</w:t>
      </w:r>
      <w:r w:rsidR="00175FCB" w:rsidRPr="00314A57">
        <w:t xml:space="preserve"> and recommendations</w:t>
      </w:r>
    </w:p>
    <w:p w:rsidR="00175FCB" w:rsidRPr="007863DF" w:rsidRDefault="00175FCB" w:rsidP="00F654C5">
      <w:pPr>
        <w:pStyle w:val="SingleTxtG"/>
        <w:numPr>
          <w:ilvl w:val="0"/>
          <w:numId w:val="19"/>
        </w:numPr>
        <w:tabs>
          <w:tab w:val="clear" w:pos="1494"/>
          <w:tab w:val="num" w:pos="1800"/>
        </w:tabs>
        <w:ind w:left="1128" w:firstLine="6"/>
      </w:pPr>
      <w:r w:rsidRPr="007863DF">
        <w:t xml:space="preserve">The Committee notes the absence of </w:t>
      </w:r>
      <w:r w:rsidR="007863DF">
        <w:t xml:space="preserve">specific information concerning </w:t>
      </w:r>
      <w:r w:rsidRPr="007863DF">
        <w:t>the domestic case law applying the Covenant</w:t>
      </w:r>
      <w:r w:rsidR="007863DF">
        <w:t xml:space="preserve"> rights</w:t>
      </w:r>
      <w:r w:rsidRPr="007863DF">
        <w:t xml:space="preserve"> </w:t>
      </w:r>
      <w:r w:rsidR="007863DF">
        <w:t xml:space="preserve">while </w:t>
      </w:r>
      <w:r w:rsidR="0049017F">
        <w:t xml:space="preserve">also </w:t>
      </w:r>
      <w:r w:rsidR="007863DF">
        <w:t>noting that</w:t>
      </w:r>
      <w:r w:rsidR="007863DF" w:rsidRPr="007863DF">
        <w:t xml:space="preserve"> </w:t>
      </w:r>
      <w:r w:rsidRPr="007863DF">
        <w:t>the Constitution</w:t>
      </w:r>
      <w:r w:rsidR="007863DF">
        <w:t xml:space="preserve"> of </w:t>
      </w:r>
      <w:r w:rsidR="00D332C7">
        <w:t xml:space="preserve">the </w:t>
      </w:r>
      <w:r w:rsidR="00D332C7" w:rsidRPr="007863DF">
        <w:t>State</w:t>
      </w:r>
      <w:r w:rsidR="007863DF">
        <w:t xml:space="preserve"> party</w:t>
      </w:r>
      <w:r w:rsidRPr="007863DF">
        <w:t xml:space="preserve"> grant</w:t>
      </w:r>
      <w:r w:rsidR="007863DF">
        <w:t>s</w:t>
      </w:r>
      <w:r w:rsidRPr="007863DF">
        <w:t xml:space="preserve"> constitutional rank to the Covenant and </w:t>
      </w:r>
      <w:r w:rsidR="007863DF">
        <w:t>ensures its</w:t>
      </w:r>
      <w:r w:rsidR="007863DF" w:rsidRPr="007863DF">
        <w:t xml:space="preserve"> </w:t>
      </w:r>
      <w:r w:rsidRPr="007863DF">
        <w:t>prevalence over ordinary statutes in the case of their inconsistency with the Covenant.</w:t>
      </w:r>
    </w:p>
    <w:p w:rsidR="00175FCB" w:rsidRPr="00F654C5" w:rsidRDefault="00175FCB" w:rsidP="0069282B">
      <w:pPr>
        <w:pStyle w:val="SingleTxtG"/>
        <w:rPr>
          <w:b/>
        </w:rPr>
      </w:pPr>
      <w:r w:rsidRPr="00D332C7">
        <w:rPr>
          <w:b/>
        </w:rPr>
        <w:t xml:space="preserve">The Committee </w:t>
      </w:r>
      <w:r w:rsidR="00FD291B">
        <w:rPr>
          <w:b/>
        </w:rPr>
        <w:t>requests</w:t>
      </w:r>
      <w:r w:rsidR="00FD291B" w:rsidRPr="00D332C7">
        <w:rPr>
          <w:b/>
        </w:rPr>
        <w:t xml:space="preserve"> </w:t>
      </w:r>
      <w:r w:rsidRPr="00D332C7">
        <w:rPr>
          <w:b/>
        </w:rPr>
        <w:t xml:space="preserve">the State party to </w:t>
      </w:r>
      <w:r w:rsidR="00FD291B">
        <w:rPr>
          <w:b/>
        </w:rPr>
        <w:t>provide in its next periodic report c</w:t>
      </w:r>
      <w:r w:rsidR="004A1CBC">
        <w:rPr>
          <w:b/>
        </w:rPr>
        <w:t>omprehensive information about</w:t>
      </w:r>
      <w:r w:rsidRPr="00D332C7">
        <w:rPr>
          <w:b/>
        </w:rPr>
        <w:t xml:space="preserve"> the a</w:t>
      </w:r>
      <w:r w:rsidRPr="005D6164">
        <w:rPr>
          <w:b/>
        </w:rPr>
        <w:t>pplication of the Covenant rights by the judiciary</w:t>
      </w:r>
      <w:r w:rsidR="00FD291B">
        <w:rPr>
          <w:b/>
        </w:rPr>
        <w:t>.</w:t>
      </w:r>
      <w:r w:rsidR="007863DF">
        <w:rPr>
          <w:b/>
        </w:rPr>
        <w:t xml:space="preserve"> I</w:t>
      </w:r>
      <w:r w:rsidRPr="007863DF">
        <w:rPr>
          <w:b/>
        </w:rPr>
        <w:t>n this context,</w:t>
      </w:r>
      <w:r w:rsidR="007863DF">
        <w:rPr>
          <w:b/>
        </w:rPr>
        <w:t xml:space="preserve"> the </w:t>
      </w:r>
      <w:r w:rsidR="00FD291B">
        <w:rPr>
          <w:b/>
        </w:rPr>
        <w:t>Committee</w:t>
      </w:r>
      <w:r w:rsidRPr="007863DF">
        <w:rPr>
          <w:b/>
        </w:rPr>
        <w:t xml:space="preserve"> draws the attention of the State party to general comment No. 9 (1998) on the domestic application of the Covenant.</w:t>
      </w:r>
    </w:p>
    <w:p w:rsidR="00175FCB" w:rsidRPr="00F654C5" w:rsidRDefault="00175FCB" w:rsidP="00835F64">
      <w:pPr>
        <w:pStyle w:val="SingleTxtG"/>
        <w:numPr>
          <w:ilvl w:val="0"/>
          <w:numId w:val="19"/>
        </w:numPr>
        <w:tabs>
          <w:tab w:val="clear" w:pos="1494"/>
          <w:tab w:val="num" w:pos="1800"/>
        </w:tabs>
        <w:ind w:left="1128" w:firstLine="6"/>
        <w:rPr>
          <w:b/>
        </w:rPr>
      </w:pPr>
      <w:r w:rsidRPr="00835F64">
        <w:rPr>
          <w:b/>
        </w:rPr>
        <w:t>The Committee</w:t>
      </w:r>
      <w:r>
        <w:t xml:space="preserve"> </w:t>
      </w:r>
      <w:r w:rsidRPr="00F654C5">
        <w:rPr>
          <w:b/>
        </w:rPr>
        <w:t xml:space="preserve">recommends that the State party consider amending the appointment procedures of the </w:t>
      </w:r>
      <w:r w:rsidRPr="0049017F">
        <w:rPr>
          <w:b/>
        </w:rPr>
        <w:t>Defensor del Pueblo</w:t>
      </w:r>
      <w:r w:rsidRPr="00F654C5">
        <w:rPr>
          <w:b/>
          <w:i/>
        </w:rPr>
        <w:t xml:space="preserve"> </w:t>
      </w:r>
      <w:r w:rsidRPr="00F654C5">
        <w:rPr>
          <w:b/>
        </w:rPr>
        <w:t xml:space="preserve">to make </w:t>
      </w:r>
      <w:r w:rsidR="00786FDA">
        <w:rPr>
          <w:b/>
        </w:rPr>
        <w:t xml:space="preserve">it possible to </w:t>
      </w:r>
      <w:r w:rsidRPr="00F654C5">
        <w:rPr>
          <w:b/>
        </w:rPr>
        <w:t xml:space="preserve">fill the post </w:t>
      </w:r>
      <w:r w:rsidRPr="00786FDA">
        <w:rPr>
          <w:b/>
        </w:rPr>
        <w:t>now</w:t>
      </w:r>
      <w:r w:rsidRPr="00F654C5">
        <w:rPr>
          <w:b/>
        </w:rPr>
        <w:t xml:space="preserve"> and </w:t>
      </w:r>
      <w:r w:rsidR="0069282B">
        <w:rPr>
          <w:b/>
        </w:rPr>
        <w:t xml:space="preserve">to </w:t>
      </w:r>
      <w:r w:rsidRPr="00F654C5">
        <w:rPr>
          <w:b/>
        </w:rPr>
        <w:t xml:space="preserve">avoid deadlocks in the future.  </w:t>
      </w:r>
    </w:p>
    <w:p w:rsidR="00175FCB" w:rsidRDefault="00175FCB" w:rsidP="00F654C5">
      <w:pPr>
        <w:pStyle w:val="SingleTxtG"/>
        <w:numPr>
          <w:ilvl w:val="0"/>
          <w:numId w:val="19"/>
        </w:numPr>
        <w:tabs>
          <w:tab w:val="clear" w:pos="1494"/>
          <w:tab w:val="num" w:pos="1800"/>
        </w:tabs>
        <w:ind w:left="1128" w:firstLine="6"/>
      </w:pPr>
      <w:r>
        <w:t xml:space="preserve">The Committee </w:t>
      </w:r>
      <w:r w:rsidR="00D7231C">
        <w:t xml:space="preserve">notes with concern that </w:t>
      </w:r>
      <w:r w:rsidR="0069282B">
        <w:t>Act No.</w:t>
      </w:r>
      <w:r>
        <w:t xml:space="preserve"> 26160</w:t>
      </w:r>
      <w:r w:rsidR="00CA7A3E">
        <w:t xml:space="preserve"> </w:t>
      </w:r>
      <w:r w:rsidR="00F51940">
        <w:t>(extended by Act</w:t>
      </w:r>
      <w:r w:rsidR="00CA7A3E">
        <w:t xml:space="preserve"> No. </w:t>
      </w:r>
      <w:r>
        <w:t>26554</w:t>
      </w:r>
      <w:r w:rsidR="00F51940">
        <w:t>)</w:t>
      </w:r>
      <w:r>
        <w:t>, regarding the possession and ownership of lands traditionally occupied by indigenous peoples</w:t>
      </w:r>
      <w:r w:rsidR="0069282B">
        <w:t>,</w:t>
      </w:r>
      <w:r w:rsidR="00D7231C">
        <w:t xml:space="preserve"> </w:t>
      </w:r>
      <w:r w:rsidR="00CA7A3E">
        <w:t>ha</w:t>
      </w:r>
      <w:r w:rsidR="00F51940">
        <w:t>s</w:t>
      </w:r>
      <w:r w:rsidR="00D7231C">
        <w:t xml:space="preserve"> not </w:t>
      </w:r>
      <w:r w:rsidR="00CA7A3E">
        <w:t xml:space="preserve">been </w:t>
      </w:r>
      <w:r w:rsidR="00D7231C">
        <w:t>fully implemented</w:t>
      </w:r>
      <w:r>
        <w:t>. It is</w:t>
      </w:r>
      <w:r w:rsidR="00197B8F">
        <w:t xml:space="preserve"> also</w:t>
      </w:r>
      <w:r>
        <w:t xml:space="preserve"> concerned </w:t>
      </w:r>
      <w:r w:rsidR="00197B8F">
        <w:t>about delays in providing indigenous communities with ownership titles to such lands or territories</w:t>
      </w:r>
      <w:r>
        <w:t xml:space="preserve"> (arts.</w:t>
      </w:r>
      <w:r w:rsidR="00197B8F">
        <w:t xml:space="preserve"> </w:t>
      </w:r>
      <w:r>
        <w:t>1</w:t>
      </w:r>
      <w:r w:rsidR="00867384">
        <w:t>,</w:t>
      </w:r>
      <w:r>
        <w:t xml:space="preserve"> </w:t>
      </w:r>
      <w:r w:rsidRPr="00F0001C">
        <w:t>11</w:t>
      </w:r>
      <w:r w:rsidR="00197B8F">
        <w:t>, 12 and 15</w:t>
      </w:r>
      <w:r>
        <w:t xml:space="preserve">). </w:t>
      </w:r>
    </w:p>
    <w:p w:rsidR="00175FCB" w:rsidRPr="00F654C5" w:rsidRDefault="00175FCB" w:rsidP="00CA7A3E">
      <w:pPr>
        <w:pStyle w:val="SingleTxtG"/>
        <w:rPr>
          <w:b/>
        </w:rPr>
      </w:pPr>
      <w:r w:rsidRPr="00F654C5">
        <w:rPr>
          <w:b/>
        </w:rPr>
        <w:t>The Committee urges the State party to ensure</w:t>
      </w:r>
      <w:r w:rsidR="00197B8F">
        <w:rPr>
          <w:b/>
        </w:rPr>
        <w:t xml:space="preserve"> the full and</w:t>
      </w:r>
      <w:r w:rsidRPr="00F654C5">
        <w:rPr>
          <w:b/>
        </w:rPr>
        <w:t xml:space="preserve"> coordinated implementation of </w:t>
      </w:r>
      <w:r w:rsidR="00F51940">
        <w:rPr>
          <w:b/>
        </w:rPr>
        <w:t>Act No.</w:t>
      </w:r>
      <w:r w:rsidR="00F51940" w:rsidRPr="00F654C5">
        <w:rPr>
          <w:b/>
        </w:rPr>
        <w:t xml:space="preserve"> </w:t>
      </w:r>
      <w:r w:rsidRPr="00F654C5">
        <w:rPr>
          <w:b/>
        </w:rPr>
        <w:t>26160/26554</w:t>
      </w:r>
      <w:r w:rsidR="00197B8F">
        <w:rPr>
          <w:b/>
        </w:rPr>
        <w:t xml:space="preserve"> both at the </w:t>
      </w:r>
      <w:r w:rsidR="00F51940">
        <w:rPr>
          <w:b/>
        </w:rPr>
        <w:t>f</w:t>
      </w:r>
      <w:r w:rsidR="00197B8F">
        <w:rPr>
          <w:b/>
        </w:rPr>
        <w:t>ederal and provincial levels</w:t>
      </w:r>
      <w:r w:rsidRPr="00F654C5">
        <w:rPr>
          <w:b/>
        </w:rPr>
        <w:t xml:space="preserve">. </w:t>
      </w:r>
      <w:r w:rsidR="00197B8F" w:rsidRPr="00F654C5">
        <w:rPr>
          <w:b/>
        </w:rPr>
        <w:t xml:space="preserve">The Committee recommends that the State party finalize the processes of demarcation in all provinces, as foreseen by the Constitution and existing laws, and </w:t>
      </w:r>
      <w:r w:rsidR="00235A8A">
        <w:rPr>
          <w:b/>
        </w:rPr>
        <w:t xml:space="preserve">that it </w:t>
      </w:r>
      <w:r w:rsidR="00197B8F" w:rsidRPr="00F654C5">
        <w:rPr>
          <w:b/>
        </w:rPr>
        <w:t xml:space="preserve">expedite the granting of communal title of land to indigenous </w:t>
      </w:r>
      <w:r w:rsidR="00197B8F">
        <w:rPr>
          <w:b/>
        </w:rPr>
        <w:t>communities</w:t>
      </w:r>
      <w:r w:rsidR="00197B8F" w:rsidRPr="00F654C5">
        <w:rPr>
          <w:b/>
        </w:rPr>
        <w:t xml:space="preserve">. </w:t>
      </w:r>
    </w:p>
    <w:p w:rsidR="00D7231C" w:rsidRDefault="00175FCB" w:rsidP="00F654C5">
      <w:pPr>
        <w:pStyle w:val="SingleTxtG"/>
        <w:numPr>
          <w:ilvl w:val="0"/>
          <w:numId w:val="19"/>
        </w:numPr>
        <w:tabs>
          <w:tab w:val="clear" w:pos="1494"/>
          <w:tab w:val="num" w:pos="1800"/>
        </w:tabs>
        <w:ind w:left="1128" w:firstLine="6"/>
      </w:pPr>
      <w:r w:rsidRPr="003F778F">
        <w:t>The Committee</w:t>
      </w:r>
      <w:r w:rsidR="00197B8F">
        <w:t xml:space="preserve"> is concerned</w:t>
      </w:r>
      <w:r w:rsidRPr="003F778F">
        <w:t xml:space="preserve"> </w:t>
      </w:r>
      <w:r w:rsidR="00197B8F">
        <w:t xml:space="preserve">about the persisting threats, displacements and violent evictions of indigenous peoples from their traditional lands </w:t>
      </w:r>
      <w:r w:rsidR="00197B8F" w:rsidRPr="00F0001C">
        <w:t xml:space="preserve">in </w:t>
      </w:r>
      <w:r w:rsidR="00197B8F">
        <w:t>numerous</w:t>
      </w:r>
      <w:r w:rsidR="00197B8F" w:rsidRPr="00F0001C">
        <w:t xml:space="preserve"> provinces</w:t>
      </w:r>
      <w:r w:rsidR="00197B8F">
        <w:t xml:space="preserve">. The Committee also regrets the shortcomings </w:t>
      </w:r>
      <w:r w:rsidR="00AC25C2">
        <w:t>in consultation</w:t>
      </w:r>
      <w:r w:rsidR="00197B8F">
        <w:t xml:space="preserve"> processes </w:t>
      </w:r>
      <w:r w:rsidR="007D751A">
        <w:t xml:space="preserve">with affected indigenous communities, </w:t>
      </w:r>
      <w:r w:rsidR="00197B8F">
        <w:t xml:space="preserve">which in some cases have led to the exploitation of natural resources in the territories traditionally occupied </w:t>
      </w:r>
      <w:r w:rsidR="007D751A">
        <w:t xml:space="preserve">or used </w:t>
      </w:r>
      <w:r w:rsidR="00197B8F">
        <w:t>by</w:t>
      </w:r>
      <w:r w:rsidR="007D751A">
        <w:t xml:space="preserve"> them</w:t>
      </w:r>
      <w:r w:rsidR="00197B8F">
        <w:t xml:space="preserve"> without their free, prior and informed consent </w:t>
      </w:r>
      <w:r w:rsidR="00AC25C2">
        <w:t>and without</w:t>
      </w:r>
      <w:r w:rsidR="00197B8F">
        <w:t xml:space="preserve"> just and fair compensation being paid to them</w:t>
      </w:r>
      <w:r w:rsidR="006B0F58">
        <w:t xml:space="preserve">, in violation of the Constitution (art. 75) and </w:t>
      </w:r>
      <w:r w:rsidR="00F51940">
        <w:t>International Labour Organization (ILO)</w:t>
      </w:r>
      <w:r w:rsidR="006B0F58">
        <w:t xml:space="preserve"> Convention No. 169</w:t>
      </w:r>
      <w:r w:rsidR="00F51940">
        <w:t xml:space="preserve"> concerning </w:t>
      </w:r>
      <w:r w:rsidR="00F51940" w:rsidRPr="00F51940">
        <w:t>Indigenous and Tribal Peoples in Independent Countries</w:t>
      </w:r>
      <w:r w:rsidR="00AC25C2">
        <w:t>. The Committee is particularly concerned by the negative consequences of lithium exploitation in Salinas Grandes (Salta and Jujuy provinces)</w:t>
      </w:r>
      <w:r w:rsidR="00007FE4">
        <w:t xml:space="preserve"> </w:t>
      </w:r>
      <w:r w:rsidR="00AC25C2">
        <w:t xml:space="preserve">on the environment, access to water, way of life and subsistence of indigenous communities </w:t>
      </w:r>
      <w:r w:rsidR="00867384">
        <w:t>(arts. 1,</w:t>
      </w:r>
      <w:r w:rsidR="00007FE4">
        <w:t xml:space="preserve"> 11</w:t>
      </w:r>
      <w:r w:rsidR="00867384">
        <w:t xml:space="preserve"> and 12</w:t>
      </w:r>
      <w:r w:rsidR="00007FE4">
        <w:t>).</w:t>
      </w:r>
    </w:p>
    <w:p w:rsidR="00007FE4" w:rsidRDefault="00007FE4" w:rsidP="00F51940">
      <w:pPr>
        <w:pStyle w:val="SingleTxtG"/>
      </w:pPr>
      <w:r>
        <w:rPr>
          <w:b/>
        </w:rPr>
        <w:t>T</w:t>
      </w:r>
      <w:r w:rsidRPr="00F654C5">
        <w:rPr>
          <w:b/>
        </w:rPr>
        <w:t xml:space="preserve">he Committee recommends that </w:t>
      </w:r>
      <w:r w:rsidR="006B0F58">
        <w:rPr>
          <w:b/>
        </w:rPr>
        <w:t xml:space="preserve">the State </w:t>
      </w:r>
      <w:r w:rsidR="00867384">
        <w:rPr>
          <w:b/>
        </w:rPr>
        <w:t xml:space="preserve">party </w:t>
      </w:r>
      <w:r w:rsidRPr="00F654C5">
        <w:rPr>
          <w:b/>
        </w:rPr>
        <w:t xml:space="preserve">undertake the necessary measures to stop violations of the rights of indigenous peoples and that it hold accountable those responsible for such unlawful acts. </w:t>
      </w:r>
      <w:r w:rsidR="006B0F58">
        <w:rPr>
          <w:b/>
        </w:rPr>
        <w:t xml:space="preserve">It urges the State party to </w:t>
      </w:r>
      <w:r>
        <w:rPr>
          <w:b/>
        </w:rPr>
        <w:t>always enter into</w:t>
      </w:r>
      <w:r w:rsidRPr="00F654C5">
        <w:rPr>
          <w:b/>
        </w:rPr>
        <w:t xml:space="preserve"> effective consultations </w:t>
      </w:r>
      <w:r>
        <w:rPr>
          <w:b/>
        </w:rPr>
        <w:t xml:space="preserve">with indigenous communities </w:t>
      </w:r>
      <w:r w:rsidRPr="00F654C5">
        <w:rPr>
          <w:b/>
        </w:rPr>
        <w:t xml:space="preserve">before granting concessions for the economic exploitation of the lands </w:t>
      </w:r>
      <w:r>
        <w:rPr>
          <w:b/>
        </w:rPr>
        <w:t xml:space="preserve">and territories </w:t>
      </w:r>
      <w:r w:rsidRPr="00F654C5">
        <w:rPr>
          <w:b/>
        </w:rPr>
        <w:t>traditionally occupied or used by them to State-owned companies or third parties</w:t>
      </w:r>
      <w:r w:rsidR="008432A7">
        <w:rPr>
          <w:b/>
        </w:rPr>
        <w:t>,</w:t>
      </w:r>
      <w:r w:rsidRPr="00007FE4">
        <w:rPr>
          <w:b/>
        </w:rPr>
        <w:t xml:space="preserve"> </w:t>
      </w:r>
      <w:r w:rsidR="006B0F58">
        <w:rPr>
          <w:b/>
        </w:rPr>
        <w:t>fulfilling the obligation to obtain the</w:t>
      </w:r>
      <w:r>
        <w:rPr>
          <w:b/>
        </w:rPr>
        <w:t xml:space="preserve"> free, prior and informed consent </w:t>
      </w:r>
      <w:r w:rsidR="006B0F58">
        <w:rPr>
          <w:b/>
        </w:rPr>
        <w:t>of</w:t>
      </w:r>
      <w:r>
        <w:rPr>
          <w:b/>
        </w:rPr>
        <w:t xml:space="preserve"> those who are affected by the aforementioned economic activities. </w:t>
      </w:r>
      <w:r w:rsidR="006B0F58">
        <w:rPr>
          <w:b/>
        </w:rPr>
        <w:t>The Committee also r</w:t>
      </w:r>
      <w:r w:rsidR="00867384">
        <w:rPr>
          <w:b/>
        </w:rPr>
        <w:t>ecommends that the State party</w:t>
      </w:r>
      <w:r w:rsidR="006B0F58">
        <w:rPr>
          <w:b/>
        </w:rPr>
        <w:t xml:space="preserve"> </w:t>
      </w:r>
      <w:r w:rsidR="006B0F58" w:rsidRPr="00F654C5">
        <w:rPr>
          <w:b/>
        </w:rPr>
        <w:t xml:space="preserve">guarantee that in no case </w:t>
      </w:r>
      <w:r w:rsidR="00413E38">
        <w:rPr>
          <w:b/>
        </w:rPr>
        <w:t xml:space="preserve">will </w:t>
      </w:r>
      <w:r w:rsidR="006B0F58" w:rsidRPr="00F654C5">
        <w:rPr>
          <w:b/>
        </w:rPr>
        <w:t>such exploitation violat</w:t>
      </w:r>
      <w:r w:rsidR="00413E38">
        <w:rPr>
          <w:b/>
        </w:rPr>
        <w:t>e</w:t>
      </w:r>
      <w:r w:rsidR="006B0F58" w:rsidRPr="00F654C5">
        <w:rPr>
          <w:b/>
        </w:rPr>
        <w:t xml:space="preserve"> the rights recognized in the Covenant</w:t>
      </w:r>
      <w:r w:rsidR="006B0F58">
        <w:rPr>
          <w:b/>
        </w:rPr>
        <w:t xml:space="preserve"> and that just and fair compensation is granted to indigenous communities</w:t>
      </w:r>
      <w:r w:rsidR="006B0F58" w:rsidRPr="00F654C5">
        <w:rPr>
          <w:b/>
        </w:rPr>
        <w:t>.</w:t>
      </w:r>
      <w:r w:rsidR="006B0F58">
        <w:rPr>
          <w:b/>
        </w:rPr>
        <w:t xml:space="preserve"> The Committee also </w:t>
      </w:r>
      <w:r w:rsidR="006B0F58" w:rsidRPr="00F654C5">
        <w:rPr>
          <w:b/>
        </w:rPr>
        <w:t xml:space="preserve">calls upon the State party to </w:t>
      </w:r>
      <w:r w:rsidR="006B0F58">
        <w:rPr>
          <w:b/>
        </w:rPr>
        <w:t xml:space="preserve">ensure the protection of indigenous communities during the implementation of mining exploration and exploitation projects. With regard to </w:t>
      </w:r>
      <w:smartTag w:uri="urn:schemas-microsoft-com:office:smarttags" w:element="place">
        <w:smartTag w:uri="urn:schemas-microsoft-com:office:smarttags" w:element="City">
          <w:r>
            <w:rPr>
              <w:b/>
            </w:rPr>
            <w:t>Salinas</w:t>
          </w:r>
        </w:smartTag>
      </w:smartTag>
      <w:r>
        <w:rPr>
          <w:b/>
        </w:rPr>
        <w:t xml:space="preserve"> Grandes, the Committee urges the State party to comply with the decision of the Supreme Court</w:t>
      </w:r>
      <w:r w:rsidR="00B83204">
        <w:rPr>
          <w:b/>
        </w:rPr>
        <w:t xml:space="preserve">, </w:t>
      </w:r>
      <w:r w:rsidR="00CC4926">
        <w:rPr>
          <w:b/>
        </w:rPr>
        <w:t>once</w:t>
      </w:r>
      <w:r w:rsidR="00B83204">
        <w:rPr>
          <w:b/>
        </w:rPr>
        <w:t xml:space="preserve"> </w:t>
      </w:r>
      <w:r w:rsidR="00CC4926">
        <w:rPr>
          <w:b/>
        </w:rPr>
        <w:t xml:space="preserve">it is </w:t>
      </w:r>
      <w:r w:rsidR="00B83204">
        <w:rPr>
          <w:b/>
        </w:rPr>
        <w:t>available</w:t>
      </w:r>
      <w:r>
        <w:rPr>
          <w:b/>
        </w:rPr>
        <w:t>.</w:t>
      </w:r>
      <w:r w:rsidR="004975E7">
        <w:rPr>
          <w:rStyle w:val="FootnoteReference"/>
          <w:b/>
        </w:rPr>
        <w:footnoteReference w:id="2"/>
      </w:r>
      <w:r>
        <w:rPr>
          <w:b/>
        </w:rPr>
        <w:t xml:space="preserve"> The Committee </w:t>
      </w:r>
      <w:r w:rsidRPr="00F654C5">
        <w:rPr>
          <w:b/>
        </w:rPr>
        <w:t xml:space="preserve">recalls </w:t>
      </w:r>
      <w:r>
        <w:rPr>
          <w:b/>
        </w:rPr>
        <w:t xml:space="preserve">in this context its </w:t>
      </w:r>
      <w:r w:rsidR="00CC4926">
        <w:rPr>
          <w:b/>
        </w:rPr>
        <w:t>s</w:t>
      </w:r>
      <w:r w:rsidRPr="00F654C5">
        <w:rPr>
          <w:b/>
        </w:rPr>
        <w:t>tatement on the obligations of States parties regarding the corporate sector and economic, social and cultural rights (E/C.12/2011/1).</w:t>
      </w:r>
    </w:p>
    <w:p w:rsidR="00175FCB" w:rsidRDefault="00007FE4" w:rsidP="00CC4926">
      <w:pPr>
        <w:pStyle w:val="SingleTxtG"/>
        <w:numPr>
          <w:ilvl w:val="0"/>
          <w:numId w:val="19"/>
        </w:numPr>
        <w:tabs>
          <w:tab w:val="clear" w:pos="1494"/>
          <w:tab w:val="num" w:pos="1800"/>
        </w:tabs>
        <w:ind w:left="1128" w:firstLine="6"/>
      </w:pPr>
      <w:r>
        <w:t>The Committee</w:t>
      </w:r>
      <w:r w:rsidRPr="00007FE4">
        <w:t xml:space="preserve"> </w:t>
      </w:r>
      <w:r w:rsidR="00175FCB" w:rsidRPr="003F778F">
        <w:t xml:space="preserve">is concerned </w:t>
      </w:r>
      <w:r w:rsidR="00175FCB">
        <w:t xml:space="preserve">about </w:t>
      </w:r>
      <w:r w:rsidR="00235A8A">
        <w:t xml:space="preserve">cases in which </w:t>
      </w:r>
      <w:r w:rsidR="00175FCB" w:rsidRPr="003F778F">
        <w:t xml:space="preserve">the </w:t>
      </w:r>
      <w:r w:rsidR="00175FCB">
        <w:t>increased use of</w:t>
      </w:r>
      <w:r w:rsidR="00175FCB" w:rsidRPr="003F778F">
        <w:t xml:space="preserve"> chemical pesticides and transgenic soya seeds</w:t>
      </w:r>
      <w:r w:rsidR="00175FCB">
        <w:t xml:space="preserve"> in </w:t>
      </w:r>
      <w:r>
        <w:t>regions traditionally inhabited or used by</w:t>
      </w:r>
      <w:r w:rsidR="00175FCB">
        <w:t xml:space="preserve"> indigenous communities</w:t>
      </w:r>
      <w:r>
        <w:t xml:space="preserve"> </w:t>
      </w:r>
      <w:r w:rsidR="00235A8A">
        <w:t>have</w:t>
      </w:r>
      <w:r>
        <w:t xml:space="preserve"> negatively </w:t>
      </w:r>
      <w:r w:rsidRPr="00533868">
        <w:t>affect</w:t>
      </w:r>
      <w:r w:rsidR="00235A8A" w:rsidRPr="00533868">
        <w:t>ed</w:t>
      </w:r>
      <w:r w:rsidRPr="00533868">
        <w:t xml:space="preserve"> </w:t>
      </w:r>
      <w:r w:rsidR="00235A8A" w:rsidRPr="00533868">
        <w:t>these communities.</w:t>
      </w:r>
      <w:r w:rsidR="00533868" w:rsidRPr="00533868">
        <w:t xml:space="preserve"> It worries the Committee that these communities find it increasingly difficult to </w:t>
      </w:r>
      <w:r w:rsidR="00175FCB">
        <w:t>apply their traditional farming methods</w:t>
      </w:r>
      <w:r w:rsidR="00533868">
        <w:t>,</w:t>
      </w:r>
      <w:r w:rsidR="00175FCB">
        <w:t xml:space="preserve"> and</w:t>
      </w:r>
      <w:r w:rsidR="00533868">
        <w:t xml:space="preserve"> that</w:t>
      </w:r>
      <w:r w:rsidR="00175FCB">
        <w:t xml:space="preserve"> as a consequence, </w:t>
      </w:r>
      <w:r w:rsidR="00533868">
        <w:t>this may become an important obstacle to the access to safe, adequate and affordable</w:t>
      </w:r>
      <w:r w:rsidR="00175FCB">
        <w:t xml:space="preserve"> food</w:t>
      </w:r>
      <w:r w:rsidR="00533868">
        <w:t>. The Committee also notes with concern the scale of</w:t>
      </w:r>
      <w:r w:rsidR="00175FCB" w:rsidRPr="003F778F">
        <w:t xml:space="preserve"> </w:t>
      </w:r>
      <w:r w:rsidR="00175FCB">
        <w:t xml:space="preserve">deforestation, </w:t>
      </w:r>
      <w:r w:rsidR="00533868">
        <w:t xml:space="preserve">which has forced indigenous peoples to leave territories traditionally occupied or used by them, and </w:t>
      </w:r>
      <w:r w:rsidR="00175FCB">
        <w:t xml:space="preserve">in spite of </w:t>
      </w:r>
      <w:r w:rsidR="00717FF6">
        <w:t xml:space="preserve">Act </w:t>
      </w:r>
      <w:r w:rsidR="00175FCB">
        <w:t xml:space="preserve">No. </w:t>
      </w:r>
      <w:r w:rsidR="00175FCB" w:rsidRPr="00C27CAC">
        <w:t>2633</w:t>
      </w:r>
      <w:r w:rsidR="00175FCB">
        <w:t xml:space="preserve"> on </w:t>
      </w:r>
      <w:r w:rsidR="00717FF6">
        <w:t>f</w:t>
      </w:r>
      <w:r w:rsidR="00175FCB">
        <w:t>orest protection. The Committee</w:t>
      </w:r>
      <w:r w:rsidR="008432A7">
        <w:t xml:space="preserve"> </w:t>
      </w:r>
      <w:r w:rsidR="00175FCB">
        <w:t xml:space="preserve">is </w:t>
      </w:r>
      <w:r w:rsidR="008432A7">
        <w:t xml:space="preserve">further </w:t>
      </w:r>
      <w:r w:rsidR="00533868">
        <w:t xml:space="preserve">concerned </w:t>
      </w:r>
      <w:r w:rsidR="00175FCB">
        <w:t xml:space="preserve">about the fact that the aforementioned activities are often carried out without an effective prior consultation with the affected </w:t>
      </w:r>
      <w:r w:rsidR="00ED02EB">
        <w:t xml:space="preserve">groups </w:t>
      </w:r>
      <w:r w:rsidR="00175FCB">
        <w:t>of the population</w:t>
      </w:r>
      <w:r w:rsidR="00175FCB" w:rsidRPr="003F778F">
        <w:t xml:space="preserve"> (arts. 1, 11, 12</w:t>
      </w:r>
      <w:r w:rsidR="00533868">
        <w:t xml:space="preserve"> and</w:t>
      </w:r>
      <w:r w:rsidR="00175FCB" w:rsidRPr="003F778F">
        <w:t xml:space="preserve"> 15).</w:t>
      </w:r>
      <w:r w:rsidR="00175FCB" w:rsidRPr="006416EE">
        <w:t xml:space="preserve"> </w:t>
      </w:r>
    </w:p>
    <w:p w:rsidR="00175FCB" w:rsidRPr="00F654C5" w:rsidRDefault="00175FCB" w:rsidP="00CC4926">
      <w:pPr>
        <w:pStyle w:val="SingleTxtG"/>
        <w:rPr>
          <w:b/>
        </w:rPr>
      </w:pPr>
      <w:r w:rsidRPr="00F654C5">
        <w:rPr>
          <w:b/>
        </w:rPr>
        <w:t>The Committee</w:t>
      </w:r>
      <w:r w:rsidR="00533868" w:rsidRPr="00533868">
        <w:rPr>
          <w:b/>
        </w:rPr>
        <w:t xml:space="preserve"> </w:t>
      </w:r>
      <w:r w:rsidR="00533868">
        <w:rPr>
          <w:b/>
        </w:rPr>
        <w:t xml:space="preserve">urges the State party to </w:t>
      </w:r>
      <w:r w:rsidR="00533868" w:rsidRPr="00F654C5">
        <w:rPr>
          <w:b/>
        </w:rPr>
        <w:t xml:space="preserve">ensure that the means of subsistence of indigenous </w:t>
      </w:r>
      <w:r w:rsidR="00B85BE3">
        <w:rPr>
          <w:b/>
        </w:rPr>
        <w:t>communities</w:t>
      </w:r>
      <w:r w:rsidR="00533868" w:rsidRPr="00F654C5">
        <w:rPr>
          <w:b/>
        </w:rPr>
        <w:t xml:space="preserve"> and their enjoyment of </w:t>
      </w:r>
      <w:r w:rsidR="00B85BE3" w:rsidRPr="00F654C5">
        <w:rPr>
          <w:b/>
        </w:rPr>
        <w:t>economic</w:t>
      </w:r>
      <w:r w:rsidR="00B85BE3">
        <w:rPr>
          <w:b/>
        </w:rPr>
        <w:t>,</w:t>
      </w:r>
      <w:r w:rsidR="00B85BE3" w:rsidRPr="00F654C5">
        <w:rPr>
          <w:b/>
        </w:rPr>
        <w:t xml:space="preserve"> </w:t>
      </w:r>
      <w:r w:rsidR="00533868" w:rsidRPr="00F654C5">
        <w:rPr>
          <w:b/>
        </w:rPr>
        <w:t>social and cultural r</w:t>
      </w:r>
      <w:r w:rsidR="00B85BE3">
        <w:rPr>
          <w:b/>
        </w:rPr>
        <w:t>ights are effectively protected</w:t>
      </w:r>
      <w:r w:rsidR="00514700">
        <w:rPr>
          <w:b/>
        </w:rPr>
        <w:t>,</w:t>
      </w:r>
      <w:r w:rsidR="00B85BE3">
        <w:rPr>
          <w:b/>
        </w:rPr>
        <w:t xml:space="preserve"> and</w:t>
      </w:r>
      <w:r w:rsidRPr="00F654C5">
        <w:rPr>
          <w:b/>
        </w:rPr>
        <w:t xml:space="preserve"> to develop institutional and procedural guarantees to ensure the effective participation of indigenous </w:t>
      </w:r>
      <w:r w:rsidR="00B85BE3">
        <w:rPr>
          <w:b/>
        </w:rPr>
        <w:t>communities</w:t>
      </w:r>
      <w:r w:rsidR="00B85BE3" w:rsidRPr="00F654C5">
        <w:rPr>
          <w:b/>
        </w:rPr>
        <w:t xml:space="preserve"> </w:t>
      </w:r>
      <w:r w:rsidRPr="00F654C5">
        <w:rPr>
          <w:b/>
        </w:rPr>
        <w:t xml:space="preserve">in decision-making on issues that affect them. The Committee also recommends that the State party ensure </w:t>
      </w:r>
      <w:r w:rsidR="006B0F58">
        <w:rPr>
          <w:b/>
        </w:rPr>
        <w:t>the full</w:t>
      </w:r>
      <w:r w:rsidRPr="00F654C5">
        <w:rPr>
          <w:b/>
        </w:rPr>
        <w:t xml:space="preserve"> implement</w:t>
      </w:r>
      <w:r w:rsidR="00B85BE3">
        <w:rPr>
          <w:b/>
        </w:rPr>
        <w:t>ation of</w:t>
      </w:r>
      <w:r w:rsidRPr="00F654C5">
        <w:rPr>
          <w:b/>
        </w:rPr>
        <w:t xml:space="preserve"> </w:t>
      </w:r>
      <w:r w:rsidR="00717FF6">
        <w:rPr>
          <w:b/>
        </w:rPr>
        <w:t>Act</w:t>
      </w:r>
      <w:r w:rsidR="00717FF6" w:rsidRPr="00F654C5">
        <w:rPr>
          <w:b/>
        </w:rPr>
        <w:t xml:space="preserve"> </w:t>
      </w:r>
      <w:r w:rsidRPr="00F654C5">
        <w:rPr>
          <w:b/>
        </w:rPr>
        <w:t xml:space="preserve">No. 2633 and other legislation regarding the protection of the non-renewable resources of the State party </w:t>
      </w:r>
      <w:r w:rsidR="00B85BE3">
        <w:rPr>
          <w:b/>
        </w:rPr>
        <w:t>with a view to combat</w:t>
      </w:r>
      <w:r w:rsidR="00717FF6">
        <w:rPr>
          <w:b/>
        </w:rPr>
        <w:t>ing</w:t>
      </w:r>
      <w:r w:rsidR="00B85BE3">
        <w:rPr>
          <w:b/>
        </w:rPr>
        <w:t xml:space="preserve"> deforestation. </w:t>
      </w:r>
    </w:p>
    <w:p w:rsidR="00175FCB" w:rsidRPr="006A4562" w:rsidRDefault="00175FCB" w:rsidP="00F654C5">
      <w:pPr>
        <w:pStyle w:val="SingleTxtG"/>
        <w:numPr>
          <w:ilvl w:val="0"/>
          <w:numId w:val="19"/>
        </w:numPr>
        <w:tabs>
          <w:tab w:val="clear" w:pos="1494"/>
          <w:tab w:val="num" w:pos="1800"/>
        </w:tabs>
        <w:ind w:left="1128" w:firstLine="6"/>
        <w:rPr>
          <w:b/>
        </w:rPr>
      </w:pPr>
      <w:r w:rsidRPr="00FB5477">
        <w:t>The Committee is concerned that</w:t>
      </w:r>
      <w:r>
        <w:t>,</w:t>
      </w:r>
      <w:r w:rsidRPr="00FB5477">
        <w:t xml:space="preserve"> </w:t>
      </w:r>
      <w:r>
        <w:t xml:space="preserve">since 2007, </w:t>
      </w:r>
      <w:r w:rsidRPr="00FB5477">
        <w:t xml:space="preserve">the </w:t>
      </w:r>
      <w:r>
        <w:t>introduction of different statistical methods within</w:t>
      </w:r>
      <w:r w:rsidRPr="00FB5477">
        <w:t xml:space="preserve"> the national statistical system (INDEC)</w:t>
      </w:r>
      <w:r>
        <w:t>,</w:t>
      </w:r>
      <w:r w:rsidRPr="00FB5477">
        <w:t xml:space="preserve"> </w:t>
      </w:r>
      <w:r>
        <w:t>which are not always publicly available, pose difficulties for</w:t>
      </w:r>
      <w:r w:rsidRPr="00FB5477">
        <w:t xml:space="preserve"> the correct </w:t>
      </w:r>
      <w:r>
        <w:t xml:space="preserve">interpretation of data </w:t>
      </w:r>
      <w:r w:rsidRPr="00FB5477">
        <w:t xml:space="preserve">and </w:t>
      </w:r>
      <w:r w:rsidR="00717FF6">
        <w:t xml:space="preserve">the </w:t>
      </w:r>
      <w:r w:rsidRPr="00FB5477">
        <w:t xml:space="preserve">comparison of progress </w:t>
      </w:r>
      <w:r w:rsidR="00717FF6">
        <w:t xml:space="preserve">in </w:t>
      </w:r>
      <w:r w:rsidRPr="00FB5477">
        <w:t xml:space="preserve">and challenges to the enjoyment of </w:t>
      </w:r>
      <w:r>
        <w:t>the Covenant rights by all. It also notes with concern the data and calculation discrepancies between</w:t>
      </w:r>
      <w:r w:rsidRPr="00F845C1">
        <w:t xml:space="preserve"> </w:t>
      </w:r>
      <w:r>
        <w:t xml:space="preserve">certain </w:t>
      </w:r>
      <w:r w:rsidRPr="00F845C1">
        <w:t>provincial</w:t>
      </w:r>
      <w:r>
        <w:t xml:space="preserve"> and </w:t>
      </w:r>
      <w:r w:rsidRPr="00F845C1">
        <w:t xml:space="preserve">national </w:t>
      </w:r>
      <w:r>
        <w:t>official statistics as well as doubts raised by national and international civic, research and financial institutions with regard to the credibility of data produced by INDEC</w:t>
      </w:r>
      <w:r w:rsidRPr="00FB5477">
        <w:t xml:space="preserve"> (art. 2). </w:t>
      </w:r>
    </w:p>
    <w:p w:rsidR="00175FCB" w:rsidRPr="00F654C5" w:rsidRDefault="00175FCB" w:rsidP="00B04111">
      <w:pPr>
        <w:pStyle w:val="SingleTxtG"/>
        <w:rPr>
          <w:b/>
        </w:rPr>
      </w:pPr>
      <w:r w:rsidRPr="00F654C5">
        <w:rPr>
          <w:b/>
        </w:rPr>
        <w:t>The Committee underlines the importance of the availability of reliable and comprehensive data for the development of public policies and their implementation. It recommends that the State party take the necessary steps to make its official statistics comparable with data produced by relevant international institutions. It also recommends that the State party ensure that methodologies used and data gathered by INDEC in the course of its surveys are accessible to external users and adequately disseminated.</w:t>
      </w:r>
      <w:r w:rsidR="00ED02EB">
        <w:rPr>
          <w:b/>
        </w:rPr>
        <w:t xml:space="preserve"> </w:t>
      </w:r>
    </w:p>
    <w:p w:rsidR="009631AD" w:rsidRDefault="00562D51" w:rsidP="00F654C5">
      <w:pPr>
        <w:pStyle w:val="SingleTxtG"/>
        <w:numPr>
          <w:ilvl w:val="0"/>
          <w:numId w:val="19"/>
        </w:numPr>
        <w:tabs>
          <w:tab w:val="clear" w:pos="1494"/>
          <w:tab w:val="num" w:pos="1800"/>
        </w:tabs>
        <w:ind w:left="1128" w:firstLine="6"/>
      </w:pPr>
      <w:r>
        <w:t>The Commit</w:t>
      </w:r>
      <w:r w:rsidR="009631AD">
        <w:t>tee is concern</w:t>
      </w:r>
      <w:r>
        <w:t xml:space="preserve">ed that the data </w:t>
      </w:r>
      <w:r w:rsidR="009631AD">
        <w:t>provided</w:t>
      </w:r>
      <w:r>
        <w:t xml:space="preserve"> for the Covenant rights was not</w:t>
      </w:r>
      <w:r w:rsidR="009631AD">
        <w:t xml:space="preserve"> presented on a comparative basis, disaggregated</w:t>
      </w:r>
      <w:r>
        <w:t xml:space="preserve"> on an annual basis</w:t>
      </w:r>
      <w:r w:rsidR="009631AD">
        <w:t xml:space="preserve">, as requested in the previous </w:t>
      </w:r>
      <w:r>
        <w:t xml:space="preserve">concluding observations of the Committee. </w:t>
      </w:r>
    </w:p>
    <w:p w:rsidR="001F4514" w:rsidRPr="001F4514" w:rsidRDefault="00562D51" w:rsidP="00B04111">
      <w:pPr>
        <w:pStyle w:val="SingleTxtG"/>
        <w:ind w:left="1128"/>
        <w:rPr>
          <w:b/>
        </w:rPr>
      </w:pPr>
      <w:r>
        <w:rPr>
          <w:b/>
        </w:rPr>
        <w:t>T</w:t>
      </w:r>
      <w:r w:rsidR="009631AD" w:rsidRPr="009631AD">
        <w:rPr>
          <w:b/>
        </w:rPr>
        <w:t>he S</w:t>
      </w:r>
      <w:r>
        <w:rPr>
          <w:b/>
        </w:rPr>
        <w:t xml:space="preserve">tate party </w:t>
      </w:r>
      <w:r w:rsidR="009631AD" w:rsidRPr="009631AD">
        <w:rPr>
          <w:b/>
        </w:rPr>
        <w:t>is requested to supply</w:t>
      </w:r>
      <w:r>
        <w:rPr>
          <w:b/>
        </w:rPr>
        <w:t xml:space="preserve">, in its next periodic report, </w:t>
      </w:r>
      <w:r w:rsidR="009631AD" w:rsidRPr="009631AD">
        <w:rPr>
          <w:b/>
        </w:rPr>
        <w:t>disag</w:t>
      </w:r>
      <w:r w:rsidR="00717FF6">
        <w:rPr>
          <w:b/>
        </w:rPr>
        <w:t>g</w:t>
      </w:r>
      <w:r w:rsidR="009631AD" w:rsidRPr="009631AD">
        <w:rPr>
          <w:b/>
        </w:rPr>
        <w:t>regated</w:t>
      </w:r>
      <w:r>
        <w:rPr>
          <w:b/>
        </w:rPr>
        <w:t xml:space="preserve"> data </w:t>
      </w:r>
      <w:r w:rsidR="009631AD" w:rsidRPr="009631AD">
        <w:rPr>
          <w:b/>
        </w:rPr>
        <w:t>for</w:t>
      </w:r>
      <w:r w:rsidRPr="00562D51">
        <w:rPr>
          <w:b/>
        </w:rPr>
        <w:t xml:space="preserve"> each of the </w:t>
      </w:r>
      <w:r>
        <w:rPr>
          <w:b/>
        </w:rPr>
        <w:t>C</w:t>
      </w:r>
      <w:r w:rsidR="009631AD" w:rsidRPr="009631AD">
        <w:rPr>
          <w:b/>
        </w:rPr>
        <w:t>ovenant rights</w:t>
      </w:r>
      <w:r>
        <w:rPr>
          <w:b/>
        </w:rPr>
        <w:t>, on an annual basis, taking into account the prohibited grounds of discrimination</w:t>
      </w:r>
      <w:r w:rsidR="00717FF6">
        <w:rPr>
          <w:b/>
        </w:rPr>
        <w:t>.</w:t>
      </w:r>
    </w:p>
    <w:p w:rsidR="00175FCB" w:rsidRDefault="00175FCB" w:rsidP="00F654C5">
      <w:pPr>
        <w:pStyle w:val="SingleTxtG"/>
        <w:numPr>
          <w:ilvl w:val="0"/>
          <w:numId w:val="19"/>
        </w:numPr>
        <w:tabs>
          <w:tab w:val="clear" w:pos="1494"/>
          <w:tab w:val="num" w:pos="1800"/>
        </w:tabs>
        <w:ind w:left="1128" w:firstLine="6"/>
      </w:pPr>
      <w:r w:rsidRPr="00291C92">
        <w:t xml:space="preserve">The Committee </w:t>
      </w:r>
      <w:r>
        <w:t xml:space="preserve">is concerned about instances in which </w:t>
      </w:r>
      <w:r w:rsidRPr="00F9799A">
        <w:t>security forces and agents</w:t>
      </w:r>
      <w:r w:rsidR="00F76FF5">
        <w:t>, both public and private,</w:t>
      </w:r>
      <w:r w:rsidR="00F76FF5" w:rsidDel="00C902D3">
        <w:t xml:space="preserve"> </w:t>
      </w:r>
      <w:r>
        <w:t xml:space="preserve">resorted to </w:t>
      </w:r>
      <w:r w:rsidRPr="00291C92">
        <w:t xml:space="preserve">reprisals </w:t>
      </w:r>
      <w:r>
        <w:t xml:space="preserve">and disproportionate use of force </w:t>
      </w:r>
      <w:r w:rsidRPr="00291C92">
        <w:t xml:space="preserve">against persons </w:t>
      </w:r>
      <w:r>
        <w:t>participating</w:t>
      </w:r>
      <w:r w:rsidRPr="00291C92">
        <w:t xml:space="preserve"> in activities </w:t>
      </w:r>
      <w:r>
        <w:t xml:space="preserve">in defence of </w:t>
      </w:r>
      <w:r w:rsidRPr="00F9799A">
        <w:t>economic, social and cultural rights</w:t>
      </w:r>
      <w:r>
        <w:t>, in particular in the context of land disputes</w:t>
      </w:r>
      <w:r w:rsidRPr="00291C92">
        <w:t xml:space="preserve">. </w:t>
      </w:r>
    </w:p>
    <w:p w:rsidR="00175FCB" w:rsidRPr="00F654C5" w:rsidRDefault="00175FCB" w:rsidP="00B04111">
      <w:pPr>
        <w:pStyle w:val="SingleTxtG"/>
        <w:rPr>
          <w:b/>
        </w:rPr>
      </w:pPr>
      <w:r w:rsidRPr="00F654C5">
        <w:rPr>
          <w:b/>
        </w:rPr>
        <w:t xml:space="preserve">The Committee urges the State party to protect social activists and human rights defenders against any </w:t>
      </w:r>
      <w:r w:rsidR="00C902D3">
        <w:rPr>
          <w:b/>
        </w:rPr>
        <w:t xml:space="preserve">form of </w:t>
      </w:r>
      <w:r w:rsidRPr="00F654C5">
        <w:rPr>
          <w:b/>
        </w:rPr>
        <w:t>intimidation, threat and</w:t>
      </w:r>
      <w:r w:rsidR="00717FF6">
        <w:rPr>
          <w:b/>
        </w:rPr>
        <w:t>,</w:t>
      </w:r>
      <w:r w:rsidRPr="00F654C5">
        <w:rPr>
          <w:b/>
        </w:rPr>
        <w:t xml:space="preserve"> </w:t>
      </w:r>
      <w:r w:rsidR="00C902D3">
        <w:rPr>
          <w:b/>
        </w:rPr>
        <w:t>especially</w:t>
      </w:r>
      <w:r w:rsidR="00717FF6">
        <w:rPr>
          <w:b/>
        </w:rPr>
        <w:t>,</w:t>
      </w:r>
      <w:r w:rsidR="00C902D3">
        <w:rPr>
          <w:b/>
        </w:rPr>
        <w:t xml:space="preserve"> </w:t>
      </w:r>
      <w:r w:rsidRPr="00F654C5">
        <w:rPr>
          <w:b/>
        </w:rPr>
        <w:t>disproportionate use of force perpetrated by security forces and agents</w:t>
      </w:r>
      <w:r w:rsidR="00B12840">
        <w:rPr>
          <w:b/>
        </w:rPr>
        <w:t>, both public and private</w:t>
      </w:r>
      <w:r w:rsidRPr="00F654C5">
        <w:rPr>
          <w:b/>
        </w:rPr>
        <w:t xml:space="preserve">. It also calls on the State party to ensure that all </w:t>
      </w:r>
      <w:r w:rsidR="00C902D3">
        <w:rPr>
          <w:b/>
        </w:rPr>
        <w:t>allegations</w:t>
      </w:r>
      <w:r w:rsidR="00C902D3" w:rsidRPr="00F654C5">
        <w:rPr>
          <w:b/>
        </w:rPr>
        <w:t xml:space="preserve"> </w:t>
      </w:r>
      <w:r w:rsidRPr="00F654C5">
        <w:rPr>
          <w:b/>
        </w:rPr>
        <w:t xml:space="preserve">of reprisals and abuse are promptly and thoroughly investigated, and that the perpetrators are brought to justice. </w:t>
      </w:r>
      <w:r w:rsidR="00C902D3">
        <w:rPr>
          <w:b/>
        </w:rPr>
        <w:t xml:space="preserve"> </w:t>
      </w:r>
    </w:p>
    <w:p w:rsidR="00175FCB" w:rsidRPr="00D516C3" w:rsidRDefault="00175FCB" w:rsidP="00F654C5">
      <w:pPr>
        <w:pStyle w:val="SingleTxtG"/>
        <w:numPr>
          <w:ilvl w:val="0"/>
          <w:numId w:val="19"/>
        </w:numPr>
        <w:tabs>
          <w:tab w:val="clear" w:pos="1494"/>
          <w:tab w:val="num" w:pos="1800"/>
        </w:tabs>
        <w:ind w:left="1128" w:firstLine="6"/>
      </w:pPr>
      <w:r>
        <w:t xml:space="preserve">The Committee reiterates its concern about continuing inequalities in the </w:t>
      </w:r>
      <w:r w:rsidRPr="00D64A27">
        <w:t>enjoyment of economic, social and cultural rights</w:t>
      </w:r>
      <w:r>
        <w:t xml:space="preserve"> between men and </w:t>
      </w:r>
      <w:r w:rsidRPr="00D64A27">
        <w:t>women</w:t>
      </w:r>
      <w:r>
        <w:t>, in particular in the area of employment (E/C.12/1/Add.38</w:t>
      </w:r>
      <w:r w:rsidR="00717FF6">
        <w:t>,</w:t>
      </w:r>
      <w:r>
        <w:t xml:space="preserve"> para. 17) (arts. 3 and 10).</w:t>
      </w:r>
    </w:p>
    <w:p w:rsidR="00175FCB" w:rsidRPr="00F654C5" w:rsidRDefault="00175FCB" w:rsidP="00B04111">
      <w:pPr>
        <w:pStyle w:val="SingleTxtG"/>
        <w:rPr>
          <w:b/>
        </w:rPr>
      </w:pPr>
      <w:r w:rsidRPr="00F654C5">
        <w:rPr>
          <w:b/>
        </w:rPr>
        <w:t>The Committee urges the State party to strengthen legislative and other measures to effectively strive for the equal rights of men and women in practice</w:t>
      </w:r>
      <w:r w:rsidR="00717FF6">
        <w:rPr>
          <w:b/>
        </w:rPr>
        <w:t>,</w:t>
      </w:r>
      <w:r w:rsidRPr="00F654C5">
        <w:rPr>
          <w:b/>
        </w:rPr>
        <w:t xml:space="preserve"> and to combat all forms of discrimination against women. </w:t>
      </w:r>
      <w:r w:rsidR="007E3BE2">
        <w:rPr>
          <w:b/>
        </w:rPr>
        <w:t xml:space="preserve">In this regard, the Committee </w:t>
      </w:r>
      <w:r w:rsidR="007E3BE2" w:rsidRPr="00F654C5">
        <w:rPr>
          <w:b/>
        </w:rPr>
        <w:t>recalls its general comment No. 16 (2005) on the equal right of men and women to the enjoyment of all economic, social and cul</w:t>
      </w:r>
      <w:r w:rsidR="007E3BE2">
        <w:rPr>
          <w:b/>
        </w:rPr>
        <w:t>tural rights.</w:t>
      </w:r>
      <w:r w:rsidR="007E3BE2" w:rsidRPr="00F654C5">
        <w:rPr>
          <w:b/>
        </w:rPr>
        <w:t xml:space="preserve"> </w:t>
      </w:r>
      <w:r w:rsidRPr="00F654C5">
        <w:rPr>
          <w:b/>
        </w:rPr>
        <w:t>The Committee reiterates its previous recommendation that the State party strengthen its efforts to promote gender equality in all spheres of life. With regard to employment, the Committee encourages the State party to consider legal options, capacity</w:t>
      </w:r>
      <w:r w:rsidR="00717FF6">
        <w:rPr>
          <w:b/>
        </w:rPr>
        <w:t>-</w:t>
      </w:r>
      <w:r w:rsidRPr="00F654C5">
        <w:rPr>
          <w:b/>
        </w:rPr>
        <w:t xml:space="preserve">building and services that would enable men and women to reconcile professional and family responsibilities. It also calls upon the State </w:t>
      </w:r>
      <w:r w:rsidR="007E3BE2">
        <w:rPr>
          <w:b/>
        </w:rPr>
        <w:t>p</w:t>
      </w:r>
      <w:r w:rsidRPr="00F654C5">
        <w:rPr>
          <w:b/>
        </w:rPr>
        <w:t xml:space="preserve">arty to promote the employment of women in the formal sector of economy. </w:t>
      </w:r>
    </w:p>
    <w:p w:rsidR="00175FCB" w:rsidRDefault="00175FCB" w:rsidP="00F654C5">
      <w:pPr>
        <w:pStyle w:val="SingleTxtG"/>
        <w:numPr>
          <w:ilvl w:val="0"/>
          <w:numId w:val="19"/>
        </w:numPr>
        <w:tabs>
          <w:tab w:val="clear" w:pos="1494"/>
          <w:tab w:val="num" w:pos="1800"/>
        </w:tabs>
        <w:ind w:left="1128" w:firstLine="6"/>
      </w:pPr>
      <w:r>
        <w:t xml:space="preserve">The Committee notes with concern the large number of </w:t>
      </w:r>
      <w:r w:rsidR="004A1CBC">
        <w:t>workers in the informal economy</w:t>
      </w:r>
      <w:r>
        <w:t xml:space="preserve"> in the State party and regrets </w:t>
      </w:r>
      <w:r w:rsidR="007E3BE2">
        <w:t xml:space="preserve">that </w:t>
      </w:r>
      <w:r>
        <w:t xml:space="preserve">a significant percentage of </w:t>
      </w:r>
      <w:r w:rsidR="00B12840">
        <w:t>them</w:t>
      </w:r>
      <w:r>
        <w:t>, including migrant workers, lack access to</w:t>
      </w:r>
      <w:r w:rsidR="00B12840">
        <w:t xml:space="preserve"> the</w:t>
      </w:r>
      <w:r>
        <w:t xml:space="preserve"> social security system, in particular pension schemes. The Committee also expresses concern about discrimination with regard to conditions of work and minimum wages experienced in particular by outsourced (</w:t>
      </w:r>
      <w:r>
        <w:rPr>
          <w:i/>
        </w:rPr>
        <w:t>tercerizados</w:t>
      </w:r>
      <w:r w:rsidRPr="00DD7CE5">
        <w:t>)</w:t>
      </w:r>
      <w:r>
        <w:rPr>
          <w:i/>
        </w:rPr>
        <w:t xml:space="preserve"> </w:t>
      </w:r>
      <w:r>
        <w:t>or temporary workers, and women in domestic work</w:t>
      </w:r>
      <w:r w:rsidR="007F29D8">
        <w:t>, the textile industry</w:t>
      </w:r>
      <w:r>
        <w:t xml:space="preserve"> and the agricultural sector (arts. 6 and 7). </w:t>
      </w:r>
    </w:p>
    <w:p w:rsidR="00175FCB" w:rsidRPr="00F654C5" w:rsidRDefault="00175FCB" w:rsidP="00B04111">
      <w:pPr>
        <w:pStyle w:val="SingleTxtG"/>
        <w:rPr>
          <w:b/>
        </w:rPr>
      </w:pPr>
      <w:r w:rsidRPr="00F654C5">
        <w:rPr>
          <w:b/>
        </w:rPr>
        <w:t xml:space="preserve">The Committee urges the State party to </w:t>
      </w:r>
      <w:r w:rsidR="001E6476">
        <w:rPr>
          <w:b/>
        </w:rPr>
        <w:t>continue</w:t>
      </w:r>
      <w:r w:rsidR="009C6C67" w:rsidRPr="00F654C5">
        <w:rPr>
          <w:b/>
        </w:rPr>
        <w:t xml:space="preserve"> </w:t>
      </w:r>
      <w:r w:rsidRPr="00F654C5">
        <w:rPr>
          <w:b/>
        </w:rPr>
        <w:t xml:space="preserve">its efforts to </w:t>
      </w:r>
      <w:r w:rsidR="007E3BE2">
        <w:rPr>
          <w:b/>
        </w:rPr>
        <w:t>reduce</w:t>
      </w:r>
      <w:r w:rsidR="007E3BE2" w:rsidRPr="00F654C5">
        <w:rPr>
          <w:b/>
        </w:rPr>
        <w:t xml:space="preserve"> </w:t>
      </w:r>
      <w:r w:rsidRPr="00F654C5">
        <w:rPr>
          <w:b/>
        </w:rPr>
        <w:t xml:space="preserve">the informal </w:t>
      </w:r>
      <w:r w:rsidR="00B12840">
        <w:rPr>
          <w:b/>
        </w:rPr>
        <w:t xml:space="preserve">sector of the </w:t>
      </w:r>
      <w:r w:rsidRPr="00F654C5">
        <w:rPr>
          <w:b/>
        </w:rPr>
        <w:t xml:space="preserve">economy with a view to </w:t>
      </w:r>
      <w:r w:rsidR="00AF32F7">
        <w:rPr>
          <w:b/>
        </w:rPr>
        <w:t xml:space="preserve">promoting employment in the formal sector and, in this way, </w:t>
      </w:r>
      <w:r w:rsidRPr="00F654C5">
        <w:rPr>
          <w:b/>
        </w:rPr>
        <w:t>ensur</w:t>
      </w:r>
      <w:r w:rsidR="00AF32F7">
        <w:rPr>
          <w:b/>
        </w:rPr>
        <w:t xml:space="preserve">e </w:t>
      </w:r>
      <w:r w:rsidRPr="00F654C5">
        <w:rPr>
          <w:b/>
        </w:rPr>
        <w:t xml:space="preserve">the full enjoyment of economic and social rights by all workers. It recommends that the State party extend the applicability of the minimum wage legislation to those sectors where it still does not apply. The Committee recommends </w:t>
      </w:r>
      <w:r w:rsidR="007F29D8">
        <w:rPr>
          <w:b/>
        </w:rPr>
        <w:t xml:space="preserve">that </w:t>
      </w:r>
      <w:r w:rsidRPr="00F654C5">
        <w:rPr>
          <w:b/>
        </w:rPr>
        <w:t>measures</w:t>
      </w:r>
      <w:r w:rsidR="007F29D8">
        <w:rPr>
          <w:b/>
        </w:rPr>
        <w:t xml:space="preserve"> be taken</w:t>
      </w:r>
      <w:r w:rsidRPr="00F654C5">
        <w:rPr>
          <w:b/>
        </w:rPr>
        <w:t xml:space="preserve"> to ensure the full legal protection of workers irrespective of their sector of employment. It also encourages the State party to consider modifying the residency requirements established for migrant workers in line with the National Constitution and the Migration </w:t>
      </w:r>
      <w:r w:rsidR="006015E6">
        <w:rPr>
          <w:b/>
        </w:rPr>
        <w:t>Act</w:t>
      </w:r>
      <w:r w:rsidR="006015E6" w:rsidRPr="00F654C5">
        <w:rPr>
          <w:b/>
        </w:rPr>
        <w:t xml:space="preserve"> </w:t>
      </w:r>
      <w:r w:rsidRPr="00F654C5">
        <w:rPr>
          <w:b/>
        </w:rPr>
        <w:t>to ensure their access to non-contributory social benefit</w:t>
      </w:r>
      <w:r w:rsidR="007F29D8">
        <w:rPr>
          <w:b/>
        </w:rPr>
        <w:t xml:space="preserve"> </w:t>
      </w:r>
      <w:r w:rsidRPr="00F654C5">
        <w:rPr>
          <w:b/>
        </w:rPr>
        <w:t>s</w:t>
      </w:r>
      <w:r w:rsidR="007F29D8">
        <w:rPr>
          <w:b/>
        </w:rPr>
        <w:t>chemes</w:t>
      </w:r>
      <w:r w:rsidRPr="00F654C5">
        <w:rPr>
          <w:b/>
        </w:rPr>
        <w:t>.</w:t>
      </w:r>
    </w:p>
    <w:p w:rsidR="00175FCB" w:rsidRPr="00BF0280" w:rsidRDefault="00175FCB" w:rsidP="00F654C5">
      <w:pPr>
        <w:pStyle w:val="SingleTxtG"/>
        <w:numPr>
          <w:ilvl w:val="0"/>
          <w:numId w:val="19"/>
        </w:numPr>
        <w:tabs>
          <w:tab w:val="clear" w:pos="1494"/>
          <w:tab w:val="num" w:pos="1800"/>
        </w:tabs>
        <w:ind w:left="1128" w:firstLine="6"/>
      </w:pPr>
      <w:r w:rsidRPr="00BF0280">
        <w:t xml:space="preserve">The Committee is concerned that </w:t>
      </w:r>
      <w:r w:rsidR="00AF32F7">
        <w:t xml:space="preserve">neither the penal </w:t>
      </w:r>
      <w:r w:rsidR="006015E6">
        <w:t>legislation</w:t>
      </w:r>
      <w:r w:rsidR="00AF32F7">
        <w:t xml:space="preserve"> nor the labour </w:t>
      </w:r>
      <w:r w:rsidR="006015E6">
        <w:t>legislation</w:t>
      </w:r>
      <w:r w:rsidR="00AF32F7">
        <w:t xml:space="preserve"> of the</w:t>
      </w:r>
      <w:r w:rsidR="00AF32F7" w:rsidRPr="00BF0280">
        <w:t xml:space="preserve"> State party </w:t>
      </w:r>
      <w:r w:rsidR="00E75875">
        <w:t xml:space="preserve">specifically </w:t>
      </w:r>
      <w:r w:rsidR="00AF32F7">
        <w:t xml:space="preserve">prohibit </w:t>
      </w:r>
      <w:r w:rsidRPr="00BF0280">
        <w:t>sexual harassment in the workplace</w:t>
      </w:r>
      <w:r w:rsidR="00AF32F7">
        <w:t xml:space="preserve"> </w:t>
      </w:r>
      <w:r w:rsidR="00E75875">
        <w:t xml:space="preserve">and that it is not specifically recognized </w:t>
      </w:r>
      <w:r w:rsidR="00AF32F7">
        <w:t>as a crime</w:t>
      </w:r>
      <w:r w:rsidRPr="00BF0280">
        <w:t xml:space="preserve"> (art. 7 b).</w:t>
      </w:r>
    </w:p>
    <w:p w:rsidR="00175FCB" w:rsidRPr="009C6C67" w:rsidRDefault="00175FCB" w:rsidP="00B04111">
      <w:pPr>
        <w:pStyle w:val="SingleTxtG"/>
        <w:rPr>
          <w:b/>
        </w:rPr>
      </w:pPr>
      <w:r w:rsidRPr="009C6C67">
        <w:rPr>
          <w:b/>
        </w:rPr>
        <w:t xml:space="preserve">The Committee strongly </w:t>
      </w:r>
      <w:r w:rsidR="00E75875">
        <w:rPr>
          <w:b/>
        </w:rPr>
        <w:t>calls upon</w:t>
      </w:r>
      <w:r w:rsidRPr="009C6C67">
        <w:rPr>
          <w:b/>
        </w:rPr>
        <w:t xml:space="preserve"> the State party</w:t>
      </w:r>
      <w:r w:rsidR="009C6C67" w:rsidRPr="009C6C67">
        <w:rPr>
          <w:b/>
        </w:rPr>
        <w:t xml:space="preserve"> </w:t>
      </w:r>
      <w:r w:rsidR="009C6C67">
        <w:rPr>
          <w:b/>
        </w:rPr>
        <w:t xml:space="preserve">to approve and </w:t>
      </w:r>
      <w:r w:rsidR="00EA4D6D">
        <w:rPr>
          <w:b/>
        </w:rPr>
        <w:t>apply</w:t>
      </w:r>
      <w:r w:rsidRPr="009C6C67">
        <w:rPr>
          <w:b/>
        </w:rPr>
        <w:t xml:space="preserve"> legislati</w:t>
      </w:r>
      <w:r w:rsidR="00E75875">
        <w:rPr>
          <w:b/>
        </w:rPr>
        <w:t xml:space="preserve">ve measures </w:t>
      </w:r>
      <w:r w:rsidR="006015E6">
        <w:rPr>
          <w:b/>
        </w:rPr>
        <w:t>that</w:t>
      </w:r>
      <w:r w:rsidR="00E75875">
        <w:rPr>
          <w:b/>
        </w:rPr>
        <w:t xml:space="preserve"> specifically prohibit </w:t>
      </w:r>
      <w:r w:rsidRPr="009C6C67">
        <w:rPr>
          <w:b/>
        </w:rPr>
        <w:t>sexual harassment in the workplace</w:t>
      </w:r>
      <w:r w:rsidR="00E75875">
        <w:rPr>
          <w:b/>
        </w:rPr>
        <w:t>, as well as to make it punishable under</w:t>
      </w:r>
      <w:r w:rsidR="008432A7">
        <w:rPr>
          <w:b/>
        </w:rPr>
        <w:t xml:space="preserve"> penal and labour laws</w:t>
      </w:r>
      <w:r w:rsidRPr="009C6C67">
        <w:rPr>
          <w:b/>
        </w:rPr>
        <w:t xml:space="preserve">. It recommends that the State party undertake to raise public awareness against sexual harassment and provide comprehensive protection to victims. </w:t>
      </w:r>
    </w:p>
    <w:p w:rsidR="00175FCB" w:rsidRPr="00F81578" w:rsidRDefault="00175FCB" w:rsidP="001A2A47">
      <w:pPr>
        <w:pStyle w:val="SingleTxtG"/>
        <w:numPr>
          <w:ilvl w:val="0"/>
          <w:numId w:val="19"/>
        </w:numPr>
        <w:tabs>
          <w:tab w:val="clear" w:pos="1494"/>
          <w:tab w:val="num" w:pos="1800"/>
        </w:tabs>
        <w:ind w:left="1128" w:firstLine="6"/>
      </w:pPr>
      <w:r w:rsidRPr="00F81578">
        <w:t xml:space="preserve">The Committee is concerned about human trafficking in the State party and regrets the inadequacy of </w:t>
      </w:r>
      <w:r w:rsidR="006015E6">
        <w:t>Act No.</w:t>
      </w:r>
      <w:r w:rsidR="006015E6" w:rsidRPr="00F81578">
        <w:t xml:space="preserve"> </w:t>
      </w:r>
      <w:r w:rsidRPr="00F81578">
        <w:t>26364 on the matter. It is also concerned by the insufficiency of measures for the rehabilitation of victims of trafficking and exploitation (art. 10, para. 3).</w:t>
      </w:r>
    </w:p>
    <w:p w:rsidR="00175FCB" w:rsidRPr="001A2A47" w:rsidRDefault="00175FCB" w:rsidP="00B04111">
      <w:pPr>
        <w:pStyle w:val="SingleTxtG"/>
        <w:rPr>
          <w:b/>
        </w:rPr>
      </w:pPr>
      <w:r w:rsidRPr="001A2A47">
        <w:rPr>
          <w:b/>
        </w:rPr>
        <w:t xml:space="preserve">The Committee recommends that the State party accelerate the process of revising its legislation on combatting human trafficking to international standards. It also recommends that the State party increase the resource allocations for the prevention of human trafficking, the prosecution and conviction of perpetrators, and the provision of support to victims, as well as for enhancing coordination </w:t>
      </w:r>
      <w:r w:rsidR="006015E6">
        <w:rPr>
          <w:b/>
        </w:rPr>
        <w:t>among</w:t>
      </w:r>
      <w:r w:rsidRPr="001A2A47">
        <w:rPr>
          <w:b/>
        </w:rPr>
        <w:t xml:space="preserve"> all levels in this respect. </w:t>
      </w:r>
    </w:p>
    <w:p w:rsidR="00175FCB" w:rsidRPr="00C9067B" w:rsidRDefault="00175FCB" w:rsidP="001A2A47">
      <w:pPr>
        <w:pStyle w:val="SingleTxtG"/>
        <w:numPr>
          <w:ilvl w:val="0"/>
          <w:numId w:val="19"/>
        </w:numPr>
        <w:tabs>
          <w:tab w:val="clear" w:pos="1494"/>
          <w:tab w:val="num" w:pos="1800"/>
        </w:tabs>
        <w:ind w:left="1128" w:firstLine="6"/>
        <w:rPr>
          <w:b/>
        </w:rPr>
      </w:pPr>
      <w:r w:rsidRPr="007A6C9E">
        <w:t>The Com</w:t>
      </w:r>
      <w:r>
        <w:t xml:space="preserve">mittee reiterates its concern about </w:t>
      </w:r>
      <w:r w:rsidR="005832BA">
        <w:t>inciden</w:t>
      </w:r>
      <w:r w:rsidR="008432A7">
        <w:t xml:space="preserve">ts </w:t>
      </w:r>
      <w:r w:rsidR="00FC572E">
        <w:t xml:space="preserve">of </w:t>
      </w:r>
      <w:r>
        <w:t>violence against women</w:t>
      </w:r>
      <w:r w:rsidRPr="00AF0277">
        <w:t xml:space="preserve"> </w:t>
      </w:r>
      <w:r>
        <w:t>in the State party, in particular domestic violence</w:t>
      </w:r>
      <w:r w:rsidR="006015E6">
        <w:t xml:space="preserve"> </w:t>
      </w:r>
      <w:r w:rsidR="006015E6" w:rsidRPr="007A6C9E">
        <w:t>(E/C.12/1/Add.</w:t>
      </w:r>
      <w:r w:rsidR="006015E6">
        <w:t>3</w:t>
      </w:r>
      <w:r w:rsidR="006015E6" w:rsidRPr="007A6C9E">
        <w:t>8</w:t>
      </w:r>
      <w:r w:rsidR="006015E6">
        <w:t>, para. 25)</w:t>
      </w:r>
      <w:r>
        <w:t xml:space="preserve">. The Committee is also concerned by the insufficient coordination among </w:t>
      </w:r>
      <w:r w:rsidR="00183F67">
        <w:t xml:space="preserve">the </w:t>
      </w:r>
      <w:r>
        <w:t>different levels of governance</w:t>
      </w:r>
      <w:r w:rsidR="008432A7">
        <w:t>,</w:t>
      </w:r>
      <w:r>
        <w:t xml:space="preserve"> which constitutes an important obstacle to effectively address</w:t>
      </w:r>
      <w:r w:rsidR="00183F67">
        <w:t>ing</w:t>
      </w:r>
      <w:r>
        <w:t xml:space="preserve"> violence against women (arts. 3 and 10).</w:t>
      </w:r>
      <w:r w:rsidRPr="002144BD">
        <w:t xml:space="preserve"> </w:t>
      </w:r>
    </w:p>
    <w:p w:rsidR="00175FCB" w:rsidRPr="001A2A47" w:rsidRDefault="00175FCB" w:rsidP="00B04111">
      <w:pPr>
        <w:pStyle w:val="SingleTxtG"/>
        <w:rPr>
          <w:b/>
        </w:rPr>
      </w:pPr>
      <w:r w:rsidRPr="001A2A47">
        <w:rPr>
          <w:b/>
        </w:rPr>
        <w:t xml:space="preserve">The Committee recommends that the State party continue to increase public awareness </w:t>
      </w:r>
      <w:r w:rsidR="00183F67">
        <w:rPr>
          <w:b/>
        </w:rPr>
        <w:t>of</w:t>
      </w:r>
      <w:r w:rsidRPr="001A2A47">
        <w:rPr>
          <w:b/>
        </w:rPr>
        <w:t xml:space="preserve"> the criminal nature of domestic violence and bring perpetrators to justice. It also recommends that the State </w:t>
      </w:r>
      <w:r w:rsidR="008432A7">
        <w:rPr>
          <w:b/>
        </w:rPr>
        <w:t>p</w:t>
      </w:r>
      <w:r w:rsidRPr="001A2A47">
        <w:rPr>
          <w:b/>
        </w:rPr>
        <w:t xml:space="preserve">arty strengthen legal counselling programmes, </w:t>
      </w:r>
      <w:r w:rsidR="008432A7">
        <w:rPr>
          <w:b/>
        </w:rPr>
        <w:t xml:space="preserve">and </w:t>
      </w:r>
      <w:r w:rsidRPr="001A2A47">
        <w:rPr>
          <w:b/>
        </w:rPr>
        <w:t>increase the availability of shelters and psychosocial support services for victims.</w:t>
      </w:r>
      <w:r w:rsidRPr="001A2A47">
        <w:rPr>
          <w:b/>
          <w:bCs/>
        </w:rPr>
        <w:t xml:space="preserve"> The Committee</w:t>
      </w:r>
      <w:r w:rsidR="008432A7">
        <w:rPr>
          <w:b/>
          <w:bCs/>
        </w:rPr>
        <w:t xml:space="preserve"> further</w:t>
      </w:r>
      <w:r w:rsidRPr="001A2A47">
        <w:rPr>
          <w:b/>
          <w:bCs/>
        </w:rPr>
        <w:t xml:space="preserve"> calls on the State party </w:t>
      </w:r>
      <w:r w:rsidR="008432A7">
        <w:rPr>
          <w:b/>
          <w:bCs/>
        </w:rPr>
        <w:t>to</w:t>
      </w:r>
      <w:r w:rsidR="008432A7" w:rsidRPr="001A2A47">
        <w:rPr>
          <w:b/>
          <w:bCs/>
        </w:rPr>
        <w:t xml:space="preserve"> </w:t>
      </w:r>
      <w:r w:rsidRPr="001A2A47">
        <w:rPr>
          <w:b/>
          <w:bCs/>
        </w:rPr>
        <w:t>ensur</w:t>
      </w:r>
      <w:r w:rsidR="008432A7">
        <w:rPr>
          <w:b/>
          <w:bCs/>
        </w:rPr>
        <w:t>e</w:t>
      </w:r>
      <w:r w:rsidRPr="001A2A47">
        <w:rPr>
          <w:b/>
          <w:bCs/>
        </w:rPr>
        <w:t xml:space="preserve"> adequate funding </w:t>
      </w:r>
      <w:r w:rsidR="008432A7">
        <w:rPr>
          <w:b/>
          <w:bCs/>
        </w:rPr>
        <w:t>of</w:t>
      </w:r>
      <w:r w:rsidR="008432A7" w:rsidRPr="001A2A47">
        <w:rPr>
          <w:b/>
          <w:bCs/>
        </w:rPr>
        <w:t xml:space="preserve"> </w:t>
      </w:r>
      <w:r w:rsidRPr="001A2A47">
        <w:rPr>
          <w:b/>
          <w:bCs/>
        </w:rPr>
        <w:t>the National Council of Women (</w:t>
      </w:r>
      <w:r w:rsidRPr="006015E6">
        <w:rPr>
          <w:b/>
          <w:bCs/>
        </w:rPr>
        <w:t>Consejo Nacional de las Mujeres</w:t>
      </w:r>
      <w:r w:rsidRPr="001A2A47">
        <w:rPr>
          <w:b/>
          <w:bCs/>
        </w:rPr>
        <w:t>) in order to enable it to achieve its objectives.</w:t>
      </w:r>
    </w:p>
    <w:p w:rsidR="00175FCB" w:rsidRPr="006015E6" w:rsidRDefault="00175FCB" w:rsidP="002001BD">
      <w:pPr>
        <w:pStyle w:val="SingleTxtG"/>
        <w:numPr>
          <w:ilvl w:val="0"/>
          <w:numId w:val="19"/>
        </w:numPr>
        <w:tabs>
          <w:tab w:val="clear" w:pos="1494"/>
          <w:tab w:val="num" w:pos="1800"/>
        </w:tabs>
        <w:ind w:left="1128" w:firstLine="6"/>
        <w:rPr>
          <w:spacing w:val="-2"/>
        </w:rPr>
      </w:pPr>
      <w:r w:rsidRPr="006015E6">
        <w:rPr>
          <w:spacing w:val="-2"/>
        </w:rPr>
        <w:t xml:space="preserve">The Committee regrets that irregularities in the implementation of the Union </w:t>
      </w:r>
      <w:r w:rsidR="006015E6" w:rsidRPr="006015E6">
        <w:rPr>
          <w:spacing w:val="-2"/>
        </w:rPr>
        <w:t xml:space="preserve">Act </w:t>
      </w:r>
      <w:r w:rsidRPr="006015E6">
        <w:rPr>
          <w:spacing w:val="-2"/>
        </w:rPr>
        <w:t>(</w:t>
      </w:r>
      <w:r w:rsidR="006015E6" w:rsidRPr="006015E6">
        <w:rPr>
          <w:spacing w:val="-2"/>
        </w:rPr>
        <w:t xml:space="preserve">No. </w:t>
      </w:r>
      <w:r w:rsidRPr="006015E6">
        <w:rPr>
          <w:spacing w:val="-2"/>
        </w:rPr>
        <w:t xml:space="preserve">23551) pose </w:t>
      </w:r>
      <w:r w:rsidR="00FB58C5" w:rsidRPr="006015E6">
        <w:rPr>
          <w:spacing w:val="-2"/>
        </w:rPr>
        <w:t>impediments</w:t>
      </w:r>
      <w:r w:rsidRPr="006015E6">
        <w:rPr>
          <w:spacing w:val="-2"/>
        </w:rPr>
        <w:t xml:space="preserve"> to the exercise of labour and trade union rights, in conflict </w:t>
      </w:r>
      <w:r w:rsidR="008432A7" w:rsidRPr="006015E6">
        <w:rPr>
          <w:spacing w:val="-2"/>
        </w:rPr>
        <w:t xml:space="preserve">with </w:t>
      </w:r>
      <w:r w:rsidRPr="006015E6">
        <w:rPr>
          <w:spacing w:val="-2"/>
        </w:rPr>
        <w:t>the National Constitution and ILO Convention No. 87</w:t>
      </w:r>
      <w:r w:rsidR="006015E6" w:rsidRPr="006015E6">
        <w:rPr>
          <w:spacing w:val="-2"/>
        </w:rPr>
        <w:t xml:space="preserve"> (1948) concerning Freedom of Association and Protection of the Right to Organise</w:t>
      </w:r>
      <w:r w:rsidRPr="006015E6">
        <w:rPr>
          <w:spacing w:val="-2"/>
        </w:rPr>
        <w:t>. These include difficulties and delays in the registration process of trade unions by the Ministry of Labour, the dismissal of workers who engage in protests, and acts of violence against trade union leaders and members</w:t>
      </w:r>
      <w:r w:rsidR="00FB58C5" w:rsidRPr="006015E6">
        <w:rPr>
          <w:spacing w:val="-2"/>
        </w:rPr>
        <w:t xml:space="preserve"> (</w:t>
      </w:r>
      <w:r w:rsidR="006015E6" w:rsidRPr="006015E6">
        <w:rPr>
          <w:spacing w:val="-2"/>
        </w:rPr>
        <w:t>a</w:t>
      </w:r>
      <w:r w:rsidR="00FB58C5" w:rsidRPr="006015E6">
        <w:rPr>
          <w:spacing w:val="-2"/>
        </w:rPr>
        <w:t>rt. 8)</w:t>
      </w:r>
      <w:r w:rsidRPr="006015E6">
        <w:rPr>
          <w:spacing w:val="-2"/>
        </w:rPr>
        <w:t>.</w:t>
      </w:r>
    </w:p>
    <w:p w:rsidR="00175FCB" w:rsidRPr="002001BD" w:rsidRDefault="00175FCB" w:rsidP="00B04111">
      <w:pPr>
        <w:pStyle w:val="SingleTxtG"/>
        <w:rPr>
          <w:b/>
        </w:rPr>
      </w:pPr>
      <w:r w:rsidRPr="002001BD">
        <w:rPr>
          <w:b/>
        </w:rPr>
        <w:t xml:space="preserve">The Committee recommends that the State party consider adopting the necessary reforms of the Union </w:t>
      </w:r>
      <w:r w:rsidR="00B35393">
        <w:rPr>
          <w:b/>
        </w:rPr>
        <w:t>Act</w:t>
      </w:r>
      <w:r w:rsidR="00B35393" w:rsidRPr="002001BD">
        <w:rPr>
          <w:b/>
        </w:rPr>
        <w:t xml:space="preserve"> </w:t>
      </w:r>
      <w:r w:rsidRPr="002001BD">
        <w:rPr>
          <w:b/>
        </w:rPr>
        <w:t xml:space="preserve">with a view to recognizing the basic collective rights of all categories of workers and labour unions and ensuring the full conformity of the national legislation with the international obligations of </w:t>
      </w:r>
      <w:smartTag w:uri="urn:schemas-microsoft-com:office:smarttags" w:element="place">
        <w:smartTag w:uri="urn:schemas-microsoft-com:office:smarttags" w:element="country-region">
          <w:r w:rsidRPr="002001BD">
            <w:rPr>
              <w:b/>
            </w:rPr>
            <w:t>Argentina</w:t>
          </w:r>
        </w:smartTag>
      </w:smartTag>
      <w:r w:rsidRPr="002001BD">
        <w:rPr>
          <w:b/>
        </w:rPr>
        <w:t xml:space="preserve">. In this regard, it also recommends that the State party make the relevant Supreme Court rulings </w:t>
      </w:r>
      <w:r w:rsidRPr="00A914B2">
        <w:rPr>
          <w:b/>
        </w:rPr>
        <w:t>mutatis mutandis</w:t>
      </w:r>
      <w:r w:rsidRPr="002001BD">
        <w:rPr>
          <w:b/>
          <w:i/>
        </w:rPr>
        <w:t xml:space="preserve"> </w:t>
      </w:r>
      <w:r w:rsidRPr="002001BD">
        <w:rPr>
          <w:b/>
        </w:rPr>
        <w:t>applicable</w:t>
      </w:r>
      <w:r w:rsidRPr="002001BD">
        <w:rPr>
          <w:b/>
          <w:i/>
        </w:rPr>
        <w:t xml:space="preserve"> </w:t>
      </w:r>
      <w:r w:rsidRPr="002001BD">
        <w:rPr>
          <w:b/>
        </w:rPr>
        <w:t xml:space="preserve">to all workers and unions. It urges the State party to ensure that trade union registration is performed in accordance with article 8 of the Covenant and in a timely manner. The Committee also reminds the State party that reprisals such as the loss of employment for the participation in protests and strikes </w:t>
      </w:r>
      <w:r w:rsidR="00657E55">
        <w:rPr>
          <w:b/>
        </w:rPr>
        <w:t>carried out</w:t>
      </w:r>
      <w:r w:rsidR="00657E55" w:rsidRPr="002001BD">
        <w:rPr>
          <w:b/>
        </w:rPr>
        <w:t xml:space="preserve"> </w:t>
      </w:r>
      <w:r w:rsidRPr="002001BD">
        <w:rPr>
          <w:b/>
        </w:rPr>
        <w:t>in conformity with law must be prohibited and th</w:t>
      </w:r>
      <w:r w:rsidR="00B35393">
        <w:rPr>
          <w:b/>
        </w:rPr>
        <w:t>at</w:t>
      </w:r>
      <w:r w:rsidRPr="002001BD">
        <w:rPr>
          <w:b/>
        </w:rPr>
        <w:t xml:space="preserve"> redress must be granted to the victims of abuse.</w:t>
      </w:r>
    </w:p>
    <w:p w:rsidR="00175FCB" w:rsidRDefault="00175FCB" w:rsidP="002001BD">
      <w:pPr>
        <w:pStyle w:val="SingleTxtG"/>
        <w:numPr>
          <w:ilvl w:val="0"/>
          <w:numId w:val="19"/>
        </w:numPr>
        <w:tabs>
          <w:tab w:val="clear" w:pos="1494"/>
          <w:tab w:val="num" w:pos="1800"/>
        </w:tabs>
        <w:ind w:left="1128" w:firstLine="6"/>
      </w:pPr>
      <w:r w:rsidRPr="00D516C3">
        <w:t xml:space="preserve">The Committee is concerned </w:t>
      </w:r>
      <w:r>
        <w:t>that requirements</w:t>
      </w:r>
      <w:r w:rsidRPr="00D516C3">
        <w:t xml:space="preserve"> </w:t>
      </w:r>
      <w:r>
        <w:t xml:space="preserve">to receive </w:t>
      </w:r>
      <w:r w:rsidRPr="00D516C3">
        <w:t xml:space="preserve">the </w:t>
      </w:r>
      <w:r w:rsidRPr="00454B84">
        <w:t>universal allowance for children</w:t>
      </w:r>
      <w:r>
        <w:t xml:space="preserve"> (</w:t>
      </w:r>
      <w:r w:rsidRPr="00B35393">
        <w:t>Asignación Universal por Hijo</w:t>
      </w:r>
      <w:r>
        <w:t>)</w:t>
      </w:r>
      <w:r w:rsidR="003871A4">
        <w:t>,</w:t>
      </w:r>
      <w:r w:rsidR="004C5643">
        <w:t xml:space="preserve"> which is granted by law</w:t>
      </w:r>
      <w:r w:rsidR="003871A4">
        <w:t>,</w:t>
      </w:r>
      <w:r>
        <w:t xml:space="preserve"> </w:t>
      </w:r>
      <w:r w:rsidR="00DD19F2">
        <w:t xml:space="preserve">in practice </w:t>
      </w:r>
      <w:r>
        <w:t>exclude certain groups such as migrants and their children</w:t>
      </w:r>
      <w:r w:rsidR="00DD19F2">
        <w:t xml:space="preserve"> from </w:t>
      </w:r>
      <w:r w:rsidR="003871A4">
        <w:t xml:space="preserve">receiving </w:t>
      </w:r>
      <w:r w:rsidR="00DD19F2">
        <w:t>this benefit</w:t>
      </w:r>
      <w:r w:rsidRPr="00D516C3">
        <w:t>.</w:t>
      </w:r>
    </w:p>
    <w:p w:rsidR="00ED6175" w:rsidRDefault="00175FCB" w:rsidP="00B04111">
      <w:pPr>
        <w:pStyle w:val="SingleTxtG"/>
        <w:rPr>
          <w:b/>
        </w:rPr>
      </w:pPr>
      <w:r w:rsidRPr="002001BD">
        <w:rPr>
          <w:b/>
        </w:rPr>
        <w:t xml:space="preserve">The Committee </w:t>
      </w:r>
      <w:r w:rsidR="00A35259">
        <w:rPr>
          <w:b/>
        </w:rPr>
        <w:t xml:space="preserve">calls upon the State party to </w:t>
      </w:r>
      <w:r w:rsidRPr="002001BD">
        <w:rPr>
          <w:b/>
        </w:rPr>
        <w:t xml:space="preserve">consider adopting </w:t>
      </w:r>
      <w:r w:rsidR="00A35259">
        <w:rPr>
          <w:b/>
        </w:rPr>
        <w:t xml:space="preserve">all </w:t>
      </w:r>
      <w:r w:rsidRPr="002001BD">
        <w:rPr>
          <w:b/>
        </w:rPr>
        <w:t>the necessary measures to ensure</w:t>
      </w:r>
      <w:r w:rsidR="00D52A8C">
        <w:rPr>
          <w:b/>
        </w:rPr>
        <w:t xml:space="preserve"> the</w:t>
      </w:r>
      <w:r w:rsidRPr="002001BD">
        <w:rPr>
          <w:b/>
        </w:rPr>
        <w:t xml:space="preserve"> unrestricted coverage of </w:t>
      </w:r>
      <w:r w:rsidR="00B35393">
        <w:rPr>
          <w:b/>
        </w:rPr>
        <w:t xml:space="preserve">the </w:t>
      </w:r>
      <w:r w:rsidRPr="002001BD">
        <w:rPr>
          <w:b/>
        </w:rPr>
        <w:t xml:space="preserve">universal allowance for children, in particular </w:t>
      </w:r>
      <w:r w:rsidR="00B35393">
        <w:rPr>
          <w:b/>
        </w:rPr>
        <w:t xml:space="preserve">those </w:t>
      </w:r>
      <w:r w:rsidR="00A35259">
        <w:rPr>
          <w:b/>
        </w:rPr>
        <w:t>from</w:t>
      </w:r>
      <w:r w:rsidR="00A35259" w:rsidRPr="002001BD">
        <w:rPr>
          <w:b/>
        </w:rPr>
        <w:t xml:space="preserve"> </w:t>
      </w:r>
      <w:r w:rsidRPr="002001BD">
        <w:rPr>
          <w:b/>
        </w:rPr>
        <w:t xml:space="preserve">marginalized and disadvantaged groups, such as children of migrant workers in an irregular situation and children of persons deprived of their liberty. </w:t>
      </w:r>
    </w:p>
    <w:p w:rsidR="00175FCB" w:rsidRPr="004500CC" w:rsidRDefault="00175FCB" w:rsidP="00FC0013">
      <w:pPr>
        <w:pStyle w:val="SingleTxtG"/>
        <w:numPr>
          <w:ilvl w:val="0"/>
          <w:numId w:val="19"/>
        </w:numPr>
        <w:tabs>
          <w:tab w:val="clear" w:pos="1494"/>
          <w:tab w:val="num" w:pos="1800"/>
        </w:tabs>
        <w:ind w:left="1128" w:firstLine="6"/>
      </w:pPr>
      <w:r w:rsidRPr="004500CC">
        <w:t xml:space="preserve">The Committee reiterates its concern about the </w:t>
      </w:r>
      <w:r>
        <w:t xml:space="preserve">continuing </w:t>
      </w:r>
      <w:r w:rsidRPr="004500CC">
        <w:t>hou</w:t>
      </w:r>
      <w:r>
        <w:t>sing deficit in the State party</w:t>
      </w:r>
      <w:r w:rsidR="00B35393">
        <w:t xml:space="preserve"> (E/C.12/1/Add.38 para. 20</w:t>
      </w:r>
      <w:r w:rsidR="00B35393" w:rsidRPr="004500CC">
        <w:t>)</w:t>
      </w:r>
      <w:r>
        <w:t xml:space="preserve">, resulting from the gap between the needs of large parts of the society and the offer of adequate and affordable accommodation. The absence of reliable official analytical data in this respect constitutes an important obstacle to addressing this problem in an effective way. </w:t>
      </w:r>
      <w:r w:rsidRPr="004500CC">
        <w:t xml:space="preserve">The Committee </w:t>
      </w:r>
      <w:r>
        <w:t>is concerned that speculation with land, real estate, and construction has created difficulties in the access to housing for middle</w:t>
      </w:r>
      <w:r w:rsidR="00B35393">
        <w:t>-</w:t>
      </w:r>
      <w:r>
        <w:t xml:space="preserve"> and low</w:t>
      </w:r>
      <w:r w:rsidR="00B35393">
        <w:t>-</w:t>
      </w:r>
      <w:r>
        <w:t xml:space="preserve">income populations. It </w:t>
      </w:r>
      <w:r w:rsidRPr="004500CC">
        <w:t>also reiterates its concern over forced evictions of disadvantaged and marginalized individuals and groups</w:t>
      </w:r>
      <w:r w:rsidRPr="003759DC">
        <w:t xml:space="preserve"> </w:t>
      </w:r>
      <w:r>
        <w:t xml:space="preserve">in </w:t>
      </w:r>
      <w:r w:rsidRPr="004500CC">
        <w:t>contravention of the State party’s oblig</w:t>
      </w:r>
      <w:r>
        <w:t xml:space="preserve">ations under the Covenant, which affect in particular migrants and indigenous peoples </w:t>
      </w:r>
      <w:r w:rsidRPr="004500CC">
        <w:t>(</w:t>
      </w:r>
      <w:r>
        <w:t>art.</w:t>
      </w:r>
      <w:r w:rsidR="00B35393">
        <w:t xml:space="preserve"> </w:t>
      </w:r>
      <w:r>
        <w:t>11</w:t>
      </w:r>
      <w:r w:rsidR="00B35393">
        <w:t>, para.</w:t>
      </w:r>
      <w:r>
        <w:t xml:space="preserve"> 1). </w:t>
      </w:r>
    </w:p>
    <w:p w:rsidR="00175FCB" w:rsidRPr="00C52F2A" w:rsidRDefault="00175FCB" w:rsidP="00B04111">
      <w:pPr>
        <w:pStyle w:val="SingleTxtG"/>
        <w:rPr>
          <w:b/>
          <w:spacing w:val="-2"/>
        </w:rPr>
      </w:pPr>
      <w:r w:rsidRPr="00C52F2A">
        <w:rPr>
          <w:b/>
          <w:spacing w:val="-2"/>
        </w:rPr>
        <w:t xml:space="preserve">The Committee urges the State party to </w:t>
      </w:r>
      <w:r w:rsidR="006F7B1E" w:rsidRPr="00C52F2A">
        <w:rPr>
          <w:b/>
          <w:spacing w:val="-2"/>
        </w:rPr>
        <w:t xml:space="preserve">adopt </w:t>
      </w:r>
      <w:r w:rsidRPr="00C52F2A">
        <w:rPr>
          <w:b/>
          <w:spacing w:val="-2"/>
        </w:rPr>
        <w:t>housing policies with a view to ensuring access to adequate and affordable housing with legal security of tenure for everyone</w:t>
      </w:r>
      <w:r w:rsidR="00033E23" w:rsidRPr="00C52F2A">
        <w:rPr>
          <w:b/>
          <w:spacing w:val="-2"/>
        </w:rPr>
        <w:t>.</w:t>
      </w:r>
      <w:r w:rsidRPr="00C52F2A">
        <w:rPr>
          <w:b/>
          <w:spacing w:val="-2"/>
        </w:rPr>
        <w:t xml:space="preserve"> It calls upon the State party to effectively counter speculation in the land, real estate, and construction markets</w:t>
      </w:r>
      <w:r w:rsidR="00C52F2A" w:rsidRPr="00C52F2A">
        <w:rPr>
          <w:b/>
          <w:spacing w:val="-2"/>
        </w:rPr>
        <w:t>,</w:t>
      </w:r>
      <w:r w:rsidRPr="00C52F2A">
        <w:rPr>
          <w:b/>
          <w:spacing w:val="-2"/>
        </w:rPr>
        <w:t xml:space="preserve"> </w:t>
      </w:r>
      <w:r w:rsidR="00C52F2A" w:rsidRPr="00C52F2A">
        <w:rPr>
          <w:b/>
          <w:spacing w:val="-2"/>
        </w:rPr>
        <w:t>i</w:t>
      </w:r>
      <w:r w:rsidRPr="00C52F2A">
        <w:rPr>
          <w:b/>
          <w:spacing w:val="-2"/>
        </w:rPr>
        <w:t xml:space="preserve">n </w:t>
      </w:r>
      <w:r w:rsidR="00B35393" w:rsidRPr="00C52F2A">
        <w:rPr>
          <w:b/>
          <w:spacing w:val="-2"/>
        </w:rPr>
        <w:t xml:space="preserve">the </w:t>
      </w:r>
      <w:r w:rsidRPr="00C52F2A">
        <w:rPr>
          <w:b/>
          <w:spacing w:val="-2"/>
        </w:rPr>
        <w:t>light of the Committee’s general comment No. 4 (1991) on the right to adequate housing</w:t>
      </w:r>
      <w:r w:rsidR="00033E23" w:rsidRPr="00C52F2A">
        <w:rPr>
          <w:b/>
          <w:spacing w:val="-2"/>
        </w:rPr>
        <w:t xml:space="preserve">. The Committee </w:t>
      </w:r>
      <w:r w:rsidR="00951068" w:rsidRPr="00C52F2A">
        <w:rPr>
          <w:b/>
          <w:spacing w:val="-2"/>
        </w:rPr>
        <w:t>also urges</w:t>
      </w:r>
      <w:r w:rsidR="00033E23" w:rsidRPr="00C52F2A">
        <w:rPr>
          <w:b/>
          <w:spacing w:val="-2"/>
        </w:rPr>
        <w:t xml:space="preserve"> the State party to take specific measures, legislation or otherwise, to ensure that persons </w:t>
      </w:r>
      <w:r w:rsidR="00C52F2A" w:rsidRPr="00C52F2A">
        <w:rPr>
          <w:b/>
          <w:spacing w:val="-2"/>
        </w:rPr>
        <w:t xml:space="preserve">who are </w:t>
      </w:r>
      <w:r w:rsidR="00033E23" w:rsidRPr="00C52F2A">
        <w:rPr>
          <w:b/>
          <w:spacing w:val="-2"/>
        </w:rPr>
        <w:t xml:space="preserve">forcibly evicted are provided with alternative accommodation or just and fair compensation in line with </w:t>
      </w:r>
      <w:r w:rsidR="00C52F2A" w:rsidRPr="00C52F2A">
        <w:rPr>
          <w:b/>
          <w:spacing w:val="-2"/>
        </w:rPr>
        <w:t xml:space="preserve">the Committee’s </w:t>
      </w:r>
      <w:r w:rsidR="00033E23" w:rsidRPr="00C52F2A">
        <w:rPr>
          <w:b/>
          <w:spacing w:val="-2"/>
        </w:rPr>
        <w:t xml:space="preserve">general comment No. 7 (1997) </w:t>
      </w:r>
      <w:r w:rsidR="008432A7" w:rsidRPr="00C52F2A">
        <w:rPr>
          <w:b/>
          <w:spacing w:val="-2"/>
        </w:rPr>
        <w:t>on forced evictions</w:t>
      </w:r>
      <w:r w:rsidR="006F7B1E" w:rsidRPr="00C52F2A">
        <w:rPr>
          <w:b/>
          <w:spacing w:val="-2"/>
        </w:rPr>
        <w:t xml:space="preserve">. </w:t>
      </w:r>
    </w:p>
    <w:p w:rsidR="00175FCB" w:rsidRDefault="00175FCB" w:rsidP="002001BD">
      <w:pPr>
        <w:pStyle w:val="SingleTxtG"/>
        <w:numPr>
          <w:ilvl w:val="0"/>
          <w:numId w:val="19"/>
        </w:numPr>
        <w:tabs>
          <w:tab w:val="clear" w:pos="1494"/>
          <w:tab w:val="num" w:pos="1800"/>
        </w:tabs>
        <w:ind w:left="1128" w:firstLine="6"/>
      </w:pPr>
      <w:r w:rsidRPr="002001BD">
        <w:t>The Committee</w:t>
      </w:r>
      <w:r w:rsidR="006F7B1E">
        <w:t xml:space="preserve"> </w:t>
      </w:r>
      <w:r w:rsidR="006F7B1E" w:rsidRPr="002001BD">
        <w:t>reiterates its concern about the inadequate reproductive health</w:t>
      </w:r>
      <w:r w:rsidR="00C52F2A">
        <w:t>-</w:t>
      </w:r>
      <w:r w:rsidR="006F7B1E" w:rsidRPr="002001BD">
        <w:t>care services for girls and women in the State party, the shortcomings of which result in the high maternal mortality rate and the overall high rates of teenage pregnancies</w:t>
      </w:r>
      <w:r w:rsidR="00C52F2A">
        <w:t xml:space="preserve"> </w:t>
      </w:r>
      <w:r w:rsidR="00C52F2A" w:rsidRPr="002001BD">
        <w:t>(E/C.12/1/Add.8, para. 24)</w:t>
      </w:r>
      <w:r w:rsidR="006F7B1E">
        <w:t xml:space="preserve">. It notes in particular </w:t>
      </w:r>
      <w:r w:rsidRPr="002001BD">
        <w:t>significant provincial disparities. It also notes with concern that unsafe abortions remain a main cause of maternal mortality (arts. 10 and 12).</w:t>
      </w:r>
      <w:r w:rsidRPr="008B3275">
        <w:t xml:space="preserve"> </w:t>
      </w:r>
    </w:p>
    <w:p w:rsidR="00175FCB" w:rsidRPr="00CB7503" w:rsidRDefault="00175FCB" w:rsidP="00B04111">
      <w:pPr>
        <w:pStyle w:val="SingleTxtG"/>
        <w:rPr>
          <w:spacing w:val="-2"/>
        </w:rPr>
      </w:pPr>
      <w:r w:rsidRPr="00CB7503">
        <w:rPr>
          <w:b/>
          <w:spacing w:val="-2"/>
        </w:rPr>
        <w:t>The Committee urges the State party to ensure the implementation of the law on sexual and reproductive health in all provinces and guarantee affordable access for everyone, especially adolescents, to comprehensive sexual and reproductive health education and services, with a view</w:t>
      </w:r>
      <w:r w:rsidR="002E4D59">
        <w:rPr>
          <w:b/>
          <w:spacing w:val="-2"/>
        </w:rPr>
        <w:t xml:space="preserve"> to,</w:t>
      </w:r>
      <w:r w:rsidRPr="00CB7503">
        <w:rPr>
          <w:b/>
          <w:spacing w:val="-2"/>
        </w:rPr>
        <w:t xml:space="preserve"> </w:t>
      </w:r>
      <w:r w:rsidRPr="002E4D59">
        <w:rPr>
          <w:b/>
          <w:spacing w:val="-2"/>
        </w:rPr>
        <w:t>inter alia</w:t>
      </w:r>
      <w:r w:rsidR="002E4D59">
        <w:rPr>
          <w:b/>
          <w:spacing w:val="-2"/>
        </w:rPr>
        <w:t>,</w:t>
      </w:r>
      <w:r w:rsidRPr="00CB7503">
        <w:rPr>
          <w:b/>
          <w:spacing w:val="-2"/>
        </w:rPr>
        <w:t xml:space="preserve"> addressing the high maternal mortality rate. The Committee recommends that the State party carry out programmes to raise public awareness on sexual and reproductive health. It also recommends that the State party take the necessary measures to guarantee access to </w:t>
      </w:r>
      <w:r w:rsidR="00BD5A7F" w:rsidRPr="00CB7503">
        <w:rPr>
          <w:b/>
          <w:spacing w:val="-2"/>
        </w:rPr>
        <w:t>legal</w:t>
      </w:r>
      <w:r w:rsidRPr="00CB7503">
        <w:rPr>
          <w:b/>
          <w:spacing w:val="-2"/>
        </w:rPr>
        <w:t xml:space="preserve"> abortions to decrease avoidable maternal deaths and that it guarantee access to health facilities, supplies and services to diminish pre</w:t>
      </w:r>
      <w:r w:rsidR="002E4D59">
        <w:rPr>
          <w:b/>
          <w:spacing w:val="-2"/>
        </w:rPr>
        <w:t>-</w:t>
      </w:r>
      <w:r w:rsidRPr="00CB7503">
        <w:rPr>
          <w:b/>
          <w:spacing w:val="-2"/>
        </w:rPr>
        <w:t xml:space="preserve"> and post</w:t>
      </w:r>
      <w:r w:rsidR="002E4D59">
        <w:rPr>
          <w:b/>
          <w:spacing w:val="-2"/>
        </w:rPr>
        <w:t>-</w:t>
      </w:r>
      <w:r w:rsidRPr="00CB7503">
        <w:rPr>
          <w:b/>
          <w:spacing w:val="-2"/>
        </w:rPr>
        <w:t>abortion risks</w:t>
      </w:r>
      <w:r w:rsidRPr="00CB7503">
        <w:rPr>
          <w:spacing w:val="-2"/>
        </w:rPr>
        <w:t xml:space="preserve">. </w:t>
      </w:r>
    </w:p>
    <w:p w:rsidR="00175FCB" w:rsidRPr="007D7E05" w:rsidRDefault="00175FCB" w:rsidP="002001BD">
      <w:pPr>
        <w:pStyle w:val="SingleTxtG"/>
        <w:numPr>
          <w:ilvl w:val="0"/>
          <w:numId w:val="19"/>
        </w:numPr>
        <w:tabs>
          <w:tab w:val="clear" w:pos="1494"/>
          <w:tab w:val="num" w:pos="1800"/>
        </w:tabs>
        <w:ind w:left="1128" w:firstLine="6"/>
      </w:pPr>
      <w:r w:rsidRPr="007D7E05">
        <w:t xml:space="preserve">The Committee is concerned about the high level of tobacco consumption in the State party, especially among </w:t>
      </w:r>
      <w:r w:rsidR="00BD4136">
        <w:t xml:space="preserve">women and </w:t>
      </w:r>
      <w:r w:rsidRPr="007D7E05">
        <w:t>youth</w:t>
      </w:r>
      <w:r>
        <w:t xml:space="preserve"> </w:t>
      </w:r>
      <w:r w:rsidRPr="005622C5">
        <w:t>(art. 12, para. 1)</w:t>
      </w:r>
      <w:r>
        <w:t xml:space="preserve">. </w:t>
      </w:r>
    </w:p>
    <w:p w:rsidR="00175FCB" w:rsidRPr="002001BD" w:rsidRDefault="00175FCB" w:rsidP="00B04111">
      <w:pPr>
        <w:pStyle w:val="SingleTxtG"/>
        <w:rPr>
          <w:b/>
        </w:rPr>
      </w:pPr>
      <w:r w:rsidRPr="002001BD">
        <w:rPr>
          <w:b/>
        </w:rPr>
        <w:t xml:space="preserve">The Committee recommends that the State party ratify and implement the WHO Framework Convention on Tobacco Control and develop effective public awareness and </w:t>
      </w:r>
      <w:r w:rsidR="00033E23">
        <w:rPr>
          <w:b/>
        </w:rPr>
        <w:t xml:space="preserve">tax and </w:t>
      </w:r>
      <w:r w:rsidR="00BD4136">
        <w:rPr>
          <w:b/>
        </w:rPr>
        <w:t>pricing</w:t>
      </w:r>
      <w:r w:rsidR="00BD4136" w:rsidRPr="002001BD">
        <w:rPr>
          <w:b/>
        </w:rPr>
        <w:t xml:space="preserve"> </w:t>
      </w:r>
      <w:r w:rsidRPr="002001BD">
        <w:rPr>
          <w:b/>
        </w:rPr>
        <w:t xml:space="preserve">policies to reduce tobacco consumption, in particular targeting </w:t>
      </w:r>
      <w:r w:rsidR="00BD4136">
        <w:rPr>
          <w:b/>
        </w:rPr>
        <w:t xml:space="preserve">women and </w:t>
      </w:r>
      <w:r w:rsidR="00BD5A7F">
        <w:rPr>
          <w:b/>
        </w:rPr>
        <w:t>youth</w:t>
      </w:r>
      <w:r w:rsidRPr="002001BD">
        <w:rPr>
          <w:b/>
        </w:rPr>
        <w:t xml:space="preserve">. </w:t>
      </w:r>
    </w:p>
    <w:p w:rsidR="00175FCB" w:rsidRPr="006A4562" w:rsidRDefault="00175FCB" w:rsidP="002001BD">
      <w:pPr>
        <w:pStyle w:val="SingleTxtG"/>
        <w:numPr>
          <w:ilvl w:val="0"/>
          <w:numId w:val="19"/>
        </w:numPr>
        <w:tabs>
          <w:tab w:val="clear" w:pos="1494"/>
          <w:tab w:val="num" w:pos="1800"/>
        </w:tabs>
        <w:ind w:left="1128" w:firstLine="6"/>
        <w:rPr>
          <w:b/>
        </w:rPr>
      </w:pPr>
      <w:r>
        <w:t xml:space="preserve">The Committee is concerned that </w:t>
      </w:r>
      <w:r w:rsidR="0048512B">
        <w:t xml:space="preserve">despite the efforts by the State party to ensure </w:t>
      </w:r>
      <w:r>
        <w:t>universal access to education</w:t>
      </w:r>
      <w:r w:rsidR="005E2074">
        <w:t xml:space="preserve"> there are still incidences of children remaining outside of the education system,</w:t>
      </w:r>
      <w:r>
        <w:t xml:space="preserve"> </w:t>
      </w:r>
      <w:r w:rsidRPr="007B3348">
        <w:t>illiteracy</w:t>
      </w:r>
      <w:r>
        <w:t>,</w:t>
      </w:r>
      <w:r w:rsidRPr="007B3348">
        <w:t xml:space="preserve"> </w:t>
      </w:r>
      <w:r w:rsidR="002E3E11">
        <w:t xml:space="preserve">course </w:t>
      </w:r>
      <w:r>
        <w:t xml:space="preserve">repetition </w:t>
      </w:r>
      <w:r w:rsidR="002E3E11">
        <w:t xml:space="preserve">and school </w:t>
      </w:r>
      <w:r>
        <w:t xml:space="preserve">dropout, especially </w:t>
      </w:r>
      <w:r w:rsidRPr="007B3348">
        <w:t xml:space="preserve">among </w:t>
      </w:r>
      <w:r w:rsidR="00033E23">
        <w:t xml:space="preserve">disadvantaged and </w:t>
      </w:r>
      <w:r w:rsidRPr="007B3348">
        <w:t xml:space="preserve">marginalized </w:t>
      </w:r>
      <w:r>
        <w:t xml:space="preserve">indigenous </w:t>
      </w:r>
      <w:r w:rsidR="003B480C">
        <w:t>communities</w:t>
      </w:r>
      <w:r w:rsidRPr="007B3348">
        <w:t>.</w:t>
      </w:r>
      <w:r>
        <w:t xml:space="preserve"> It also</w:t>
      </w:r>
      <w:r w:rsidRPr="007B3348">
        <w:t xml:space="preserve"> notes with regret that </w:t>
      </w:r>
      <w:r>
        <w:t xml:space="preserve">indigenous </w:t>
      </w:r>
      <w:r w:rsidR="00033E23">
        <w:t xml:space="preserve">communities </w:t>
      </w:r>
      <w:r>
        <w:t xml:space="preserve">do not always enjoy the </w:t>
      </w:r>
      <w:r w:rsidRPr="007B3348">
        <w:t>right to intercultural bilingual education</w:t>
      </w:r>
      <w:r>
        <w:t xml:space="preserve"> </w:t>
      </w:r>
      <w:r w:rsidRPr="007B3348">
        <w:t>(art. 13)</w:t>
      </w:r>
      <w:r>
        <w:t>.</w:t>
      </w:r>
      <w:r w:rsidRPr="0000620E">
        <w:rPr>
          <w:rStyle w:val="FootnoteReference"/>
        </w:rPr>
        <w:t xml:space="preserve"> </w:t>
      </w:r>
    </w:p>
    <w:p w:rsidR="00175FCB" w:rsidRDefault="00175FCB" w:rsidP="00B04111">
      <w:pPr>
        <w:pStyle w:val="SingleTxtG"/>
        <w:rPr>
          <w:b/>
        </w:rPr>
      </w:pPr>
      <w:r w:rsidRPr="002001BD">
        <w:rPr>
          <w:b/>
        </w:rPr>
        <w:t>The Committee recommends that the State party effectively implement existing legislation to guarantee the right to education</w:t>
      </w:r>
      <w:r w:rsidR="005E2074">
        <w:rPr>
          <w:b/>
        </w:rPr>
        <w:t xml:space="preserve"> and to address, in particular, the problems of </w:t>
      </w:r>
      <w:r w:rsidR="005E2074" w:rsidRPr="005E2074">
        <w:rPr>
          <w:b/>
        </w:rPr>
        <w:t xml:space="preserve">children remaining outside the education system, illiteracy, </w:t>
      </w:r>
      <w:r w:rsidR="005E2074">
        <w:rPr>
          <w:b/>
        </w:rPr>
        <w:t>course</w:t>
      </w:r>
      <w:r w:rsidR="005E2074" w:rsidRPr="005E2074">
        <w:rPr>
          <w:b/>
        </w:rPr>
        <w:t xml:space="preserve"> repetition and </w:t>
      </w:r>
      <w:r w:rsidR="005E2074" w:rsidRPr="00D610AD">
        <w:rPr>
          <w:b/>
        </w:rPr>
        <w:t>school</w:t>
      </w:r>
      <w:r w:rsidR="005E2074" w:rsidRPr="005E2074">
        <w:rPr>
          <w:b/>
        </w:rPr>
        <w:t xml:space="preserve"> dropout</w:t>
      </w:r>
      <w:r w:rsidRPr="002001BD">
        <w:rPr>
          <w:b/>
        </w:rPr>
        <w:t xml:space="preserve">. </w:t>
      </w:r>
      <w:r w:rsidR="002E3E11">
        <w:rPr>
          <w:b/>
        </w:rPr>
        <w:t xml:space="preserve">The Committee urges the State party to continue its </w:t>
      </w:r>
      <w:r w:rsidRPr="002001BD">
        <w:rPr>
          <w:b/>
        </w:rPr>
        <w:t>efforts to remove disparities between different societal groups and promote the educational advancement of th</w:t>
      </w:r>
      <w:r w:rsidR="002E3E11">
        <w:rPr>
          <w:b/>
        </w:rPr>
        <w:t>ose</w:t>
      </w:r>
      <w:r w:rsidRPr="002001BD">
        <w:rPr>
          <w:b/>
        </w:rPr>
        <w:t xml:space="preserve"> disadvantaged and marginalized groups and provinces. It also recommends that the State party undertake effective steps to guarantee the access to intercultural education of indigenous peoples and to ensure that it is adapted to their specific needs.</w:t>
      </w:r>
    </w:p>
    <w:p w:rsidR="0001632A" w:rsidRDefault="0001632A" w:rsidP="0001632A">
      <w:pPr>
        <w:pStyle w:val="SingleTxtG"/>
        <w:numPr>
          <w:ilvl w:val="0"/>
          <w:numId w:val="19"/>
        </w:numPr>
        <w:tabs>
          <w:tab w:val="clear" w:pos="1494"/>
          <w:tab w:val="num" w:pos="1800"/>
        </w:tabs>
        <w:ind w:left="1128" w:firstLine="6"/>
        <w:rPr>
          <w:rFonts w:ascii="Tms Rmn" w:hAnsi="Tms Rmn" w:cs="Tms Rmn"/>
          <w:lang w:val="en-US"/>
        </w:rPr>
      </w:pPr>
      <w:r>
        <w:rPr>
          <w:lang w:val="en-US"/>
        </w:rPr>
        <w:t xml:space="preserve">The Committee </w:t>
      </w:r>
      <w:r w:rsidR="00864F2A">
        <w:rPr>
          <w:lang w:val="en-US"/>
        </w:rPr>
        <w:t xml:space="preserve">regrets the insufficient information </w:t>
      </w:r>
      <w:r w:rsidR="0048512B">
        <w:rPr>
          <w:lang w:val="en-US"/>
        </w:rPr>
        <w:t xml:space="preserve">from the State party </w:t>
      </w:r>
      <w:r w:rsidR="00864F2A">
        <w:rPr>
          <w:lang w:val="en-US"/>
        </w:rPr>
        <w:t xml:space="preserve">regarding the </w:t>
      </w:r>
      <w:r w:rsidR="00A136E6">
        <w:rPr>
          <w:lang w:val="en-US"/>
        </w:rPr>
        <w:t xml:space="preserve">protection </w:t>
      </w:r>
      <w:r w:rsidR="00864F2A">
        <w:rPr>
          <w:lang w:val="en-US"/>
        </w:rPr>
        <w:t>of</w:t>
      </w:r>
      <w:r>
        <w:rPr>
          <w:lang w:val="en-US"/>
        </w:rPr>
        <w:t xml:space="preserve"> the</w:t>
      </w:r>
      <w:r w:rsidR="00864F2A">
        <w:rPr>
          <w:lang w:val="en-US"/>
        </w:rPr>
        <w:t xml:space="preserve"> </w:t>
      </w:r>
      <w:r>
        <w:rPr>
          <w:lang w:val="en-US"/>
        </w:rPr>
        <w:t xml:space="preserve">collective </w:t>
      </w:r>
      <w:r w:rsidR="002E3E11">
        <w:rPr>
          <w:lang w:val="en-US"/>
        </w:rPr>
        <w:t>rights of</w:t>
      </w:r>
      <w:r>
        <w:rPr>
          <w:lang w:val="en-US"/>
        </w:rPr>
        <w:t xml:space="preserve"> indigenous peoples </w:t>
      </w:r>
      <w:r w:rsidR="0048512B">
        <w:rPr>
          <w:lang w:val="en-US"/>
        </w:rPr>
        <w:t xml:space="preserve">related to </w:t>
      </w:r>
      <w:r>
        <w:rPr>
          <w:lang w:val="en-US"/>
        </w:rPr>
        <w:t xml:space="preserve">their </w:t>
      </w:r>
      <w:r w:rsidRPr="0001632A">
        <w:t>traditional</w:t>
      </w:r>
      <w:r>
        <w:rPr>
          <w:lang w:val="en-US"/>
        </w:rPr>
        <w:t xml:space="preserve"> knowledge and cultural heritage in the State party</w:t>
      </w:r>
      <w:r w:rsidR="002145BF">
        <w:rPr>
          <w:lang w:val="en-US"/>
        </w:rPr>
        <w:t>, including ancestral lands, as an integral part of their cultural identity</w:t>
      </w:r>
      <w:r w:rsidR="00A136E6">
        <w:rPr>
          <w:lang w:val="en-US"/>
        </w:rPr>
        <w:t xml:space="preserve"> (art. 15)</w:t>
      </w:r>
      <w:r>
        <w:rPr>
          <w:lang w:val="en-US"/>
        </w:rPr>
        <w:t>.</w:t>
      </w:r>
      <w:r>
        <w:rPr>
          <w:rFonts w:ascii="Tms Rmn" w:hAnsi="Tms Rmn" w:cs="Tms Rmn"/>
          <w:lang w:val="en-US"/>
        </w:rPr>
        <w:t xml:space="preserve"> </w:t>
      </w:r>
    </w:p>
    <w:p w:rsidR="0001632A" w:rsidRPr="0001632A" w:rsidRDefault="0001632A" w:rsidP="00CA7A3E">
      <w:pPr>
        <w:pStyle w:val="SingleTxtG"/>
        <w:rPr>
          <w:b/>
        </w:rPr>
      </w:pPr>
      <w:r w:rsidRPr="0001632A">
        <w:rPr>
          <w:b/>
          <w:lang w:val="en-US"/>
        </w:rPr>
        <w:t xml:space="preserve">The Committee recommends that the State party </w:t>
      </w:r>
      <w:r w:rsidR="002E3E11">
        <w:rPr>
          <w:b/>
          <w:lang w:val="en-US"/>
        </w:rPr>
        <w:t xml:space="preserve">provide, in its next periodic report, comprehensive information about </w:t>
      </w:r>
      <w:r w:rsidR="00E66061">
        <w:rPr>
          <w:b/>
          <w:lang w:val="en-US"/>
        </w:rPr>
        <w:t>specific</w:t>
      </w:r>
      <w:r w:rsidR="0074336C">
        <w:rPr>
          <w:b/>
          <w:lang w:val="en-US"/>
        </w:rPr>
        <w:t xml:space="preserve"> and</w:t>
      </w:r>
      <w:r w:rsidR="00E66061">
        <w:rPr>
          <w:b/>
          <w:lang w:val="en-US"/>
        </w:rPr>
        <w:t xml:space="preserve"> effective measures, including </w:t>
      </w:r>
      <w:r w:rsidRPr="0001632A">
        <w:rPr>
          <w:b/>
          <w:lang w:val="en-US"/>
        </w:rPr>
        <w:t>legislation</w:t>
      </w:r>
      <w:r w:rsidR="00BA7E2E">
        <w:rPr>
          <w:b/>
          <w:lang w:val="en-US"/>
        </w:rPr>
        <w:t>,</w:t>
      </w:r>
      <w:r w:rsidRPr="0001632A">
        <w:rPr>
          <w:b/>
          <w:lang w:val="en-US"/>
        </w:rPr>
        <w:t xml:space="preserve"> to</w:t>
      </w:r>
      <w:r w:rsidR="00E66061">
        <w:rPr>
          <w:b/>
          <w:lang w:val="en-US"/>
        </w:rPr>
        <w:t xml:space="preserve"> acknowledge</w:t>
      </w:r>
      <w:r w:rsidRPr="0001632A">
        <w:rPr>
          <w:b/>
          <w:lang w:val="en-US"/>
        </w:rPr>
        <w:t xml:space="preserve"> and protect the traditional knowledge and cultural heritage</w:t>
      </w:r>
      <w:r w:rsidR="00E66061">
        <w:rPr>
          <w:b/>
          <w:lang w:val="en-US"/>
        </w:rPr>
        <w:t xml:space="preserve"> </w:t>
      </w:r>
      <w:r w:rsidR="002E3E11">
        <w:rPr>
          <w:b/>
          <w:lang w:val="en-US"/>
        </w:rPr>
        <w:t xml:space="preserve">of indigenous peoples, </w:t>
      </w:r>
      <w:r w:rsidR="00E66061">
        <w:rPr>
          <w:b/>
          <w:lang w:val="en-US"/>
        </w:rPr>
        <w:t>including their ancestral lands</w:t>
      </w:r>
      <w:r w:rsidRPr="0001632A">
        <w:rPr>
          <w:b/>
          <w:lang w:val="en-US"/>
        </w:rPr>
        <w:t>, in line with the Committee’s general comment</w:t>
      </w:r>
      <w:r w:rsidR="0048512B">
        <w:rPr>
          <w:b/>
          <w:lang w:val="en-US"/>
        </w:rPr>
        <w:t>s</w:t>
      </w:r>
      <w:r w:rsidRPr="0001632A">
        <w:rPr>
          <w:b/>
          <w:lang w:val="en-US"/>
        </w:rPr>
        <w:t xml:space="preserve"> No. 17</w:t>
      </w:r>
      <w:r w:rsidR="0048512B">
        <w:rPr>
          <w:b/>
          <w:lang w:val="en-US"/>
        </w:rPr>
        <w:t xml:space="preserve"> </w:t>
      </w:r>
      <w:r w:rsidR="00815AB1">
        <w:rPr>
          <w:b/>
          <w:lang w:val="en-US"/>
        </w:rPr>
        <w:t>(2005)</w:t>
      </w:r>
      <w:r w:rsidR="006A0BE0">
        <w:rPr>
          <w:b/>
          <w:lang w:val="en-US"/>
        </w:rPr>
        <w:t xml:space="preserve"> on the </w:t>
      </w:r>
      <w:r w:rsidR="006A0BE0" w:rsidRPr="006A0BE0">
        <w:rPr>
          <w:b/>
          <w:lang w:val="en-US"/>
        </w:rPr>
        <w:t>right of everyone to benefit from the protection of the moral and material interests resulting from any scientific, literary or artistic production of which he is the author</w:t>
      </w:r>
      <w:r w:rsidR="006A0BE0">
        <w:rPr>
          <w:b/>
          <w:lang w:val="en-US"/>
        </w:rPr>
        <w:t xml:space="preserve"> </w:t>
      </w:r>
      <w:r w:rsidR="0048512B">
        <w:rPr>
          <w:b/>
          <w:lang w:val="en-US"/>
        </w:rPr>
        <w:t xml:space="preserve">and </w:t>
      </w:r>
      <w:r w:rsidR="00A22FD5">
        <w:rPr>
          <w:b/>
          <w:lang w:val="en-US"/>
        </w:rPr>
        <w:t xml:space="preserve">No. </w:t>
      </w:r>
      <w:r w:rsidR="0048512B">
        <w:rPr>
          <w:b/>
          <w:lang w:val="en-US"/>
        </w:rPr>
        <w:t>21</w:t>
      </w:r>
      <w:r w:rsidR="00815AB1">
        <w:rPr>
          <w:b/>
          <w:lang w:val="en-US"/>
        </w:rPr>
        <w:t xml:space="preserve"> (2009</w:t>
      </w:r>
      <w:r w:rsidR="006A0BE0">
        <w:rPr>
          <w:b/>
          <w:lang w:val="en-US"/>
        </w:rPr>
        <w:t xml:space="preserve">) on the right </w:t>
      </w:r>
      <w:r w:rsidR="006A0BE0" w:rsidRPr="006A0BE0">
        <w:rPr>
          <w:b/>
          <w:lang w:val="en-US"/>
        </w:rPr>
        <w:t>of everyone to take part in cultural life</w:t>
      </w:r>
      <w:r w:rsidRPr="0001632A">
        <w:rPr>
          <w:b/>
          <w:lang w:val="en-US"/>
        </w:rPr>
        <w:t>.</w:t>
      </w:r>
      <w:r w:rsidR="006A0BE0" w:rsidRPr="006A0BE0">
        <w:rPr>
          <w:b/>
          <w:lang w:val="en-US"/>
        </w:rPr>
        <w:t xml:space="preserve"> </w:t>
      </w:r>
    </w:p>
    <w:p w:rsidR="002145BF" w:rsidRDefault="00BA7E2E" w:rsidP="00ED6175">
      <w:pPr>
        <w:pStyle w:val="SingleTxtG"/>
        <w:numPr>
          <w:ilvl w:val="0"/>
          <w:numId w:val="19"/>
        </w:numPr>
        <w:tabs>
          <w:tab w:val="clear" w:pos="1494"/>
          <w:tab w:val="num" w:pos="1800"/>
        </w:tabs>
        <w:ind w:left="1128" w:firstLine="6"/>
        <w:rPr>
          <w:b/>
        </w:rPr>
      </w:pPr>
      <w:r>
        <w:rPr>
          <w:b/>
        </w:rPr>
        <w:t>Th</w:t>
      </w:r>
      <w:r w:rsidR="00A5395D">
        <w:rPr>
          <w:b/>
        </w:rPr>
        <w:t>e Committee</w:t>
      </w:r>
      <w:r>
        <w:rPr>
          <w:b/>
        </w:rPr>
        <w:t xml:space="preserve"> encourages the S</w:t>
      </w:r>
      <w:r w:rsidR="00A5395D">
        <w:rPr>
          <w:b/>
        </w:rPr>
        <w:t>tate party</w:t>
      </w:r>
      <w:r>
        <w:rPr>
          <w:b/>
        </w:rPr>
        <w:t xml:space="preserve"> to provide additional </w:t>
      </w:r>
      <w:r w:rsidR="00A5395D">
        <w:rPr>
          <w:b/>
        </w:rPr>
        <w:t xml:space="preserve">and more detailed </w:t>
      </w:r>
      <w:r>
        <w:rPr>
          <w:b/>
        </w:rPr>
        <w:t>information</w:t>
      </w:r>
      <w:r w:rsidR="00A5395D">
        <w:rPr>
          <w:b/>
        </w:rPr>
        <w:t xml:space="preserve"> in its next periodic report with respect to the measures in place to ensure the right </w:t>
      </w:r>
      <w:r w:rsidR="00A5395D" w:rsidRPr="00A5395D">
        <w:rPr>
          <w:b/>
        </w:rPr>
        <w:t>of everyone to benefit from scientific</w:t>
      </w:r>
      <w:r w:rsidR="00835E9E">
        <w:rPr>
          <w:b/>
        </w:rPr>
        <w:t xml:space="preserve"> progress </w:t>
      </w:r>
      <w:r w:rsidR="0048512B">
        <w:rPr>
          <w:b/>
        </w:rPr>
        <w:t xml:space="preserve">and its </w:t>
      </w:r>
      <w:r w:rsidR="00835E9E">
        <w:rPr>
          <w:b/>
        </w:rPr>
        <w:t xml:space="preserve">practical </w:t>
      </w:r>
      <w:r w:rsidR="0048512B">
        <w:rPr>
          <w:b/>
        </w:rPr>
        <w:t>application, in line with article 15</w:t>
      </w:r>
      <w:r w:rsidR="002C5A9D">
        <w:rPr>
          <w:b/>
        </w:rPr>
        <w:t>, paragraph</w:t>
      </w:r>
      <w:r w:rsidR="0048512B">
        <w:rPr>
          <w:b/>
        </w:rPr>
        <w:t xml:space="preserve"> 1</w:t>
      </w:r>
      <w:r w:rsidR="00835E9E">
        <w:rPr>
          <w:b/>
        </w:rPr>
        <w:t xml:space="preserve"> </w:t>
      </w:r>
      <w:r w:rsidR="002C5A9D">
        <w:rPr>
          <w:b/>
        </w:rPr>
        <w:t>(</w:t>
      </w:r>
      <w:r w:rsidR="0048512B">
        <w:rPr>
          <w:b/>
        </w:rPr>
        <w:t>b</w:t>
      </w:r>
      <w:r w:rsidR="002C5A9D">
        <w:rPr>
          <w:b/>
        </w:rPr>
        <w:t>)</w:t>
      </w:r>
      <w:r w:rsidR="00786FDA">
        <w:rPr>
          <w:b/>
        </w:rPr>
        <w:t>,</w:t>
      </w:r>
      <w:r w:rsidR="0048512B">
        <w:rPr>
          <w:b/>
        </w:rPr>
        <w:t xml:space="preserve"> of the Covenant.</w:t>
      </w:r>
      <w:r w:rsidR="00A5395D">
        <w:rPr>
          <w:b/>
        </w:rPr>
        <w:t xml:space="preserve"> </w:t>
      </w:r>
      <w:r>
        <w:rPr>
          <w:b/>
        </w:rPr>
        <w:t xml:space="preserve"> </w:t>
      </w:r>
    </w:p>
    <w:p w:rsidR="00175FCB" w:rsidRPr="002001BD" w:rsidRDefault="00175FCB" w:rsidP="002001BD">
      <w:pPr>
        <w:pStyle w:val="SingleTxtG"/>
        <w:numPr>
          <w:ilvl w:val="0"/>
          <w:numId w:val="19"/>
        </w:numPr>
        <w:tabs>
          <w:tab w:val="clear" w:pos="1494"/>
          <w:tab w:val="num" w:pos="1800"/>
        </w:tabs>
        <w:ind w:left="1128" w:firstLine="6"/>
        <w:rPr>
          <w:b/>
        </w:rPr>
      </w:pPr>
      <w:r w:rsidRPr="002001BD">
        <w:rPr>
          <w:b/>
        </w:rPr>
        <w:t xml:space="preserve">The Committee requests the State party to disseminate the present concluding observations widely among all sectors of society, in particular among State officials, the judiciary and civil society organizations, to translate and publicize them as far as possible, and to inform the Committee on the steps taken to implement them in its next periodic report or earlier, as appropriate. It also encourages the State party to continue </w:t>
      </w:r>
      <w:r w:rsidR="00F564F5">
        <w:rPr>
          <w:b/>
        </w:rPr>
        <w:t xml:space="preserve">to </w:t>
      </w:r>
      <w:r w:rsidRPr="002001BD">
        <w:rPr>
          <w:b/>
        </w:rPr>
        <w:t>engag</w:t>
      </w:r>
      <w:r w:rsidR="00F564F5">
        <w:rPr>
          <w:b/>
        </w:rPr>
        <w:t>e</w:t>
      </w:r>
      <w:r w:rsidRPr="002001BD">
        <w:rPr>
          <w:b/>
        </w:rPr>
        <w:t xml:space="preserve"> national human rights institutions, non-governmental organizations and other members of civil society in the process of designing plans for the implementation of the</w:t>
      </w:r>
      <w:r w:rsidR="00F564F5">
        <w:rPr>
          <w:b/>
        </w:rPr>
        <w:t xml:space="preserve"> present</w:t>
      </w:r>
      <w:r w:rsidRPr="002001BD">
        <w:rPr>
          <w:b/>
        </w:rPr>
        <w:t xml:space="preserve"> concluding observations and in discussions at the national level prior to the submission of its next periodic report.</w:t>
      </w:r>
    </w:p>
    <w:p w:rsidR="00175FCB" w:rsidRPr="002001BD" w:rsidRDefault="00175FCB" w:rsidP="002001BD">
      <w:pPr>
        <w:pStyle w:val="SingleTxtG"/>
        <w:numPr>
          <w:ilvl w:val="0"/>
          <w:numId w:val="19"/>
        </w:numPr>
        <w:tabs>
          <w:tab w:val="clear" w:pos="1494"/>
          <w:tab w:val="num" w:pos="1800"/>
        </w:tabs>
        <w:ind w:left="1128" w:firstLine="6"/>
        <w:rPr>
          <w:b/>
          <w:color w:val="000000"/>
        </w:rPr>
      </w:pPr>
      <w:r w:rsidRPr="002001BD">
        <w:rPr>
          <w:b/>
        </w:rPr>
        <w:t xml:space="preserve">The Committee requests the State party to submit its fourth periodic report, prepared in accordance with the revised reporting guidelines of the Committee, adopted in 2008 (E/C.12/2008/2), by </w:t>
      </w:r>
      <w:r w:rsidR="00815AB1">
        <w:rPr>
          <w:b/>
        </w:rPr>
        <w:t xml:space="preserve">2 </w:t>
      </w:r>
      <w:r w:rsidR="00691017">
        <w:rPr>
          <w:b/>
        </w:rPr>
        <w:t>December 2016</w:t>
      </w:r>
      <w:r w:rsidRPr="002001BD">
        <w:rPr>
          <w:b/>
        </w:rPr>
        <w:t>.</w:t>
      </w:r>
    </w:p>
    <w:p w:rsidR="001C6663" w:rsidRPr="00175FCB" w:rsidRDefault="00175FCB" w:rsidP="00175FCB">
      <w:pPr>
        <w:spacing w:before="240"/>
        <w:ind w:left="1134" w:right="1134"/>
        <w:jc w:val="center"/>
        <w:rPr>
          <w:u w:val="single"/>
        </w:rPr>
      </w:pPr>
      <w:r>
        <w:rPr>
          <w:u w:val="single"/>
        </w:rPr>
        <w:tab/>
      </w:r>
      <w:r>
        <w:rPr>
          <w:u w:val="single"/>
        </w:rPr>
        <w:tab/>
      </w:r>
      <w:r>
        <w:rPr>
          <w:u w:val="single"/>
        </w:rPr>
        <w:tab/>
      </w:r>
    </w:p>
    <w:sectPr w:rsidR="001C6663" w:rsidRPr="00175FCB" w:rsidSect="00175FC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EF" w:rsidRDefault="00F519EF"/>
  </w:endnote>
  <w:endnote w:type="continuationSeparator" w:id="0">
    <w:p w:rsidR="00F519EF" w:rsidRDefault="00F519EF"/>
  </w:endnote>
  <w:endnote w:type="continuationNotice" w:id="1">
    <w:p w:rsidR="00F519EF" w:rsidRDefault="00F51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3" w:rsidRPr="00175FCB" w:rsidRDefault="00ED79E3" w:rsidP="00175FCB">
    <w:pPr>
      <w:pStyle w:val="Footer"/>
      <w:tabs>
        <w:tab w:val="right" w:pos="9638"/>
      </w:tabs>
      <w:jc w:val="both"/>
      <w:rPr>
        <w:b/>
        <w:sz w:val="18"/>
      </w:rPr>
    </w:pPr>
    <w:r w:rsidRPr="00175FCB">
      <w:rPr>
        <w:b/>
        <w:sz w:val="18"/>
      </w:rPr>
      <w:fldChar w:fldCharType="begin"/>
    </w:r>
    <w:r w:rsidRPr="00175FCB">
      <w:rPr>
        <w:b/>
        <w:sz w:val="18"/>
      </w:rPr>
      <w:instrText xml:space="preserve"> PAGE  \* MERGEFORMAT </w:instrText>
    </w:r>
    <w:r w:rsidRPr="00175FCB">
      <w:rPr>
        <w:b/>
        <w:sz w:val="18"/>
      </w:rPr>
      <w:fldChar w:fldCharType="separate"/>
    </w:r>
    <w:r w:rsidR="00BC2CB5">
      <w:rPr>
        <w:b/>
        <w:noProof/>
        <w:sz w:val="18"/>
      </w:rPr>
      <w:t>2</w:t>
    </w:r>
    <w:r w:rsidRPr="00175FC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3" w:rsidRPr="00175FCB" w:rsidRDefault="00ED79E3" w:rsidP="00175FCB">
    <w:pPr>
      <w:pStyle w:val="Footer"/>
      <w:tabs>
        <w:tab w:val="right" w:pos="9638"/>
      </w:tabs>
      <w:jc w:val="right"/>
    </w:pPr>
    <w:r w:rsidRPr="00175FCB">
      <w:rPr>
        <w:b/>
        <w:sz w:val="18"/>
      </w:rPr>
      <w:fldChar w:fldCharType="begin"/>
    </w:r>
    <w:r w:rsidRPr="00175FCB">
      <w:rPr>
        <w:b/>
        <w:sz w:val="18"/>
      </w:rPr>
      <w:instrText xml:space="preserve"> PAGE  \* MERGEFORMAT </w:instrText>
    </w:r>
    <w:r w:rsidRPr="00175FCB">
      <w:rPr>
        <w:b/>
        <w:sz w:val="18"/>
      </w:rPr>
      <w:fldChar w:fldCharType="separate"/>
    </w:r>
    <w:r w:rsidR="00BC2CB5">
      <w:rPr>
        <w:b/>
        <w:noProof/>
        <w:sz w:val="18"/>
      </w:rPr>
      <w:t>7</w:t>
    </w:r>
    <w:r w:rsidRPr="00175F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3" w:rsidRDefault="00ED79E3">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GE.11</w:t>
    </w:r>
    <w:r w:rsidR="00BC2CB5">
      <w:rPr>
        <w:sz w:val="20"/>
      </w:rPr>
      <w:t>-47734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EF" w:rsidRPr="000B175B" w:rsidRDefault="00F519EF" w:rsidP="000B175B">
      <w:pPr>
        <w:tabs>
          <w:tab w:val="right" w:pos="2155"/>
        </w:tabs>
        <w:spacing w:after="80"/>
        <w:ind w:left="680"/>
        <w:rPr>
          <w:u w:val="single"/>
        </w:rPr>
      </w:pPr>
      <w:r>
        <w:rPr>
          <w:u w:val="single"/>
        </w:rPr>
        <w:tab/>
      </w:r>
    </w:p>
  </w:footnote>
  <w:footnote w:type="continuationSeparator" w:id="0">
    <w:p w:rsidR="00F519EF" w:rsidRPr="00FC68B7" w:rsidRDefault="00F519EF" w:rsidP="00FC68B7">
      <w:pPr>
        <w:tabs>
          <w:tab w:val="left" w:pos="2155"/>
        </w:tabs>
        <w:spacing w:after="80"/>
        <w:ind w:left="680"/>
        <w:rPr>
          <w:u w:val="single"/>
        </w:rPr>
      </w:pPr>
      <w:r>
        <w:rPr>
          <w:u w:val="single"/>
        </w:rPr>
        <w:tab/>
      </w:r>
    </w:p>
  </w:footnote>
  <w:footnote w:type="continuationNotice" w:id="1">
    <w:p w:rsidR="00F519EF" w:rsidRDefault="00F519EF"/>
  </w:footnote>
  <w:footnote w:id="2">
    <w:p w:rsidR="00ED79E3" w:rsidRPr="0009487F" w:rsidRDefault="00ED79E3" w:rsidP="00CC4926">
      <w:pPr>
        <w:pStyle w:val="FootnoteText"/>
        <w:ind w:hanging="567"/>
      </w:pPr>
      <w:r>
        <w:tab/>
      </w:r>
      <w:r>
        <w:rPr>
          <w:rStyle w:val="FootnoteReference"/>
        </w:rPr>
        <w:footnoteRef/>
      </w:r>
      <w:r>
        <w:tab/>
      </w:r>
      <w:r w:rsidRPr="00D502E7">
        <w:t xml:space="preserve">File No. 1196/2010: </w:t>
      </w:r>
      <w:r w:rsidRPr="00CC4926">
        <w:rPr>
          <w:i/>
        </w:rPr>
        <w:t xml:space="preserve">Indigenous Community of Three Wells Sanctuary and others vs. </w:t>
      </w:r>
      <w:smartTag w:uri="urn:schemas-microsoft-com:office:smarttags" w:element="place">
        <w:smartTag w:uri="urn:schemas-microsoft-com:office:smarttags" w:element="City">
          <w:r w:rsidRPr="00CC4926">
            <w:rPr>
              <w:i/>
            </w:rPr>
            <w:t>Jujuy</w:t>
          </w:r>
        </w:smartTag>
      </w:smartTag>
      <w:r w:rsidRPr="00CC4926">
        <w:rPr>
          <w:i/>
        </w:rPr>
        <w:t>, Province of and others</w:t>
      </w:r>
      <w:r>
        <w:t>,</w:t>
      </w:r>
      <w:r w:rsidRPr="00D502E7">
        <w:t xml:space="preserve"> </w:t>
      </w:r>
      <w:r>
        <w:t>on</w:t>
      </w:r>
      <w:r w:rsidRPr="00D502E7">
        <w:t xml:space="preserve"> appeal</w:t>
      </w:r>
      <w:r>
        <w:t xml:space="preserve"> to the Supreme Court since it has original jurisdiction in the matter, Supreme Court of Justice of the Nation.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3" w:rsidRPr="00175FCB" w:rsidRDefault="00ED79E3" w:rsidP="00175FCB">
    <w:pPr>
      <w:pStyle w:val="Header"/>
    </w:pPr>
    <w:r>
      <w:t>E/C.12/ARG/CO/3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3" w:rsidRPr="00175FCB" w:rsidRDefault="00ED79E3" w:rsidP="00175FCB">
    <w:pPr>
      <w:pStyle w:val="Header"/>
      <w:jc w:val="right"/>
    </w:pPr>
    <w:r>
      <w:t>E/C.12/ARG/CO/3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B5" w:rsidRDefault="00BC2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780931"/>
    <w:multiLevelType w:val="hybridMultilevel"/>
    <w:tmpl w:val="C3D4243C"/>
    <w:lvl w:ilvl="0" w:tplc="2DF09424">
      <w:start w:val="1"/>
      <w:numFmt w:val="decimal"/>
      <w:lvlText w:val="%1."/>
      <w:lvlJc w:val="left"/>
      <w:pPr>
        <w:tabs>
          <w:tab w:val="num" w:pos="1494"/>
        </w:tabs>
        <w:ind w:left="1494" w:hanging="360"/>
      </w:pPr>
      <w:rPr>
        <w:rFonts w:ascii="Times New Roman" w:hAnsi="Times New Roman" w:hint="default"/>
        <w:b w:val="0"/>
        <w:i w:val="0"/>
        <w:sz w:val="20"/>
        <w:szCs w:val="20"/>
      </w:rPr>
    </w:lvl>
    <w:lvl w:ilvl="1" w:tplc="DA407FF6">
      <w:start w:val="1"/>
      <w:numFmt w:val="lowerLetter"/>
      <w:lvlText w:val="(%2)"/>
      <w:lvlJc w:val="left"/>
      <w:pPr>
        <w:tabs>
          <w:tab w:val="num" w:pos="2214"/>
        </w:tabs>
        <w:ind w:left="2214" w:hanging="360"/>
      </w:pPr>
      <w:rPr>
        <w:rFonts w:hint="default"/>
        <w:b w:val="0"/>
        <w:i w:val="0"/>
        <w:sz w:val="20"/>
        <w:szCs w:val="20"/>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EC51FA"/>
    <w:multiLevelType w:val="multilevel"/>
    <w:tmpl w:val="2C263B94"/>
    <w:lvl w:ilvl="0">
      <w:start w:val="1"/>
      <w:numFmt w:val="decimal"/>
      <w:lvlText w:val="%1."/>
      <w:lvlJc w:val="left"/>
      <w:pPr>
        <w:ind w:left="1689" w:hanging="555"/>
      </w:pPr>
      <w:rPr>
        <w:rFonts w:cs="Times New Roman" w:hint="default"/>
        <w:b w:val="0"/>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8">
    <w:nsid w:val="523753A5"/>
    <w:multiLevelType w:val="hybridMultilevel"/>
    <w:tmpl w:val="B3CE8F68"/>
    <w:lvl w:ilvl="0" w:tplc="2BACC810">
      <w:start w:val="1"/>
      <w:numFmt w:val="upperLetter"/>
      <w:lvlText w:val="%1."/>
      <w:lvlJc w:val="center"/>
      <w:pPr>
        <w:ind w:left="1689" w:hanging="555"/>
      </w:pPr>
      <w:rPr>
        <w:rFonts w:cs="Times New Roman" w:hint="default"/>
        <w:b/>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9">
    <w:nsid w:val="5AAC44DD"/>
    <w:multiLevelType w:val="multilevel"/>
    <w:tmpl w:val="4DA2AEA8"/>
    <w:lvl w:ilvl="0">
      <w:start w:val="1"/>
      <w:numFmt w:val="decimal"/>
      <w:lvlText w:val="%1."/>
      <w:lvlJc w:val="left"/>
      <w:pPr>
        <w:tabs>
          <w:tab w:val="num" w:pos="1494"/>
        </w:tabs>
        <w:ind w:left="1494" w:hanging="360"/>
      </w:pPr>
      <w:rPr>
        <w:rFonts w:ascii="Times New Roman" w:hAnsi="Times New Roman" w:hint="default"/>
        <w:b w:val="0"/>
        <w:i w:val="0"/>
        <w:sz w:val="20"/>
        <w:szCs w:val="20"/>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1"/>
  </w:num>
  <w:num w:numId="20">
    <w:abstractNumId w:val="18"/>
  </w:num>
  <w:num w:numId="21">
    <w:abstractNumId w:val="17"/>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4C5"/>
    <w:rsid w:val="00002A7D"/>
    <w:rsid w:val="000038A8"/>
    <w:rsid w:val="00006790"/>
    <w:rsid w:val="00007FE4"/>
    <w:rsid w:val="00015662"/>
    <w:rsid w:val="0001632A"/>
    <w:rsid w:val="00027624"/>
    <w:rsid w:val="00033E23"/>
    <w:rsid w:val="00037DDD"/>
    <w:rsid w:val="00050F6B"/>
    <w:rsid w:val="00060684"/>
    <w:rsid w:val="000678CD"/>
    <w:rsid w:val="00072C8C"/>
    <w:rsid w:val="00075564"/>
    <w:rsid w:val="00081CE0"/>
    <w:rsid w:val="00084D30"/>
    <w:rsid w:val="00085C07"/>
    <w:rsid w:val="00090320"/>
    <w:rsid w:val="000931C0"/>
    <w:rsid w:val="0009487F"/>
    <w:rsid w:val="000A2E09"/>
    <w:rsid w:val="000B175B"/>
    <w:rsid w:val="000B3A0F"/>
    <w:rsid w:val="000B4605"/>
    <w:rsid w:val="000E0415"/>
    <w:rsid w:val="000E7025"/>
    <w:rsid w:val="000F7715"/>
    <w:rsid w:val="001454DB"/>
    <w:rsid w:val="00156B99"/>
    <w:rsid w:val="00166124"/>
    <w:rsid w:val="00175FCB"/>
    <w:rsid w:val="00183F67"/>
    <w:rsid w:val="00184DDA"/>
    <w:rsid w:val="001900CD"/>
    <w:rsid w:val="001921B1"/>
    <w:rsid w:val="00197B8F"/>
    <w:rsid w:val="001A0452"/>
    <w:rsid w:val="001A1534"/>
    <w:rsid w:val="001A2A47"/>
    <w:rsid w:val="001B32ED"/>
    <w:rsid w:val="001B4B04"/>
    <w:rsid w:val="001B5875"/>
    <w:rsid w:val="001C4B9C"/>
    <w:rsid w:val="001C6663"/>
    <w:rsid w:val="001C7895"/>
    <w:rsid w:val="001D26DF"/>
    <w:rsid w:val="001D367F"/>
    <w:rsid w:val="001E6476"/>
    <w:rsid w:val="001F1599"/>
    <w:rsid w:val="001F19C4"/>
    <w:rsid w:val="001F4514"/>
    <w:rsid w:val="001F644D"/>
    <w:rsid w:val="002001BD"/>
    <w:rsid w:val="002043F0"/>
    <w:rsid w:val="00211E0B"/>
    <w:rsid w:val="002132CC"/>
    <w:rsid w:val="002145BF"/>
    <w:rsid w:val="00232575"/>
    <w:rsid w:val="00235A8A"/>
    <w:rsid w:val="00247258"/>
    <w:rsid w:val="00257CAC"/>
    <w:rsid w:val="0027237A"/>
    <w:rsid w:val="002839CA"/>
    <w:rsid w:val="002917C4"/>
    <w:rsid w:val="002974E9"/>
    <w:rsid w:val="002A7E62"/>
    <w:rsid w:val="002A7F94"/>
    <w:rsid w:val="002B109A"/>
    <w:rsid w:val="002C5A9D"/>
    <w:rsid w:val="002C6D45"/>
    <w:rsid w:val="002D2E00"/>
    <w:rsid w:val="002D690B"/>
    <w:rsid w:val="002D6E53"/>
    <w:rsid w:val="002E03BC"/>
    <w:rsid w:val="002E2615"/>
    <w:rsid w:val="002E3E11"/>
    <w:rsid w:val="002E4D59"/>
    <w:rsid w:val="002F046D"/>
    <w:rsid w:val="002F4152"/>
    <w:rsid w:val="002F74E3"/>
    <w:rsid w:val="00301764"/>
    <w:rsid w:val="003229D8"/>
    <w:rsid w:val="00324203"/>
    <w:rsid w:val="00336C97"/>
    <w:rsid w:val="00337F88"/>
    <w:rsid w:val="00342432"/>
    <w:rsid w:val="0035223F"/>
    <w:rsid w:val="00352D4B"/>
    <w:rsid w:val="0035638C"/>
    <w:rsid w:val="00376411"/>
    <w:rsid w:val="00381621"/>
    <w:rsid w:val="00385BCC"/>
    <w:rsid w:val="003871A4"/>
    <w:rsid w:val="003A1B40"/>
    <w:rsid w:val="003A46BB"/>
    <w:rsid w:val="003A4EC7"/>
    <w:rsid w:val="003A7295"/>
    <w:rsid w:val="003B1F60"/>
    <w:rsid w:val="003B480C"/>
    <w:rsid w:val="003B78B5"/>
    <w:rsid w:val="003C2CC4"/>
    <w:rsid w:val="003D10B7"/>
    <w:rsid w:val="003D4B23"/>
    <w:rsid w:val="003E278A"/>
    <w:rsid w:val="003F3952"/>
    <w:rsid w:val="00406DB9"/>
    <w:rsid w:val="00413520"/>
    <w:rsid w:val="00413E38"/>
    <w:rsid w:val="004325CB"/>
    <w:rsid w:val="00440A07"/>
    <w:rsid w:val="00462880"/>
    <w:rsid w:val="00476F24"/>
    <w:rsid w:val="0048512B"/>
    <w:rsid w:val="0049017F"/>
    <w:rsid w:val="004975E7"/>
    <w:rsid w:val="004A1CBC"/>
    <w:rsid w:val="004A7CFA"/>
    <w:rsid w:val="004C55B0"/>
    <w:rsid w:val="004C5643"/>
    <w:rsid w:val="004F6BA0"/>
    <w:rsid w:val="00503BEA"/>
    <w:rsid w:val="005117B2"/>
    <w:rsid w:val="00514700"/>
    <w:rsid w:val="00526BAF"/>
    <w:rsid w:val="00533616"/>
    <w:rsid w:val="00533868"/>
    <w:rsid w:val="00535ABA"/>
    <w:rsid w:val="0053768B"/>
    <w:rsid w:val="005420F2"/>
    <w:rsid w:val="0054285C"/>
    <w:rsid w:val="00562D51"/>
    <w:rsid w:val="005832BA"/>
    <w:rsid w:val="00584173"/>
    <w:rsid w:val="00595520"/>
    <w:rsid w:val="005A44B9"/>
    <w:rsid w:val="005B1BA0"/>
    <w:rsid w:val="005B2C9F"/>
    <w:rsid w:val="005B31D8"/>
    <w:rsid w:val="005B3DB3"/>
    <w:rsid w:val="005D15CA"/>
    <w:rsid w:val="005D6164"/>
    <w:rsid w:val="005E0443"/>
    <w:rsid w:val="005E18A1"/>
    <w:rsid w:val="005E2074"/>
    <w:rsid w:val="005F08DF"/>
    <w:rsid w:val="005F3066"/>
    <w:rsid w:val="005F3E61"/>
    <w:rsid w:val="006015E6"/>
    <w:rsid w:val="00604DDD"/>
    <w:rsid w:val="006115CC"/>
    <w:rsid w:val="00611FC4"/>
    <w:rsid w:val="006176FB"/>
    <w:rsid w:val="00630FCB"/>
    <w:rsid w:val="00640B26"/>
    <w:rsid w:val="00657E55"/>
    <w:rsid w:val="006770B2"/>
    <w:rsid w:val="00691017"/>
    <w:rsid w:val="0069282B"/>
    <w:rsid w:val="00693AA3"/>
    <w:rsid w:val="006940E1"/>
    <w:rsid w:val="006A0BE0"/>
    <w:rsid w:val="006A3C72"/>
    <w:rsid w:val="006A7392"/>
    <w:rsid w:val="006B03A1"/>
    <w:rsid w:val="006B0F58"/>
    <w:rsid w:val="006B67D9"/>
    <w:rsid w:val="006C5535"/>
    <w:rsid w:val="006D0589"/>
    <w:rsid w:val="006D1390"/>
    <w:rsid w:val="006E2DB7"/>
    <w:rsid w:val="006E564B"/>
    <w:rsid w:val="006E7154"/>
    <w:rsid w:val="006F7B1E"/>
    <w:rsid w:val="007003CD"/>
    <w:rsid w:val="0070701E"/>
    <w:rsid w:val="0071662A"/>
    <w:rsid w:val="00717FF6"/>
    <w:rsid w:val="0072632A"/>
    <w:rsid w:val="00733E4C"/>
    <w:rsid w:val="007358E8"/>
    <w:rsid w:val="00736ECE"/>
    <w:rsid w:val="0074336C"/>
    <w:rsid w:val="0074533B"/>
    <w:rsid w:val="007643BC"/>
    <w:rsid w:val="00765825"/>
    <w:rsid w:val="00785CCE"/>
    <w:rsid w:val="007863DF"/>
    <w:rsid w:val="00786FDA"/>
    <w:rsid w:val="007959FE"/>
    <w:rsid w:val="007A0CF1"/>
    <w:rsid w:val="007B5D4F"/>
    <w:rsid w:val="007B6BA5"/>
    <w:rsid w:val="007C3390"/>
    <w:rsid w:val="007C42D8"/>
    <w:rsid w:val="007C4F4B"/>
    <w:rsid w:val="007C7184"/>
    <w:rsid w:val="007D7362"/>
    <w:rsid w:val="007D751A"/>
    <w:rsid w:val="007E3BE2"/>
    <w:rsid w:val="007F29D8"/>
    <w:rsid w:val="007F5CE2"/>
    <w:rsid w:val="007F6611"/>
    <w:rsid w:val="00810BAC"/>
    <w:rsid w:val="00815AB1"/>
    <w:rsid w:val="008175E9"/>
    <w:rsid w:val="008242D7"/>
    <w:rsid w:val="0082577B"/>
    <w:rsid w:val="00835E9E"/>
    <w:rsid w:val="00835F64"/>
    <w:rsid w:val="008432A7"/>
    <w:rsid w:val="00855385"/>
    <w:rsid w:val="00864F2A"/>
    <w:rsid w:val="00866893"/>
    <w:rsid w:val="00866F02"/>
    <w:rsid w:val="00867384"/>
    <w:rsid w:val="00867D18"/>
    <w:rsid w:val="00871F9A"/>
    <w:rsid w:val="00871FD5"/>
    <w:rsid w:val="008777CE"/>
    <w:rsid w:val="0088172E"/>
    <w:rsid w:val="00881EFA"/>
    <w:rsid w:val="00884E63"/>
    <w:rsid w:val="008879CB"/>
    <w:rsid w:val="008979B1"/>
    <w:rsid w:val="008A6B25"/>
    <w:rsid w:val="008A6C4F"/>
    <w:rsid w:val="008B389E"/>
    <w:rsid w:val="008D045E"/>
    <w:rsid w:val="008D3F25"/>
    <w:rsid w:val="008D4D82"/>
    <w:rsid w:val="008D6334"/>
    <w:rsid w:val="008E0E46"/>
    <w:rsid w:val="008E7116"/>
    <w:rsid w:val="008F143B"/>
    <w:rsid w:val="008F3882"/>
    <w:rsid w:val="008F4B7C"/>
    <w:rsid w:val="00926E47"/>
    <w:rsid w:val="00935B74"/>
    <w:rsid w:val="00947162"/>
    <w:rsid w:val="00951068"/>
    <w:rsid w:val="009610D0"/>
    <w:rsid w:val="009631AD"/>
    <w:rsid w:val="0096375C"/>
    <w:rsid w:val="009662E6"/>
    <w:rsid w:val="0097095E"/>
    <w:rsid w:val="00972596"/>
    <w:rsid w:val="0098592B"/>
    <w:rsid w:val="00985FC4"/>
    <w:rsid w:val="00990766"/>
    <w:rsid w:val="00991261"/>
    <w:rsid w:val="009964C4"/>
    <w:rsid w:val="009A7B81"/>
    <w:rsid w:val="009C6C67"/>
    <w:rsid w:val="009D01C0"/>
    <w:rsid w:val="009D6A08"/>
    <w:rsid w:val="009E0A16"/>
    <w:rsid w:val="009E0C5F"/>
    <w:rsid w:val="009E6CB7"/>
    <w:rsid w:val="009E7970"/>
    <w:rsid w:val="009F2EAC"/>
    <w:rsid w:val="009F57E3"/>
    <w:rsid w:val="00A10F4F"/>
    <w:rsid w:val="00A11067"/>
    <w:rsid w:val="00A136E6"/>
    <w:rsid w:val="00A1704A"/>
    <w:rsid w:val="00A22FD5"/>
    <w:rsid w:val="00A35259"/>
    <w:rsid w:val="00A425EB"/>
    <w:rsid w:val="00A5395D"/>
    <w:rsid w:val="00A701F4"/>
    <w:rsid w:val="00A72F22"/>
    <w:rsid w:val="00A733BC"/>
    <w:rsid w:val="00A748A6"/>
    <w:rsid w:val="00A76A69"/>
    <w:rsid w:val="00A879A4"/>
    <w:rsid w:val="00A914B2"/>
    <w:rsid w:val="00AA0FF8"/>
    <w:rsid w:val="00AA64ED"/>
    <w:rsid w:val="00AB1B74"/>
    <w:rsid w:val="00AC0F2C"/>
    <w:rsid w:val="00AC25C2"/>
    <w:rsid w:val="00AC502A"/>
    <w:rsid w:val="00AE6C41"/>
    <w:rsid w:val="00AF32F7"/>
    <w:rsid w:val="00AF58C1"/>
    <w:rsid w:val="00AF6559"/>
    <w:rsid w:val="00B04111"/>
    <w:rsid w:val="00B04A3F"/>
    <w:rsid w:val="00B06643"/>
    <w:rsid w:val="00B12840"/>
    <w:rsid w:val="00B15055"/>
    <w:rsid w:val="00B30179"/>
    <w:rsid w:val="00B35393"/>
    <w:rsid w:val="00B37B15"/>
    <w:rsid w:val="00B45C02"/>
    <w:rsid w:val="00B70B63"/>
    <w:rsid w:val="00B72A1E"/>
    <w:rsid w:val="00B81E12"/>
    <w:rsid w:val="00B83204"/>
    <w:rsid w:val="00B85BE3"/>
    <w:rsid w:val="00BA339B"/>
    <w:rsid w:val="00BA7E2E"/>
    <w:rsid w:val="00BC1E7E"/>
    <w:rsid w:val="00BC2CB5"/>
    <w:rsid w:val="00BC74E9"/>
    <w:rsid w:val="00BD4136"/>
    <w:rsid w:val="00BD5A7F"/>
    <w:rsid w:val="00BD74B1"/>
    <w:rsid w:val="00BE251C"/>
    <w:rsid w:val="00BE36A9"/>
    <w:rsid w:val="00BE618E"/>
    <w:rsid w:val="00BE7BEC"/>
    <w:rsid w:val="00BF0A5A"/>
    <w:rsid w:val="00BF0E63"/>
    <w:rsid w:val="00BF12A3"/>
    <w:rsid w:val="00BF16D7"/>
    <w:rsid w:val="00BF2373"/>
    <w:rsid w:val="00C044E2"/>
    <w:rsid w:val="00C048CB"/>
    <w:rsid w:val="00C066F3"/>
    <w:rsid w:val="00C11466"/>
    <w:rsid w:val="00C30A61"/>
    <w:rsid w:val="00C44D81"/>
    <w:rsid w:val="00C4560D"/>
    <w:rsid w:val="00C463DD"/>
    <w:rsid w:val="00C52F2A"/>
    <w:rsid w:val="00C745C3"/>
    <w:rsid w:val="00C902D3"/>
    <w:rsid w:val="00CA24A4"/>
    <w:rsid w:val="00CA4ED3"/>
    <w:rsid w:val="00CA7A3E"/>
    <w:rsid w:val="00CB2263"/>
    <w:rsid w:val="00CB348D"/>
    <w:rsid w:val="00CB7503"/>
    <w:rsid w:val="00CC1E02"/>
    <w:rsid w:val="00CC4926"/>
    <w:rsid w:val="00CC56D0"/>
    <w:rsid w:val="00CD3E2A"/>
    <w:rsid w:val="00CD46F5"/>
    <w:rsid w:val="00CE0C01"/>
    <w:rsid w:val="00CE4A8F"/>
    <w:rsid w:val="00CF071D"/>
    <w:rsid w:val="00D064A3"/>
    <w:rsid w:val="00D15B04"/>
    <w:rsid w:val="00D2031B"/>
    <w:rsid w:val="00D25FE2"/>
    <w:rsid w:val="00D332C7"/>
    <w:rsid w:val="00D37DA9"/>
    <w:rsid w:val="00D406A7"/>
    <w:rsid w:val="00D43252"/>
    <w:rsid w:val="00D44D86"/>
    <w:rsid w:val="00D502E7"/>
    <w:rsid w:val="00D50B7D"/>
    <w:rsid w:val="00D52012"/>
    <w:rsid w:val="00D52A8C"/>
    <w:rsid w:val="00D704E5"/>
    <w:rsid w:val="00D7231C"/>
    <w:rsid w:val="00D72727"/>
    <w:rsid w:val="00D978C6"/>
    <w:rsid w:val="00DA0956"/>
    <w:rsid w:val="00DA357F"/>
    <w:rsid w:val="00DA3E12"/>
    <w:rsid w:val="00DC18AD"/>
    <w:rsid w:val="00DD19F2"/>
    <w:rsid w:val="00DD7CE5"/>
    <w:rsid w:val="00DE28EA"/>
    <w:rsid w:val="00DF7CAE"/>
    <w:rsid w:val="00E423C0"/>
    <w:rsid w:val="00E6414C"/>
    <w:rsid w:val="00E66061"/>
    <w:rsid w:val="00E7260F"/>
    <w:rsid w:val="00E75875"/>
    <w:rsid w:val="00E8702D"/>
    <w:rsid w:val="00E916A9"/>
    <w:rsid w:val="00E916DE"/>
    <w:rsid w:val="00E925AD"/>
    <w:rsid w:val="00E96630"/>
    <w:rsid w:val="00EA4D6D"/>
    <w:rsid w:val="00ED02EB"/>
    <w:rsid w:val="00ED18DC"/>
    <w:rsid w:val="00ED6175"/>
    <w:rsid w:val="00ED6201"/>
    <w:rsid w:val="00ED79E3"/>
    <w:rsid w:val="00ED7A2A"/>
    <w:rsid w:val="00EE4F89"/>
    <w:rsid w:val="00EE7218"/>
    <w:rsid w:val="00EF0D33"/>
    <w:rsid w:val="00EF1D7F"/>
    <w:rsid w:val="00F0137E"/>
    <w:rsid w:val="00F21786"/>
    <w:rsid w:val="00F3742B"/>
    <w:rsid w:val="00F41FDB"/>
    <w:rsid w:val="00F51940"/>
    <w:rsid w:val="00F519EF"/>
    <w:rsid w:val="00F564F5"/>
    <w:rsid w:val="00F56D63"/>
    <w:rsid w:val="00F609A9"/>
    <w:rsid w:val="00F654C5"/>
    <w:rsid w:val="00F76FF5"/>
    <w:rsid w:val="00F80C99"/>
    <w:rsid w:val="00F80EBE"/>
    <w:rsid w:val="00F83F4E"/>
    <w:rsid w:val="00F867EC"/>
    <w:rsid w:val="00F91B2B"/>
    <w:rsid w:val="00F9580D"/>
    <w:rsid w:val="00FB58C5"/>
    <w:rsid w:val="00FC0013"/>
    <w:rsid w:val="00FC03CD"/>
    <w:rsid w:val="00FC0646"/>
    <w:rsid w:val="00FC572E"/>
    <w:rsid w:val="00FC68B7"/>
    <w:rsid w:val="00FD291B"/>
    <w:rsid w:val="00FE0756"/>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s refss,Appel note de bas de p.,Footnote tex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locked/>
    <w:rsid w:val="00175FCB"/>
    <w:rPr>
      <w:sz w:val="18"/>
      <w:lang w:val="en-GB" w:eastAsia="en-US" w:bidi="ar-SA"/>
    </w:rPr>
  </w:style>
  <w:style w:type="character" w:customStyle="1" w:styleId="H1GChar">
    <w:name w:val="_ H_1_G Char"/>
    <w:link w:val="H1G"/>
    <w:locked/>
    <w:rsid w:val="00175FCB"/>
    <w:rPr>
      <w:b/>
      <w:sz w:val="24"/>
      <w:lang w:val="en-GB" w:eastAsia="en-US" w:bidi="ar-SA"/>
    </w:rPr>
  </w:style>
  <w:style w:type="paragraph" w:styleId="BalloonText">
    <w:name w:val="Balloon Text"/>
    <w:basedOn w:val="Normal"/>
    <w:link w:val="BalloonTextChar"/>
    <w:rsid w:val="00835F64"/>
    <w:pPr>
      <w:spacing w:line="240" w:lineRule="auto"/>
    </w:pPr>
    <w:rPr>
      <w:rFonts w:ascii="Tahoma" w:hAnsi="Tahoma" w:cs="Tahoma"/>
      <w:sz w:val="16"/>
      <w:szCs w:val="16"/>
    </w:rPr>
  </w:style>
  <w:style w:type="character" w:customStyle="1" w:styleId="BalloonTextChar">
    <w:name w:val="Balloon Text Char"/>
    <w:link w:val="BalloonText"/>
    <w:rsid w:val="00835F64"/>
    <w:rPr>
      <w:rFonts w:ascii="Tahoma" w:hAnsi="Tahoma" w:cs="Tahoma"/>
      <w:sz w:val="16"/>
      <w:szCs w:val="16"/>
      <w:lang w:eastAsia="en-US"/>
    </w:rPr>
  </w:style>
  <w:style w:type="character" w:styleId="CommentReference">
    <w:name w:val="annotation reference"/>
    <w:semiHidden/>
    <w:rsid w:val="0049017F"/>
    <w:rPr>
      <w:sz w:val="16"/>
      <w:szCs w:val="16"/>
    </w:rPr>
  </w:style>
  <w:style w:type="paragraph" w:styleId="CommentText">
    <w:name w:val="annotation text"/>
    <w:basedOn w:val="Normal"/>
    <w:semiHidden/>
    <w:rsid w:val="0049017F"/>
  </w:style>
  <w:style w:type="paragraph" w:styleId="CommentSubject">
    <w:name w:val="annotation subject"/>
    <w:basedOn w:val="CommentText"/>
    <w:next w:val="CommentText"/>
    <w:semiHidden/>
    <w:rsid w:val="0049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3496</Words>
  <Characters>19929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2009-02-18T08:36:00Z</cp:lastPrinted>
  <dcterms:created xsi:type="dcterms:W3CDTF">2011-12-15T06:43:00Z</dcterms:created>
  <dcterms:modified xsi:type="dcterms:W3CDTF">2011-12-15T06:43:00Z</dcterms:modified>
</cp:coreProperties>
</file>