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022F6F" w:rsidP="00022F6F">
            <w:pPr>
              <w:bidi w:val="0"/>
              <w:spacing w:after="20"/>
              <w:jc w:val="left"/>
              <w:rPr>
                <w:szCs w:val="20"/>
              </w:rPr>
            </w:pPr>
            <w:r w:rsidRPr="00022F6F">
              <w:rPr>
                <w:sz w:val="40"/>
                <w:szCs w:val="20"/>
              </w:rPr>
              <w:t>E</w:t>
            </w:r>
            <w:r>
              <w:rPr>
                <w:szCs w:val="20"/>
              </w:rPr>
              <w:t>/C.12/ISL/CO/4</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022F6F" w:rsidRDefault="00022F6F" w:rsidP="00022F6F">
            <w:pPr>
              <w:bidi w:val="0"/>
              <w:spacing w:before="240"/>
              <w:jc w:val="left"/>
            </w:pPr>
            <w:r>
              <w:t>Distr.: General</w:t>
            </w:r>
          </w:p>
          <w:p w:rsidR="00022F6F" w:rsidRDefault="00022F6F" w:rsidP="00022F6F">
            <w:pPr>
              <w:bidi w:val="0"/>
              <w:jc w:val="left"/>
            </w:pPr>
            <w:r>
              <w:t>11 December 2012</w:t>
            </w:r>
          </w:p>
          <w:p w:rsidR="00022F6F" w:rsidRDefault="00022F6F" w:rsidP="00022F6F">
            <w:pPr>
              <w:bidi w:val="0"/>
              <w:jc w:val="left"/>
            </w:pPr>
            <w:r>
              <w:t>Arabic</w:t>
            </w:r>
          </w:p>
          <w:p w:rsidR="00257225" w:rsidRPr="008B4BC6" w:rsidRDefault="00022F6F" w:rsidP="00022F6F">
            <w:pPr>
              <w:bidi w:val="0"/>
              <w:jc w:val="left"/>
            </w:pPr>
            <w:r>
              <w:t>Original: English</w:t>
            </w:r>
          </w:p>
        </w:tc>
      </w:tr>
    </w:tbl>
    <w:p w:rsidR="00022F6F" w:rsidRPr="008D1167" w:rsidRDefault="00022F6F" w:rsidP="00022F6F">
      <w:pPr>
        <w:pStyle w:val="NormalJustified"/>
        <w:spacing w:before="120" w:beforeAutospacing="0" w:after="240" w:afterAutospacing="0" w:line="380" w:lineRule="exact"/>
        <w:rPr>
          <w:rFonts w:hint="cs"/>
          <w:sz w:val="36"/>
          <w:szCs w:val="36"/>
          <w:rtl/>
          <w:lang w:val="fr-CH"/>
        </w:rPr>
      </w:pPr>
      <w:r w:rsidRPr="008D1167">
        <w:rPr>
          <w:rFonts w:hint="cs"/>
          <w:sz w:val="36"/>
          <w:szCs w:val="36"/>
          <w:rtl/>
          <w:lang w:val="fr-CH"/>
        </w:rPr>
        <w:t>اللجنة المعنية بالحقوق الاقتصادية والاجتماعية والثقافية</w:t>
      </w:r>
    </w:p>
    <w:p w:rsidR="00022F6F" w:rsidRPr="00022F6F" w:rsidRDefault="00022F6F" w:rsidP="00022F6F">
      <w:pPr>
        <w:pStyle w:val="HChGA"/>
        <w:rPr>
          <w:rFonts w:hint="cs"/>
          <w:spacing w:val="-4"/>
          <w:rtl/>
        </w:rPr>
      </w:pPr>
      <w:r w:rsidRPr="00022F6F">
        <w:rPr>
          <w:rFonts w:hint="cs"/>
          <w:spacing w:val="-4"/>
          <w:rtl/>
          <w:lang w:bidi="ar"/>
        </w:rPr>
        <w:tab/>
      </w:r>
      <w:r w:rsidRPr="00022F6F">
        <w:rPr>
          <w:rFonts w:hint="cs"/>
          <w:spacing w:val="-4"/>
          <w:rtl/>
          <w:lang w:bidi="ar"/>
        </w:rPr>
        <w:tab/>
        <w:t xml:space="preserve">الملاحظات الختامية بشأن التقرير </w:t>
      </w:r>
      <w:r w:rsidRPr="00022F6F">
        <w:rPr>
          <w:spacing w:val="-4"/>
          <w:rtl/>
        </w:rPr>
        <w:t>الرابع</w:t>
      </w:r>
      <w:r w:rsidR="001D7685">
        <w:rPr>
          <w:spacing w:val="-4"/>
          <w:rtl/>
        </w:rPr>
        <w:t xml:space="preserve"> </w:t>
      </w:r>
      <w:r w:rsidRPr="00022F6F">
        <w:rPr>
          <w:rFonts w:hint="cs"/>
          <w:spacing w:val="-4"/>
          <w:rtl/>
          <w:lang w:bidi="ar"/>
        </w:rPr>
        <w:t xml:space="preserve">لآيسلندا </w:t>
      </w:r>
      <w:r w:rsidRPr="00022F6F">
        <w:rPr>
          <w:spacing w:val="-4"/>
          <w:rtl/>
        </w:rPr>
        <w:t>ال</w:t>
      </w:r>
      <w:r w:rsidRPr="00022F6F">
        <w:rPr>
          <w:rFonts w:hint="cs"/>
          <w:spacing w:val="-4"/>
          <w:rtl/>
        </w:rPr>
        <w:t>ذي</w:t>
      </w:r>
      <w:r w:rsidRPr="00022F6F">
        <w:rPr>
          <w:spacing w:val="-4"/>
          <w:rtl/>
        </w:rPr>
        <w:t xml:space="preserve"> اعتمدته اللجنة</w:t>
      </w:r>
      <w:r w:rsidRPr="00022F6F">
        <w:rPr>
          <w:rFonts w:hint="cs"/>
          <w:spacing w:val="-4"/>
          <w:rtl/>
        </w:rPr>
        <w:t xml:space="preserve"> </w:t>
      </w:r>
      <w:r w:rsidRPr="00022F6F">
        <w:rPr>
          <w:spacing w:val="-4"/>
          <w:rtl/>
        </w:rPr>
        <w:t>في دورتها التاسعة والأربعين</w:t>
      </w:r>
      <w:r w:rsidRPr="00022F6F">
        <w:rPr>
          <w:rFonts w:hint="cs"/>
          <w:spacing w:val="-4"/>
          <w:rtl/>
        </w:rPr>
        <w:t xml:space="preserve"> (</w:t>
      </w:r>
      <w:r w:rsidRPr="00022F6F">
        <w:rPr>
          <w:spacing w:val="-4"/>
          <w:rtl/>
        </w:rPr>
        <w:t>١٢</w:t>
      </w:r>
      <w:r w:rsidR="0069200C">
        <w:rPr>
          <w:rFonts w:hint="cs"/>
          <w:spacing w:val="-4"/>
          <w:rtl/>
        </w:rPr>
        <w:t xml:space="preserve"> إلى </w:t>
      </w:r>
      <w:r w:rsidRPr="00022F6F">
        <w:rPr>
          <w:rFonts w:hint="cs"/>
          <w:spacing w:val="-4"/>
          <w:rtl/>
        </w:rPr>
        <w:t xml:space="preserve">30 </w:t>
      </w:r>
      <w:r w:rsidRPr="00022F6F">
        <w:rPr>
          <w:spacing w:val="-4"/>
          <w:rtl/>
        </w:rPr>
        <w:t>تشرين الثاني/نوفمبر</w:t>
      </w:r>
      <w:r w:rsidRPr="00022F6F">
        <w:rPr>
          <w:rFonts w:hint="cs"/>
          <w:spacing w:val="-4"/>
          <w:rtl/>
        </w:rPr>
        <w:t xml:space="preserve"> 2012)</w:t>
      </w:r>
    </w:p>
    <w:p w:rsidR="00022F6F" w:rsidRPr="00022F6F" w:rsidRDefault="00022F6F" w:rsidP="00022F6F">
      <w:pPr>
        <w:pStyle w:val="SingleTxtGA"/>
        <w:rPr>
          <w:rFonts w:hint="cs"/>
          <w:spacing w:val="-2"/>
          <w:rtl/>
        </w:rPr>
      </w:pPr>
      <w:r w:rsidRPr="00E92E26">
        <w:rPr>
          <w:rFonts w:hint="cs"/>
          <w:rtl/>
        </w:rPr>
        <w:t>1-</w:t>
      </w:r>
      <w:r w:rsidRPr="00E92E26">
        <w:rPr>
          <w:rFonts w:hint="cs"/>
          <w:rtl/>
        </w:rPr>
        <w:tab/>
      </w:r>
      <w:r>
        <w:rPr>
          <w:rFonts w:hint="cs"/>
          <w:rtl/>
        </w:rPr>
        <w:t>نظرت اللجنة المعنية ب</w:t>
      </w:r>
      <w:r w:rsidRPr="00E92E26">
        <w:rPr>
          <w:rFonts w:hint="cs"/>
          <w:rtl/>
        </w:rPr>
        <w:t xml:space="preserve">الحقوق الاقتصادية والاجتماعية والثقافية في التقرير الدوري الرابع لآيسلندا بشأن تنفيذ العهـد الدولي الخاص بالحقـوق الاقتصاديـة والاجتماعيـة والثقافيـة </w:t>
      </w:r>
      <w:r w:rsidRPr="00E92E26">
        <w:t>(E/C.12/ISL/4)</w:t>
      </w:r>
      <w:r w:rsidRPr="00E92E26">
        <w:rPr>
          <w:rFonts w:hint="eastAsia"/>
          <w:rtl/>
        </w:rPr>
        <w:t>،</w:t>
      </w:r>
      <w:r w:rsidRPr="00E92E26">
        <w:rPr>
          <w:rFonts w:hint="cs"/>
          <w:rtl/>
        </w:rPr>
        <w:t xml:space="preserve"> وذلك فـي جلستيها الثالثة والأربعين والرابعة والأربعين، </w:t>
      </w:r>
      <w:r w:rsidRPr="00022F6F">
        <w:rPr>
          <w:rFonts w:hint="cs"/>
          <w:spacing w:val="-4"/>
          <w:rtl/>
        </w:rPr>
        <w:t>المعقودتين</w:t>
      </w:r>
      <w:r>
        <w:rPr>
          <w:rFonts w:hint="cs"/>
          <w:spacing w:val="-4"/>
          <w:rtl/>
        </w:rPr>
        <w:t xml:space="preserve"> </w:t>
      </w:r>
      <w:r w:rsidRPr="00022F6F">
        <w:rPr>
          <w:rFonts w:hint="cs"/>
          <w:spacing w:val="-4"/>
          <w:rtl/>
        </w:rPr>
        <w:t xml:space="preserve">فـي ٢١ </w:t>
      </w:r>
      <w:r w:rsidRPr="00022F6F">
        <w:rPr>
          <w:spacing w:val="-4"/>
          <w:rtl/>
        </w:rPr>
        <w:t>تشرين الثاني/نوفمبر ٢٠١٢ </w:t>
      </w:r>
      <w:r w:rsidRPr="00022F6F">
        <w:rPr>
          <w:spacing w:val="-4"/>
        </w:rPr>
        <w:t>(E/C.12/2012/SR.43-44)</w:t>
      </w:r>
      <w:r w:rsidRPr="00022F6F">
        <w:rPr>
          <w:rFonts w:hint="cs"/>
          <w:spacing w:val="-4"/>
          <w:rtl/>
        </w:rPr>
        <w:t>، واعتمدت، في</w:t>
      </w:r>
      <w:r w:rsidRPr="00E92E26">
        <w:rPr>
          <w:rFonts w:hint="cs"/>
          <w:rtl/>
        </w:rPr>
        <w:t xml:space="preserve"> </w:t>
      </w:r>
      <w:r w:rsidRPr="00022F6F">
        <w:rPr>
          <w:rFonts w:hint="cs"/>
          <w:spacing w:val="-2"/>
          <w:rtl/>
        </w:rPr>
        <w:t>جلستها الثامنة والخمسين</w:t>
      </w:r>
      <w:r w:rsidR="0069200C">
        <w:rPr>
          <w:rFonts w:hint="cs"/>
          <w:spacing w:val="-2"/>
          <w:rtl/>
        </w:rPr>
        <w:t>،</w:t>
      </w:r>
      <w:r w:rsidRPr="00022F6F">
        <w:rPr>
          <w:rFonts w:hint="cs"/>
          <w:spacing w:val="-2"/>
          <w:rtl/>
        </w:rPr>
        <w:t xml:space="preserve"> المعقودة في </w:t>
      </w:r>
      <w:r w:rsidRPr="00022F6F">
        <w:rPr>
          <w:spacing w:val="-2"/>
          <w:rtl/>
        </w:rPr>
        <w:t>٣٠</w:t>
      </w:r>
      <w:r w:rsidRPr="00022F6F">
        <w:rPr>
          <w:rFonts w:hint="cs"/>
          <w:spacing w:val="-2"/>
          <w:rtl/>
        </w:rPr>
        <w:t> تشرين</w:t>
      </w:r>
      <w:r w:rsidRPr="00022F6F">
        <w:rPr>
          <w:spacing w:val="-2"/>
          <w:rtl/>
        </w:rPr>
        <w:t xml:space="preserve"> الثاني/نوفمبر ٢٠١٢</w:t>
      </w:r>
      <w:r w:rsidR="001D7685">
        <w:rPr>
          <w:spacing w:val="-2"/>
          <w:rtl/>
        </w:rPr>
        <w:t xml:space="preserve">، </w:t>
      </w:r>
      <w:r w:rsidRPr="00022F6F">
        <w:rPr>
          <w:rFonts w:hint="cs"/>
          <w:spacing w:val="-2"/>
          <w:rtl/>
        </w:rPr>
        <w:t>الملاحظات الختامية</w:t>
      </w:r>
      <w:r>
        <w:rPr>
          <w:rFonts w:hint="eastAsia"/>
          <w:spacing w:val="-2"/>
          <w:rtl/>
        </w:rPr>
        <w:t> </w:t>
      </w:r>
      <w:r w:rsidRPr="00022F6F">
        <w:rPr>
          <w:rFonts w:hint="cs"/>
          <w:spacing w:val="-2"/>
          <w:rtl/>
        </w:rPr>
        <w:t>التالية.</w:t>
      </w:r>
    </w:p>
    <w:p w:rsidR="00022F6F" w:rsidRPr="008075D0" w:rsidRDefault="00022F6F" w:rsidP="00022F6F">
      <w:pPr>
        <w:pStyle w:val="H1GA"/>
        <w:rPr>
          <w:rFonts w:hint="cs"/>
          <w:rtl/>
        </w:rPr>
      </w:pPr>
      <w:r>
        <w:rPr>
          <w:rFonts w:hint="cs"/>
          <w:rtl/>
        </w:rPr>
        <w:tab/>
        <w:t>ألف-</w:t>
      </w:r>
      <w:r>
        <w:rPr>
          <w:rFonts w:hint="cs"/>
          <w:rtl/>
        </w:rPr>
        <w:tab/>
      </w:r>
      <w:r w:rsidRPr="008075D0">
        <w:rPr>
          <w:rFonts w:hint="cs"/>
          <w:rtl/>
        </w:rPr>
        <w:t>مقدمة</w:t>
      </w:r>
    </w:p>
    <w:p w:rsidR="00022F6F" w:rsidRPr="00E92E26" w:rsidRDefault="00022F6F" w:rsidP="00022F6F">
      <w:pPr>
        <w:pStyle w:val="SingleTxtGA"/>
        <w:rPr>
          <w:rFonts w:hint="cs"/>
          <w:rtl/>
          <w:lang w:bidi="ar"/>
        </w:rPr>
      </w:pPr>
      <w:r w:rsidRPr="00E92E26">
        <w:rPr>
          <w:rFonts w:hint="cs"/>
          <w:rtl/>
        </w:rPr>
        <w:t>2-</w:t>
      </w:r>
      <w:r w:rsidRPr="00E92E26">
        <w:rPr>
          <w:rFonts w:hint="cs"/>
          <w:rtl/>
        </w:rPr>
        <w:tab/>
        <w:t xml:space="preserve">ترحّب اللجنة بتقديم التقرير الدوري الرابع لآيسلندا </w:t>
      </w:r>
      <w:r w:rsidRPr="00E92E26">
        <w:rPr>
          <w:rFonts w:hint="cs"/>
          <w:szCs w:val="20"/>
          <w:rtl/>
        </w:rPr>
        <w:t>(</w:t>
      </w:r>
      <w:r w:rsidRPr="00E92E26">
        <w:rPr>
          <w:rFonts w:eastAsia="SimSun"/>
          <w:szCs w:val="20"/>
          <w:lang w:eastAsia="zh-CN"/>
        </w:rPr>
        <w:t>E/C.12/ISL/4</w:t>
      </w:r>
      <w:r w:rsidRPr="00E92E26">
        <w:rPr>
          <w:rFonts w:hint="cs"/>
          <w:rtl/>
        </w:rPr>
        <w:t>) وبالردود على قائمة المسائل (</w:t>
      </w:r>
      <w:r w:rsidRPr="00E92E26">
        <w:rPr>
          <w:szCs w:val="20"/>
        </w:rPr>
        <w:t>E/C.12/ISL/Q/4/Add.1</w:t>
      </w:r>
      <w:r w:rsidRPr="00E92E26">
        <w:rPr>
          <w:rFonts w:hint="cs"/>
          <w:rtl/>
        </w:rPr>
        <w:t xml:space="preserve">). كما </w:t>
      </w:r>
      <w:r w:rsidRPr="00E92E26">
        <w:rPr>
          <w:rFonts w:hint="cs"/>
          <w:rtl/>
          <w:lang w:bidi="ar"/>
        </w:rPr>
        <w:t>تعرب اللجنة عن تقديرها للحوار البن</w:t>
      </w:r>
      <w:r>
        <w:rPr>
          <w:rFonts w:hint="cs"/>
          <w:rtl/>
          <w:lang w:bidi="ar"/>
        </w:rPr>
        <w:t>ّ</w:t>
      </w:r>
      <w:r w:rsidRPr="00E92E26">
        <w:rPr>
          <w:rFonts w:hint="cs"/>
          <w:rtl/>
          <w:lang w:bidi="ar"/>
        </w:rPr>
        <w:t xml:space="preserve">اء والصريح </w:t>
      </w:r>
      <w:r>
        <w:rPr>
          <w:rFonts w:hint="cs"/>
          <w:rtl/>
          <w:lang w:bidi="ar"/>
        </w:rPr>
        <w:t xml:space="preserve">الذي أجرته </w:t>
      </w:r>
      <w:r w:rsidRPr="00E92E26">
        <w:rPr>
          <w:rFonts w:hint="cs"/>
          <w:rtl/>
          <w:lang w:bidi="ar"/>
        </w:rPr>
        <w:t xml:space="preserve">مع وفد الدولة الطرف. </w:t>
      </w:r>
    </w:p>
    <w:p w:rsidR="00022F6F" w:rsidRPr="00022F6F" w:rsidRDefault="00022F6F" w:rsidP="00022F6F">
      <w:pPr>
        <w:pStyle w:val="H1GA"/>
        <w:rPr>
          <w:rFonts w:hint="cs"/>
          <w:rtl/>
        </w:rPr>
      </w:pPr>
      <w:r>
        <w:rPr>
          <w:rFonts w:hint="cs"/>
          <w:rtl/>
        </w:rPr>
        <w:tab/>
      </w:r>
      <w:r w:rsidRPr="00022F6F">
        <w:rPr>
          <w:rFonts w:hint="cs"/>
          <w:rtl/>
        </w:rPr>
        <w:t>باء-</w:t>
      </w:r>
      <w:r w:rsidRPr="00022F6F">
        <w:rPr>
          <w:rFonts w:hint="cs"/>
          <w:rtl/>
        </w:rPr>
        <w:tab/>
        <w:t>الجوانب الإيجابية</w:t>
      </w:r>
    </w:p>
    <w:p w:rsidR="00022F6F" w:rsidRPr="00E92E26" w:rsidRDefault="00022F6F" w:rsidP="00022F6F">
      <w:pPr>
        <w:pStyle w:val="SingleTxtGA"/>
        <w:rPr>
          <w:rFonts w:hint="cs"/>
          <w:rtl/>
        </w:rPr>
      </w:pPr>
      <w:r w:rsidRPr="00E92E26">
        <w:rPr>
          <w:rFonts w:hint="cs"/>
          <w:rtl/>
          <w:lang w:bidi="ar"/>
        </w:rPr>
        <w:t>3-</w:t>
      </w:r>
      <w:r w:rsidRPr="00E92E26">
        <w:rPr>
          <w:rFonts w:hint="cs"/>
          <w:rtl/>
          <w:lang w:bidi="ar"/>
        </w:rPr>
        <w:tab/>
        <w:t>تلاحظ اللجنة مع التقدير</w:t>
      </w:r>
      <w:r w:rsidRPr="00E92E26">
        <w:rPr>
          <w:rFonts w:hint="cs"/>
          <w:rtl/>
        </w:rPr>
        <w:t>:</w:t>
      </w:r>
    </w:p>
    <w:p w:rsidR="00022F6F" w:rsidRPr="00022F6F" w:rsidRDefault="00022F6F" w:rsidP="00022F6F">
      <w:pPr>
        <w:pStyle w:val="SingleTxtGA"/>
        <w:rPr>
          <w:rFonts w:hint="cs"/>
          <w:rtl/>
        </w:rPr>
      </w:pPr>
      <w:r>
        <w:rPr>
          <w:rFonts w:hint="cs"/>
          <w:rtl/>
        </w:rPr>
        <w:tab/>
      </w:r>
      <w:r w:rsidRPr="00E92E26">
        <w:rPr>
          <w:rFonts w:hint="cs"/>
          <w:rtl/>
        </w:rPr>
        <w:t>(أ)</w:t>
      </w:r>
      <w:r>
        <w:rPr>
          <w:rFonts w:hint="cs"/>
          <w:rtl/>
          <w:lang w:bidi="ar"/>
        </w:rPr>
        <w:tab/>
      </w:r>
      <w:r w:rsidRPr="00022F6F">
        <w:rPr>
          <w:rFonts w:hint="cs"/>
          <w:rtl/>
          <w:lang w:bidi="ar"/>
        </w:rPr>
        <w:t>ال</w:t>
      </w:r>
      <w:r w:rsidRPr="00022F6F">
        <w:rPr>
          <w:rStyle w:val="hps"/>
          <w:rFonts w:hint="cs"/>
          <w:sz w:val="30"/>
          <w:rtl/>
          <w:lang w:bidi="ar"/>
        </w:rPr>
        <w:t>درجة</w:t>
      </w:r>
      <w:r w:rsidRPr="00022F6F">
        <w:rPr>
          <w:rStyle w:val="shorttext"/>
          <w:rFonts w:hint="cs"/>
          <w:sz w:val="30"/>
          <w:lang w:bidi="ar"/>
        </w:rPr>
        <w:t xml:space="preserve"> </w:t>
      </w:r>
      <w:r w:rsidRPr="00022F6F">
        <w:rPr>
          <w:rFonts w:hint="cs"/>
          <w:rtl/>
          <w:lang w:bidi="ar"/>
        </w:rPr>
        <w:t>ال</w:t>
      </w:r>
      <w:r w:rsidRPr="00022F6F">
        <w:rPr>
          <w:rStyle w:val="hps"/>
          <w:rFonts w:hint="cs"/>
          <w:sz w:val="30"/>
          <w:rtl/>
          <w:lang w:bidi="ar"/>
        </w:rPr>
        <w:t>عالية من</w:t>
      </w:r>
      <w:r w:rsidRPr="00022F6F">
        <w:rPr>
          <w:rStyle w:val="shorttext"/>
          <w:rFonts w:hint="cs"/>
          <w:sz w:val="30"/>
          <w:lang w:bidi="ar"/>
        </w:rPr>
        <w:t xml:space="preserve"> </w:t>
      </w:r>
      <w:r w:rsidRPr="00022F6F">
        <w:rPr>
          <w:rStyle w:val="hps"/>
          <w:rFonts w:hint="cs"/>
          <w:sz w:val="30"/>
          <w:rtl/>
          <w:lang w:bidi="ar"/>
        </w:rPr>
        <w:t>المساواة بين الجنسين</w:t>
      </w:r>
      <w:r w:rsidRPr="00022F6F">
        <w:rPr>
          <w:rStyle w:val="shorttext"/>
          <w:rFonts w:hint="cs"/>
          <w:sz w:val="30"/>
          <w:lang w:bidi="ar"/>
        </w:rPr>
        <w:t xml:space="preserve"> </w:t>
      </w:r>
      <w:r w:rsidRPr="00022F6F">
        <w:rPr>
          <w:rStyle w:val="hps"/>
          <w:rFonts w:hint="cs"/>
          <w:sz w:val="30"/>
          <w:rtl/>
          <w:lang w:bidi="ar"/>
        </w:rPr>
        <w:t>في الدولة الطرف؛</w:t>
      </w:r>
    </w:p>
    <w:p w:rsidR="00022F6F" w:rsidRPr="00E92E26" w:rsidRDefault="00022F6F" w:rsidP="00022F6F">
      <w:pPr>
        <w:pStyle w:val="SingleTxtGA"/>
        <w:rPr>
          <w:rFonts w:hint="cs"/>
          <w:rtl/>
        </w:rPr>
      </w:pPr>
      <w:r>
        <w:rPr>
          <w:rFonts w:hint="cs"/>
          <w:rtl/>
        </w:rPr>
        <w:tab/>
      </w:r>
      <w:r w:rsidRPr="00E92E26">
        <w:rPr>
          <w:rFonts w:hint="cs"/>
          <w:rtl/>
        </w:rPr>
        <w:t>(ب)</w:t>
      </w:r>
      <w:r>
        <w:rPr>
          <w:rFonts w:hint="cs"/>
          <w:rtl/>
        </w:rPr>
        <w:tab/>
      </w:r>
      <w:r w:rsidRPr="00E92E26">
        <w:rPr>
          <w:rtl/>
        </w:rPr>
        <w:t>القانون الجديد</w:t>
      </w:r>
      <w:r>
        <w:rPr>
          <w:rFonts w:hint="cs"/>
          <w:rtl/>
        </w:rPr>
        <w:t xml:space="preserve"> الخاص با</w:t>
      </w:r>
      <w:r w:rsidRPr="00E92E26">
        <w:rPr>
          <w:rtl/>
        </w:rPr>
        <w:t xml:space="preserve">لمساواة بين </w:t>
      </w:r>
      <w:r w:rsidRPr="00E92E26">
        <w:rPr>
          <w:rFonts w:hint="cs"/>
          <w:rtl/>
        </w:rPr>
        <w:t>الجنسين، وه</w:t>
      </w:r>
      <w:r w:rsidRPr="00E92E26">
        <w:rPr>
          <w:rFonts w:hint="eastAsia"/>
          <w:rtl/>
        </w:rPr>
        <w:t>و</w:t>
      </w:r>
      <w:r w:rsidRPr="00E92E26">
        <w:rPr>
          <w:rtl/>
        </w:rPr>
        <w:t xml:space="preserve"> القانون رقم</w:t>
      </w:r>
      <w:r>
        <w:rPr>
          <w:rFonts w:hint="cs"/>
          <w:rtl/>
        </w:rPr>
        <w:t> </w:t>
      </w:r>
      <w:r w:rsidRPr="00E92E26">
        <w:rPr>
          <w:rFonts w:hint="cs"/>
          <w:rtl/>
        </w:rPr>
        <w:t>10/2008؛</w:t>
      </w:r>
    </w:p>
    <w:p w:rsidR="00022F6F" w:rsidRPr="00E92E26" w:rsidRDefault="00022F6F" w:rsidP="00022F6F">
      <w:pPr>
        <w:pStyle w:val="SingleTxtGA"/>
        <w:rPr>
          <w:rFonts w:hint="cs"/>
          <w:rtl/>
        </w:rPr>
      </w:pPr>
      <w:r>
        <w:rPr>
          <w:rFonts w:hint="cs"/>
          <w:spacing w:val="-2"/>
          <w:rtl/>
        </w:rPr>
        <w:tab/>
      </w:r>
      <w:r w:rsidRPr="00E92E26">
        <w:rPr>
          <w:rFonts w:hint="cs"/>
          <w:spacing w:val="-2"/>
          <w:rtl/>
        </w:rPr>
        <w:t>(ج)</w:t>
      </w:r>
      <w:r>
        <w:rPr>
          <w:rFonts w:hint="cs"/>
          <w:spacing w:val="-2"/>
          <w:rtl/>
        </w:rPr>
        <w:tab/>
      </w:r>
      <w:r>
        <w:rPr>
          <w:rFonts w:hint="cs"/>
          <w:rtl/>
        </w:rPr>
        <w:t xml:space="preserve">اعتماد الخطة الوطنية لمكافحة الاتجار بالبشر في </w:t>
      </w:r>
      <w:r w:rsidR="00DB08A5">
        <w:rPr>
          <w:rtl/>
        </w:rPr>
        <w:t>١٧ آذار/مارس ٢٠٠٩</w:t>
      </w:r>
      <w:r w:rsidR="00DB08A5">
        <w:rPr>
          <w:rFonts w:hint="cs"/>
          <w:rtl/>
        </w:rPr>
        <w:t xml:space="preserve">؛ </w:t>
      </w:r>
      <w:r w:rsidRPr="00E92E26">
        <w:rPr>
          <w:rtl/>
        </w:rPr>
        <w:t>لمكافحة الاتجار بالبشر</w:t>
      </w:r>
      <w:r w:rsidRPr="00E92E26">
        <w:rPr>
          <w:rFonts w:hint="cs"/>
          <w:rtl/>
        </w:rPr>
        <w:t>؛</w:t>
      </w:r>
    </w:p>
    <w:p w:rsidR="00022F6F" w:rsidRPr="00E92E26" w:rsidRDefault="00022F6F" w:rsidP="00022F6F">
      <w:pPr>
        <w:pStyle w:val="SingleTxtGA"/>
        <w:rPr>
          <w:rFonts w:hint="cs"/>
          <w:rtl/>
        </w:rPr>
      </w:pPr>
      <w:r>
        <w:rPr>
          <w:rFonts w:hint="cs"/>
          <w:rtl/>
        </w:rPr>
        <w:tab/>
      </w:r>
      <w:r w:rsidRPr="00E92E26">
        <w:rPr>
          <w:rFonts w:hint="cs"/>
          <w:rtl/>
        </w:rPr>
        <w:t>(د)</w:t>
      </w:r>
      <w:r>
        <w:rPr>
          <w:rFonts w:hint="cs"/>
          <w:rtl/>
        </w:rPr>
        <w:tab/>
      </w:r>
      <w:r>
        <w:rPr>
          <w:rtl/>
        </w:rPr>
        <w:t>التصديق</w:t>
      </w:r>
      <w:r>
        <w:rPr>
          <w:rFonts w:hint="cs"/>
          <w:rtl/>
        </w:rPr>
        <w:t xml:space="preserve">، في سنة 2011، </w:t>
      </w:r>
      <w:r w:rsidRPr="00E92E26">
        <w:rPr>
          <w:rtl/>
        </w:rPr>
        <w:t>على اتفاقية مجلس أوروبا بشأن حماية الأطفال من الاستغلال الجنسي والاعتداء ا</w:t>
      </w:r>
      <w:r>
        <w:rPr>
          <w:rtl/>
        </w:rPr>
        <w:t>لجنسي (اتفاقية لانساروتي)</w:t>
      </w:r>
      <w:r>
        <w:rPr>
          <w:rFonts w:hint="cs"/>
          <w:rtl/>
        </w:rPr>
        <w:t>.</w:t>
      </w:r>
    </w:p>
    <w:p w:rsidR="00022F6F" w:rsidRPr="00022F6F" w:rsidRDefault="00022F6F" w:rsidP="00022F6F">
      <w:pPr>
        <w:pStyle w:val="H1GA"/>
        <w:rPr>
          <w:rFonts w:hint="cs"/>
          <w:rtl/>
        </w:rPr>
      </w:pPr>
      <w:r>
        <w:rPr>
          <w:rFonts w:hint="cs"/>
          <w:rtl/>
        </w:rPr>
        <w:tab/>
      </w:r>
      <w:r w:rsidRPr="00022F6F">
        <w:rPr>
          <w:rFonts w:hint="cs"/>
          <w:rtl/>
        </w:rPr>
        <w:t>جيم-</w:t>
      </w:r>
      <w:r w:rsidRPr="00022F6F">
        <w:rPr>
          <w:rFonts w:hint="cs"/>
          <w:rtl/>
        </w:rPr>
        <w:tab/>
        <w:t>دواعي القلق الرئيسية والتوصيات</w:t>
      </w:r>
    </w:p>
    <w:p w:rsidR="00022F6F" w:rsidRPr="008075D0" w:rsidRDefault="00022F6F" w:rsidP="00022F6F">
      <w:pPr>
        <w:pStyle w:val="SingleTxtGA"/>
        <w:rPr>
          <w:rFonts w:hint="cs"/>
          <w:rtl/>
        </w:rPr>
      </w:pPr>
      <w:r>
        <w:rPr>
          <w:rFonts w:hint="cs"/>
          <w:rtl/>
        </w:rPr>
        <w:t>4</w:t>
      </w:r>
      <w:r w:rsidRPr="00E92E26">
        <w:rPr>
          <w:rFonts w:hint="cs"/>
          <w:rtl/>
        </w:rPr>
        <w:t>-</w:t>
      </w:r>
      <w:r w:rsidRPr="00E92E26">
        <w:rPr>
          <w:rFonts w:hint="cs"/>
          <w:rtl/>
        </w:rPr>
        <w:tab/>
      </w:r>
      <w:r w:rsidRPr="00E92E26">
        <w:rPr>
          <w:rtl/>
        </w:rPr>
        <w:t>ت</w:t>
      </w:r>
      <w:r>
        <w:rPr>
          <w:rFonts w:hint="cs"/>
          <w:rtl/>
        </w:rPr>
        <w:t xml:space="preserve">عرب اللجنة عن قلقها </w:t>
      </w:r>
      <w:r w:rsidRPr="00E92E26">
        <w:rPr>
          <w:rtl/>
        </w:rPr>
        <w:t>لأن مشروع الدستور، الذي ق</w:t>
      </w:r>
      <w:r>
        <w:rPr>
          <w:rFonts w:hint="cs"/>
          <w:rtl/>
        </w:rPr>
        <w:t>ُ</w:t>
      </w:r>
      <w:r w:rsidRPr="00E92E26">
        <w:rPr>
          <w:rtl/>
        </w:rPr>
        <w:t>د</w:t>
      </w:r>
      <w:r>
        <w:rPr>
          <w:rFonts w:hint="cs"/>
          <w:rtl/>
        </w:rPr>
        <w:t>ّ</w:t>
      </w:r>
      <w:r w:rsidRPr="00E92E26">
        <w:rPr>
          <w:rtl/>
        </w:rPr>
        <w:t>م إلى البرلمان في أعقاب عملية تنقيح يجريها</w:t>
      </w:r>
      <w:r w:rsidR="001D7685">
        <w:rPr>
          <w:rtl/>
        </w:rPr>
        <w:t xml:space="preserve"> </w:t>
      </w:r>
      <w:r w:rsidRPr="00E92E26">
        <w:rPr>
          <w:rtl/>
        </w:rPr>
        <w:t>المجلس الدستوري منذ سنة ٢٠١٠، لا يشمل جميع الحقوق الواردة في العهد (المادة 2).</w:t>
      </w:r>
      <w:r w:rsidRPr="008075D0">
        <w:rPr>
          <w:rtl/>
        </w:rPr>
        <w:t xml:space="preserve"> </w:t>
      </w:r>
    </w:p>
    <w:p w:rsidR="00022F6F" w:rsidRPr="0069200C" w:rsidRDefault="00022F6F" w:rsidP="007865A5">
      <w:pPr>
        <w:pStyle w:val="SingleTxtGA"/>
        <w:rPr>
          <w:rFonts w:hint="cs"/>
          <w:b/>
          <w:bCs/>
          <w:rtl/>
        </w:rPr>
      </w:pPr>
      <w:r w:rsidRPr="0069200C">
        <w:rPr>
          <w:rFonts w:hint="cs"/>
          <w:b/>
          <w:bCs/>
          <w:rtl/>
        </w:rPr>
        <w:tab/>
      </w:r>
      <w:r w:rsidRPr="0069200C">
        <w:rPr>
          <w:b/>
          <w:bCs/>
          <w:rtl/>
        </w:rPr>
        <w:t>توصي اللجنة</w:t>
      </w:r>
      <w:r w:rsidRPr="0069200C">
        <w:rPr>
          <w:rFonts w:hint="cs"/>
          <w:b/>
          <w:bCs/>
          <w:rtl/>
        </w:rPr>
        <w:t xml:space="preserve"> بزيادة تنقيح مشروع </w:t>
      </w:r>
      <w:r w:rsidR="007865A5" w:rsidRPr="0069200C">
        <w:rPr>
          <w:rFonts w:hint="cs"/>
          <w:b/>
          <w:bCs/>
          <w:rtl/>
        </w:rPr>
        <w:t xml:space="preserve">الدستور على نحو يضمن </w:t>
      </w:r>
      <w:r w:rsidRPr="0069200C">
        <w:rPr>
          <w:b/>
          <w:bCs/>
          <w:rtl/>
        </w:rPr>
        <w:t>الإشارة إلى جميع الحقوق الواردة في العهد تمشيا</w:t>
      </w:r>
      <w:r w:rsidR="007865A5" w:rsidRPr="0069200C">
        <w:rPr>
          <w:rFonts w:hint="cs"/>
          <w:b/>
          <w:bCs/>
          <w:rtl/>
        </w:rPr>
        <w:t>ً</w:t>
      </w:r>
      <w:r w:rsidRPr="0069200C">
        <w:rPr>
          <w:b/>
          <w:bCs/>
          <w:rtl/>
        </w:rPr>
        <w:t xml:space="preserve"> مع الفقرة ١ من المادة ٢ من العهد.</w:t>
      </w:r>
    </w:p>
    <w:p w:rsidR="00022F6F" w:rsidRPr="00E92E26" w:rsidRDefault="00022F6F" w:rsidP="00246F04">
      <w:pPr>
        <w:pStyle w:val="SingleTxtGA"/>
        <w:rPr>
          <w:rFonts w:hint="cs"/>
          <w:rtl/>
        </w:rPr>
      </w:pPr>
      <w:r>
        <w:rPr>
          <w:rFonts w:hint="cs"/>
          <w:rtl/>
        </w:rPr>
        <w:t>5</w:t>
      </w:r>
      <w:r w:rsidRPr="00E92E26">
        <w:rPr>
          <w:rFonts w:hint="cs"/>
          <w:rtl/>
        </w:rPr>
        <w:t>-</w:t>
      </w:r>
      <w:r w:rsidRPr="00E92E26">
        <w:rPr>
          <w:rFonts w:hint="cs"/>
          <w:rtl/>
        </w:rPr>
        <w:tab/>
      </w:r>
      <w:r w:rsidRPr="00E92E26">
        <w:rPr>
          <w:rtl/>
        </w:rPr>
        <w:t>تأسف اللجنة لأن الدولة الطرف لا تملك</w:t>
      </w:r>
      <w:r w:rsidRPr="00E92E26">
        <w:rPr>
          <w:rFonts w:hint="cs"/>
          <w:rtl/>
        </w:rPr>
        <w:t xml:space="preserve"> </w:t>
      </w:r>
      <w:r w:rsidR="007865A5">
        <w:rPr>
          <w:rFonts w:hint="cs"/>
          <w:rtl/>
        </w:rPr>
        <w:t xml:space="preserve">حتى الآن </w:t>
      </w:r>
      <w:r w:rsidRPr="00E92E26">
        <w:rPr>
          <w:rtl/>
        </w:rPr>
        <w:t>قانون</w:t>
      </w:r>
      <w:r w:rsidR="001D7685">
        <w:rPr>
          <w:rtl/>
        </w:rPr>
        <w:t xml:space="preserve">اً </w:t>
      </w:r>
      <w:r w:rsidRPr="00E92E26">
        <w:rPr>
          <w:rtl/>
        </w:rPr>
        <w:t>شامل</w:t>
      </w:r>
      <w:r w:rsidR="001D7685">
        <w:rPr>
          <w:rtl/>
        </w:rPr>
        <w:t xml:space="preserve">اً </w:t>
      </w:r>
      <w:r w:rsidRPr="00E92E26">
        <w:rPr>
          <w:rtl/>
        </w:rPr>
        <w:t xml:space="preserve">لمكافحة </w:t>
      </w:r>
      <w:r w:rsidR="007865A5">
        <w:rPr>
          <w:rFonts w:hint="cs"/>
          <w:rtl/>
        </w:rPr>
        <w:t xml:space="preserve">التمييز. </w:t>
      </w:r>
      <w:r w:rsidR="007865A5">
        <w:rPr>
          <w:rFonts w:hint="cs"/>
          <w:rtl/>
          <w:lang w:bidi="ar"/>
        </w:rPr>
        <w:t xml:space="preserve">وتعرب </w:t>
      </w:r>
      <w:r w:rsidRPr="00E92E26">
        <w:rPr>
          <w:rFonts w:hint="cs"/>
          <w:rtl/>
          <w:lang w:bidi="ar"/>
        </w:rPr>
        <w:t xml:space="preserve">اللجنة بشكل خاص </w:t>
      </w:r>
      <w:r w:rsidR="007865A5">
        <w:rPr>
          <w:rFonts w:hint="cs"/>
          <w:rtl/>
          <w:lang w:bidi="ar"/>
        </w:rPr>
        <w:t xml:space="preserve">عن قلقها </w:t>
      </w:r>
      <w:r w:rsidRPr="00E92E26">
        <w:rPr>
          <w:rFonts w:hint="cs"/>
          <w:rtl/>
          <w:lang w:bidi="ar"/>
        </w:rPr>
        <w:t xml:space="preserve">لأن الأشخاص ذوي الإعاقة </w:t>
      </w:r>
      <w:r w:rsidR="007865A5">
        <w:rPr>
          <w:rFonts w:hint="cs"/>
          <w:rtl/>
          <w:lang w:bidi="ar"/>
        </w:rPr>
        <w:t xml:space="preserve">يتعرضون للتمييز </w:t>
      </w:r>
      <w:r w:rsidRPr="00E92E26">
        <w:rPr>
          <w:rFonts w:hint="cs"/>
          <w:rtl/>
          <w:lang w:bidi="ar"/>
        </w:rPr>
        <w:t>فيما</w:t>
      </w:r>
      <w:r w:rsidR="00AD10D7">
        <w:rPr>
          <w:rFonts w:hint="eastAsia"/>
          <w:rtl/>
          <w:lang w:bidi="ar"/>
        </w:rPr>
        <w:t> </w:t>
      </w:r>
      <w:r w:rsidRPr="00E92E26">
        <w:rPr>
          <w:rFonts w:hint="cs"/>
          <w:rtl/>
          <w:lang w:bidi="ar"/>
        </w:rPr>
        <w:t>يتعلق بحقوقهم في التعليم والسكن والمساعدة الاجتماعية</w:t>
      </w:r>
      <w:r w:rsidR="00246F04">
        <w:rPr>
          <w:rFonts w:hint="cs"/>
          <w:rtl/>
          <w:lang w:bidi="ar"/>
        </w:rPr>
        <w:t xml:space="preserve"> </w:t>
      </w:r>
      <w:r w:rsidRPr="00E92E26">
        <w:rPr>
          <w:rFonts w:hint="cs"/>
          <w:rtl/>
          <w:lang w:bidi="ar"/>
        </w:rPr>
        <w:t>(المادة ٢)</w:t>
      </w:r>
      <w:r w:rsidR="00246F04">
        <w:rPr>
          <w:rFonts w:hint="cs"/>
          <w:rtl/>
        </w:rPr>
        <w:t>.</w:t>
      </w:r>
    </w:p>
    <w:p w:rsidR="00022F6F" w:rsidRPr="00AD10D7" w:rsidRDefault="007865A5" w:rsidP="0069200C">
      <w:pPr>
        <w:pStyle w:val="SingleTxtGA"/>
        <w:rPr>
          <w:rFonts w:hint="cs"/>
          <w:b/>
          <w:bCs/>
          <w:rtl/>
        </w:rPr>
      </w:pPr>
      <w:r w:rsidRPr="00B32EB8">
        <w:rPr>
          <w:rFonts w:hint="cs"/>
          <w:b/>
          <w:bCs/>
          <w:rtl/>
        </w:rPr>
        <w:tab/>
      </w:r>
      <w:r w:rsidR="00022F6F" w:rsidRPr="00B32EB8">
        <w:rPr>
          <w:b/>
          <w:bCs/>
          <w:rtl/>
        </w:rPr>
        <w:t xml:space="preserve">توصي اللجنة </w:t>
      </w:r>
      <w:r w:rsidRPr="00B32EB8">
        <w:rPr>
          <w:rFonts w:hint="cs"/>
          <w:b/>
          <w:bCs/>
          <w:rtl/>
        </w:rPr>
        <w:t xml:space="preserve">بأن تتخذ </w:t>
      </w:r>
      <w:r w:rsidR="00022F6F" w:rsidRPr="00B32EB8">
        <w:rPr>
          <w:b/>
          <w:bCs/>
          <w:rtl/>
        </w:rPr>
        <w:t>الدولة الطرف خطوات لاعتماد</w:t>
      </w:r>
      <w:r w:rsidR="00022F6F" w:rsidRPr="00B32EB8">
        <w:rPr>
          <w:b/>
          <w:bCs/>
        </w:rPr>
        <w:t xml:space="preserve"> </w:t>
      </w:r>
      <w:r w:rsidR="00022F6F" w:rsidRPr="00B32EB8">
        <w:rPr>
          <w:b/>
          <w:bCs/>
          <w:rtl/>
        </w:rPr>
        <w:t>تشريع شامل لمكافحة</w:t>
      </w:r>
      <w:r w:rsidR="00022F6F" w:rsidRPr="008075D0">
        <w:rPr>
          <w:rtl/>
        </w:rPr>
        <w:t xml:space="preserve"> </w:t>
      </w:r>
      <w:r w:rsidRPr="00AD10D7">
        <w:rPr>
          <w:rFonts w:hint="cs"/>
          <w:b/>
          <w:bCs/>
          <w:rtl/>
        </w:rPr>
        <w:t>التمييز</w:t>
      </w:r>
      <w:r w:rsidR="0069200C">
        <w:rPr>
          <w:rFonts w:hint="cs"/>
          <w:b/>
          <w:bCs/>
          <w:rtl/>
        </w:rPr>
        <w:t>،</w:t>
      </w:r>
      <w:r w:rsidR="00022F6F" w:rsidRPr="00AD10D7">
        <w:rPr>
          <w:b/>
          <w:bCs/>
          <w:rtl/>
        </w:rPr>
        <w:t xml:space="preserve"> كما توصي </w:t>
      </w:r>
      <w:r w:rsidRPr="00AD10D7">
        <w:rPr>
          <w:rFonts w:hint="cs"/>
          <w:b/>
          <w:bCs/>
          <w:rtl/>
        </w:rPr>
        <w:t>ب</w:t>
      </w:r>
      <w:r w:rsidR="00022F6F" w:rsidRPr="00AD10D7">
        <w:rPr>
          <w:b/>
          <w:bCs/>
          <w:rtl/>
        </w:rPr>
        <w:t xml:space="preserve">أن تضمن الدولة الطرف اتخاذ تدابير لمكافحة التمييز ومنعه، وبخاصة التمييز </w:t>
      </w:r>
      <w:r w:rsidRPr="00AD10D7">
        <w:rPr>
          <w:rFonts w:hint="cs"/>
          <w:b/>
          <w:bCs/>
          <w:rtl/>
        </w:rPr>
        <w:t xml:space="preserve">في حق </w:t>
      </w:r>
      <w:r w:rsidR="00022F6F" w:rsidRPr="00AD10D7">
        <w:rPr>
          <w:b/>
          <w:bCs/>
          <w:rtl/>
        </w:rPr>
        <w:t>الأشخاص ذوي الإعاقة،</w:t>
      </w:r>
      <w:r w:rsidR="00022F6F" w:rsidRPr="00AD10D7">
        <w:rPr>
          <w:rFonts w:hint="cs"/>
          <w:b/>
          <w:bCs/>
          <w:rtl/>
        </w:rPr>
        <w:t xml:space="preserve"> </w:t>
      </w:r>
      <w:r w:rsidR="00022F6F" w:rsidRPr="00AD10D7">
        <w:rPr>
          <w:b/>
          <w:bCs/>
          <w:rtl/>
        </w:rPr>
        <w:t xml:space="preserve">ولا سيما فيما يتعلق </w:t>
      </w:r>
      <w:r w:rsidRPr="00AD10D7">
        <w:rPr>
          <w:rFonts w:hint="cs"/>
          <w:b/>
          <w:bCs/>
          <w:rtl/>
        </w:rPr>
        <w:t>بال</w:t>
      </w:r>
      <w:r w:rsidR="00022F6F" w:rsidRPr="00AD10D7">
        <w:rPr>
          <w:b/>
          <w:bCs/>
          <w:rtl/>
        </w:rPr>
        <w:t>ح</w:t>
      </w:r>
      <w:r w:rsidRPr="00AD10D7">
        <w:rPr>
          <w:rFonts w:hint="cs"/>
          <w:b/>
          <w:bCs/>
          <w:rtl/>
        </w:rPr>
        <w:t xml:space="preserve">ق في </w:t>
      </w:r>
      <w:r w:rsidR="00022F6F" w:rsidRPr="00AD10D7">
        <w:rPr>
          <w:rFonts w:hint="cs"/>
          <w:b/>
          <w:bCs/>
          <w:rtl/>
          <w:lang w:bidi="ar"/>
        </w:rPr>
        <w:t>التعليم و</w:t>
      </w:r>
      <w:r w:rsidRPr="00AD10D7">
        <w:rPr>
          <w:rFonts w:hint="cs"/>
          <w:b/>
          <w:bCs/>
          <w:rtl/>
          <w:lang w:bidi="ar"/>
        </w:rPr>
        <w:t xml:space="preserve">في </w:t>
      </w:r>
      <w:r w:rsidR="00022F6F" w:rsidRPr="00AD10D7">
        <w:rPr>
          <w:rFonts w:hint="cs"/>
          <w:b/>
          <w:bCs/>
          <w:rtl/>
          <w:lang w:bidi="ar"/>
        </w:rPr>
        <w:t xml:space="preserve">السكن، بالإضافة إلى المساعدة الاجتماعية، </w:t>
      </w:r>
      <w:r w:rsidRPr="00AD10D7">
        <w:rPr>
          <w:rFonts w:hint="cs"/>
          <w:b/>
          <w:bCs/>
          <w:rtl/>
          <w:lang w:bidi="ar"/>
        </w:rPr>
        <w:t xml:space="preserve">بموجب </w:t>
      </w:r>
      <w:r w:rsidR="00022F6F" w:rsidRPr="00AD10D7">
        <w:rPr>
          <w:rFonts w:hint="cs"/>
          <w:b/>
          <w:bCs/>
          <w:rtl/>
          <w:lang w:bidi="ar"/>
        </w:rPr>
        <w:t>المادة ٩ من العهد.</w:t>
      </w:r>
    </w:p>
    <w:p w:rsidR="00022F6F" w:rsidRPr="00E92E26" w:rsidRDefault="00022F6F" w:rsidP="00FF746F">
      <w:pPr>
        <w:pStyle w:val="SingleTxtGA"/>
        <w:rPr>
          <w:rFonts w:hint="cs"/>
          <w:rtl/>
        </w:rPr>
      </w:pPr>
      <w:r>
        <w:rPr>
          <w:rFonts w:hint="cs"/>
          <w:rtl/>
        </w:rPr>
        <w:t>6-</w:t>
      </w:r>
      <w:r>
        <w:rPr>
          <w:rFonts w:hint="cs"/>
          <w:rtl/>
        </w:rPr>
        <w:tab/>
      </w:r>
      <w:r w:rsidRPr="00E92E26">
        <w:rPr>
          <w:rtl/>
        </w:rPr>
        <w:t xml:space="preserve">ويساور اللجنة القلق إزاء تأثير </w:t>
      </w:r>
      <w:r w:rsidR="007865A5">
        <w:rPr>
          <w:rFonts w:hint="cs"/>
          <w:rtl/>
        </w:rPr>
        <w:t>ا</w:t>
      </w:r>
      <w:r w:rsidRPr="00E92E26">
        <w:rPr>
          <w:rtl/>
        </w:rPr>
        <w:t xml:space="preserve">لأزمة </w:t>
      </w:r>
      <w:r w:rsidRPr="00E92E26">
        <w:rPr>
          <w:rFonts w:hint="cs"/>
          <w:rtl/>
        </w:rPr>
        <w:t>الاقتصادية</w:t>
      </w:r>
      <w:r w:rsidRPr="00E92E26">
        <w:rPr>
          <w:rtl/>
        </w:rPr>
        <w:t xml:space="preserve"> والمالية </w:t>
      </w:r>
      <w:r w:rsidR="007865A5">
        <w:rPr>
          <w:rFonts w:hint="cs"/>
          <w:rtl/>
        </w:rPr>
        <w:t xml:space="preserve">السلبي </w:t>
      </w:r>
      <w:r w:rsidRPr="00E92E26">
        <w:rPr>
          <w:rtl/>
        </w:rPr>
        <w:t>على إعمال الحقوق الاقتصادية والاجتماعية والثقافية، ولا</w:t>
      </w:r>
      <w:r w:rsidR="001D7685">
        <w:rPr>
          <w:rFonts w:hint="cs"/>
          <w:rtl/>
        </w:rPr>
        <w:t xml:space="preserve"> </w:t>
      </w:r>
      <w:r w:rsidRPr="00E92E26">
        <w:rPr>
          <w:rtl/>
        </w:rPr>
        <w:t xml:space="preserve">سيما فيما يتعلق بالحقوق في العمل والضمان </w:t>
      </w:r>
      <w:r w:rsidRPr="00E92E26">
        <w:rPr>
          <w:rFonts w:hint="cs"/>
          <w:rtl/>
        </w:rPr>
        <w:t>الاجتماعي</w:t>
      </w:r>
      <w:r w:rsidRPr="00E92E26">
        <w:rPr>
          <w:rtl/>
        </w:rPr>
        <w:t xml:space="preserve"> و</w:t>
      </w:r>
      <w:r w:rsidRPr="00E92E26">
        <w:rPr>
          <w:rFonts w:hint="cs"/>
          <w:rtl/>
          <w:lang w:bidi="ar"/>
        </w:rPr>
        <w:t>السكن</w:t>
      </w:r>
      <w:r w:rsidR="001D7685">
        <w:rPr>
          <w:rFonts w:hint="cs"/>
          <w:rtl/>
          <w:lang w:bidi="ar"/>
        </w:rPr>
        <w:t xml:space="preserve"> </w:t>
      </w:r>
      <w:r w:rsidRPr="00E92E26">
        <w:rPr>
          <w:rtl/>
        </w:rPr>
        <w:t>و</w:t>
      </w:r>
      <w:r w:rsidRPr="00E92E26">
        <w:rPr>
          <w:rFonts w:hint="cs"/>
          <w:rtl/>
          <w:lang w:bidi="ar"/>
        </w:rPr>
        <w:t xml:space="preserve">التعليم، </w:t>
      </w:r>
      <w:r w:rsidR="007865A5">
        <w:rPr>
          <w:rtl/>
        </w:rPr>
        <w:t xml:space="preserve">وذلك </w:t>
      </w:r>
      <w:r w:rsidRPr="00E92E26">
        <w:rPr>
          <w:rtl/>
        </w:rPr>
        <w:t>على الرغم من ا</w:t>
      </w:r>
      <w:r w:rsidR="007865A5">
        <w:rPr>
          <w:rFonts w:hint="cs"/>
          <w:rtl/>
        </w:rPr>
        <w:t xml:space="preserve">لتدابير </w:t>
      </w:r>
      <w:r w:rsidRPr="00E92E26">
        <w:rPr>
          <w:rtl/>
        </w:rPr>
        <w:t>التي اتخذتها الدولة الطرف في هذا</w:t>
      </w:r>
      <w:r w:rsidR="00FF746F">
        <w:rPr>
          <w:rFonts w:hint="cs"/>
          <w:rtl/>
        </w:rPr>
        <w:t> </w:t>
      </w:r>
      <w:r w:rsidRPr="00E92E26">
        <w:rPr>
          <w:rtl/>
        </w:rPr>
        <w:t>الصدد</w:t>
      </w:r>
      <w:r w:rsidRPr="00E92E26">
        <w:t>.</w:t>
      </w:r>
    </w:p>
    <w:p w:rsidR="00022F6F" w:rsidRPr="00AD10D7" w:rsidRDefault="007865A5" w:rsidP="0069200C">
      <w:pPr>
        <w:pStyle w:val="SingleTxtGA"/>
        <w:rPr>
          <w:rFonts w:hint="cs"/>
          <w:b/>
          <w:bCs/>
          <w:rtl/>
        </w:rPr>
      </w:pPr>
      <w:r w:rsidRPr="00AD10D7">
        <w:rPr>
          <w:rFonts w:hint="cs"/>
          <w:b/>
          <w:bCs/>
          <w:rtl/>
        </w:rPr>
        <w:tab/>
      </w:r>
      <w:r w:rsidR="00022F6F" w:rsidRPr="00AD10D7">
        <w:rPr>
          <w:b/>
          <w:bCs/>
          <w:rtl/>
        </w:rPr>
        <w:t>تذك</w:t>
      </w:r>
      <w:r w:rsidR="0069200C">
        <w:rPr>
          <w:rFonts w:hint="cs"/>
          <w:b/>
          <w:bCs/>
          <w:rtl/>
        </w:rPr>
        <w:t>ّ</w:t>
      </w:r>
      <w:r w:rsidR="00022F6F" w:rsidRPr="00AD10D7">
        <w:rPr>
          <w:b/>
          <w:bCs/>
          <w:rtl/>
        </w:rPr>
        <w:t>ر اللجنة الدولة الطرف </w:t>
      </w:r>
      <w:r w:rsidR="00022F6F" w:rsidRPr="00AD10D7">
        <w:rPr>
          <w:rFonts w:hint="cs"/>
          <w:b/>
          <w:bCs/>
          <w:rtl/>
        </w:rPr>
        <w:t>بالالتزام</w:t>
      </w:r>
      <w:r w:rsidR="00022F6F" w:rsidRPr="00AD10D7">
        <w:rPr>
          <w:b/>
          <w:bCs/>
          <w:rtl/>
        </w:rPr>
        <w:t xml:space="preserve"> الذي يقع على عاتقها بموجب العهد </w:t>
      </w:r>
      <w:r w:rsidRPr="00AD10D7">
        <w:rPr>
          <w:rFonts w:hint="cs"/>
          <w:b/>
          <w:bCs/>
          <w:rtl/>
        </w:rPr>
        <w:t xml:space="preserve">بأن تحترم </w:t>
      </w:r>
      <w:r w:rsidR="00022F6F" w:rsidRPr="00AD10D7">
        <w:rPr>
          <w:b/>
          <w:bCs/>
          <w:rtl/>
        </w:rPr>
        <w:t xml:space="preserve">الحقوق الاقتصادية والاجتماعية والثقافية </w:t>
      </w:r>
      <w:r w:rsidRPr="00AD10D7">
        <w:rPr>
          <w:rFonts w:hint="cs"/>
          <w:b/>
          <w:bCs/>
          <w:rtl/>
        </w:rPr>
        <w:t xml:space="preserve">وتحميها وتُعملها بالتدريج، </w:t>
      </w:r>
      <w:r w:rsidR="0069200C">
        <w:rPr>
          <w:rFonts w:hint="cs"/>
          <w:b/>
          <w:bCs/>
          <w:rtl/>
        </w:rPr>
        <w:t>غير</w:t>
      </w:r>
      <w:r w:rsidR="00F37CC7" w:rsidRPr="00AD10D7">
        <w:rPr>
          <w:rFonts w:hint="cs"/>
          <w:b/>
          <w:bCs/>
          <w:rtl/>
        </w:rPr>
        <w:t xml:space="preserve"> مدخرة و</w:t>
      </w:r>
      <w:r w:rsidR="005A2EB1" w:rsidRPr="00AD10D7">
        <w:rPr>
          <w:rFonts w:hint="cs"/>
          <w:b/>
          <w:bCs/>
          <w:rtl/>
        </w:rPr>
        <w:t>ُ</w:t>
      </w:r>
      <w:r w:rsidR="00F37CC7" w:rsidRPr="00AD10D7">
        <w:rPr>
          <w:rFonts w:hint="cs"/>
          <w:b/>
          <w:bCs/>
          <w:rtl/>
        </w:rPr>
        <w:t>سعاً في ذلك</w:t>
      </w:r>
      <w:r w:rsidR="00022F6F" w:rsidRPr="00AD10D7">
        <w:rPr>
          <w:b/>
          <w:bCs/>
          <w:rtl/>
        </w:rPr>
        <w:t>. و</w:t>
      </w:r>
      <w:r w:rsidR="00F37CC7" w:rsidRPr="00AD10D7">
        <w:rPr>
          <w:b/>
          <w:bCs/>
          <w:rtl/>
        </w:rPr>
        <w:t>رغم</w:t>
      </w:r>
      <w:r w:rsidR="00F37CC7" w:rsidRPr="00AD10D7">
        <w:rPr>
          <w:rFonts w:hint="cs"/>
          <w:b/>
          <w:bCs/>
          <w:rtl/>
        </w:rPr>
        <w:t xml:space="preserve"> أن اللجنة تدرك أن</w:t>
      </w:r>
      <w:r w:rsidR="0069200C">
        <w:rPr>
          <w:rFonts w:hint="cs"/>
          <w:b/>
          <w:bCs/>
          <w:rtl/>
        </w:rPr>
        <w:t>ه</w:t>
      </w:r>
      <w:r w:rsidR="00F37CC7" w:rsidRPr="00AD10D7">
        <w:rPr>
          <w:rFonts w:hint="cs"/>
          <w:b/>
          <w:bCs/>
          <w:rtl/>
        </w:rPr>
        <w:t xml:space="preserve"> لا بد أحياناً من </w:t>
      </w:r>
      <w:r w:rsidR="00022F6F" w:rsidRPr="00AD10D7">
        <w:rPr>
          <w:b/>
          <w:bCs/>
          <w:rtl/>
        </w:rPr>
        <w:t xml:space="preserve">إجراء بعض </w:t>
      </w:r>
      <w:r w:rsidR="00F37CC7" w:rsidRPr="00AD10D7">
        <w:rPr>
          <w:rFonts w:hint="cs"/>
          <w:b/>
          <w:bCs/>
          <w:rtl/>
        </w:rPr>
        <w:t>ال</w:t>
      </w:r>
      <w:r w:rsidR="0069200C">
        <w:rPr>
          <w:rFonts w:hint="cs"/>
          <w:b/>
          <w:bCs/>
          <w:rtl/>
        </w:rPr>
        <w:t xml:space="preserve">تصحيحات </w:t>
      </w:r>
      <w:r w:rsidR="00022F6F" w:rsidRPr="00AD10D7">
        <w:rPr>
          <w:b/>
          <w:bCs/>
          <w:rtl/>
        </w:rPr>
        <w:t xml:space="preserve">في إعمال بعض الحقوق المنصوص عليها في العهد أثناء الأزمات </w:t>
      </w:r>
      <w:r w:rsidR="00022F6F" w:rsidRPr="00AD10D7">
        <w:rPr>
          <w:rFonts w:hint="cs"/>
          <w:b/>
          <w:bCs/>
          <w:rtl/>
        </w:rPr>
        <w:t>الاقتصادية</w:t>
      </w:r>
      <w:r w:rsidR="00F37CC7" w:rsidRPr="00AD10D7">
        <w:rPr>
          <w:rFonts w:hint="cs"/>
          <w:b/>
          <w:bCs/>
          <w:rtl/>
        </w:rPr>
        <w:t xml:space="preserve"> مثلاً</w:t>
      </w:r>
      <w:r w:rsidR="00022F6F" w:rsidRPr="00AD10D7">
        <w:rPr>
          <w:b/>
          <w:bCs/>
          <w:rtl/>
        </w:rPr>
        <w:t xml:space="preserve">، </w:t>
      </w:r>
      <w:r w:rsidR="00F37CC7" w:rsidRPr="00AD10D7">
        <w:rPr>
          <w:rFonts w:hint="cs"/>
          <w:b/>
          <w:bCs/>
          <w:rtl/>
        </w:rPr>
        <w:t xml:space="preserve">فإنها </w:t>
      </w:r>
      <w:r w:rsidR="00022F6F" w:rsidRPr="00AD10D7">
        <w:rPr>
          <w:b/>
          <w:bCs/>
          <w:rtl/>
        </w:rPr>
        <w:t xml:space="preserve">توصي </w:t>
      </w:r>
      <w:r w:rsidR="00F37CC7" w:rsidRPr="00AD10D7">
        <w:rPr>
          <w:rFonts w:hint="cs"/>
          <w:b/>
          <w:bCs/>
          <w:rtl/>
        </w:rPr>
        <w:t>ب</w:t>
      </w:r>
      <w:r w:rsidR="00022F6F" w:rsidRPr="00AD10D7">
        <w:rPr>
          <w:b/>
          <w:bCs/>
          <w:rtl/>
        </w:rPr>
        <w:t>أن يكون أي تغيير أو</w:t>
      </w:r>
      <w:r w:rsidR="00F37CC7" w:rsidRPr="00AD10D7">
        <w:rPr>
          <w:rFonts w:hint="cs"/>
          <w:b/>
          <w:bCs/>
          <w:rtl/>
        </w:rPr>
        <w:t xml:space="preserve"> تصحيح تقترحه </w:t>
      </w:r>
      <w:r w:rsidR="00022F6F" w:rsidRPr="00AD10D7">
        <w:rPr>
          <w:b/>
          <w:bCs/>
          <w:rtl/>
        </w:rPr>
        <w:t>الدولة الطرف كرد فعل على الأزمة الاقتصادية (أ) مؤقت</w:t>
      </w:r>
      <w:r w:rsidR="00F37CC7" w:rsidRPr="00AD10D7">
        <w:rPr>
          <w:rFonts w:hint="cs"/>
          <w:b/>
          <w:bCs/>
          <w:rtl/>
        </w:rPr>
        <w:t>اً</w:t>
      </w:r>
      <w:r w:rsidR="00022F6F" w:rsidRPr="00AD10D7">
        <w:rPr>
          <w:b/>
          <w:bCs/>
          <w:rtl/>
        </w:rPr>
        <w:t>؛ (ب) ضروري</w:t>
      </w:r>
      <w:r w:rsidR="00F37CC7" w:rsidRPr="00AD10D7">
        <w:rPr>
          <w:rFonts w:hint="cs"/>
          <w:b/>
          <w:bCs/>
          <w:rtl/>
        </w:rPr>
        <w:t>اً</w:t>
      </w:r>
      <w:r w:rsidR="00F37CC7" w:rsidRPr="00AD10D7">
        <w:rPr>
          <w:b/>
          <w:bCs/>
          <w:rtl/>
        </w:rPr>
        <w:t xml:space="preserve"> ومتناسب</w:t>
      </w:r>
      <w:r w:rsidR="00F37CC7" w:rsidRPr="00AD10D7">
        <w:rPr>
          <w:rFonts w:hint="cs"/>
          <w:b/>
          <w:bCs/>
          <w:rtl/>
        </w:rPr>
        <w:t>اً</w:t>
      </w:r>
      <w:r w:rsidR="00022F6F" w:rsidRPr="00AD10D7">
        <w:rPr>
          <w:b/>
          <w:bCs/>
          <w:rtl/>
        </w:rPr>
        <w:t xml:space="preserve">؛ (ج) </w:t>
      </w:r>
      <w:r w:rsidR="00F37CC7" w:rsidRPr="00AD10D7">
        <w:rPr>
          <w:rFonts w:hint="cs"/>
          <w:b/>
          <w:bCs/>
          <w:rtl/>
        </w:rPr>
        <w:t xml:space="preserve">ألا يكون تمييزياً وأن يشمل اتخاذ </w:t>
      </w:r>
      <w:r w:rsidR="00022F6F" w:rsidRPr="00AD10D7">
        <w:rPr>
          <w:b/>
          <w:bCs/>
          <w:rtl/>
        </w:rPr>
        <w:t xml:space="preserve">جميع التدابير الممكنة، بما في ذلك الإجراءات الضريبية، </w:t>
      </w:r>
      <w:r w:rsidR="00F37CC7" w:rsidRPr="00AD10D7">
        <w:rPr>
          <w:rFonts w:hint="cs"/>
          <w:b/>
          <w:bCs/>
          <w:rtl/>
        </w:rPr>
        <w:t xml:space="preserve">دعماً لنقل الأعباء الاجتماعية للتخفيف من </w:t>
      </w:r>
      <w:r w:rsidR="0069200C">
        <w:rPr>
          <w:rFonts w:hint="cs"/>
          <w:b/>
          <w:bCs/>
          <w:rtl/>
        </w:rPr>
        <w:t xml:space="preserve">حدة </w:t>
      </w:r>
      <w:r w:rsidR="00F37CC7" w:rsidRPr="00AD10D7">
        <w:rPr>
          <w:rFonts w:hint="cs"/>
          <w:b/>
          <w:bCs/>
          <w:rtl/>
        </w:rPr>
        <w:t>الفوارق و</w:t>
      </w:r>
      <w:r w:rsidR="0069200C">
        <w:rPr>
          <w:rFonts w:hint="cs"/>
          <w:b/>
          <w:bCs/>
          <w:rtl/>
        </w:rPr>
        <w:t>ل</w:t>
      </w:r>
      <w:r w:rsidR="00F37CC7" w:rsidRPr="00AD10D7">
        <w:rPr>
          <w:rFonts w:hint="cs"/>
          <w:b/>
          <w:bCs/>
          <w:rtl/>
        </w:rPr>
        <w:t xml:space="preserve">لتأكد من أن حقوق </w:t>
      </w:r>
      <w:r w:rsidR="00022F6F" w:rsidRPr="00AD10D7">
        <w:rPr>
          <w:b/>
          <w:bCs/>
          <w:rtl/>
        </w:rPr>
        <w:t>المحرومين والمهمشين، أفراداً وجماعات، لا</w:t>
      </w:r>
      <w:r w:rsidR="00F37CC7" w:rsidRPr="00AD10D7">
        <w:rPr>
          <w:rFonts w:hint="cs"/>
          <w:b/>
          <w:bCs/>
          <w:rtl/>
        </w:rPr>
        <w:t> </w:t>
      </w:r>
      <w:r w:rsidR="00022F6F" w:rsidRPr="00AD10D7">
        <w:rPr>
          <w:b/>
          <w:bCs/>
          <w:rtl/>
        </w:rPr>
        <w:t>تتضرر أكثر من حقوق غيرهم؛ (د) تعيين الحد الأدنى للحماية الاجتماعية والحد الأدنى من الحقوق الأساسية، وضمان حماية هذا الحد الأدنى من الحقوق في كل الأحيان. وتلفت اللجنة انتباه الدولة الطرف إلى رسالتها المفتوحة المؤرخة 16 أيار/مايو 2012 بشأن الحقوق الاقتصادية والاجتماعية والثقافية والأزمة الاقتصادية والمالية.</w:t>
      </w:r>
    </w:p>
    <w:p w:rsidR="00022F6F" w:rsidRPr="008075D0" w:rsidRDefault="00022F6F" w:rsidP="00F37CC7">
      <w:pPr>
        <w:pStyle w:val="SingleTxtGA"/>
      </w:pPr>
      <w:r w:rsidRPr="00E92E26">
        <w:rPr>
          <w:rFonts w:hint="cs"/>
          <w:rtl/>
        </w:rPr>
        <w:t>7-</w:t>
      </w:r>
      <w:r w:rsidRPr="00E92E26">
        <w:rPr>
          <w:rFonts w:hint="cs"/>
          <w:rtl/>
        </w:rPr>
        <w:tab/>
      </w:r>
      <w:r w:rsidRPr="00E92E26">
        <w:rPr>
          <w:rFonts w:hint="cs"/>
          <w:rtl/>
          <w:lang w:bidi="ar"/>
        </w:rPr>
        <w:t xml:space="preserve">وتشعر اللجنة بالقلق لأن الدولة الطرف </w:t>
      </w:r>
      <w:r w:rsidRPr="00E92E26">
        <w:rPr>
          <w:rtl/>
        </w:rPr>
        <w:t xml:space="preserve">لم تنشئ بعد مؤسسة وطنية </w:t>
      </w:r>
      <w:r w:rsidR="00F37CC7">
        <w:rPr>
          <w:rFonts w:hint="cs"/>
          <w:rtl/>
        </w:rPr>
        <w:t xml:space="preserve">موحّدة </w:t>
      </w:r>
      <w:r w:rsidRPr="00E92E26">
        <w:rPr>
          <w:rtl/>
        </w:rPr>
        <w:t>لحقوق الإنسان، وفقاً للمبادئ المتعلقة بمركز المؤسسات الوطنية لتعزيز حقوق الإنسان وحمايتها (مبادئ باريس).</w:t>
      </w:r>
    </w:p>
    <w:p w:rsidR="00022F6F" w:rsidRPr="00AD10D7" w:rsidRDefault="00F37CC7" w:rsidP="00F37CC7">
      <w:pPr>
        <w:pStyle w:val="SingleTxtGA"/>
        <w:rPr>
          <w:b/>
          <w:bCs/>
        </w:rPr>
      </w:pPr>
      <w:r w:rsidRPr="00AD10D7">
        <w:rPr>
          <w:rFonts w:hint="cs"/>
          <w:b/>
          <w:bCs/>
          <w:rtl/>
          <w:lang w:bidi="ar"/>
        </w:rPr>
        <w:tab/>
      </w:r>
      <w:r w:rsidR="00022F6F" w:rsidRPr="00AD10D7">
        <w:rPr>
          <w:rFonts w:hint="cs"/>
          <w:b/>
          <w:bCs/>
          <w:rtl/>
          <w:lang w:bidi="ar"/>
        </w:rPr>
        <w:t xml:space="preserve">توصي اللجنة </w:t>
      </w:r>
      <w:r w:rsidRPr="00AD10D7">
        <w:rPr>
          <w:rFonts w:hint="cs"/>
          <w:b/>
          <w:bCs/>
          <w:rtl/>
          <w:lang w:bidi="ar"/>
        </w:rPr>
        <w:t xml:space="preserve">بأن تتخذ </w:t>
      </w:r>
      <w:r w:rsidR="00022F6F" w:rsidRPr="00AD10D7">
        <w:rPr>
          <w:rFonts w:hint="cs"/>
          <w:b/>
          <w:bCs/>
          <w:rtl/>
          <w:lang w:bidi="ar"/>
        </w:rPr>
        <w:t xml:space="preserve">الدولة الطرف خطوات لإنشاء مؤسسة وطنية لحقوق الإنسان ذات ولاية واسعة النطاق في مجال حقوق الإنسان، </w:t>
      </w:r>
      <w:r w:rsidRPr="00AD10D7">
        <w:rPr>
          <w:rFonts w:hint="cs"/>
          <w:b/>
          <w:bCs/>
          <w:rtl/>
          <w:lang w:bidi="ar"/>
        </w:rPr>
        <w:t xml:space="preserve">تشمل </w:t>
      </w:r>
      <w:r w:rsidR="00022F6F" w:rsidRPr="00AD10D7">
        <w:rPr>
          <w:b/>
          <w:bCs/>
          <w:rtl/>
        </w:rPr>
        <w:t>الحقوق الاقتصادية والاجتماعية والثقافية المنصوص عليها في العهد وفقاً لمبادئ باريس، و</w:t>
      </w:r>
      <w:r w:rsidRPr="00AD10D7">
        <w:rPr>
          <w:rFonts w:hint="cs"/>
          <w:b/>
          <w:bCs/>
          <w:rtl/>
        </w:rPr>
        <w:t xml:space="preserve">توصيها بأن تزود تلك المؤسسة </w:t>
      </w:r>
      <w:r w:rsidR="00022F6F" w:rsidRPr="00AD10D7">
        <w:rPr>
          <w:b/>
          <w:bCs/>
          <w:rtl/>
        </w:rPr>
        <w:t xml:space="preserve">بالموارد المالية والبشرية الكافية. </w:t>
      </w:r>
    </w:p>
    <w:p w:rsidR="00022F6F" w:rsidRPr="00E92E26" w:rsidRDefault="00022F6F" w:rsidP="00FF746F">
      <w:pPr>
        <w:pStyle w:val="SingleTxtGA"/>
        <w:rPr>
          <w:rFonts w:hint="cs"/>
          <w:rtl/>
        </w:rPr>
      </w:pPr>
      <w:r w:rsidRPr="00E92E26">
        <w:rPr>
          <w:rFonts w:hint="cs"/>
          <w:rtl/>
        </w:rPr>
        <w:t>8-</w:t>
      </w:r>
      <w:r w:rsidRPr="00E92E26">
        <w:rPr>
          <w:rFonts w:hint="cs"/>
          <w:rtl/>
        </w:rPr>
        <w:tab/>
      </w:r>
      <w:r w:rsidRPr="00E92E26">
        <w:rPr>
          <w:rtl/>
        </w:rPr>
        <w:t>و</w:t>
      </w:r>
      <w:r w:rsidR="00F37CC7">
        <w:rPr>
          <w:rFonts w:hint="cs"/>
          <w:rtl/>
        </w:rPr>
        <w:t xml:space="preserve">تعرب اللجنة عن قلقها </w:t>
      </w:r>
      <w:r w:rsidRPr="00E92E26">
        <w:rPr>
          <w:rtl/>
        </w:rPr>
        <w:t xml:space="preserve">إزاء الفارق الكبير في الأجور بين </w:t>
      </w:r>
      <w:r w:rsidR="00F37CC7">
        <w:rPr>
          <w:rFonts w:hint="cs"/>
          <w:rtl/>
        </w:rPr>
        <w:t>الرجال والنساء</w:t>
      </w:r>
      <w:r w:rsidRPr="00E92E26">
        <w:rPr>
          <w:rtl/>
        </w:rPr>
        <w:t xml:space="preserve">. كما </w:t>
      </w:r>
      <w:r w:rsidRPr="00E92E26">
        <w:rPr>
          <w:rFonts w:hint="cs"/>
          <w:rtl/>
          <w:lang w:bidi="ar"/>
        </w:rPr>
        <w:t xml:space="preserve">يساور اللجنة </w:t>
      </w:r>
      <w:r w:rsidRPr="00E92E26">
        <w:rPr>
          <w:rtl/>
        </w:rPr>
        <w:t>ال</w:t>
      </w:r>
      <w:r w:rsidR="001D7685">
        <w:rPr>
          <w:rFonts w:hint="cs"/>
          <w:rtl/>
          <w:lang w:bidi="ar"/>
        </w:rPr>
        <w:t xml:space="preserve">قلق أيضاً </w:t>
      </w:r>
      <w:r w:rsidRPr="00E92E26">
        <w:rPr>
          <w:rFonts w:hint="cs"/>
          <w:rtl/>
          <w:lang w:bidi="ar"/>
        </w:rPr>
        <w:t>لأن تمثيل</w:t>
      </w:r>
      <w:r w:rsidR="001D7685">
        <w:rPr>
          <w:rFonts w:hint="cs"/>
          <w:rtl/>
          <w:lang w:bidi="ar"/>
        </w:rPr>
        <w:t xml:space="preserve"> </w:t>
      </w:r>
      <w:r w:rsidRPr="00E92E26">
        <w:rPr>
          <w:rFonts w:hint="cs"/>
          <w:rtl/>
          <w:lang w:bidi="ar"/>
        </w:rPr>
        <w:t xml:space="preserve">النساء في مناصب صنع القرار لا يزال ناقصاً، ولا سيما في السلك الدبلوماسي والقضاء </w:t>
      </w:r>
      <w:r w:rsidR="00F37CC7">
        <w:rPr>
          <w:rFonts w:hint="cs"/>
          <w:rtl/>
          <w:lang w:bidi="ar"/>
        </w:rPr>
        <w:t xml:space="preserve">والجامعات </w:t>
      </w:r>
      <w:r w:rsidRPr="00E92E26">
        <w:rPr>
          <w:rFonts w:hint="cs"/>
          <w:rtl/>
          <w:lang w:bidi="ar"/>
        </w:rPr>
        <w:t>(المادة 3).</w:t>
      </w:r>
      <w:r w:rsidR="001D7685">
        <w:rPr>
          <w:rtl/>
        </w:rPr>
        <w:t xml:space="preserve"> </w:t>
      </w:r>
    </w:p>
    <w:p w:rsidR="00022F6F" w:rsidRPr="00AD10D7" w:rsidRDefault="00AD10D7" w:rsidP="00F37CC7">
      <w:pPr>
        <w:pStyle w:val="SingleTxtGA"/>
        <w:rPr>
          <w:rFonts w:hint="cs"/>
          <w:b/>
          <w:bCs/>
          <w:rtl/>
        </w:rPr>
      </w:pPr>
      <w:r w:rsidRPr="00AD10D7">
        <w:rPr>
          <w:rFonts w:hint="cs"/>
          <w:b/>
          <w:bCs/>
          <w:rtl/>
          <w:lang w:bidi="ar"/>
        </w:rPr>
        <w:tab/>
      </w:r>
      <w:r w:rsidR="00022F6F" w:rsidRPr="00AD10D7">
        <w:rPr>
          <w:b/>
          <w:bCs/>
          <w:rtl/>
          <w:lang w:bidi="ar"/>
        </w:rPr>
        <w:t>توصي اللجنة</w:t>
      </w:r>
      <w:r w:rsidR="00F37CC7" w:rsidRPr="00AD10D7">
        <w:rPr>
          <w:rFonts w:hint="cs"/>
          <w:b/>
          <w:bCs/>
          <w:rtl/>
          <w:lang w:bidi="ar"/>
        </w:rPr>
        <w:t xml:space="preserve"> بأن تتخذ </w:t>
      </w:r>
      <w:r w:rsidR="00022F6F" w:rsidRPr="00AD10D7">
        <w:rPr>
          <w:b/>
          <w:bCs/>
          <w:rtl/>
          <w:lang w:bidi="ar"/>
        </w:rPr>
        <w:t xml:space="preserve">الدولة الطرف خطوات، خاصةً عن طريق ضمان </w:t>
      </w:r>
      <w:r w:rsidR="00022F6F" w:rsidRPr="00AD10D7">
        <w:rPr>
          <w:b/>
          <w:bCs/>
          <w:rtl/>
        </w:rPr>
        <w:t>التنفيذ الكامل لقانون المساواة بين الجنسين ١٠/٢٠٠٨، من أجل القضاء على التفاوت الكبير والمست</w:t>
      </w:r>
      <w:r w:rsidR="00F37CC7" w:rsidRPr="00AD10D7">
        <w:rPr>
          <w:b/>
          <w:bCs/>
          <w:rtl/>
        </w:rPr>
        <w:t>مر في الأجور بين النساء والرجال</w:t>
      </w:r>
      <w:r w:rsidR="00F37CC7" w:rsidRPr="00AD10D7">
        <w:rPr>
          <w:rFonts w:hint="cs"/>
          <w:b/>
          <w:bCs/>
          <w:rtl/>
        </w:rPr>
        <w:t xml:space="preserve"> بما يضمن تحقيق مبدأ </w:t>
      </w:r>
      <w:r w:rsidR="00022F6F" w:rsidRPr="00AD10D7">
        <w:rPr>
          <w:b/>
          <w:bCs/>
          <w:rtl/>
        </w:rPr>
        <w:t xml:space="preserve">"الأجر المتساوي لقاء العمل المتساوي القيمة"، وفقاً للمادة 7 من العهد. </w:t>
      </w:r>
      <w:r w:rsidR="00F37CC7" w:rsidRPr="00AD10D7">
        <w:rPr>
          <w:rFonts w:hint="cs"/>
          <w:b/>
          <w:bCs/>
          <w:rtl/>
        </w:rPr>
        <w:t>و</w:t>
      </w:r>
      <w:r w:rsidR="00022F6F" w:rsidRPr="00AD10D7">
        <w:rPr>
          <w:b/>
          <w:bCs/>
          <w:rtl/>
          <w:lang w:bidi="ar"/>
        </w:rPr>
        <w:t xml:space="preserve">توصي اللجنة </w:t>
      </w:r>
      <w:r w:rsidR="00F37CC7" w:rsidRPr="00AD10D7">
        <w:rPr>
          <w:rFonts w:hint="cs"/>
          <w:b/>
          <w:bCs/>
          <w:rtl/>
          <w:lang w:bidi="ar"/>
        </w:rPr>
        <w:t xml:space="preserve">أيضاً بأن تتخذ </w:t>
      </w:r>
      <w:r w:rsidR="00022F6F" w:rsidRPr="00AD10D7">
        <w:rPr>
          <w:b/>
          <w:bCs/>
          <w:rtl/>
          <w:lang w:bidi="ar"/>
        </w:rPr>
        <w:t>الدولة الطرف خطوات ل</w:t>
      </w:r>
      <w:r w:rsidR="00022F6F" w:rsidRPr="00AD10D7">
        <w:rPr>
          <w:b/>
          <w:bCs/>
          <w:rtl/>
        </w:rPr>
        <w:t xml:space="preserve">ضمان زيادة </w:t>
      </w:r>
      <w:r w:rsidR="00F37CC7" w:rsidRPr="00AD10D7">
        <w:rPr>
          <w:rFonts w:hint="cs"/>
          <w:b/>
          <w:bCs/>
          <w:rtl/>
        </w:rPr>
        <w:t>تمث</w:t>
      </w:r>
      <w:r w:rsidR="0069200C">
        <w:rPr>
          <w:rFonts w:hint="cs"/>
          <w:b/>
          <w:bCs/>
          <w:rtl/>
        </w:rPr>
        <w:t>ي</w:t>
      </w:r>
      <w:r w:rsidR="00F37CC7" w:rsidRPr="00AD10D7">
        <w:rPr>
          <w:rFonts w:hint="cs"/>
          <w:b/>
          <w:bCs/>
          <w:rtl/>
        </w:rPr>
        <w:t xml:space="preserve">ل </w:t>
      </w:r>
      <w:r w:rsidR="00022F6F" w:rsidRPr="00AD10D7">
        <w:rPr>
          <w:b/>
          <w:bCs/>
          <w:rtl/>
        </w:rPr>
        <w:t xml:space="preserve">النساء في مناصب صنع القرار، </w:t>
      </w:r>
      <w:r w:rsidR="00022F6F" w:rsidRPr="00AD10D7">
        <w:rPr>
          <w:b/>
          <w:bCs/>
          <w:rtl/>
          <w:lang w:bidi="ar"/>
        </w:rPr>
        <w:t xml:space="preserve">ولا سيما في السلك الدبلوماسي والقضاء </w:t>
      </w:r>
      <w:r w:rsidR="00F37CC7" w:rsidRPr="00AD10D7">
        <w:rPr>
          <w:rFonts w:hint="cs"/>
          <w:b/>
          <w:bCs/>
          <w:rtl/>
          <w:lang w:bidi="ar"/>
        </w:rPr>
        <w:t>والجامعات</w:t>
      </w:r>
      <w:r w:rsidR="00022F6F" w:rsidRPr="00AD10D7">
        <w:rPr>
          <w:b/>
          <w:bCs/>
          <w:rtl/>
          <w:lang w:bidi="ar"/>
        </w:rPr>
        <w:t>.</w:t>
      </w:r>
      <w:r w:rsidR="001D7685" w:rsidRPr="00AD10D7">
        <w:rPr>
          <w:b/>
          <w:bCs/>
          <w:rtl/>
          <w:lang w:bidi="ar"/>
        </w:rPr>
        <w:t xml:space="preserve"> </w:t>
      </w:r>
    </w:p>
    <w:p w:rsidR="00022F6F" w:rsidRPr="00967ABC" w:rsidRDefault="00022F6F" w:rsidP="0069200C">
      <w:pPr>
        <w:pStyle w:val="SingleTxtGA"/>
        <w:rPr>
          <w:rFonts w:hint="cs"/>
          <w:lang w:bidi="ar"/>
        </w:rPr>
      </w:pPr>
      <w:r w:rsidRPr="00967ABC">
        <w:rPr>
          <w:rFonts w:hint="cs"/>
          <w:rtl/>
        </w:rPr>
        <w:t>9-</w:t>
      </w:r>
      <w:r w:rsidRPr="00967ABC">
        <w:rPr>
          <w:rFonts w:hint="cs"/>
          <w:rtl/>
        </w:rPr>
        <w:tab/>
      </w:r>
      <w:r w:rsidR="00F37CC7">
        <w:rPr>
          <w:rFonts w:hint="cs"/>
          <w:rtl/>
          <w:lang w:bidi="ar"/>
        </w:rPr>
        <w:t>ويساور اللجنة القلق ل</w:t>
      </w:r>
      <w:r w:rsidRPr="00967ABC">
        <w:rPr>
          <w:rFonts w:hint="cs"/>
          <w:rtl/>
          <w:lang w:bidi="ar"/>
        </w:rPr>
        <w:t>أن معدل البطالة لا يزال مرتفع</w:t>
      </w:r>
      <w:r w:rsidR="001D7685">
        <w:rPr>
          <w:rFonts w:hint="cs"/>
          <w:rtl/>
          <w:lang w:bidi="ar"/>
        </w:rPr>
        <w:t xml:space="preserve">اً </w:t>
      </w:r>
      <w:r w:rsidRPr="00967ABC">
        <w:rPr>
          <w:rFonts w:hint="cs"/>
          <w:rtl/>
          <w:lang w:bidi="ar"/>
        </w:rPr>
        <w:t>مقارنة</w:t>
      </w:r>
      <w:r w:rsidR="0069200C">
        <w:rPr>
          <w:rFonts w:hint="cs"/>
          <w:rtl/>
          <w:lang w:bidi="ar"/>
        </w:rPr>
        <w:t>ً</w:t>
      </w:r>
      <w:r w:rsidRPr="00967ABC">
        <w:rPr>
          <w:rFonts w:hint="cs"/>
          <w:rtl/>
          <w:lang w:bidi="ar"/>
        </w:rPr>
        <w:t xml:space="preserve"> مع معدل</w:t>
      </w:r>
      <w:r w:rsidR="00F37CC7">
        <w:rPr>
          <w:rFonts w:hint="cs"/>
          <w:rtl/>
          <w:lang w:bidi="ar"/>
        </w:rPr>
        <w:t xml:space="preserve">ه </w:t>
      </w:r>
      <w:r w:rsidRPr="00967ABC">
        <w:rPr>
          <w:rFonts w:hint="cs"/>
          <w:rtl/>
          <w:lang w:bidi="ar"/>
        </w:rPr>
        <w:t>قبل أزمة</w:t>
      </w:r>
      <w:r w:rsidR="00F37CC7">
        <w:rPr>
          <w:rFonts w:hint="eastAsia"/>
          <w:rtl/>
          <w:lang w:bidi="ar"/>
        </w:rPr>
        <w:t> </w:t>
      </w:r>
      <w:r w:rsidRPr="00967ABC">
        <w:rPr>
          <w:rFonts w:hint="cs"/>
          <w:rtl/>
          <w:lang w:bidi="ar"/>
        </w:rPr>
        <w:t>٢٠٠٨، و</w:t>
      </w:r>
      <w:r w:rsidR="00F37CC7">
        <w:rPr>
          <w:rFonts w:hint="cs"/>
          <w:rtl/>
          <w:lang w:bidi="ar"/>
        </w:rPr>
        <w:t>ل</w:t>
      </w:r>
      <w:r w:rsidRPr="00967ABC">
        <w:rPr>
          <w:rFonts w:hint="cs"/>
          <w:rtl/>
          <w:lang w:bidi="ar"/>
        </w:rPr>
        <w:t xml:space="preserve">أن الشباب والمهاجرين معرَّضون بصفة خاصة لخطر البطالة الطويلة الأمد (المادة ٦). </w:t>
      </w:r>
    </w:p>
    <w:p w:rsidR="00022F6F" w:rsidRPr="00AD10D7" w:rsidRDefault="00AD10D7" w:rsidP="00F37CC7">
      <w:pPr>
        <w:pStyle w:val="SingleTxtGA"/>
        <w:rPr>
          <w:rFonts w:hint="cs"/>
          <w:b/>
          <w:bCs/>
          <w:rtl/>
        </w:rPr>
      </w:pPr>
      <w:r>
        <w:rPr>
          <w:rFonts w:hint="cs"/>
          <w:b/>
          <w:bCs/>
          <w:rtl/>
          <w:lang w:bidi="ar"/>
        </w:rPr>
        <w:tab/>
      </w:r>
      <w:r w:rsidR="00022F6F" w:rsidRPr="00AD10D7">
        <w:rPr>
          <w:rFonts w:hint="cs"/>
          <w:b/>
          <w:bCs/>
          <w:rtl/>
          <w:lang w:bidi="ar"/>
        </w:rPr>
        <w:t xml:space="preserve">توصي اللجنة </w:t>
      </w:r>
      <w:r w:rsidR="00F37CC7" w:rsidRPr="00AD10D7">
        <w:rPr>
          <w:rFonts w:hint="cs"/>
          <w:b/>
          <w:bCs/>
          <w:rtl/>
          <w:lang w:bidi="ar"/>
        </w:rPr>
        <w:t xml:space="preserve">بأن تكثف </w:t>
      </w:r>
      <w:r w:rsidR="00022F6F" w:rsidRPr="00AD10D7">
        <w:rPr>
          <w:rFonts w:hint="cs"/>
          <w:b/>
          <w:bCs/>
          <w:rtl/>
          <w:lang w:bidi="ar"/>
        </w:rPr>
        <w:t xml:space="preserve">الدولة الطرف </w:t>
      </w:r>
      <w:r w:rsidR="00022F6F" w:rsidRPr="00AD10D7">
        <w:rPr>
          <w:b/>
          <w:bCs/>
          <w:rtl/>
        </w:rPr>
        <w:t xml:space="preserve">جهودها لمعالجة </w:t>
      </w:r>
      <w:r w:rsidR="00F37CC7" w:rsidRPr="00AD10D7">
        <w:rPr>
          <w:rFonts w:hint="cs"/>
          <w:b/>
          <w:bCs/>
          <w:rtl/>
        </w:rPr>
        <w:t xml:space="preserve">ارتفاع </w:t>
      </w:r>
      <w:r w:rsidR="00022F6F" w:rsidRPr="00AD10D7">
        <w:rPr>
          <w:b/>
          <w:bCs/>
          <w:rtl/>
        </w:rPr>
        <w:t>معدل البطالة، ولا سيما من خلال سياسة شاملة</w:t>
      </w:r>
      <w:r w:rsidR="00F37CC7" w:rsidRPr="00AD10D7">
        <w:rPr>
          <w:rFonts w:hint="cs"/>
          <w:b/>
          <w:bCs/>
          <w:rtl/>
        </w:rPr>
        <w:t xml:space="preserve"> لإحداث فرص عمل </w:t>
      </w:r>
      <w:r w:rsidR="00022F6F" w:rsidRPr="00AD10D7">
        <w:rPr>
          <w:b/>
          <w:bCs/>
          <w:rtl/>
        </w:rPr>
        <w:t xml:space="preserve">مع التركيز بشكل خاص على المجموعات المعرضة لخطر </w:t>
      </w:r>
      <w:r w:rsidR="00022F6F" w:rsidRPr="00AD10D7">
        <w:rPr>
          <w:rFonts w:hint="cs"/>
          <w:b/>
          <w:bCs/>
          <w:rtl/>
          <w:lang w:bidi="ar"/>
        </w:rPr>
        <w:t>البطالة الطويلة الأمد، مثل الشباب والمهاجرين.</w:t>
      </w:r>
    </w:p>
    <w:p w:rsidR="00022F6F" w:rsidRPr="00967ABC" w:rsidRDefault="00022F6F" w:rsidP="00246F04">
      <w:pPr>
        <w:pStyle w:val="SingleTxtGA"/>
        <w:rPr>
          <w:rFonts w:hint="cs"/>
          <w:rtl/>
        </w:rPr>
      </w:pPr>
      <w:r w:rsidRPr="00967ABC">
        <w:rPr>
          <w:rFonts w:hint="cs"/>
          <w:rtl/>
        </w:rPr>
        <w:t>10-</w:t>
      </w:r>
      <w:r w:rsidRPr="00967ABC">
        <w:rPr>
          <w:rFonts w:hint="cs"/>
          <w:rtl/>
        </w:rPr>
        <w:tab/>
      </w:r>
      <w:r w:rsidRPr="00967ABC">
        <w:rPr>
          <w:rtl/>
        </w:rPr>
        <w:t>و</w:t>
      </w:r>
      <w:r w:rsidR="00F37CC7">
        <w:rPr>
          <w:rFonts w:hint="cs"/>
          <w:rtl/>
        </w:rPr>
        <w:t xml:space="preserve">يساور القلق اللجنة </w:t>
      </w:r>
      <w:r w:rsidRPr="00967ABC">
        <w:rPr>
          <w:rtl/>
        </w:rPr>
        <w:t xml:space="preserve">لأن تراخيص العمل المؤقت تصدر للعمل لحساب </w:t>
      </w:r>
      <w:r w:rsidR="00F37CC7">
        <w:rPr>
          <w:rFonts w:hint="cs"/>
          <w:rtl/>
        </w:rPr>
        <w:t xml:space="preserve">صاحب عمل محدد، وأن هذا الأمر </w:t>
      </w:r>
      <w:r w:rsidR="0069200C">
        <w:rPr>
          <w:rFonts w:hint="cs"/>
          <w:rtl/>
        </w:rPr>
        <w:t xml:space="preserve">قد </w:t>
      </w:r>
      <w:r w:rsidR="00F37CC7">
        <w:rPr>
          <w:rFonts w:hint="cs"/>
          <w:rtl/>
        </w:rPr>
        <w:t xml:space="preserve">يزيد صاحب </w:t>
      </w:r>
      <w:r w:rsidR="009D7A8E">
        <w:rPr>
          <w:rFonts w:hint="cs"/>
          <w:rtl/>
        </w:rPr>
        <w:t xml:space="preserve">رخصة العمل ضعفاً </w:t>
      </w:r>
      <w:r w:rsidR="0069200C">
        <w:rPr>
          <w:rFonts w:hint="cs"/>
          <w:rtl/>
        </w:rPr>
        <w:t xml:space="preserve">في </w:t>
      </w:r>
      <w:r w:rsidR="009D7A8E">
        <w:rPr>
          <w:rFonts w:hint="cs"/>
          <w:rtl/>
        </w:rPr>
        <w:t>مواجهة صاحب العمل وتبعيةً له. وتعرب ا</w:t>
      </w:r>
      <w:r w:rsidR="0069200C">
        <w:rPr>
          <w:rFonts w:hint="cs"/>
          <w:rtl/>
        </w:rPr>
        <w:t>لل</w:t>
      </w:r>
      <w:r w:rsidR="009D7A8E">
        <w:rPr>
          <w:rFonts w:hint="cs"/>
          <w:rtl/>
        </w:rPr>
        <w:t>جنة عن قلقها أيضاً لأنه لا يمكن للمستخد</w:t>
      </w:r>
      <w:r w:rsidR="0069200C">
        <w:rPr>
          <w:rFonts w:hint="cs"/>
          <w:rtl/>
        </w:rPr>
        <w:t>َ</w:t>
      </w:r>
      <w:r w:rsidR="009D7A8E">
        <w:rPr>
          <w:rFonts w:hint="cs"/>
          <w:rtl/>
        </w:rPr>
        <w:t xml:space="preserve">م وحده أن يطعن في القرارات التي </w:t>
      </w:r>
      <w:r>
        <w:rPr>
          <w:rtl/>
        </w:rPr>
        <w:t>تتخذها مديرية العمل بشأن طلبات</w:t>
      </w:r>
      <w:r w:rsidRPr="00967ABC">
        <w:rPr>
          <w:rtl/>
        </w:rPr>
        <w:t xml:space="preserve"> الرخص المؤقتة أو إلغاء هذه الرخص</w:t>
      </w:r>
      <w:r w:rsidRPr="00967ABC">
        <w:rPr>
          <w:rFonts w:hint="cs"/>
          <w:rtl/>
        </w:rPr>
        <w:t xml:space="preserve"> </w:t>
      </w:r>
      <w:r w:rsidRPr="00967ABC">
        <w:rPr>
          <w:rtl/>
        </w:rPr>
        <w:t>(المادة</w:t>
      </w:r>
      <w:r w:rsidR="00246F04">
        <w:rPr>
          <w:rFonts w:hint="cs"/>
          <w:rtl/>
        </w:rPr>
        <w:t> </w:t>
      </w:r>
      <w:r w:rsidRPr="00967ABC">
        <w:rPr>
          <w:rtl/>
        </w:rPr>
        <w:t>٦).</w:t>
      </w:r>
    </w:p>
    <w:p w:rsidR="00022F6F" w:rsidRPr="00AD10D7" w:rsidRDefault="009D7A8E" w:rsidP="0069200C">
      <w:pPr>
        <w:pStyle w:val="SingleTxtGA"/>
        <w:rPr>
          <w:rFonts w:hint="cs"/>
          <w:b/>
          <w:bCs/>
          <w:rtl/>
        </w:rPr>
      </w:pPr>
      <w:r>
        <w:rPr>
          <w:rFonts w:hint="cs"/>
          <w:rtl/>
          <w:lang w:bidi="ar"/>
        </w:rPr>
        <w:tab/>
      </w:r>
      <w:r w:rsidR="00022F6F" w:rsidRPr="00AD10D7">
        <w:rPr>
          <w:rFonts w:hint="cs"/>
          <w:b/>
          <w:bCs/>
          <w:rtl/>
          <w:lang w:bidi="ar"/>
        </w:rPr>
        <w:t xml:space="preserve">توصي اللجنة </w:t>
      </w:r>
      <w:r w:rsidRPr="00AD10D7">
        <w:rPr>
          <w:rFonts w:hint="cs"/>
          <w:b/>
          <w:bCs/>
          <w:rtl/>
          <w:lang w:bidi="ar"/>
        </w:rPr>
        <w:t xml:space="preserve">بأن تتخذ </w:t>
      </w:r>
      <w:r w:rsidR="00022F6F" w:rsidRPr="00AD10D7">
        <w:rPr>
          <w:rFonts w:hint="cs"/>
          <w:b/>
          <w:bCs/>
          <w:rtl/>
          <w:lang w:bidi="ar"/>
        </w:rPr>
        <w:t xml:space="preserve">الدولة الطرف </w:t>
      </w:r>
      <w:r w:rsidR="00022F6F" w:rsidRPr="00AD10D7">
        <w:rPr>
          <w:b/>
          <w:bCs/>
          <w:rtl/>
          <w:lang w:bidi="ar"/>
        </w:rPr>
        <w:t>خطوات لضمان إصدار رخص العمل المؤقتة لنوع محدد من العمل/النشاط المأجور و</w:t>
      </w:r>
      <w:r w:rsidRPr="00AD10D7">
        <w:rPr>
          <w:rFonts w:hint="cs"/>
          <w:b/>
          <w:bCs/>
          <w:rtl/>
          <w:lang w:bidi="ar"/>
        </w:rPr>
        <w:t>ل</w:t>
      </w:r>
      <w:r w:rsidR="00022F6F" w:rsidRPr="00AD10D7">
        <w:rPr>
          <w:b/>
          <w:bCs/>
          <w:rtl/>
          <w:lang w:bidi="ar"/>
        </w:rPr>
        <w:t>وقت محدد، و</w:t>
      </w:r>
      <w:r w:rsidRPr="00AD10D7">
        <w:rPr>
          <w:rFonts w:hint="cs"/>
          <w:b/>
          <w:bCs/>
          <w:rtl/>
          <w:lang w:bidi="ar"/>
        </w:rPr>
        <w:t>بألا تربط إصدارها بصاحب عمل محدد. كما توصي ا</w:t>
      </w:r>
      <w:r w:rsidR="0069200C">
        <w:rPr>
          <w:rFonts w:hint="cs"/>
          <w:b/>
          <w:bCs/>
          <w:rtl/>
          <w:lang w:bidi="ar"/>
        </w:rPr>
        <w:t>ل</w:t>
      </w:r>
      <w:r w:rsidRPr="00AD10D7">
        <w:rPr>
          <w:rFonts w:hint="cs"/>
          <w:b/>
          <w:bCs/>
          <w:rtl/>
          <w:lang w:bidi="ar"/>
        </w:rPr>
        <w:t>لجنة بأن تضمن الدولة الطرف إعطاء المستخد</w:t>
      </w:r>
      <w:r w:rsidR="0069200C">
        <w:rPr>
          <w:rFonts w:hint="cs"/>
          <w:b/>
          <w:bCs/>
          <w:rtl/>
          <w:lang w:bidi="ar"/>
        </w:rPr>
        <w:t>َ</w:t>
      </w:r>
      <w:r w:rsidRPr="00AD10D7">
        <w:rPr>
          <w:rFonts w:hint="cs"/>
          <w:b/>
          <w:bCs/>
          <w:rtl/>
          <w:lang w:bidi="ar"/>
        </w:rPr>
        <w:t xml:space="preserve">م وحده </w:t>
      </w:r>
      <w:r w:rsidR="00022F6F" w:rsidRPr="00AD10D7">
        <w:rPr>
          <w:b/>
          <w:bCs/>
          <w:rtl/>
        </w:rPr>
        <w:t xml:space="preserve">حق الطعن في القرارات التي تتخذها مديرية العمل بشأن طلبات </w:t>
      </w:r>
      <w:r w:rsidRPr="00AD10D7">
        <w:rPr>
          <w:rFonts w:hint="cs"/>
          <w:b/>
          <w:bCs/>
          <w:rtl/>
        </w:rPr>
        <w:t>ال</w:t>
      </w:r>
      <w:r w:rsidR="00022F6F" w:rsidRPr="00AD10D7">
        <w:rPr>
          <w:b/>
          <w:bCs/>
          <w:rtl/>
        </w:rPr>
        <w:t xml:space="preserve">رخص المؤقتة أو إلغاء هذه الرخص، </w:t>
      </w:r>
      <w:r w:rsidRPr="00AD10D7">
        <w:rPr>
          <w:rFonts w:hint="cs"/>
          <w:b/>
          <w:bCs/>
          <w:rtl/>
        </w:rPr>
        <w:t>وبألا</w:t>
      </w:r>
      <w:r w:rsidR="001D7685" w:rsidRPr="00AD10D7">
        <w:rPr>
          <w:rFonts w:hint="eastAsia"/>
          <w:b/>
          <w:bCs/>
          <w:rtl/>
        </w:rPr>
        <w:t> </w:t>
      </w:r>
      <w:r w:rsidRPr="00AD10D7">
        <w:rPr>
          <w:rFonts w:hint="cs"/>
          <w:b/>
          <w:bCs/>
          <w:rtl/>
        </w:rPr>
        <w:t xml:space="preserve">تشترط موافقة صاحب العمل أيضاً. </w:t>
      </w:r>
    </w:p>
    <w:p w:rsidR="00022F6F" w:rsidRPr="00D24473" w:rsidRDefault="00022F6F" w:rsidP="009D7A8E">
      <w:pPr>
        <w:pStyle w:val="SingleTxtGA"/>
        <w:rPr>
          <w:rFonts w:hint="cs"/>
          <w:rtl/>
        </w:rPr>
      </w:pPr>
      <w:r w:rsidRPr="00D24473">
        <w:rPr>
          <w:rFonts w:hint="cs"/>
          <w:rtl/>
        </w:rPr>
        <w:t>11-</w:t>
      </w:r>
      <w:r w:rsidRPr="00D24473">
        <w:rPr>
          <w:rFonts w:hint="cs"/>
          <w:rtl/>
        </w:rPr>
        <w:tab/>
      </w:r>
      <w:r w:rsidRPr="00D24473">
        <w:rPr>
          <w:rtl/>
        </w:rPr>
        <w:t xml:space="preserve">ويساور اللجنة القلق لأن الدولة الطرف لم </w:t>
      </w:r>
      <w:r w:rsidR="009D7A8E">
        <w:rPr>
          <w:rFonts w:hint="cs"/>
          <w:rtl/>
        </w:rPr>
        <w:t>تعي</w:t>
      </w:r>
      <w:r w:rsidR="0069200C">
        <w:rPr>
          <w:rFonts w:hint="cs"/>
          <w:rtl/>
        </w:rPr>
        <w:t>ّ</w:t>
      </w:r>
      <w:r w:rsidR="009D7A8E">
        <w:rPr>
          <w:rFonts w:hint="cs"/>
          <w:rtl/>
        </w:rPr>
        <w:t xml:space="preserve">ن </w:t>
      </w:r>
      <w:r w:rsidRPr="00D24473">
        <w:rPr>
          <w:rtl/>
        </w:rPr>
        <w:t>بعد حداً أدنى للأجور على المستوى الوطني (المادة ٧).</w:t>
      </w:r>
    </w:p>
    <w:p w:rsidR="00022F6F" w:rsidRPr="00AD10D7" w:rsidRDefault="009D7A8E" w:rsidP="00E40371">
      <w:pPr>
        <w:pStyle w:val="SingleTxtGA"/>
        <w:rPr>
          <w:rFonts w:hint="cs"/>
          <w:b/>
          <w:bCs/>
          <w:rtl/>
        </w:rPr>
      </w:pPr>
      <w:r w:rsidRPr="00AD10D7">
        <w:rPr>
          <w:rFonts w:hint="cs"/>
          <w:b/>
          <w:bCs/>
          <w:rtl/>
          <w:lang w:bidi="ar"/>
        </w:rPr>
        <w:tab/>
      </w:r>
      <w:r w:rsidR="00022F6F" w:rsidRPr="00AD10D7">
        <w:rPr>
          <w:rFonts w:hint="cs"/>
          <w:b/>
          <w:bCs/>
          <w:rtl/>
          <w:lang w:bidi="ar"/>
        </w:rPr>
        <w:t xml:space="preserve">توصي اللجنة </w:t>
      </w:r>
      <w:r w:rsidRPr="00AD10D7">
        <w:rPr>
          <w:rFonts w:hint="cs"/>
          <w:b/>
          <w:bCs/>
          <w:rtl/>
          <w:lang w:bidi="ar"/>
        </w:rPr>
        <w:t xml:space="preserve">بأن تتخذ </w:t>
      </w:r>
      <w:r w:rsidR="00022F6F" w:rsidRPr="00AD10D7">
        <w:rPr>
          <w:rFonts w:hint="cs"/>
          <w:b/>
          <w:bCs/>
          <w:rtl/>
          <w:lang w:bidi="ar"/>
        </w:rPr>
        <w:t>الدولة الطرف</w:t>
      </w:r>
      <w:r w:rsidR="0069200C">
        <w:rPr>
          <w:rFonts w:hint="cs"/>
          <w:b/>
          <w:bCs/>
          <w:rtl/>
          <w:lang w:bidi="ar"/>
        </w:rPr>
        <w:t xml:space="preserve"> تدابير</w:t>
      </w:r>
      <w:r w:rsidR="00022F6F" w:rsidRPr="00AD10D7">
        <w:rPr>
          <w:rFonts w:hint="cs"/>
          <w:b/>
          <w:bCs/>
          <w:rtl/>
          <w:lang w:bidi="ar"/>
        </w:rPr>
        <w:t xml:space="preserve"> تشريعية وتدابير أخرى </w:t>
      </w:r>
      <w:r w:rsidRPr="00AD10D7">
        <w:rPr>
          <w:rFonts w:hint="cs"/>
          <w:b/>
          <w:bCs/>
          <w:rtl/>
          <w:lang w:bidi="ar"/>
        </w:rPr>
        <w:t xml:space="preserve">لتعيين </w:t>
      </w:r>
      <w:r w:rsidR="00022F6F" w:rsidRPr="00AD10D7">
        <w:rPr>
          <w:rFonts w:hint="cs"/>
          <w:b/>
          <w:bCs/>
          <w:rtl/>
          <w:lang w:bidi="ar"/>
        </w:rPr>
        <w:t xml:space="preserve">حد أدنى للأجور على المستوى الوطني. </w:t>
      </w:r>
      <w:r w:rsidR="0069200C">
        <w:rPr>
          <w:rFonts w:hint="cs"/>
          <w:b/>
          <w:bCs/>
          <w:rtl/>
          <w:lang w:bidi="ar"/>
        </w:rPr>
        <w:t xml:space="preserve">كما </w:t>
      </w:r>
      <w:r w:rsidR="00022F6F" w:rsidRPr="00AD10D7">
        <w:rPr>
          <w:rFonts w:hint="cs"/>
          <w:b/>
          <w:bCs/>
          <w:rtl/>
          <w:lang w:bidi="ar"/>
        </w:rPr>
        <w:t xml:space="preserve">توصي </w:t>
      </w:r>
      <w:r w:rsidRPr="00AD10D7">
        <w:rPr>
          <w:rFonts w:hint="cs"/>
          <w:b/>
          <w:bCs/>
          <w:rtl/>
          <w:lang w:bidi="ar"/>
        </w:rPr>
        <w:t>بأن تجري الدولة الطرف مرا</w:t>
      </w:r>
      <w:r w:rsidR="00022F6F" w:rsidRPr="00AD10D7">
        <w:rPr>
          <w:rFonts w:hint="cs"/>
          <w:b/>
          <w:bCs/>
          <w:rtl/>
          <w:lang w:bidi="ar"/>
        </w:rPr>
        <w:t>جعة دورية للحد الأدنى الوطني للأجور و</w:t>
      </w:r>
      <w:r w:rsidRPr="00AD10D7">
        <w:rPr>
          <w:rFonts w:hint="cs"/>
          <w:b/>
          <w:bCs/>
          <w:rtl/>
          <w:lang w:bidi="ar"/>
        </w:rPr>
        <w:t xml:space="preserve">بأن تحدد قدْره على </w:t>
      </w:r>
      <w:r w:rsidR="00022F6F" w:rsidRPr="00AD10D7">
        <w:rPr>
          <w:rFonts w:hint="cs"/>
          <w:b/>
          <w:bCs/>
          <w:rtl/>
          <w:lang w:bidi="ar"/>
        </w:rPr>
        <w:t>نحو يوفر لجميع العمال وأسرهم مستوى معيشياً لائقاً.</w:t>
      </w:r>
    </w:p>
    <w:p w:rsidR="00022F6F" w:rsidRDefault="00022F6F" w:rsidP="0069200C">
      <w:pPr>
        <w:pStyle w:val="SingleTxtGA"/>
        <w:rPr>
          <w:rFonts w:hint="cs"/>
          <w:rtl/>
        </w:rPr>
      </w:pPr>
      <w:r w:rsidRPr="007F500D">
        <w:rPr>
          <w:rFonts w:hint="cs"/>
          <w:rtl/>
        </w:rPr>
        <w:t>12-</w:t>
      </w:r>
      <w:r w:rsidR="009D7A8E">
        <w:rPr>
          <w:rFonts w:hint="cs"/>
          <w:rtl/>
        </w:rPr>
        <w:tab/>
      </w:r>
      <w:r w:rsidRPr="007F500D">
        <w:rPr>
          <w:rtl/>
        </w:rPr>
        <w:t>و</w:t>
      </w:r>
      <w:r w:rsidR="009D7A8E">
        <w:rPr>
          <w:rFonts w:hint="cs"/>
          <w:rtl/>
        </w:rPr>
        <w:t xml:space="preserve">يساور اللجنة </w:t>
      </w:r>
      <w:r w:rsidRPr="007F500D">
        <w:rPr>
          <w:rtl/>
        </w:rPr>
        <w:t xml:space="preserve">القلق لأن الدولة الطرف </w:t>
      </w:r>
      <w:r>
        <w:rPr>
          <w:rtl/>
        </w:rPr>
        <w:t>فرضت التحكيم الإلزامي من خلال تدخل</w:t>
      </w:r>
      <w:r w:rsidRPr="007F500D">
        <w:rPr>
          <w:rtl/>
        </w:rPr>
        <w:t xml:space="preserve"> المشر</w:t>
      </w:r>
      <w:r w:rsidR="009D7A8E">
        <w:rPr>
          <w:rFonts w:hint="cs"/>
          <w:rtl/>
        </w:rPr>
        <w:t>ِّ</w:t>
      </w:r>
      <w:r w:rsidRPr="007F500D">
        <w:rPr>
          <w:rtl/>
        </w:rPr>
        <w:t>ع في</w:t>
      </w:r>
      <w:r>
        <w:rPr>
          <w:rtl/>
        </w:rPr>
        <w:t xml:space="preserve"> </w:t>
      </w:r>
      <w:r w:rsidRPr="007F500D">
        <w:rPr>
          <w:rtl/>
        </w:rPr>
        <w:t xml:space="preserve">عملية المفاوضة الجماعية </w:t>
      </w:r>
      <w:r w:rsidR="009D7A8E">
        <w:rPr>
          <w:rFonts w:hint="cs"/>
          <w:rtl/>
        </w:rPr>
        <w:t xml:space="preserve">على </w:t>
      </w:r>
      <w:r w:rsidRPr="007F500D">
        <w:rPr>
          <w:rtl/>
        </w:rPr>
        <w:t xml:space="preserve">تحديد أحكام وشروط عمالة </w:t>
      </w:r>
      <w:r w:rsidR="009D7A8E">
        <w:rPr>
          <w:rFonts w:hint="cs"/>
          <w:rtl/>
        </w:rPr>
        <w:t>الص</w:t>
      </w:r>
      <w:r w:rsidR="00507CB5">
        <w:rPr>
          <w:rFonts w:hint="cs"/>
          <w:rtl/>
        </w:rPr>
        <w:t>يا</w:t>
      </w:r>
      <w:r w:rsidR="009D7A8E">
        <w:rPr>
          <w:rFonts w:hint="cs"/>
          <w:rtl/>
        </w:rPr>
        <w:t>دين</w:t>
      </w:r>
      <w:r w:rsidRPr="007F500D">
        <w:rPr>
          <w:rtl/>
        </w:rPr>
        <w:t xml:space="preserve"> (المادة ٨). </w:t>
      </w:r>
    </w:p>
    <w:p w:rsidR="0000250B" w:rsidRPr="005B0CF1" w:rsidRDefault="0000250B" w:rsidP="0000250B">
      <w:pPr>
        <w:pStyle w:val="SingleTxtGA"/>
        <w:rPr>
          <w:rFonts w:hint="cs"/>
          <w:b/>
          <w:bCs/>
          <w:rtl/>
          <w:lang w:val="fr-CH"/>
        </w:rPr>
      </w:pPr>
      <w:r w:rsidRPr="005B0CF1">
        <w:rPr>
          <w:rFonts w:hint="cs"/>
          <w:b/>
          <w:bCs/>
          <w:rtl/>
          <w:lang w:val="fr-CH"/>
        </w:rPr>
        <w:tab/>
        <w:t>توصي اللجنة بأن تتخذ الدولة الطرف تدابير لتحسين الإجراءات والممارسات المتَّبعَة في عملية المفاوضة الجماعية بهدف تعزيز المفاوضة الجماعية الحرة والطوعية، ولضمان تفادي التحكيم الإلزامي.</w:t>
      </w:r>
    </w:p>
    <w:p w:rsidR="0000250B" w:rsidRDefault="0000250B" w:rsidP="0000250B">
      <w:pPr>
        <w:pStyle w:val="SingleTxtGA"/>
        <w:rPr>
          <w:rFonts w:hint="cs"/>
          <w:rtl/>
          <w:lang w:val="fr-CH"/>
        </w:rPr>
      </w:pPr>
      <w:r>
        <w:rPr>
          <w:rFonts w:hint="cs"/>
          <w:rtl/>
          <w:lang w:val="fr-CH"/>
        </w:rPr>
        <w:t>13-</w:t>
      </w:r>
      <w:r>
        <w:rPr>
          <w:rFonts w:hint="cs"/>
          <w:rtl/>
          <w:lang w:val="fr-CH"/>
        </w:rPr>
        <w:tab/>
        <w:t>ويساور اللجنة القلق من أن نظام الاستحقاقات الاجتماعية لا ينص على معدلات استحقاقات كافية لضمان عيش كريم لفئات معينة، ولا سيما الأسر الوحيدة العائل (مادة 9) وذلك بالرغم من الجهود المبذولة منذ الأزمة الاقتصادية والمالية.</w:t>
      </w:r>
    </w:p>
    <w:p w:rsidR="0000250B" w:rsidRDefault="0000250B" w:rsidP="0000250B">
      <w:pPr>
        <w:pStyle w:val="SingleTxtGA"/>
        <w:rPr>
          <w:rFonts w:hint="cs"/>
          <w:b/>
          <w:bCs/>
          <w:rtl/>
          <w:lang w:val="fr-CH"/>
        </w:rPr>
      </w:pPr>
      <w:r>
        <w:rPr>
          <w:rFonts w:hint="cs"/>
          <w:rtl/>
          <w:lang w:val="fr-CH"/>
        </w:rPr>
        <w:tab/>
      </w:r>
      <w:r>
        <w:rPr>
          <w:rFonts w:hint="cs"/>
          <w:b/>
          <w:bCs/>
          <w:rtl/>
          <w:lang w:val="fr-CH"/>
        </w:rPr>
        <w:t>توصي اللجنة بأن تتخذ الدولة الطرف تدابير لضمان توفير نظام الاستحقاقات الاجتماعية حدّاً أساسياً أدنى من الإعانات بما يضمن عيشاً كريماً لجميع المستفيدين، بمن فيهم الأسر الوحيدة العائل. وتوصي اللجنة أيضاً بأن تحرص الدولة الطرف على رصد المعدلات بانتظام وعلى تعديلها حسب تكاليف المعيشة.</w:t>
      </w:r>
    </w:p>
    <w:p w:rsidR="0000250B" w:rsidRDefault="0000250B" w:rsidP="0000250B">
      <w:pPr>
        <w:pStyle w:val="SingleTxtGA"/>
        <w:rPr>
          <w:rFonts w:hint="cs"/>
          <w:rtl/>
          <w:lang w:val="fr-CH"/>
        </w:rPr>
      </w:pPr>
      <w:r>
        <w:rPr>
          <w:rFonts w:hint="cs"/>
          <w:rtl/>
          <w:lang w:val="fr-CH"/>
        </w:rPr>
        <w:t>14-</w:t>
      </w:r>
      <w:r>
        <w:rPr>
          <w:rFonts w:hint="cs"/>
          <w:rtl/>
          <w:lang w:val="fr-CH"/>
        </w:rPr>
        <w:tab/>
        <w:t>ويساور اللجنة القلق لأن التمتُّع بالتأمين من البطالة، وفقاً للقانون رقم 54/2006، لا يزال مفرطاً في تقيده (المادة 9).</w:t>
      </w:r>
    </w:p>
    <w:p w:rsidR="0000250B" w:rsidRDefault="0000250B" w:rsidP="0000250B">
      <w:pPr>
        <w:pStyle w:val="SingleTxtGA"/>
        <w:rPr>
          <w:rFonts w:hint="cs"/>
          <w:b/>
          <w:bCs/>
          <w:rtl/>
          <w:lang w:val="fr-CH"/>
        </w:rPr>
      </w:pPr>
      <w:r w:rsidRPr="005B0CF1">
        <w:rPr>
          <w:rFonts w:hint="cs"/>
          <w:b/>
          <w:bCs/>
          <w:rtl/>
          <w:lang w:val="fr-CH"/>
        </w:rPr>
        <w:tab/>
        <w:t>توصي اللجنة بأن توس</w:t>
      </w:r>
      <w:r>
        <w:rPr>
          <w:rFonts w:hint="cs"/>
          <w:b/>
          <w:bCs/>
          <w:rtl/>
          <w:lang w:val="fr-CH"/>
        </w:rPr>
        <w:t>ّ</w:t>
      </w:r>
      <w:r w:rsidRPr="005B0CF1">
        <w:rPr>
          <w:rFonts w:hint="cs"/>
          <w:b/>
          <w:bCs/>
          <w:rtl/>
          <w:lang w:val="fr-CH"/>
        </w:rPr>
        <w:t>ع الدولة الطرف</w:t>
      </w:r>
      <w:r>
        <w:rPr>
          <w:rFonts w:hint="cs"/>
          <w:b/>
          <w:bCs/>
          <w:rtl/>
          <w:lang w:val="fr-CH"/>
        </w:rPr>
        <w:t xml:space="preserve"> نطاق تغطية التأمين من البطالة لكي يشمل جميع العاطلين عن العمل، ولا سيما الفئات الضعيفة والمحرومة.</w:t>
      </w:r>
    </w:p>
    <w:p w:rsidR="0000250B" w:rsidRDefault="0000250B" w:rsidP="0000250B">
      <w:pPr>
        <w:pStyle w:val="SingleTxtGA"/>
        <w:rPr>
          <w:rFonts w:hint="cs"/>
          <w:rtl/>
          <w:lang w:val="fr-CH"/>
        </w:rPr>
      </w:pPr>
      <w:r>
        <w:rPr>
          <w:rFonts w:hint="cs"/>
          <w:rtl/>
          <w:lang w:val="fr-CH"/>
        </w:rPr>
        <w:t>15-</w:t>
      </w:r>
      <w:r>
        <w:rPr>
          <w:rFonts w:hint="cs"/>
          <w:rtl/>
          <w:lang w:val="fr-CH"/>
        </w:rPr>
        <w:tab/>
        <w:t>ويساور اللجنة القلق لأن العنف المنزلي بالتحديد لم يعرَّف كجريمة رغم الإيضاحات التي قدَّمتها الدولة الطرف في الفقرة 43 من ردودها على قائمة المسائل. كما يساور اللجنة القلق إزاء استمرار السلوكات والقوالب النمطية التي تفضي إلى ممارسة العنف على النساء. ويساور اللجنة القلق أيضاً من أن المهاجرات لسن على علمٍ كافٍ بالتعديلات التي أُدخلت على قانون الأجانب، الذي ينص على أنه لا يجوز منح ترخيص لمّ شمل الأسرة في حال انتهاء زواج أو معاشرة بسبب العنف المنزلي (المادة 10).</w:t>
      </w:r>
    </w:p>
    <w:p w:rsidR="0000250B" w:rsidRPr="00590FC8" w:rsidRDefault="0000250B" w:rsidP="0000250B">
      <w:pPr>
        <w:pStyle w:val="SingleTxtGA"/>
        <w:rPr>
          <w:rFonts w:hint="cs"/>
          <w:b/>
          <w:bCs/>
          <w:rtl/>
          <w:lang w:val="fr-CH"/>
        </w:rPr>
      </w:pPr>
      <w:r w:rsidRPr="00590FC8">
        <w:rPr>
          <w:rFonts w:hint="cs"/>
          <w:b/>
          <w:bCs/>
          <w:rtl/>
          <w:lang w:val="fr-CH"/>
        </w:rPr>
        <w:tab/>
        <w:t>توصي اللجنة بأن تتخذ الدولة الطرف خطوات لتعريف العنف المنزلي بالتحديد كجريمة، ويُفضَّل إدراج ذلك التعريف في قانون العقوبات. وتوصي اللجنة بأن تواصل الدولة الطرف جهودها لتنظيم حملات إعلامية وطنية لتشجيع مناقشات عامة أوسع نطاقاً بهدف التصدِّي للسلوكات والقوالب النمطية التي تفضي إلى ممارسة العنف على النساء. وتوصي اللجنة أيضاً بأن تكثِّف الدولة الطرف جهودها للاتصال بالمهاجرات من أجل إخبارهن بحقوقهن في سياق العنف المنزلي.</w:t>
      </w:r>
    </w:p>
    <w:p w:rsidR="0000250B" w:rsidRDefault="0000250B" w:rsidP="0000250B">
      <w:pPr>
        <w:pStyle w:val="SingleTxtGA"/>
        <w:rPr>
          <w:rFonts w:hint="cs"/>
          <w:rtl/>
          <w:lang w:val="fr-CH"/>
        </w:rPr>
      </w:pPr>
      <w:r>
        <w:rPr>
          <w:rFonts w:hint="cs"/>
          <w:rtl/>
          <w:lang w:val="fr-CH"/>
        </w:rPr>
        <w:t>16-</w:t>
      </w:r>
      <w:r>
        <w:rPr>
          <w:rFonts w:hint="cs"/>
          <w:rtl/>
          <w:lang w:val="fr-CH"/>
        </w:rPr>
        <w:tab/>
        <w:t>ويساور اللجنة القلق لأن الأزمة المالية والاقتصادية أدّت منذ سنة 2008 إلى زيادة في معدل الأشخاص الذين يعيشون دون عتبة الدخل المنخفض، ولا سيما الأسر ذات الأطفال والأسر الوحيدة العائل وذلك رغم جهود الدولة الطرف الرامية إلى مكافحة الفقر. كما يساور اللجنة القلق لأن الأشخاص ذوي الإعاقة يواجهون صعوبات في إعمال حقهم في مستوى معيشي مناسب، ولا سيما حقهم في الحصول على الغذاء الكافي (المادة 11).</w:t>
      </w:r>
    </w:p>
    <w:p w:rsidR="0000250B" w:rsidRDefault="0000250B" w:rsidP="0000250B">
      <w:pPr>
        <w:pStyle w:val="SingleTxtGA"/>
        <w:rPr>
          <w:rFonts w:hint="cs"/>
          <w:b/>
          <w:bCs/>
          <w:rtl/>
          <w:lang w:val="fr-CH"/>
        </w:rPr>
      </w:pPr>
      <w:r>
        <w:rPr>
          <w:rFonts w:hint="cs"/>
          <w:b/>
          <w:bCs/>
          <w:rtl/>
          <w:lang w:val="fr-CH"/>
        </w:rPr>
        <w:tab/>
        <w:t>توصي اللجنة بأن تعزِّز الدولة الطرف جهودها الرامية إلى مكافحة الفقر والإقصاء الاجتماعي، وبخاصة الأسر ذوات الأطفال والأسر الوحيدة العائل والأشخاص ذوو الإعاقة. وتوجِّه اللجنة عناية الدولة الطرف إلى البيان الصادر عن اللجنة بشأن الفقر والعهد الدولي الخاص بالحقوق الاقتصادية والاجتماعية والثقافية، وتذكِّرها بالتزامها، حتى إن شحّت الموارد، بحماية فئات المجتمع الضعيفة وفق ما جاء في الفقرة 12 من تعليق اللجنة العام رقم 3(1990) بشأن طبيعة التزامات الدول الأطراف.</w:t>
      </w:r>
    </w:p>
    <w:p w:rsidR="0000250B" w:rsidRDefault="0000250B" w:rsidP="0000250B">
      <w:pPr>
        <w:pStyle w:val="SingleTxtGA"/>
        <w:rPr>
          <w:rFonts w:hint="cs"/>
          <w:rtl/>
          <w:lang w:val="fr-CH"/>
        </w:rPr>
      </w:pPr>
      <w:r>
        <w:rPr>
          <w:rFonts w:hint="cs"/>
          <w:rtl/>
          <w:lang w:val="fr-CH"/>
        </w:rPr>
        <w:t>17-</w:t>
      </w:r>
      <w:r>
        <w:rPr>
          <w:rFonts w:hint="cs"/>
          <w:rtl/>
          <w:lang w:val="fr-CH"/>
        </w:rPr>
        <w:tab/>
        <w:t xml:space="preserve">ويساور اللجنة القلق لأن التخفيضات الهائلة التي طالت ميزانية قطاع الصحة منذ سنة 2008 أدّت إلى خفض جودة وتيسُّر خدمات الرعاية الصحية العامة، وتمثَّل ذلك في أمور منها إغلاق المرافق وخفض عدد الموظفين. ويساور اللجنة القلق أيضاً إزاء حالة العُسر التي تواجهها الأسر التي لديها </w:t>
      </w:r>
      <w:r w:rsidRPr="00025771">
        <w:rPr>
          <w:rFonts w:hint="cs"/>
          <w:rtl/>
          <w:lang w:val="fr-CH"/>
        </w:rPr>
        <w:t>أطفال ذوو إعاقة</w:t>
      </w:r>
      <w:r>
        <w:rPr>
          <w:rFonts w:hint="cs"/>
          <w:rtl/>
          <w:lang w:val="fr-CH"/>
        </w:rPr>
        <w:t xml:space="preserve"> في الحصول على خدمات الرعاية الصحية العامة التي تحتاجها، كالذهاب إلى أطباء الأسنان أو أخصائيي علاج النطق، كما</w:t>
      </w:r>
      <w:r>
        <w:rPr>
          <w:rFonts w:hint="eastAsia"/>
          <w:rtl/>
          <w:lang w:val="fr-CH"/>
        </w:rPr>
        <w:t> </w:t>
      </w:r>
      <w:r>
        <w:rPr>
          <w:rFonts w:hint="cs"/>
          <w:rtl/>
          <w:lang w:val="fr-CH"/>
        </w:rPr>
        <w:t>يساورها القلق إزاء الحواجز اللغوية التي تعترض المهاجرين في الحصول على الرعاية الصحية (المادة</w:t>
      </w:r>
      <w:r>
        <w:rPr>
          <w:rFonts w:hint="eastAsia"/>
          <w:rtl/>
          <w:lang w:val="fr-CH"/>
        </w:rPr>
        <w:t> </w:t>
      </w:r>
      <w:r>
        <w:rPr>
          <w:rFonts w:hint="cs"/>
          <w:rtl/>
          <w:lang w:val="fr-CH"/>
        </w:rPr>
        <w:t>12).</w:t>
      </w:r>
    </w:p>
    <w:p w:rsidR="0000250B" w:rsidRPr="00025771" w:rsidRDefault="0000250B" w:rsidP="0000250B">
      <w:pPr>
        <w:pStyle w:val="SingleTxtGA"/>
        <w:rPr>
          <w:rFonts w:hint="cs"/>
          <w:b/>
          <w:bCs/>
          <w:spacing w:val="-2"/>
          <w:rtl/>
          <w:lang w:val="fr-CH"/>
        </w:rPr>
      </w:pPr>
      <w:r w:rsidRPr="00025771">
        <w:rPr>
          <w:rFonts w:hint="cs"/>
          <w:b/>
          <w:bCs/>
          <w:spacing w:val="-2"/>
          <w:rtl/>
          <w:lang w:val="fr-CH"/>
        </w:rPr>
        <w:tab/>
        <w:t>توصي اللجنة بأن تتخذ الدولة الطرف خطواتٍ للتصدِّي لتأثير الأزمة المالية السلبي على قطاع الصحة بطرق منها زيادة ميزانيتها المخصصة للرعاية الصحية العامة. كما توصي اللجنة بأن تتخذ الدولة الطرف خطواتٍ تضمن للجميع الحصول على خدمات الرعاية الصحية بشكل كامل، بما في ذلك للمهاجرين وللأطفال ذوي الإعاقة. وفي هذا الصدد، توجه اللجنة عناية الدولة الطرف إلى تعليق اللجنة العام رقم 14(2000) بشأن الحق في التمتُّع بأعلى مستوى من الصحة يمكن بلوغه.</w:t>
      </w:r>
    </w:p>
    <w:p w:rsidR="0000250B" w:rsidRDefault="0000250B" w:rsidP="0000250B">
      <w:pPr>
        <w:pStyle w:val="SingleTxtGA"/>
        <w:rPr>
          <w:rFonts w:hint="cs"/>
          <w:rtl/>
          <w:lang w:val="fr-CH"/>
        </w:rPr>
      </w:pPr>
      <w:r>
        <w:rPr>
          <w:rFonts w:hint="cs"/>
          <w:rtl/>
          <w:lang w:val="fr-CH"/>
        </w:rPr>
        <w:t>18-</w:t>
      </w:r>
      <w:r>
        <w:rPr>
          <w:rFonts w:hint="cs"/>
          <w:rtl/>
          <w:lang w:val="fr-CH"/>
        </w:rPr>
        <w:tab/>
        <w:t>ويساور اللجنة القلق لأن التخفيضات الهائلة التي طالت ميزانية قطاع التعليم منذ سنة 2008 أدّت إلى خفض عدد العاملين، وإلى دمج الفصول المدرسية وإلغاء دورات دراسية، مما يؤثِّر بشكل خاص على الأطفال ذوي الاحتياجات الخاصة. ولا يزال القلق يخالج اللجنة إزاء ارتفاع معدل الانقطاع عن الدراسة في المرحلة العليا من التعليم الثانوي، ولا</w:t>
      </w:r>
      <w:r>
        <w:rPr>
          <w:rFonts w:hint="eastAsia"/>
          <w:rtl/>
          <w:lang w:val="fr-CH"/>
        </w:rPr>
        <w:t> </w:t>
      </w:r>
      <w:r>
        <w:rPr>
          <w:rFonts w:hint="cs"/>
          <w:rtl/>
          <w:lang w:val="fr-CH"/>
        </w:rPr>
        <w:t>سيما بالنسبة للتلاميذ من الأسر المهاجرة (المادة 13).</w:t>
      </w:r>
    </w:p>
    <w:p w:rsidR="0000250B" w:rsidRDefault="0000250B" w:rsidP="0000250B">
      <w:pPr>
        <w:pStyle w:val="SingleTxtGA"/>
        <w:rPr>
          <w:rFonts w:hint="cs"/>
          <w:b/>
          <w:bCs/>
          <w:rtl/>
          <w:lang w:val="fr-CH"/>
        </w:rPr>
      </w:pPr>
      <w:r>
        <w:rPr>
          <w:rFonts w:hint="cs"/>
          <w:b/>
          <w:bCs/>
          <w:rtl/>
          <w:lang w:val="fr-CH"/>
        </w:rPr>
        <w:tab/>
        <w:t>توصي اللجنة بأن تتخذ الدولة الطرف خطوات لزيادة الميزانية المخصصة لنظام التعليم العام بالنسبة لجميع المستويات التعليمية، ولا سيما للمرحلتين الابتدائية والإعدادية، وبأن تصحح حالات خفض عدد الموظفين في الآونة الأخيرة ودمج الفصول المدرسية وإلغاء دورات دراسية. وتوصي اللجنة بأن تواصل الدولة الطرف اتخاذ تدابير لتحسين مرافق النظام المدرسي بالنسبة للأطفال ذوي الاحتياجات الخاصة، ولا سيما في المرحلة العليا من التعليم الثانوي. كما توصي اللجنة بأن تكثِّف الدولة الطرف جهودها بغية التصدِّي لارتفاع معدّل انقطاع التلاميذ من الأسر المهاجرة عن الدراسة في المرحلة العليا من التعليم الثانوي. وتوجِّه اللجنة اهتمام الدولة الطرف إلى تعليقها العام رقم</w:t>
      </w:r>
      <w:r>
        <w:rPr>
          <w:rFonts w:hint="eastAsia"/>
          <w:b/>
          <w:bCs/>
          <w:rtl/>
          <w:lang w:val="fr-CH"/>
        </w:rPr>
        <w:t> </w:t>
      </w:r>
      <w:r>
        <w:rPr>
          <w:rFonts w:hint="cs"/>
          <w:b/>
          <w:bCs/>
          <w:rtl/>
          <w:lang w:val="fr-CH"/>
        </w:rPr>
        <w:t>13(1999) المتعلِّق بالحق في التعليم.</w:t>
      </w:r>
    </w:p>
    <w:p w:rsidR="0000250B" w:rsidRDefault="0000250B" w:rsidP="0000250B">
      <w:pPr>
        <w:pStyle w:val="SingleTxtGA"/>
        <w:rPr>
          <w:rFonts w:hint="cs"/>
          <w:b/>
          <w:bCs/>
          <w:rtl/>
          <w:lang w:val="fr-CH"/>
        </w:rPr>
      </w:pPr>
      <w:r>
        <w:rPr>
          <w:rFonts w:hint="cs"/>
          <w:rtl/>
          <w:lang w:val="fr-CH"/>
        </w:rPr>
        <w:t>19-</w:t>
      </w:r>
      <w:r>
        <w:rPr>
          <w:rFonts w:hint="cs"/>
          <w:rtl/>
          <w:lang w:val="fr-CH"/>
        </w:rPr>
        <w:tab/>
      </w:r>
      <w:r w:rsidRPr="009F3D71">
        <w:rPr>
          <w:rFonts w:hint="cs"/>
          <w:b/>
          <w:bCs/>
          <w:rtl/>
          <w:lang w:val="fr-CH"/>
        </w:rPr>
        <w:t xml:space="preserve">وتوصي اللجنة </w:t>
      </w:r>
      <w:r>
        <w:rPr>
          <w:rFonts w:hint="cs"/>
          <w:b/>
          <w:bCs/>
          <w:rtl/>
          <w:lang w:val="fr-CH"/>
        </w:rPr>
        <w:t xml:space="preserve">بأن تتخذ الدولة الطرف خطوات لضمان تمتُّع جميع المحرومين والمهمَّشين، أفراداً وجماعاتٍ، بما في ذلك الأشخاص ذوو الإعاقة وأطفال الأسر ذات الدخل المنخفض وأطفال المهاجرين والمسنون، بحقهم في المشاركة في الحياة الثقافية. وتوصي بأن يتضمَّن ذلك خطواتٍ لضمان وصول الأشخاص ذوي الإعاقة إلى المناسبات الثقافية من خلال إتاحة وسائل النقل الخاصة بهم بالقدر الكافي وفي الوقت المناسب. وتطلب اللجنة إلى الدولة الطرف أن تدرج في تقريرها الدوري المقبل معلومات عن التدابير المتّخذة لضمان حق كل فرد في التمتُّع بفوائد التقدُّم العلمي وبتطبيقاته، طبقاً للفقرة 1(ب) من المادة 15 من العهد. </w:t>
      </w:r>
    </w:p>
    <w:p w:rsidR="0000250B" w:rsidRDefault="0000250B" w:rsidP="0000250B">
      <w:pPr>
        <w:pStyle w:val="SingleTxtGA"/>
        <w:rPr>
          <w:rFonts w:hint="cs"/>
          <w:b/>
          <w:bCs/>
          <w:rtl/>
          <w:lang w:val="fr-CH"/>
        </w:rPr>
      </w:pPr>
      <w:r>
        <w:rPr>
          <w:rFonts w:hint="cs"/>
          <w:rtl/>
          <w:lang w:val="fr-CH"/>
        </w:rPr>
        <w:t>20-</w:t>
      </w:r>
      <w:r>
        <w:rPr>
          <w:rFonts w:hint="cs"/>
          <w:rtl/>
          <w:lang w:val="fr-CH"/>
        </w:rPr>
        <w:tab/>
      </w:r>
      <w:r>
        <w:rPr>
          <w:rFonts w:hint="cs"/>
          <w:b/>
          <w:bCs/>
          <w:rtl/>
          <w:lang w:val="fr-CH"/>
        </w:rPr>
        <w:t>وتشجِّع اللجنة الدولة الطرف على النظر في التوقيع والتصديق على البروتوكول الاختياري الملحق بالعهد الدولي الخاص بالحقوق الاقتصادية والاجتماعية والثقافية.</w:t>
      </w:r>
    </w:p>
    <w:p w:rsidR="0000250B" w:rsidRDefault="0000250B" w:rsidP="006B2812">
      <w:pPr>
        <w:pStyle w:val="SingleTxtGA"/>
        <w:rPr>
          <w:rFonts w:hint="cs"/>
          <w:b/>
          <w:bCs/>
          <w:rtl/>
          <w:lang w:val="fr-CH"/>
        </w:rPr>
      </w:pPr>
      <w:r w:rsidRPr="0069429C">
        <w:rPr>
          <w:rFonts w:hint="cs"/>
          <w:rtl/>
          <w:lang w:val="fr-CH"/>
        </w:rPr>
        <w:t>21-</w:t>
      </w:r>
      <w:r w:rsidRPr="0069429C">
        <w:rPr>
          <w:rFonts w:hint="cs"/>
          <w:rtl/>
          <w:lang w:val="fr-CH"/>
        </w:rPr>
        <w:tab/>
      </w:r>
      <w:r>
        <w:rPr>
          <w:rFonts w:hint="cs"/>
          <w:b/>
          <w:bCs/>
          <w:rtl/>
          <w:lang w:val="fr-CH"/>
        </w:rPr>
        <w:t>وتشجِّع اللجنة الدولة الطرف على التصديق على اتفاقية حقوق الأشخاص ذوي الإعاقة وعلى الاتفاقية الدولية لحماية جميع الأشخاص من الاختفاء القسري كما</w:t>
      </w:r>
      <w:r>
        <w:rPr>
          <w:rFonts w:hint="eastAsia"/>
          <w:b/>
          <w:bCs/>
          <w:rtl/>
          <w:lang w:val="fr-CH"/>
        </w:rPr>
        <w:t> </w:t>
      </w:r>
      <w:r>
        <w:rPr>
          <w:rFonts w:hint="cs"/>
          <w:b/>
          <w:bCs/>
          <w:rtl/>
          <w:lang w:val="fr-CH"/>
        </w:rPr>
        <w:t>تشجعها على النظر في توقيع الاتفاقية الدولية لحماية حقوق جميع العمال المهاجرين وأفراد أسرهم والتصديق عليها.</w:t>
      </w:r>
    </w:p>
    <w:p w:rsidR="0000250B" w:rsidRDefault="0000250B" w:rsidP="0000250B">
      <w:pPr>
        <w:pStyle w:val="SingleTxtGA"/>
        <w:rPr>
          <w:rFonts w:hint="cs"/>
          <w:b/>
          <w:bCs/>
          <w:rtl/>
          <w:lang w:val="fr-CH"/>
        </w:rPr>
      </w:pPr>
      <w:r w:rsidRPr="0069429C">
        <w:rPr>
          <w:rFonts w:hint="cs"/>
          <w:rtl/>
          <w:lang w:val="fr-CH"/>
        </w:rPr>
        <w:t>22-</w:t>
      </w:r>
      <w:r w:rsidRPr="0069429C">
        <w:rPr>
          <w:rFonts w:hint="cs"/>
          <w:rtl/>
          <w:lang w:val="fr-CH"/>
        </w:rPr>
        <w:tab/>
      </w:r>
      <w:r>
        <w:rPr>
          <w:rFonts w:hint="cs"/>
          <w:b/>
          <w:bCs/>
          <w:rtl/>
          <w:lang w:val="fr-CH"/>
        </w:rPr>
        <w:t>وتطلب اللجنة إلى الدولة الطرف أن تنشر هذه الملاحظات الختامية على نطاق واسع على جميع مستويات المجتمع، وبخاصة في صفوف مسؤولي الدولة والجهاز القضائي ومنظمات المجتمع المدني، وأن تعمل على ترجمة ونشر هذه الملاحظات قدر الإمكان وأن تبلغ اللجنة بالخطوات المتّخذة لتنفيذ هذه الملاحظات في تقريرها الدوري المقبل. وتشجِّع اللجنةُ أيضاً الدولة الطرف على إشراك جميع الجهات الفاعلة ذات الصلة، بما فيها المنظمات غير الحكومية وغيرها من أعضاء المجتمع المدني، في عملية المناقشة على المستوى الوطني قبل تقديم تقريرها الدوري المقبل.</w:t>
      </w:r>
    </w:p>
    <w:p w:rsidR="0000250B" w:rsidRDefault="0000250B" w:rsidP="0000250B">
      <w:pPr>
        <w:pStyle w:val="SingleTxtGA"/>
        <w:rPr>
          <w:rFonts w:hint="cs"/>
          <w:b/>
          <w:bCs/>
          <w:rtl/>
        </w:rPr>
      </w:pPr>
      <w:r w:rsidRPr="00DA7F9B">
        <w:rPr>
          <w:rFonts w:hint="cs"/>
          <w:rtl/>
          <w:lang w:val="fr-CH"/>
        </w:rPr>
        <w:t>23-</w:t>
      </w:r>
      <w:r w:rsidRPr="00DA7F9B">
        <w:rPr>
          <w:rFonts w:hint="cs"/>
          <w:rtl/>
          <w:lang w:val="fr-CH"/>
        </w:rPr>
        <w:tab/>
      </w:r>
      <w:r>
        <w:rPr>
          <w:rFonts w:hint="cs"/>
          <w:b/>
          <w:bCs/>
          <w:rtl/>
          <w:lang w:val="fr-CH"/>
        </w:rPr>
        <w:t>وتطلب اللجنة إلى الدولة الطرف أن تقدِّم، بحلول 30 تشرين الثاني/ نوفمبر</w:t>
      </w:r>
      <w:r>
        <w:rPr>
          <w:rFonts w:hint="eastAsia"/>
          <w:b/>
          <w:bCs/>
          <w:rtl/>
          <w:lang w:val="fr-CH"/>
        </w:rPr>
        <w:t> </w:t>
      </w:r>
      <w:r>
        <w:rPr>
          <w:rFonts w:hint="cs"/>
          <w:b/>
          <w:bCs/>
          <w:rtl/>
          <w:lang w:val="fr-CH"/>
        </w:rPr>
        <w:t>2017، تقريرها الدوري الخامس الذي ينبغي إعداده وفقاً للمبادئ التوجيهية المنقَّحة التي وضعتها اللجنة فيما يتعلق بتقديم التقارير والتي اعتُمدت في عام 2008 (</w:t>
      </w:r>
      <w:r>
        <w:rPr>
          <w:b/>
          <w:bCs/>
        </w:rPr>
        <w:t>E/C.12/2008/2</w:t>
      </w:r>
      <w:r>
        <w:rPr>
          <w:rFonts w:hint="cs"/>
          <w:b/>
          <w:bCs/>
          <w:rtl/>
        </w:rPr>
        <w:t>).</w:t>
      </w:r>
    </w:p>
    <w:p w:rsidR="0000250B" w:rsidRPr="007D3972" w:rsidRDefault="0000250B" w:rsidP="0000250B">
      <w:pPr>
        <w:spacing w:before="120"/>
        <w:jc w:val="center"/>
        <w:rPr>
          <w:rFonts w:hint="cs"/>
          <w:u w:val="single"/>
          <w:rtl/>
        </w:rPr>
      </w:pPr>
      <w:r>
        <w:rPr>
          <w:u w:val="single"/>
          <w:rtl/>
        </w:rPr>
        <w:tab/>
      </w:r>
      <w:r>
        <w:rPr>
          <w:u w:val="single"/>
          <w:rtl/>
        </w:rPr>
        <w:tab/>
      </w:r>
      <w:r>
        <w:rPr>
          <w:u w:val="single"/>
          <w:rtl/>
        </w:rPr>
        <w:tab/>
      </w:r>
    </w:p>
    <w:p w:rsidR="0000250B" w:rsidRPr="0069429C" w:rsidRDefault="0000250B" w:rsidP="0000250B">
      <w:pPr>
        <w:pStyle w:val="SingleTxtGA"/>
        <w:rPr>
          <w:rFonts w:hint="cs"/>
          <w:b/>
          <w:bCs/>
          <w:rtl/>
          <w:lang w:val="fr-CH"/>
        </w:rPr>
      </w:pPr>
    </w:p>
    <w:p w:rsidR="0000250B" w:rsidRPr="00981429" w:rsidRDefault="0000250B" w:rsidP="0000250B">
      <w:pPr>
        <w:pStyle w:val="SingleTxtGA"/>
        <w:rPr>
          <w:rFonts w:hint="cs"/>
          <w:rtl/>
          <w:lang w:val="fr-CH"/>
        </w:rPr>
      </w:pPr>
    </w:p>
    <w:p w:rsidR="0000250B" w:rsidRPr="007F500D" w:rsidRDefault="0000250B" w:rsidP="0069200C">
      <w:pPr>
        <w:pStyle w:val="SingleTxtGA"/>
        <w:rPr>
          <w:rFonts w:hint="cs"/>
        </w:rPr>
      </w:pPr>
    </w:p>
    <w:sectPr w:rsidR="0000250B" w:rsidRPr="007F500D" w:rsidSect="00022F6F">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34" w:rsidRPr="00FE6865" w:rsidRDefault="00206134" w:rsidP="00FE6865">
      <w:pPr>
        <w:pStyle w:val="Footer"/>
      </w:pPr>
    </w:p>
  </w:endnote>
  <w:endnote w:type="continuationSeparator" w:id="0">
    <w:p w:rsidR="00206134" w:rsidRDefault="0020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34" w:rsidRPr="00022F6F" w:rsidRDefault="00206134" w:rsidP="00022F6F">
    <w:pPr>
      <w:pStyle w:val="Footer"/>
      <w:tabs>
        <w:tab w:val="right" w:pos="9598"/>
      </w:tabs>
    </w:pPr>
    <w:r>
      <w:t>GE.12-48612</w:t>
    </w:r>
    <w:r>
      <w:tab/>
    </w:r>
    <w:r w:rsidRPr="00022F6F">
      <w:rPr>
        <w:b/>
        <w:sz w:val="18"/>
      </w:rPr>
      <w:fldChar w:fldCharType="begin"/>
    </w:r>
    <w:r w:rsidRPr="00022F6F">
      <w:rPr>
        <w:b/>
        <w:sz w:val="18"/>
      </w:rPr>
      <w:instrText xml:space="preserve"> PAGE  \* MERGEFORMAT </w:instrText>
    </w:r>
    <w:r w:rsidRPr="00022F6F">
      <w:rPr>
        <w:b/>
        <w:sz w:val="18"/>
      </w:rPr>
      <w:fldChar w:fldCharType="separate"/>
    </w:r>
    <w:r>
      <w:rPr>
        <w:b/>
        <w:noProof/>
        <w:sz w:val="18"/>
      </w:rPr>
      <w:t>6</w:t>
    </w:r>
    <w:r w:rsidRPr="00022F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34" w:rsidRPr="00022F6F" w:rsidRDefault="00206134" w:rsidP="00022F6F">
    <w:pPr>
      <w:pStyle w:val="Footer"/>
      <w:tabs>
        <w:tab w:val="right" w:pos="9598"/>
      </w:tabs>
      <w:rPr>
        <w:b/>
        <w:sz w:val="18"/>
      </w:rPr>
    </w:pPr>
    <w:r w:rsidRPr="00022F6F">
      <w:rPr>
        <w:b/>
        <w:sz w:val="18"/>
      </w:rPr>
      <w:fldChar w:fldCharType="begin"/>
    </w:r>
    <w:r w:rsidRPr="00022F6F">
      <w:rPr>
        <w:b/>
        <w:sz w:val="18"/>
      </w:rPr>
      <w:instrText xml:space="preserve"> PAGE  \* MERGEFORMAT </w:instrText>
    </w:r>
    <w:r w:rsidRPr="00022F6F">
      <w:rPr>
        <w:b/>
        <w:sz w:val="18"/>
      </w:rPr>
      <w:fldChar w:fldCharType="separate"/>
    </w:r>
    <w:r>
      <w:rPr>
        <w:b/>
        <w:noProof/>
        <w:sz w:val="18"/>
      </w:rPr>
      <w:t>3</w:t>
    </w:r>
    <w:r w:rsidRPr="00022F6F">
      <w:rPr>
        <w:b/>
        <w:sz w:val="18"/>
      </w:rPr>
      <w:fldChar w:fldCharType="end"/>
    </w:r>
    <w:r>
      <w:rPr>
        <w:b/>
        <w:sz w:val="18"/>
      </w:rPr>
      <w:tab/>
    </w:r>
    <w:r>
      <w:t>GE.12-48612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34" w:rsidRDefault="00206134" w:rsidP="002C5233">
    <w:pPr>
      <w:pStyle w:val="Footer"/>
      <w:jc w:val="right"/>
    </w:pPr>
    <w:r>
      <w:rPr>
        <w:sz w:val="20"/>
      </w:rPr>
      <w:t>(A)   GE.12-48612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040113    150113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34" w:rsidRDefault="00206134" w:rsidP="003F6FD7">
      <w:pPr>
        <w:pStyle w:val="Footer"/>
        <w:bidi/>
        <w:spacing w:after="80" w:line="200" w:lineRule="exact"/>
        <w:ind w:left="680"/>
      </w:pPr>
      <w:r>
        <w:rPr>
          <w:rFonts w:hint="cs"/>
          <w:rtl/>
        </w:rPr>
        <w:t>__________</w:t>
      </w:r>
    </w:p>
  </w:footnote>
  <w:footnote w:type="continuationSeparator" w:id="0">
    <w:p w:rsidR="00206134" w:rsidRDefault="00206134" w:rsidP="003F6FD7">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34" w:rsidRPr="00022F6F" w:rsidRDefault="00206134" w:rsidP="00022F6F">
    <w:pPr>
      <w:pStyle w:val="Header"/>
      <w:jc w:val="right"/>
    </w:pPr>
    <w:r w:rsidRPr="00022F6F">
      <w:t>E/C.12/ISL/CO/4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34" w:rsidRPr="00022F6F" w:rsidRDefault="00206134" w:rsidP="00022F6F">
    <w:pPr>
      <w:pStyle w:val="Header"/>
      <w:jc w:val="left"/>
    </w:pPr>
    <w:r w:rsidRPr="00022F6F">
      <w:t>E/C.12/ISL/CO/4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1FE"/>
    <w:rsid w:val="0000250B"/>
    <w:rsid w:val="00022F6F"/>
    <w:rsid w:val="000401FE"/>
    <w:rsid w:val="00040E25"/>
    <w:rsid w:val="00042149"/>
    <w:rsid w:val="000648EA"/>
    <w:rsid w:val="000957C8"/>
    <w:rsid w:val="000B52F2"/>
    <w:rsid w:val="000D0EAE"/>
    <w:rsid w:val="000D5380"/>
    <w:rsid w:val="000D6654"/>
    <w:rsid w:val="000F0264"/>
    <w:rsid w:val="000F2EBF"/>
    <w:rsid w:val="000F5FF6"/>
    <w:rsid w:val="00113FA5"/>
    <w:rsid w:val="001455A0"/>
    <w:rsid w:val="001602A3"/>
    <w:rsid w:val="001A406B"/>
    <w:rsid w:val="001A5161"/>
    <w:rsid w:val="001A60BD"/>
    <w:rsid w:val="001B2169"/>
    <w:rsid w:val="001D7685"/>
    <w:rsid w:val="00206134"/>
    <w:rsid w:val="0023736D"/>
    <w:rsid w:val="00246F04"/>
    <w:rsid w:val="00257225"/>
    <w:rsid w:val="002C5233"/>
    <w:rsid w:val="00310160"/>
    <w:rsid w:val="00341A8C"/>
    <w:rsid w:val="003519E6"/>
    <w:rsid w:val="003B4356"/>
    <w:rsid w:val="003F08A8"/>
    <w:rsid w:val="003F6AF7"/>
    <w:rsid w:val="003F6FD7"/>
    <w:rsid w:val="004250E3"/>
    <w:rsid w:val="0046705E"/>
    <w:rsid w:val="00472A81"/>
    <w:rsid w:val="004B2C92"/>
    <w:rsid w:val="004D6A3A"/>
    <w:rsid w:val="004F4AD7"/>
    <w:rsid w:val="00507CB5"/>
    <w:rsid w:val="00557CD3"/>
    <w:rsid w:val="00567691"/>
    <w:rsid w:val="00571432"/>
    <w:rsid w:val="005732A2"/>
    <w:rsid w:val="005762A5"/>
    <w:rsid w:val="00590BA3"/>
    <w:rsid w:val="005A26DB"/>
    <w:rsid w:val="005A2EB1"/>
    <w:rsid w:val="005B7AE0"/>
    <w:rsid w:val="005F146F"/>
    <w:rsid w:val="005F71B6"/>
    <w:rsid w:val="00660FD4"/>
    <w:rsid w:val="00674B69"/>
    <w:rsid w:val="0068691F"/>
    <w:rsid w:val="0069200C"/>
    <w:rsid w:val="006A4425"/>
    <w:rsid w:val="006B2812"/>
    <w:rsid w:val="006B4669"/>
    <w:rsid w:val="006D340D"/>
    <w:rsid w:val="006F6BF8"/>
    <w:rsid w:val="00707BDF"/>
    <w:rsid w:val="00710727"/>
    <w:rsid w:val="00715F45"/>
    <w:rsid w:val="00731B84"/>
    <w:rsid w:val="00734AE7"/>
    <w:rsid w:val="00773A9F"/>
    <w:rsid w:val="007865A5"/>
    <w:rsid w:val="007B4C75"/>
    <w:rsid w:val="007E197F"/>
    <w:rsid w:val="007F68C4"/>
    <w:rsid w:val="008153DE"/>
    <w:rsid w:val="00852A10"/>
    <w:rsid w:val="00862634"/>
    <w:rsid w:val="00866C59"/>
    <w:rsid w:val="00877306"/>
    <w:rsid w:val="008A6242"/>
    <w:rsid w:val="008B4BC6"/>
    <w:rsid w:val="00901E57"/>
    <w:rsid w:val="00935F0E"/>
    <w:rsid w:val="0095208F"/>
    <w:rsid w:val="009619F8"/>
    <w:rsid w:val="00977B3F"/>
    <w:rsid w:val="009814AE"/>
    <w:rsid w:val="00996BBE"/>
    <w:rsid w:val="009D1DD5"/>
    <w:rsid w:val="009D7A8E"/>
    <w:rsid w:val="00A11DDA"/>
    <w:rsid w:val="00A26157"/>
    <w:rsid w:val="00A265C3"/>
    <w:rsid w:val="00A43F9A"/>
    <w:rsid w:val="00A543D4"/>
    <w:rsid w:val="00AD0014"/>
    <w:rsid w:val="00AD10D7"/>
    <w:rsid w:val="00AD4CF2"/>
    <w:rsid w:val="00AF0BBA"/>
    <w:rsid w:val="00B104AC"/>
    <w:rsid w:val="00B30468"/>
    <w:rsid w:val="00B32EB8"/>
    <w:rsid w:val="00BA5F5C"/>
    <w:rsid w:val="00BB2C41"/>
    <w:rsid w:val="00BC55C8"/>
    <w:rsid w:val="00BC5C10"/>
    <w:rsid w:val="00BE2964"/>
    <w:rsid w:val="00C24FBD"/>
    <w:rsid w:val="00C473BA"/>
    <w:rsid w:val="00C611ED"/>
    <w:rsid w:val="00C6490A"/>
    <w:rsid w:val="00C64FE1"/>
    <w:rsid w:val="00C66164"/>
    <w:rsid w:val="00C8345E"/>
    <w:rsid w:val="00C91494"/>
    <w:rsid w:val="00C925A8"/>
    <w:rsid w:val="00CA5F7C"/>
    <w:rsid w:val="00CD3685"/>
    <w:rsid w:val="00D05540"/>
    <w:rsid w:val="00D224DA"/>
    <w:rsid w:val="00D51067"/>
    <w:rsid w:val="00D75657"/>
    <w:rsid w:val="00D960AD"/>
    <w:rsid w:val="00DA0E0E"/>
    <w:rsid w:val="00DB08A5"/>
    <w:rsid w:val="00DB0C39"/>
    <w:rsid w:val="00DB7679"/>
    <w:rsid w:val="00DD5A54"/>
    <w:rsid w:val="00DF1702"/>
    <w:rsid w:val="00DF4DD8"/>
    <w:rsid w:val="00DF668E"/>
    <w:rsid w:val="00DF68B8"/>
    <w:rsid w:val="00E14D2B"/>
    <w:rsid w:val="00E20DBA"/>
    <w:rsid w:val="00E40371"/>
    <w:rsid w:val="00E660D6"/>
    <w:rsid w:val="00E771AB"/>
    <w:rsid w:val="00EA796F"/>
    <w:rsid w:val="00EB077B"/>
    <w:rsid w:val="00EC50B9"/>
    <w:rsid w:val="00ED26A0"/>
    <w:rsid w:val="00F1727A"/>
    <w:rsid w:val="00F34764"/>
    <w:rsid w:val="00F37CC7"/>
    <w:rsid w:val="00F54E3C"/>
    <w:rsid w:val="00F738A4"/>
    <w:rsid w:val="00F874BD"/>
    <w:rsid w:val="00FE55A3"/>
    <w:rsid w:val="00FE6865"/>
    <w:rsid w:val="00FF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horttext">
    <w:name w:val="short_text"/>
    <w:basedOn w:val="DefaultParagraphFont"/>
    <w:rsid w:val="00022F6F"/>
  </w:style>
  <w:style w:type="character" w:customStyle="1" w:styleId="hps">
    <w:name w:val="hps"/>
    <w:basedOn w:val="DefaultParagraphFont"/>
    <w:rsid w:val="00022F6F"/>
  </w:style>
  <w:style w:type="paragraph" w:customStyle="1" w:styleId="NormalJustified">
    <w:name w:val="Normal + Justified"/>
    <w:aliases w:val="Before:  5 pt,After:  5 pt,Line spacing:  single"/>
    <w:basedOn w:val="Normal"/>
    <w:rsid w:val="00022F6F"/>
    <w:pPr>
      <w:spacing w:before="100" w:beforeAutospacing="1" w:after="100" w:afterAutospacing="1" w:line="240" w:lineRule="auto"/>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7</Pages>
  <Words>2061</Words>
  <Characters>10389</Characters>
  <Application>Microsoft Office Word</Application>
  <DocSecurity>4</DocSecurity>
  <Lines>196</Lines>
  <Paragraphs>49</Paragraphs>
  <ScaleCrop>false</ScaleCrop>
  <HeadingPairs>
    <vt:vector size="2" baseType="variant">
      <vt:variant>
        <vt:lpstr>العنوان</vt:lpstr>
      </vt:variant>
      <vt:variant>
        <vt:i4>1</vt:i4>
      </vt:variant>
    </vt:vector>
  </HeadingPairs>
  <TitlesOfParts>
    <vt:vector size="1" baseType="lpstr">
      <vt:lpstr>E/C.12/ISL/CO/4</vt:lpstr>
    </vt:vector>
  </TitlesOfParts>
  <Company>CSD</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E/C.12/ISL/CO/4</dc:title>
  <dc:subject>SAADOUNI</dc:subject>
  <dc:creator>BUHNAM</dc:creator>
  <cp:keywords/>
  <dc:description/>
  <cp:lastModifiedBy>BUHNAM</cp:lastModifiedBy>
  <cp:revision>2</cp:revision>
  <cp:lastPrinted>2013-01-14T15:53:00Z</cp:lastPrinted>
  <dcterms:created xsi:type="dcterms:W3CDTF">2013-01-15T13:35:00Z</dcterms:created>
  <dcterms:modified xsi:type="dcterms:W3CDTF">2013-01-15T13:35:00Z</dcterms:modified>
</cp:coreProperties>
</file>