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C63B6E" w:rsidP="002B0729">
            <w:pPr>
              <w:jc w:val="right"/>
            </w:pPr>
            <w:r w:rsidRPr="00C63B6E">
              <w:rPr>
                <w:sz w:val="40"/>
              </w:rPr>
              <w:t>E</w:t>
            </w:r>
            <w:r>
              <w:t>/C.12/ISL/CO/4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5451C8"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C63B6E" w:rsidP="00C63B6E">
            <w:pPr>
              <w:spacing w:before="240" w:line="240" w:lineRule="exact"/>
            </w:pPr>
            <w:r>
              <w:t xml:space="preserve">Distr.: </w:t>
            </w:r>
            <w:r w:rsidR="00AD63BF">
              <w:t>General</w:t>
            </w:r>
          </w:p>
          <w:p w:rsidR="00C63B6E" w:rsidRDefault="00F556C9" w:rsidP="00007FFC">
            <w:pPr>
              <w:spacing w:line="240" w:lineRule="exact"/>
            </w:pPr>
            <w:r>
              <w:t xml:space="preserve">11 </w:t>
            </w:r>
            <w:r w:rsidR="00BB2A27">
              <w:t>December</w:t>
            </w:r>
            <w:r w:rsidR="00C63B6E">
              <w:t xml:space="preserve"> 2012</w:t>
            </w:r>
          </w:p>
          <w:p w:rsidR="00003AF3" w:rsidRDefault="00003AF3" w:rsidP="00C63B6E">
            <w:pPr>
              <w:spacing w:line="240" w:lineRule="exact"/>
            </w:pPr>
          </w:p>
          <w:p w:rsidR="00C63B6E" w:rsidRDefault="00C63B6E" w:rsidP="00C63B6E">
            <w:pPr>
              <w:spacing w:line="240" w:lineRule="exact"/>
            </w:pPr>
            <w:r>
              <w:t>Original: English</w:t>
            </w:r>
          </w:p>
        </w:tc>
      </w:tr>
    </w:tbl>
    <w:p w:rsidR="00C63B6E" w:rsidRDefault="00C63B6E" w:rsidP="00C63B6E">
      <w:pPr>
        <w:spacing w:before="120"/>
        <w:rPr>
          <w:rFonts w:eastAsia="SimHei"/>
          <w:b/>
          <w:sz w:val="24"/>
          <w:szCs w:val="24"/>
        </w:rPr>
      </w:pPr>
      <w:r>
        <w:rPr>
          <w:rFonts w:eastAsia="SimHei"/>
          <w:b/>
          <w:sz w:val="24"/>
          <w:szCs w:val="24"/>
        </w:rPr>
        <w:t>Committee on Economic, Social and Cultural Rights</w:t>
      </w:r>
    </w:p>
    <w:p w:rsidR="00C63B6E" w:rsidRDefault="00C63B6E" w:rsidP="00C63B6E">
      <w:pPr>
        <w:pStyle w:val="HChG"/>
      </w:pPr>
      <w:r>
        <w:tab/>
      </w:r>
      <w:r>
        <w:tab/>
      </w:r>
      <w:r w:rsidRPr="00ED52E0">
        <w:t>C</w:t>
      </w:r>
      <w:r>
        <w:t xml:space="preserve">oncluding observations on the fourth report of </w:t>
      </w:r>
      <w:smartTag w:uri="urn:schemas-microsoft-com:office:smarttags" w:element="place">
        <w:smartTag w:uri="urn:schemas-microsoft-com:office:smarttags" w:element="country-region">
          <w:r>
            <w:t>Iceland</w:t>
          </w:r>
        </w:smartTag>
      </w:smartTag>
      <w:r w:rsidR="00AD63BF">
        <w:t>, adopted by the Committee at its forty - ninth session (12-30 November 2012)</w:t>
      </w:r>
    </w:p>
    <w:p w:rsidR="009B36ED" w:rsidRPr="00FB1C7A" w:rsidRDefault="009B36ED" w:rsidP="009B36ED">
      <w:pPr>
        <w:pStyle w:val="SingleTxtG"/>
        <w:tabs>
          <w:tab w:val="left" w:pos="1701"/>
        </w:tabs>
        <w:ind w:left="1152" w:hanging="6"/>
        <w:rPr>
          <w:rFonts w:eastAsia="SimSun"/>
          <w:lang w:eastAsia="zh-CN"/>
        </w:rPr>
      </w:pPr>
      <w:r w:rsidRPr="00DD5AD2">
        <w:rPr>
          <w:rFonts w:eastAsia="SimSun"/>
          <w:lang w:eastAsia="zh-CN"/>
        </w:rPr>
        <w:t>1.</w:t>
      </w:r>
      <w:r w:rsidRPr="00DD5AD2">
        <w:rPr>
          <w:rFonts w:eastAsia="SimSun"/>
          <w:lang w:eastAsia="zh-CN"/>
        </w:rPr>
        <w:tab/>
      </w:r>
      <w:r w:rsidRPr="00DD5AD2">
        <w:rPr>
          <w:rFonts w:eastAsia="SimSun"/>
          <w:lang w:val="en-US" w:eastAsia="zh-CN"/>
        </w:rPr>
        <w:t>The</w:t>
      </w:r>
      <w:r w:rsidRPr="00DD5AD2">
        <w:rPr>
          <w:rFonts w:eastAsia="SimSun"/>
          <w:lang w:eastAsia="zh-CN"/>
        </w:rPr>
        <w:t xml:space="preserve"> </w:t>
      </w:r>
      <w:r w:rsidRPr="00CF38DB">
        <w:rPr>
          <w:rFonts w:eastAsia="SimSun"/>
          <w:lang w:eastAsia="zh-CN"/>
        </w:rPr>
        <w:t xml:space="preserve">Committee on Economic, Social and Cultural Rights considered the </w:t>
      </w:r>
      <w:r>
        <w:rPr>
          <w:rFonts w:eastAsia="SimSun"/>
          <w:lang w:eastAsia="zh-CN"/>
        </w:rPr>
        <w:t xml:space="preserve">fourth </w:t>
      </w:r>
      <w:r w:rsidRPr="00CF38DB">
        <w:rPr>
          <w:rFonts w:eastAsia="SimSun"/>
          <w:lang w:eastAsia="zh-CN"/>
        </w:rPr>
        <w:t xml:space="preserve">periodic report of </w:t>
      </w:r>
      <w:r>
        <w:rPr>
          <w:rFonts w:eastAsia="SimSun"/>
          <w:lang w:eastAsia="zh-CN"/>
        </w:rPr>
        <w:t>Iceland</w:t>
      </w:r>
      <w:r w:rsidRPr="00CF38DB">
        <w:rPr>
          <w:rFonts w:eastAsia="SimSun"/>
          <w:lang w:eastAsia="zh-CN"/>
        </w:rPr>
        <w:t xml:space="preserve"> on</w:t>
      </w:r>
      <w:r w:rsidRPr="00DD5AD2">
        <w:rPr>
          <w:rFonts w:eastAsia="SimSun"/>
          <w:lang w:eastAsia="zh-CN"/>
        </w:rPr>
        <w:t xml:space="preserve"> the </w:t>
      </w:r>
      <w:r w:rsidRPr="00CB65B1">
        <w:rPr>
          <w:rFonts w:eastAsia="SimSun"/>
          <w:lang w:eastAsia="zh-CN"/>
        </w:rPr>
        <w:t>implementation of the International Covenant on Economic, Social and Cultural Rights (E/C.12/</w:t>
      </w:r>
      <w:r>
        <w:rPr>
          <w:rFonts w:eastAsia="SimSun"/>
          <w:lang w:eastAsia="zh-CN"/>
        </w:rPr>
        <w:t>ISL</w:t>
      </w:r>
      <w:r w:rsidRPr="00CB65B1">
        <w:rPr>
          <w:rFonts w:eastAsia="SimSun"/>
          <w:lang w:eastAsia="zh-CN"/>
        </w:rPr>
        <w:t>/</w:t>
      </w:r>
      <w:r>
        <w:rPr>
          <w:rFonts w:eastAsia="SimSun"/>
          <w:lang w:eastAsia="zh-CN"/>
        </w:rPr>
        <w:t>4</w:t>
      </w:r>
      <w:r w:rsidRPr="00CB65B1">
        <w:rPr>
          <w:rFonts w:eastAsia="SimSun"/>
          <w:lang w:eastAsia="zh-CN"/>
        </w:rPr>
        <w:t xml:space="preserve">) at its </w:t>
      </w:r>
      <w:r>
        <w:rPr>
          <w:rFonts w:eastAsia="SimSun"/>
          <w:lang w:eastAsia="zh-CN"/>
        </w:rPr>
        <w:t xml:space="preserve">43rd and 44th </w:t>
      </w:r>
      <w:r w:rsidRPr="00CB65B1">
        <w:rPr>
          <w:rFonts w:eastAsia="SimSun"/>
          <w:lang w:eastAsia="zh-CN"/>
        </w:rPr>
        <w:t xml:space="preserve">meetings, held on </w:t>
      </w:r>
      <w:r>
        <w:rPr>
          <w:rFonts w:eastAsia="SimSun"/>
          <w:lang w:eastAsia="zh-CN"/>
        </w:rPr>
        <w:t xml:space="preserve">21 November 2012 </w:t>
      </w:r>
      <w:r w:rsidRPr="00FB1C7A">
        <w:rPr>
          <w:rFonts w:eastAsia="SimSun"/>
          <w:lang w:eastAsia="zh-CN"/>
        </w:rPr>
        <w:t>(E/C.12/2012/SR.</w:t>
      </w:r>
      <w:r w:rsidRPr="00DE4A55">
        <w:rPr>
          <w:rFonts w:eastAsia="SimSun"/>
          <w:lang w:eastAsia="zh-CN"/>
        </w:rPr>
        <w:t>43-44), and adopted, at its 58th meeting</w:t>
      </w:r>
      <w:r w:rsidRPr="00FB1C7A">
        <w:rPr>
          <w:rFonts w:eastAsia="SimSun"/>
          <w:lang w:eastAsia="zh-CN"/>
        </w:rPr>
        <w:t xml:space="preserve"> held on </w:t>
      </w:r>
      <w:r>
        <w:rPr>
          <w:rFonts w:eastAsia="SimSun"/>
          <w:lang w:eastAsia="zh-CN"/>
        </w:rPr>
        <w:t xml:space="preserve">30 November </w:t>
      </w:r>
      <w:r w:rsidRPr="00FB1C7A">
        <w:rPr>
          <w:rFonts w:eastAsia="SimSun"/>
          <w:lang w:eastAsia="zh-CN"/>
        </w:rPr>
        <w:t>2012, the following concluding observations</w:t>
      </w:r>
      <w:r w:rsidRPr="00FB1C7A">
        <w:rPr>
          <w:rFonts w:eastAsia="SimSun"/>
          <w:lang w:val="en-US" w:eastAsia="zh-CN"/>
        </w:rPr>
        <w:t>.</w:t>
      </w:r>
    </w:p>
    <w:p w:rsidR="009B36ED" w:rsidRPr="00FB1C7A" w:rsidRDefault="009B36ED" w:rsidP="009B36ED">
      <w:pPr>
        <w:pStyle w:val="H1G"/>
        <w:rPr>
          <w:rFonts w:eastAsia="SimSun"/>
          <w:lang w:eastAsia="zh-CN"/>
        </w:rPr>
      </w:pPr>
      <w:r w:rsidRPr="00FB1C7A">
        <w:rPr>
          <w:rFonts w:eastAsia="SimSun"/>
          <w:lang w:eastAsia="zh-CN"/>
        </w:rPr>
        <w:tab/>
        <w:t>A.</w:t>
      </w:r>
      <w:r w:rsidRPr="00FB1C7A">
        <w:rPr>
          <w:rFonts w:eastAsia="SimSun"/>
          <w:lang w:eastAsia="zh-CN"/>
        </w:rPr>
        <w:tab/>
        <w:t>Introduction</w:t>
      </w:r>
    </w:p>
    <w:p w:rsidR="009B36ED" w:rsidRDefault="009B36ED" w:rsidP="009B36ED">
      <w:pPr>
        <w:pStyle w:val="SingleTxtG"/>
        <w:tabs>
          <w:tab w:val="left" w:pos="1701"/>
        </w:tabs>
        <w:ind w:left="1152" w:hanging="6"/>
        <w:rPr>
          <w:rFonts w:eastAsia="SimSun"/>
          <w:lang w:val="en-US" w:eastAsia="zh-CN"/>
        </w:rPr>
      </w:pPr>
      <w:r w:rsidRPr="00FB1C7A">
        <w:rPr>
          <w:rFonts w:eastAsia="SimSun"/>
          <w:lang w:val="en-US" w:eastAsia="zh-CN"/>
        </w:rPr>
        <w:t>2.</w:t>
      </w:r>
      <w:r w:rsidRPr="00FB1C7A">
        <w:rPr>
          <w:rFonts w:eastAsia="SimSun"/>
          <w:lang w:val="en-US" w:eastAsia="zh-CN"/>
        </w:rPr>
        <w:tab/>
      </w:r>
      <w:r w:rsidRPr="003A7D51">
        <w:rPr>
          <w:rFonts w:eastAsia="SimSun"/>
          <w:lang w:val="en-US" w:eastAsia="zh-CN"/>
        </w:rPr>
        <w:t xml:space="preserve">The </w:t>
      </w:r>
      <w:r w:rsidRPr="009B36ED">
        <w:rPr>
          <w:rFonts w:eastAsia="SimSun"/>
          <w:lang w:eastAsia="zh-CN"/>
        </w:rPr>
        <w:t>Committee</w:t>
      </w:r>
      <w:r w:rsidRPr="003A7D51">
        <w:rPr>
          <w:rFonts w:eastAsia="SimSun"/>
          <w:lang w:val="en-US" w:eastAsia="zh-CN"/>
        </w:rPr>
        <w:t xml:space="preserve"> welcomes the submission of the </w:t>
      </w:r>
      <w:r>
        <w:rPr>
          <w:rFonts w:eastAsia="SimSun"/>
          <w:lang w:val="en-US" w:eastAsia="zh-CN"/>
        </w:rPr>
        <w:t>fourth p</w:t>
      </w:r>
      <w:r w:rsidRPr="003A7D51">
        <w:rPr>
          <w:rFonts w:eastAsia="SimSun"/>
          <w:lang w:val="en-US" w:eastAsia="zh-CN"/>
        </w:rPr>
        <w:t xml:space="preserve">eriodic report of </w:t>
      </w:r>
      <w:smartTag w:uri="urn:schemas-microsoft-com:office:smarttags" w:element="place">
        <w:smartTag w:uri="urn:schemas-microsoft-com:office:smarttags" w:element="country-region">
          <w:r>
            <w:rPr>
              <w:rFonts w:eastAsia="SimSun"/>
              <w:lang w:val="en-US" w:eastAsia="zh-CN"/>
            </w:rPr>
            <w:t>Iceland</w:t>
          </w:r>
        </w:smartTag>
      </w:smartTag>
      <w:r>
        <w:rPr>
          <w:rFonts w:eastAsia="SimSun"/>
          <w:lang w:val="en-US" w:eastAsia="zh-CN"/>
        </w:rPr>
        <w:t xml:space="preserve"> (E/C.12/ISL/4) and the replies to its list of issues (</w:t>
      </w:r>
      <w:r>
        <w:t xml:space="preserve">E/C.12/ISL/Q/4/Add.1). It also appreciates the </w:t>
      </w:r>
      <w:r>
        <w:rPr>
          <w:rFonts w:eastAsia="SimSun"/>
          <w:lang w:val="en-US" w:eastAsia="zh-CN"/>
        </w:rPr>
        <w:t>constructive and frank dialogue it had with the delegation of the State party.</w:t>
      </w:r>
    </w:p>
    <w:p w:rsidR="009B36ED" w:rsidRPr="00E85D2C" w:rsidRDefault="009B36ED" w:rsidP="009B36ED">
      <w:pPr>
        <w:pStyle w:val="H1G"/>
        <w:rPr>
          <w:rFonts w:eastAsia="SimSun"/>
          <w:lang w:val="en-US" w:eastAsia="zh-CN"/>
        </w:rPr>
      </w:pPr>
      <w:r w:rsidRPr="00FC1D66">
        <w:rPr>
          <w:rFonts w:eastAsia="SimSun"/>
          <w:b w:val="0"/>
          <w:lang w:val="en-US" w:eastAsia="zh-CN"/>
        </w:rPr>
        <w:tab/>
      </w:r>
      <w:r w:rsidRPr="00E85D2C">
        <w:rPr>
          <w:rFonts w:eastAsia="SimSun"/>
          <w:lang w:val="en-US" w:eastAsia="zh-CN"/>
        </w:rPr>
        <w:t>B.</w:t>
      </w:r>
      <w:r w:rsidRPr="00E85D2C">
        <w:rPr>
          <w:rFonts w:eastAsia="SimSun"/>
          <w:lang w:val="en-US" w:eastAsia="zh-CN"/>
        </w:rPr>
        <w:tab/>
        <w:t>Positive aspects</w:t>
      </w:r>
    </w:p>
    <w:p w:rsidR="009B36ED" w:rsidRPr="001B580E" w:rsidRDefault="009B36ED" w:rsidP="009B36ED">
      <w:pPr>
        <w:pStyle w:val="SingleTxtG"/>
        <w:tabs>
          <w:tab w:val="left" w:pos="1701"/>
        </w:tabs>
        <w:ind w:left="1152" w:hanging="6"/>
        <w:rPr>
          <w:rFonts w:eastAsia="SimSun"/>
          <w:lang w:val="en-US" w:eastAsia="zh-CN"/>
        </w:rPr>
      </w:pPr>
      <w:r>
        <w:rPr>
          <w:rFonts w:eastAsia="SimSun"/>
          <w:lang w:val="en-US" w:eastAsia="zh-CN"/>
        </w:rPr>
        <w:t>3</w:t>
      </w:r>
      <w:r w:rsidRPr="00FC1D66">
        <w:rPr>
          <w:rFonts w:eastAsia="SimSun"/>
          <w:lang w:val="en-US" w:eastAsia="zh-CN"/>
        </w:rPr>
        <w:t>.</w:t>
      </w:r>
      <w:r w:rsidRPr="00FC1D66">
        <w:rPr>
          <w:rFonts w:eastAsia="SimSun"/>
          <w:lang w:val="en-US" w:eastAsia="zh-CN"/>
        </w:rPr>
        <w:tab/>
        <w:t>The Committee notes with appreciation</w:t>
      </w:r>
      <w:r w:rsidRPr="001B580E">
        <w:rPr>
          <w:rFonts w:eastAsia="SimSun"/>
          <w:lang w:val="en-US" w:eastAsia="zh-CN"/>
        </w:rPr>
        <w:t>:</w:t>
      </w:r>
    </w:p>
    <w:p w:rsidR="0029501E" w:rsidRDefault="009B36ED" w:rsidP="000E0A03">
      <w:pPr>
        <w:pStyle w:val="SingleTxtG"/>
        <w:tabs>
          <w:tab w:val="left" w:pos="2268"/>
        </w:tabs>
        <w:ind w:firstLine="567"/>
      </w:pPr>
      <w:r w:rsidRPr="001B580E">
        <w:t>(a)</w:t>
      </w:r>
      <w:r w:rsidRPr="001B580E">
        <w:tab/>
      </w:r>
      <w:r w:rsidR="00114A6F">
        <w:t>The</w:t>
      </w:r>
      <w:r w:rsidR="0029501E">
        <w:t xml:space="preserve"> high degree of gender equality in the State party;</w:t>
      </w:r>
    </w:p>
    <w:p w:rsidR="009B36ED" w:rsidRPr="001B580E" w:rsidRDefault="009B36ED" w:rsidP="000E0A03">
      <w:pPr>
        <w:pStyle w:val="SingleTxtG"/>
        <w:tabs>
          <w:tab w:val="left" w:pos="2268"/>
        </w:tabs>
        <w:ind w:firstLine="567"/>
      </w:pPr>
      <w:r w:rsidRPr="001B580E">
        <w:t>(b)</w:t>
      </w:r>
      <w:r w:rsidRPr="001B580E">
        <w:tab/>
      </w:r>
      <w:r w:rsidR="00114A6F" w:rsidRPr="001B580E">
        <w:t>The</w:t>
      </w:r>
      <w:r w:rsidRPr="001B580E">
        <w:t xml:space="preserve"> new Gender Equality Act, No.10/2008;</w:t>
      </w:r>
    </w:p>
    <w:p w:rsidR="009B36ED" w:rsidRPr="001B580E" w:rsidRDefault="009B36ED" w:rsidP="000E0A03">
      <w:pPr>
        <w:pStyle w:val="SingleTxtG"/>
        <w:tabs>
          <w:tab w:val="left" w:pos="2268"/>
        </w:tabs>
        <w:ind w:firstLine="567"/>
      </w:pPr>
      <w:r w:rsidRPr="001B580E">
        <w:t>(c)</w:t>
      </w:r>
      <w:r w:rsidRPr="001B580E">
        <w:tab/>
      </w:r>
      <w:r w:rsidR="00114A6F" w:rsidRPr="001B580E">
        <w:t>The</w:t>
      </w:r>
      <w:r w:rsidRPr="001B580E">
        <w:t xml:space="preserve"> adoption on 17 March 2009 of the National Plan against Trafficking in Human Beings;</w:t>
      </w:r>
    </w:p>
    <w:p w:rsidR="009B36ED" w:rsidRPr="00B96482" w:rsidRDefault="009B36ED" w:rsidP="000E0A03">
      <w:pPr>
        <w:pStyle w:val="SingleTxtG"/>
        <w:tabs>
          <w:tab w:val="left" w:pos="2268"/>
        </w:tabs>
        <w:ind w:firstLine="567"/>
      </w:pPr>
      <w:r w:rsidRPr="001B580E">
        <w:t>(d)</w:t>
      </w:r>
      <w:r w:rsidRPr="001B580E">
        <w:tab/>
      </w:r>
      <w:r w:rsidR="00114A6F" w:rsidRPr="001B580E">
        <w:t>The</w:t>
      </w:r>
      <w:r w:rsidRPr="001B580E">
        <w:t xml:space="preserve"> ratification in 2011 of the Council of Europe Convention on the Protection of Children against Sexual Exploitation and Sexual Abuse (Lanzarote Convention).</w:t>
      </w:r>
    </w:p>
    <w:p w:rsidR="009B36ED" w:rsidRPr="001B580E" w:rsidRDefault="009B36ED" w:rsidP="009B36ED">
      <w:pPr>
        <w:keepNext/>
        <w:keepLines/>
        <w:tabs>
          <w:tab w:val="right" w:pos="851"/>
        </w:tabs>
        <w:spacing w:before="360" w:after="240" w:line="270" w:lineRule="exact"/>
        <w:ind w:left="1134" w:right="1134" w:hanging="1134"/>
        <w:rPr>
          <w:rFonts w:eastAsia="SimSun"/>
          <w:b/>
          <w:sz w:val="24"/>
          <w:lang w:val="en-US" w:eastAsia="zh-CN"/>
        </w:rPr>
      </w:pPr>
      <w:r w:rsidRPr="001B580E">
        <w:rPr>
          <w:rFonts w:eastAsia="SimSun"/>
          <w:b/>
          <w:sz w:val="24"/>
          <w:lang w:val="en-US" w:eastAsia="zh-CN"/>
        </w:rPr>
        <w:tab/>
        <w:t>C.</w:t>
      </w:r>
      <w:r w:rsidRPr="001B580E">
        <w:rPr>
          <w:rFonts w:eastAsia="SimSun"/>
          <w:b/>
          <w:sz w:val="24"/>
          <w:lang w:val="en-US" w:eastAsia="zh-CN"/>
        </w:rPr>
        <w:tab/>
        <w:t>Principal subjects of concern and recommendations</w:t>
      </w:r>
    </w:p>
    <w:p w:rsidR="009B36ED" w:rsidRDefault="003C1C7C" w:rsidP="009B36ED">
      <w:pPr>
        <w:pStyle w:val="SingleTxtG"/>
        <w:tabs>
          <w:tab w:val="left" w:pos="1701"/>
        </w:tabs>
        <w:ind w:left="1152" w:hanging="6"/>
        <w:rPr>
          <w:rFonts w:eastAsia="SimSun"/>
          <w:lang w:val="en-US" w:eastAsia="zh-CN"/>
        </w:rPr>
      </w:pPr>
      <w:r>
        <w:rPr>
          <w:rFonts w:eastAsia="SimSun"/>
          <w:lang w:val="en-US" w:eastAsia="zh-CN"/>
        </w:rPr>
        <w:t>4</w:t>
      </w:r>
      <w:r w:rsidR="009B36ED">
        <w:rPr>
          <w:rFonts w:eastAsia="SimSun"/>
          <w:lang w:val="en-US" w:eastAsia="zh-CN"/>
        </w:rPr>
        <w:t>.</w:t>
      </w:r>
      <w:r w:rsidR="009B36ED">
        <w:rPr>
          <w:rFonts w:eastAsia="SimSun"/>
          <w:lang w:val="en-US" w:eastAsia="zh-CN"/>
        </w:rPr>
        <w:tab/>
        <w:t xml:space="preserve">The Committee is concerned that the draft Constitution, presented to the Parliament </w:t>
      </w:r>
      <w:r w:rsidR="009B36ED" w:rsidRPr="009B36ED">
        <w:rPr>
          <w:rFonts w:eastAsia="SimSun"/>
          <w:lang w:eastAsia="zh-CN"/>
        </w:rPr>
        <w:t>following</w:t>
      </w:r>
      <w:r w:rsidR="009B36ED">
        <w:rPr>
          <w:rFonts w:eastAsia="SimSun"/>
          <w:lang w:val="en-US" w:eastAsia="zh-CN"/>
        </w:rPr>
        <w:t xml:space="preserve"> a revision process undertaken since 2010 by the Constitutional Council, does not encompass all rights as contained in the Covenant (art.2)</w:t>
      </w:r>
      <w:r w:rsidR="005D4438">
        <w:rPr>
          <w:rFonts w:eastAsia="SimSun"/>
          <w:lang w:val="en-US" w:eastAsia="zh-CN"/>
        </w:rPr>
        <w:t>.</w:t>
      </w:r>
    </w:p>
    <w:p w:rsidR="009B36ED" w:rsidRDefault="009B36ED" w:rsidP="00563CF3">
      <w:pPr>
        <w:pStyle w:val="SingleTxtG"/>
        <w:tabs>
          <w:tab w:val="left" w:pos="1843"/>
        </w:tabs>
        <w:rPr>
          <w:rFonts w:eastAsia="SimSun"/>
          <w:b/>
          <w:lang w:val="en-US" w:eastAsia="zh-CN"/>
        </w:rPr>
      </w:pPr>
      <w:r w:rsidRPr="00D80780">
        <w:rPr>
          <w:rFonts w:eastAsia="SimSun"/>
          <w:b/>
          <w:lang w:val="en-US" w:eastAsia="zh-CN"/>
        </w:rPr>
        <w:t xml:space="preserve">The Committee recommends that the draft Constitution be further revised so as to guarantee reference to all rights as contained in the </w:t>
      </w:r>
      <w:r>
        <w:rPr>
          <w:rFonts w:eastAsia="SimSun"/>
          <w:b/>
          <w:lang w:val="en-US" w:eastAsia="zh-CN"/>
        </w:rPr>
        <w:t>Covenant, in line with article 2, paragraph 1 of the Covenant.</w:t>
      </w:r>
    </w:p>
    <w:p w:rsidR="009B36ED" w:rsidRPr="000E1FDF" w:rsidRDefault="003C1C7C" w:rsidP="009B36ED">
      <w:pPr>
        <w:pStyle w:val="SingleTxtG"/>
        <w:tabs>
          <w:tab w:val="left" w:pos="1701"/>
        </w:tabs>
        <w:ind w:left="1152" w:hanging="6"/>
      </w:pPr>
      <w:r>
        <w:rPr>
          <w:rFonts w:eastAsia="SimSun"/>
          <w:lang w:val="en-US" w:eastAsia="zh-CN"/>
        </w:rPr>
        <w:t>5</w:t>
      </w:r>
      <w:r w:rsidR="009B36ED" w:rsidRPr="000F51B1">
        <w:rPr>
          <w:rFonts w:eastAsia="SimSun"/>
          <w:lang w:val="en-US" w:eastAsia="zh-CN"/>
        </w:rPr>
        <w:t>.</w:t>
      </w:r>
      <w:r w:rsidR="009B36ED" w:rsidRPr="000F51B1">
        <w:rPr>
          <w:rFonts w:eastAsia="SimSun"/>
          <w:lang w:val="en-US" w:eastAsia="zh-CN"/>
        </w:rPr>
        <w:tab/>
        <w:t xml:space="preserve">The </w:t>
      </w:r>
      <w:r w:rsidR="009B36ED" w:rsidRPr="000E1FDF">
        <w:rPr>
          <w:rFonts w:eastAsia="SimSun"/>
          <w:lang w:val="en-US" w:eastAsia="zh-CN"/>
        </w:rPr>
        <w:t xml:space="preserve">Committee </w:t>
      </w:r>
      <w:r w:rsidR="009B36ED">
        <w:rPr>
          <w:rFonts w:eastAsia="SimSun"/>
          <w:lang w:val="en-US" w:eastAsia="zh-CN"/>
        </w:rPr>
        <w:t>regrets</w:t>
      </w:r>
      <w:r w:rsidR="009B36ED" w:rsidRPr="000E1FDF">
        <w:rPr>
          <w:rFonts w:eastAsia="SimSun"/>
          <w:lang w:val="en-US" w:eastAsia="zh-CN"/>
        </w:rPr>
        <w:t xml:space="preserve"> that the </w:t>
      </w:r>
      <w:r w:rsidR="009B36ED" w:rsidRPr="000E1FDF">
        <w:t>State party</w:t>
      </w:r>
      <w:r w:rsidR="00A1738C">
        <w:t>,</w:t>
      </w:r>
      <w:r w:rsidR="009B36ED" w:rsidRPr="000E1FDF">
        <w:t xml:space="preserve"> </w:t>
      </w:r>
      <w:r w:rsidR="00A1738C">
        <w:t>as yet, does not have a</w:t>
      </w:r>
      <w:r w:rsidR="009B36ED">
        <w:t xml:space="preserve"> </w:t>
      </w:r>
      <w:r w:rsidR="009B36ED" w:rsidRPr="000E1FDF">
        <w:t>comprehensive anti-</w:t>
      </w:r>
      <w:r w:rsidR="009B36ED" w:rsidRPr="009B36ED">
        <w:rPr>
          <w:rFonts w:eastAsia="SimSun"/>
          <w:lang w:eastAsia="zh-CN"/>
        </w:rPr>
        <w:t>discrimination</w:t>
      </w:r>
      <w:r w:rsidR="009B36ED" w:rsidRPr="000E1FDF">
        <w:t xml:space="preserve"> </w:t>
      </w:r>
      <w:r w:rsidR="009B36ED">
        <w:t>law</w:t>
      </w:r>
      <w:r w:rsidR="009B36ED" w:rsidRPr="000E1FDF">
        <w:t>.</w:t>
      </w:r>
      <w:r w:rsidR="009B36ED">
        <w:t xml:space="preserve"> The Committee is particularly concerned that persons with disabilities face discrimination with regard to their rights to education, housing and social assistance.</w:t>
      </w:r>
      <w:r w:rsidR="001871A1">
        <w:t xml:space="preserve"> </w:t>
      </w:r>
      <w:r w:rsidR="009B36ED" w:rsidRPr="000E1FDF">
        <w:t>(art.2)</w:t>
      </w:r>
    </w:p>
    <w:p w:rsidR="009B36ED" w:rsidRDefault="009B36ED" w:rsidP="009B36ED">
      <w:pPr>
        <w:pStyle w:val="SingleTxtG"/>
        <w:rPr>
          <w:b/>
        </w:rPr>
      </w:pPr>
      <w:r w:rsidRPr="0011124A">
        <w:rPr>
          <w:b/>
        </w:rPr>
        <w:t xml:space="preserve">The Committee recommends that the State party </w:t>
      </w:r>
      <w:r w:rsidRPr="000E1FDF">
        <w:rPr>
          <w:b/>
        </w:rPr>
        <w:t>take steps to adopt comprehensive a</w:t>
      </w:r>
      <w:r>
        <w:rPr>
          <w:b/>
        </w:rPr>
        <w:t>nti-discrimination legislation. It also recommends that t</w:t>
      </w:r>
      <w:r w:rsidRPr="00AC2EBF">
        <w:rPr>
          <w:b/>
        </w:rPr>
        <w:t>he State party ensure that measures are taken to combat and prevent discrimination</w:t>
      </w:r>
      <w:r w:rsidR="00A33E95">
        <w:rPr>
          <w:b/>
        </w:rPr>
        <w:t>, especially</w:t>
      </w:r>
      <w:r w:rsidRPr="00AC2EBF">
        <w:rPr>
          <w:b/>
        </w:rPr>
        <w:t xml:space="preserve"> against persons with disabilities, in particular with respect to the right to education</w:t>
      </w:r>
      <w:r w:rsidR="008726E1">
        <w:rPr>
          <w:b/>
        </w:rPr>
        <w:t xml:space="preserve"> and</w:t>
      </w:r>
      <w:r w:rsidRPr="00AC2EBF">
        <w:rPr>
          <w:b/>
        </w:rPr>
        <w:t xml:space="preserve"> housing</w:t>
      </w:r>
      <w:r w:rsidR="008726E1">
        <w:rPr>
          <w:b/>
        </w:rPr>
        <w:t>, as well as</w:t>
      </w:r>
      <w:r w:rsidRPr="00AC2EBF">
        <w:rPr>
          <w:b/>
        </w:rPr>
        <w:t xml:space="preserve"> social assistance</w:t>
      </w:r>
      <w:r w:rsidR="008726E1">
        <w:rPr>
          <w:b/>
        </w:rPr>
        <w:t xml:space="preserve"> under article 9 of the Covenant</w:t>
      </w:r>
      <w:r w:rsidRPr="00AC2EBF">
        <w:rPr>
          <w:b/>
        </w:rPr>
        <w:t>.</w:t>
      </w:r>
    </w:p>
    <w:p w:rsidR="009E2EFF" w:rsidRDefault="003C1C7C" w:rsidP="009E2EFF">
      <w:pPr>
        <w:pStyle w:val="SingleTxtG"/>
        <w:tabs>
          <w:tab w:val="left" w:pos="1701"/>
        </w:tabs>
        <w:ind w:left="1152" w:hanging="6"/>
      </w:pPr>
      <w:r>
        <w:rPr>
          <w:rFonts w:eastAsia="SimSun"/>
          <w:lang w:val="en-US" w:eastAsia="zh-CN"/>
        </w:rPr>
        <w:t>6</w:t>
      </w:r>
      <w:r w:rsidR="009E2EFF" w:rsidRPr="001B580E">
        <w:rPr>
          <w:rFonts w:eastAsia="SimSun"/>
          <w:lang w:val="en-US" w:eastAsia="zh-CN"/>
        </w:rPr>
        <w:t>.</w:t>
      </w:r>
      <w:r w:rsidR="009E2EFF" w:rsidRPr="001B580E">
        <w:rPr>
          <w:rFonts w:eastAsia="SimSun"/>
          <w:lang w:val="en-US" w:eastAsia="zh-CN"/>
        </w:rPr>
        <w:tab/>
        <w:t xml:space="preserve">The Committee is concerned </w:t>
      </w:r>
      <w:r w:rsidR="009E2EFF">
        <w:rPr>
          <w:rFonts w:eastAsia="SimSun"/>
          <w:lang w:val="en-US" w:eastAsia="zh-CN"/>
        </w:rPr>
        <w:t xml:space="preserve">that, despite measures taken by the State party, </w:t>
      </w:r>
      <w:r w:rsidR="009E2EFF" w:rsidRPr="001B580E">
        <w:rPr>
          <w:rFonts w:eastAsia="SimSun"/>
          <w:lang w:val="en-US" w:eastAsia="zh-CN"/>
        </w:rPr>
        <w:t xml:space="preserve">the </w:t>
      </w:r>
      <w:r w:rsidR="009E2EFF">
        <w:rPr>
          <w:rFonts w:eastAsia="SimSun"/>
          <w:lang w:val="en-US" w:eastAsia="zh-CN"/>
        </w:rPr>
        <w:t xml:space="preserve">national </w:t>
      </w:r>
      <w:r w:rsidR="009E2EFF" w:rsidRPr="001B580E">
        <w:t xml:space="preserve">financial and economic crisis has had </w:t>
      </w:r>
      <w:r w:rsidR="009E2EFF">
        <w:t xml:space="preserve">a negative impact </w:t>
      </w:r>
      <w:r w:rsidR="009E2EFF" w:rsidRPr="001B580E">
        <w:t>on the realization of economic, social and cultural rights, in particular with regard</w:t>
      </w:r>
      <w:r w:rsidR="009E2EFF" w:rsidRPr="000F51B1">
        <w:t xml:space="preserve"> to the rights to work, social security, housing and education.</w:t>
      </w:r>
    </w:p>
    <w:p w:rsidR="0039381A" w:rsidRPr="00146718" w:rsidRDefault="009E2EFF" w:rsidP="003E6578">
      <w:pPr>
        <w:pStyle w:val="SingleTxtG"/>
        <w:tabs>
          <w:tab w:val="left" w:pos="1560"/>
        </w:tabs>
        <w:spacing w:line="240" w:lineRule="auto"/>
        <w:rPr>
          <w:b/>
          <w:bCs/>
        </w:rPr>
      </w:pPr>
      <w:r w:rsidRPr="000F51B1">
        <w:rPr>
          <w:rFonts w:eastAsia="SimSun"/>
          <w:b/>
          <w:lang w:val="en-US" w:eastAsia="zh-CN"/>
        </w:rPr>
        <w:t>The Committee re</w:t>
      </w:r>
      <w:r>
        <w:rPr>
          <w:rFonts w:eastAsia="SimSun"/>
          <w:b/>
          <w:lang w:val="en-US" w:eastAsia="zh-CN"/>
        </w:rPr>
        <w:t xml:space="preserve">minds </w:t>
      </w:r>
      <w:r w:rsidRPr="000F51B1">
        <w:rPr>
          <w:rFonts w:eastAsia="SimSun"/>
          <w:b/>
          <w:lang w:val="en-US" w:eastAsia="zh-CN"/>
        </w:rPr>
        <w:t>the State party</w:t>
      </w:r>
      <w:r>
        <w:rPr>
          <w:rFonts w:eastAsia="SimSun"/>
          <w:b/>
          <w:lang w:val="en-US" w:eastAsia="zh-CN"/>
        </w:rPr>
        <w:t xml:space="preserve"> of its </w:t>
      </w:r>
      <w:r w:rsidRPr="0008412F">
        <w:rPr>
          <w:rFonts w:eastAsia="SimSun"/>
          <w:b/>
          <w:lang w:val="en-US" w:eastAsia="zh-CN"/>
        </w:rPr>
        <w:t xml:space="preserve">obligation under the Covenant to respect, protect </w:t>
      </w:r>
      <w:r w:rsidRPr="009658F5">
        <w:rPr>
          <w:rFonts w:eastAsia="SimSun"/>
          <w:b/>
          <w:lang w:val="en-US" w:eastAsia="zh-CN"/>
        </w:rPr>
        <w:t xml:space="preserve">and fulfil economic, social and cultural rights progressively, using their maximum available resources. </w:t>
      </w:r>
      <w:r>
        <w:rPr>
          <w:rFonts w:eastAsia="SimSun"/>
          <w:b/>
          <w:lang w:val="en-US" w:eastAsia="zh-CN"/>
        </w:rPr>
        <w:t xml:space="preserve">While realizing </w:t>
      </w:r>
      <w:r w:rsidRPr="009658F5">
        <w:rPr>
          <w:rFonts w:eastAsia="SimSun"/>
          <w:b/>
          <w:lang w:val="en-US" w:eastAsia="zh-CN"/>
        </w:rPr>
        <w:t>that some adjustments in the implementation of some of the Covenant rights are at times inevitable, such as during economic crises</w:t>
      </w:r>
      <w:r>
        <w:rPr>
          <w:rFonts w:eastAsia="SimSun"/>
          <w:b/>
          <w:lang w:val="en-US" w:eastAsia="zh-CN"/>
        </w:rPr>
        <w:t xml:space="preserve">, it </w:t>
      </w:r>
      <w:r w:rsidRPr="009658F5">
        <w:rPr>
          <w:rFonts w:eastAsia="SimSun"/>
          <w:b/>
          <w:lang w:val="en-US" w:eastAsia="zh-CN"/>
        </w:rPr>
        <w:t>recommends that any proposed policy change or adjustment by the State party in reaction to the economic crisis (</w:t>
      </w:r>
      <w:r w:rsidR="003E6578">
        <w:rPr>
          <w:rFonts w:eastAsia="SimSun"/>
          <w:b/>
          <w:lang w:val="en-US" w:eastAsia="zh-CN"/>
        </w:rPr>
        <w:t>a</w:t>
      </w:r>
      <w:r w:rsidRPr="009658F5">
        <w:rPr>
          <w:rFonts w:eastAsia="SimSun"/>
          <w:b/>
          <w:lang w:val="en-US" w:eastAsia="zh-CN"/>
        </w:rPr>
        <w:t>) be of a temporary nature; (</w:t>
      </w:r>
      <w:r w:rsidR="003E6578">
        <w:rPr>
          <w:rFonts w:eastAsia="SimSun"/>
          <w:b/>
          <w:lang w:val="en-US" w:eastAsia="zh-CN"/>
        </w:rPr>
        <w:t>b</w:t>
      </w:r>
      <w:r w:rsidRPr="009658F5">
        <w:rPr>
          <w:rFonts w:eastAsia="SimSun"/>
          <w:b/>
          <w:lang w:val="en-US" w:eastAsia="zh-CN"/>
        </w:rPr>
        <w:t>) be necessary and proportionate; (</w:t>
      </w:r>
      <w:r w:rsidR="003E6578">
        <w:rPr>
          <w:rFonts w:eastAsia="SimSun"/>
          <w:b/>
          <w:lang w:val="en-US" w:eastAsia="zh-CN"/>
        </w:rPr>
        <w:t>c</w:t>
      </w:r>
      <w:r w:rsidRPr="009658F5">
        <w:rPr>
          <w:rFonts w:eastAsia="SimSun"/>
          <w:b/>
          <w:lang w:val="en-US" w:eastAsia="zh-CN"/>
        </w:rPr>
        <w:t>) not be discriminatory and comprise all possible</w:t>
      </w:r>
      <w:r w:rsidRPr="0008412F">
        <w:rPr>
          <w:rFonts w:eastAsia="SimSun"/>
          <w:b/>
          <w:lang w:val="en-US" w:eastAsia="zh-CN"/>
        </w:rPr>
        <w:t xml:space="preserve"> measures, including tax measures, to support social transfers to mitigate inequalities and to ensure that the rights of the disadvantaged and </w:t>
      </w:r>
      <w:r w:rsidR="003E6578" w:rsidRPr="0008412F">
        <w:rPr>
          <w:rFonts w:eastAsia="SimSun"/>
          <w:b/>
          <w:lang w:val="en-US" w:eastAsia="zh-CN"/>
        </w:rPr>
        <w:t>marginalized</w:t>
      </w:r>
      <w:r w:rsidRPr="0008412F">
        <w:rPr>
          <w:rFonts w:eastAsia="SimSun"/>
          <w:b/>
          <w:lang w:val="en-US" w:eastAsia="zh-CN"/>
        </w:rPr>
        <w:t xml:space="preserve"> individuals and groups are not disproportionately affected; and (</w:t>
      </w:r>
      <w:r w:rsidR="003E6578">
        <w:rPr>
          <w:rFonts w:eastAsia="SimSun"/>
          <w:b/>
          <w:lang w:val="en-US" w:eastAsia="zh-CN"/>
        </w:rPr>
        <w:t>d</w:t>
      </w:r>
      <w:r w:rsidRPr="0008412F">
        <w:rPr>
          <w:rFonts w:eastAsia="SimSun"/>
          <w:b/>
          <w:lang w:val="en-US" w:eastAsia="zh-CN"/>
        </w:rPr>
        <w:t>) identify</w:t>
      </w:r>
      <w:r>
        <w:rPr>
          <w:rFonts w:eastAsia="SimSun"/>
          <w:b/>
          <w:lang w:val="en-US" w:eastAsia="zh-CN"/>
        </w:rPr>
        <w:t xml:space="preserve"> a social protection floor and</w:t>
      </w:r>
      <w:r w:rsidRPr="0008412F">
        <w:rPr>
          <w:rFonts w:eastAsia="SimSun"/>
          <w:b/>
          <w:lang w:val="en-US" w:eastAsia="zh-CN"/>
        </w:rPr>
        <w:t xml:space="preserve"> the minimum core content of rights, </w:t>
      </w:r>
      <w:r>
        <w:rPr>
          <w:rFonts w:eastAsia="SimSun"/>
          <w:b/>
          <w:lang w:val="en-US" w:eastAsia="zh-CN"/>
        </w:rPr>
        <w:t xml:space="preserve">ensuring </w:t>
      </w:r>
      <w:r w:rsidRPr="0008412F">
        <w:rPr>
          <w:rFonts w:eastAsia="SimSun"/>
          <w:b/>
          <w:lang w:val="en-US" w:eastAsia="zh-CN"/>
        </w:rPr>
        <w:t>the protection of this core content</w:t>
      </w:r>
      <w:r>
        <w:rPr>
          <w:rFonts w:eastAsia="SimSun"/>
          <w:b/>
          <w:lang w:val="en-US" w:eastAsia="zh-CN"/>
        </w:rPr>
        <w:t xml:space="preserve"> of rights</w:t>
      </w:r>
      <w:r w:rsidRPr="0008412F">
        <w:rPr>
          <w:rFonts w:eastAsia="SimSun"/>
          <w:b/>
          <w:lang w:val="en-US" w:eastAsia="zh-CN"/>
        </w:rPr>
        <w:t xml:space="preserve"> at all times. </w:t>
      </w:r>
      <w:r w:rsidR="0039381A" w:rsidRPr="00146718">
        <w:rPr>
          <w:b/>
          <w:bCs/>
        </w:rPr>
        <w:t xml:space="preserve">The Committee draws the attention of the State party to </w:t>
      </w:r>
      <w:r w:rsidR="0039381A">
        <w:rPr>
          <w:b/>
          <w:bCs/>
        </w:rPr>
        <w:t>it</w:t>
      </w:r>
      <w:r w:rsidR="0039381A" w:rsidRPr="003F373E">
        <w:rPr>
          <w:b/>
          <w:bCs/>
        </w:rPr>
        <w:t xml:space="preserve">s open letter on </w:t>
      </w:r>
      <w:r w:rsidR="0039381A" w:rsidRPr="00660E10">
        <w:rPr>
          <w:b/>
          <w:bCs/>
        </w:rPr>
        <w:t>economic, social and cultural rights</w:t>
      </w:r>
      <w:r w:rsidR="0039381A">
        <w:rPr>
          <w:b/>
          <w:bCs/>
        </w:rPr>
        <w:t>,</w:t>
      </w:r>
      <w:r w:rsidR="0039381A" w:rsidRPr="00660E10">
        <w:rPr>
          <w:b/>
          <w:bCs/>
        </w:rPr>
        <w:t xml:space="preserve"> and economic </w:t>
      </w:r>
      <w:r w:rsidR="0039381A">
        <w:rPr>
          <w:b/>
          <w:bCs/>
        </w:rPr>
        <w:t xml:space="preserve">and financial </w:t>
      </w:r>
      <w:r w:rsidR="0039381A" w:rsidRPr="00660E10">
        <w:rPr>
          <w:b/>
          <w:bCs/>
        </w:rPr>
        <w:t>crisis, dated 16 May 2012</w:t>
      </w:r>
      <w:r w:rsidR="0039381A" w:rsidRPr="003F373E">
        <w:rPr>
          <w:b/>
          <w:bCs/>
        </w:rPr>
        <w:t>.</w:t>
      </w:r>
    </w:p>
    <w:p w:rsidR="009B36ED" w:rsidRPr="00AC2EBF" w:rsidRDefault="009B36ED" w:rsidP="0002712E">
      <w:pPr>
        <w:pStyle w:val="SingleTxtG"/>
        <w:tabs>
          <w:tab w:val="left" w:pos="1701"/>
        </w:tabs>
        <w:ind w:left="1152" w:hanging="6"/>
      </w:pPr>
      <w:r>
        <w:t>7</w:t>
      </w:r>
      <w:r w:rsidRPr="00AC2EBF">
        <w:t>.</w:t>
      </w:r>
      <w:r w:rsidRPr="00AC2EBF">
        <w:tab/>
        <w:t xml:space="preserve">The </w:t>
      </w:r>
      <w:r w:rsidRPr="009B36ED">
        <w:rPr>
          <w:rFonts w:eastAsia="SimSun"/>
          <w:lang w:eastAsia="zh-CN"/>
        </w:rPr>
        <w:t>Committee</w:t>
      </w:r>
      <w:r w:rsidRPr="00AC2EBF">
        <w:t xml:space="preserve"> is concerned that the State party has not yet established a consolidated </w:t>
      </w:r>
      <w:r w:rsidRPr="009B36ED">
        <w:rPr>
          <w:rFonts w:eastAsia="SimSun"/>
          <w:lang w:eastAsia="zh-CN"/>
        </w:rPr>
        <w:t>national</w:t>
      </w:r>
      <w:r w:rsidRPr="00AC2EBF">
        <w:t xml:space="preserve"> human rights institution, in accordance with the </w:t>
      </w:r>
      <w:r w:rsidR="0002712E">
        <w:t>p</w:t>
      </w:r>
      <w:r w:rsidR="0002712E" w:rsidRPr="006B7776">
        <w:t>rinciples</w:t>
      </w:r>
      <w:r w:rsidR="0002712E" w:rsidRPr="006B7776">
        <w:rPr>
          <w:b/>
          <w:szCs w:val="24"/>
        </w:rPr>
        <w:t xml:space="preserve"> </w:t>
      </w:r>
      <w:r w:rsidR="0002712E" w:rsidRPr="006B7776">
        <w:rPr>
          <w:bCs/>
          <w:szCs w:val="24"/>
        </w:rPr>
        <w:t xml:space="preserve">relating to the status of </w:t>
      </w:r>
      <w:r w:rsidR="0002712E" w:rsidRPr="00F66640">
        <w:rPr>
          <w:rStyle w:val="Strong"/>
          <w:b w:val="0"/>
          <w:bCs w:val="0"/>
          <w:szCs w:val="24"/>
        </w:rPr>
        <w:t>national institutions</w:t>
      </w:r>
      <w:r w:rsidR="0002712E" w:rsidRPr="006B7776">
        <w:rPr>
          <w:b/>
          <w:szCs w:val="24"/>
        </w:rPr>
        <w:t xml:space="preserve"> </w:t>
      </w:r>
      <w:r w:rsidR="0002712E" w:rsidRPr="006B7776">
        <w:rPr>
          <w:bCs/>
          <w:szCs w:val="24"/>
        </w:rPr>
        <w:t>for the promotion and protection of human rights</w:t>
      </w:r>
      <w:r w:rsidR="0002712E">
        <w:t xml:space="preserve"> (</w:t>
      </w:r>
      <w:r w:rsidRPr="00AC2EBF">
        <w:t>Paris Principles</w:t>
      </w:r>
      <w:r w:rsidR="0002712E">
        <w:t>)</w:t>
      </w:r>
      <w:r w:rsidRPr="00AC2EBF">
        <w:t>.</w:t>
      </w:r>
    </w:p>
    <w:p w:rsidR="009B36ED" w:rsidRPr="00AC2EBF" w:rsidRDefault="009B36ED" w:rsidP="009B36ED">
      <w:pPr>
        <w:pStyle w:val="SingleTxtG"/>
        <w:rPr>
          <w:b/>
        </w:rPr>
      </w:pPr>
      <w:r>
        <w:rPr>
          <w:b/>
        </w:rPr>
        <w:t>The Committee recommends that t</w:t>
      </w:r>
      <w:r w:rsidRPr="00AC2EBF">
        <w:rPr>
          <w:b/>
        </w:rPr>
        <w:t xml:space="preserve">he State party take steps to establish a national human rights institution with a broad human rights </w:t>
      </w:r>
      <w:r>
        <w:rPr>
          <w:b/>
        </w:rPr>
        <w:t>mandate, including the economic, social and cultural rights of the Covenant,</w:t>
      </w:r>
      <w:r w:rsidRPr="00AC2EBF">
        <w:rPr>
          <w:b/>
        </w:rPr>
        <w:t xml:space="preserve"> </w:t>
      </w:r>
      <w:r w:rsidR="003D7E76">
        <w:rPr>
          <w:b/>
        </w:rPr>
        <w:t xml:space="preserve">in line with the Paris Principles, </w:t>
      </w:r>
      <w:r w:rsidRPr="00AC2EBF">
        <w:rPr>
          <w:b/>
        </w:rPr>
        <w:t>and</w:t>
      </w:r>
      <w:r>
        <w:rPr>
          <w:b/>
        </w:rPr>
        <w:t xml:space="preserve"> provide it with </w:t>
      </w:r>
      <w:r w:rsidRPr="00AC2EBF">
        <w:rPr>
          <w:b/>
        </w:rPr>
        <w:t>adequate financial and human resources.</w:t>
      </w:r>
      <w:r>
        <w:rPr>
          <w:b/>
        </w:rPr>
        <w:t xml:space="preserve"> </w:t>
      </w:r>
    </w:p>
    <w:p w:rsidR="009B36ED" w:rsidRPr="00AC2EBF" w:rsidRDefault="009B36ED" w:rsidP="009B36ED">
      <w:pPr>
        <w:pStyle w:val="SingleTxtG"/>
        <w:tabs>
          <w:tab w:val="left" w:pos="1701"/>
        </w:tabs>
        <w:ind w:left="1152" w:hanging="6"/>
      </w:pPr>
      <w:r>
        <w:t>8</w:t>
      </w:r>
      <w:r w:rsidRPr="00AC2EBF">
        <w:t>.</w:t>
      </w:r>
      <w:r w:rsidRPr="00AC2EBF">
        <w:tab/>
        <w:t xml:space="preserve">The Committee is concerned about the significant wage gap between </w:t>
      </w:r>
      <w:r w:rsidRPr="009B36ED">
        <w:rPr>
          <w:rFonts w:eastAsia="SimSun"/>
          <w:lang w:eastAsia="zh-CN"/>
        </w:rPr>
        <w:t>men</w:t>
      </w:r>
      <w:r w:rsidRPr="00AC2EBF">
        <w:t xml:space="preserve"> and women. It is also concerned that women continue to be underrepresented in decision-making positions, in particular in the Foreign Serv</w:t>
      </w:r>
      <w:r w:rsidR="00563CF3">
        <w:t>ice, the judiciary and academia</w:t>
      </w:r>
      <w:r w:rsidRPr="00AC2EBF">
        <w:t xml:space="preserve"> (art. 3)</w:t>
      </w:r>
      <w:r w:rsidR="00563CF3">
        <w:t>.</w:t>
      </w:r>
    </w:p>
    <w:p w:rsidR="009B36ED" w:rsidRDefault="009B36ED" w:rsidP="009B36ED">
      <w:pPr>
        <w:pStyle w:val="SingleTxtG"/>
        <w:rPr>
          <w:b/>
        </w:rPr>
      </w:pPr>
      <w:r>
        <w:rPr>
          <w:b/>
        </w:rPr>
        <w:t>The Committee recommends that t</w:t>
      </w:r>
      <w:r w:rsidRPr="00AC2EBF">
        <w:rPr>
          <w:b/>
        </w:rPr>
        <w:t xml:space="preserve">he State party take steps, </w:t>
      </w:r>
      <w:r w:rsidR="004939AA">
        <w:rPr>
          <w:b/>
        </w:rPr>
        <w:t xml:space="preserve">particularly by ensuring a strict implementation of the Gender Equality Act 10/2008, </w:t>
      </w:r>
      <w:r w:rsidRPr="00AC2EBF">
        <w:rPr>
          <w:b/>
        </w:rPr>
        <w:t>to eliminate the persistent and significant wage gap between women and men, guaranteeing the principle of equal pay for work of equal value</w:t>
      </w:r>
      <w:r w:rsidR="004939AA">
        <w:rPr>
          <w:b/>
        </w:rPr>
        <w:t>,</w:t>
      </w:r>
      <w:r>
        <w:rPr>
          <w:b/>
        </w:rPr>
        <w:t xml:space="preserve"> </w:t>
      </w:r>
      <w:r w:rsidR="004939AA">
        <w:rPr>
          <w:b/>
        </w:rPr>
        <w:t>in accordance with article 7 of the Covenant</w:t>
      </w:r>
      <w:r w:rsidRPr="00AC2EBF">
        <w:rPr>
          <w:b/>
        </w:rPr>
        <w:t xml:space="preserve">. </w:t>
      </w:r>
      <w:r>
        <w:rPr>
          <w:b/>
        </w:rPr>
        <w:t>It also recommends that t</w:t>
      </w:r>
      <w:r w:rsidRPr="00AC2EBF">
        <w:rPr>
          <w:b/>
        </w:rPr>
        <w:t>he State party</w:t>
      </w:r>
      <w:r w:rsidRPr="000E1FDF">
        <w:rPr>
          <w:b/>
        </w:rPr>
        <w:t xml:space="preserve"> take steps to ensure increased representation of women in decision-making positions, in particular in the Foreign Service, the judiciary, and academia. </w:t>
      </w:r>
    </w:p>
    <w:p w:rsidR="009B36ED" w:rsidRDefault="009B36ED" w:rsidP="00F66640">
      <w:pPr>
        <w:pStyle w:val="SingleTxtG"/>
        <w:tabs>
          <w:tab w:val="left" w:pos="1701"/>
        </w:tabs>
        <w:ind w:left="1152" w:hanging="6"/>
      </w:pPr>
      <w:r>
        <w:t>9</w:t>
      </w:r>
      <w:r w:rsidRPr="000962EB">
        <w:t>.</w:t>
      </w:r>
      <w:r w:rsidRPr="000962EB">
        <w:tab/>
        <w:t xml:space="preserve">The </w:t>
      </w:r>
      <w:r w:rsidRPr="009B36ED">
        <w:rPr>
          <w:rFonts w:eastAsia="SimSun"/>
          <w:lang w:eastAsia="zh-CN"/>
        </w:rPr>
        <w:t>Committee</w:t>
      </w:r>
      <w:r w:rsidRPr="000962EB">
        <w:t xml:space="preserve"> is concerned that the unemployment rate is still high compared to</w:t>
      </w:r>
      <w:r>
        <w:t xml:space="preserve"> the rate before the 2008 crisis, and that young people and immigrants are especially at risk from long-term unemployment (art.</w:t>
      </w:r>
      <w:r w:rsidR="00355527">
        <w:t xml:space="preserve"> </w:t>
      </w:r>
      <w:r>
        <w:t>6)</w:t>
      </w:r>
      <w:r w:rsidR="00F66640">
        <w:t>.</w:t>
      </w:r>
    </w:p>
    <w:p w:rsidR="009B36ED" w:rsidRDefault="009B36ED" w:rsidP="009B36ED">
      <w:pPr>
        <w:pStyle w:val="SingleTxtG"/>
        <w:rPr>
          <w:b/>
        </w:rPr>
      </w:pPr>
      <w:r w:rsidRPr="00EC641A">
        <w:rPr>
          <w:b/>
        </w:rPr>
        <w:t xml:space="preserve">The Committee recommends that the State party intensify its efforts to address the high unemployment rate, </w:t>
      </w:r>
      <w:r>
        <w:rPr>
          <w:b/>
        </w:rPr>
        <w:t>including through a comprehensive employment policy, with a special focus on groups at risk of long-term unemployment, such as young people and immigrants.</w:t>
      </w:r>
    </w:p>
    <w:p w:rsidR="009B36ED" w:rsidRPr="000E1FDF" w:rsidRDefault="009B36ED" w:rsidP="009B36ED">
      <w:pPr>
        <w:pStyle w:val="SingleTxtG"/>
        <w:tabs>
          <w:tab w:val="left" w:pos="1701"/>
        </w:tabs>
        <w:ind w:left="1152" w:hanging="6"/>
      </w:pPr>
      <w:r>
        <w:t>10</w:t>
      </w:r>
      <w:r w:rsidRPr="000E1FDF">
        <w:t>.</w:t>
      </w:r>
      <w:r w:rsidRPr="000E1FDF">
        <w:tab/>
        <w:t xml:space="preserve">The Committee </w:t>
      </w:r>
      <w:r w:rsidR="003113E0">
        <w:t xml:space="preserve">is concerned </w:t>
      </w:r>
      <w:r>
        <w:t xml:space="preserve">that temporary work permits are issued for work with a specific employer, and that this may increase the vulnerability and dependency of the permit </w:t>
      </w:r>
      <w:r w:rsidRPr="009B36ED">
        <w:rPr>
          <w:rFonts w:eastAsia="SimSun"/>
          <w:lang w:eastAsia="zh-CN"/>
        </w:rPr>
        <w:t>holder</w:t>
      </w:r>
      <w:r>
        <w:t xml:space="preserve"> on that employer. It is also concerned that an employee alone cannot bring an appeal against decisions by the Directorate of Labour on applications for temporary permits</w:t>
      </w:r>
      <w:r w:rsidR="00563CF3">
        <w:t xml:space="preserve"> or revocations of such permits</w:t>
      </w:r>
      <w:r>
        <w:t xml:space="preserve"> </w:t>
      </w:r>
      <w:r w:rsidRPr="000E1FDF">
        <w:t xml:space="preserve">(art. </w:t>
      </w:r>
      <w:r>
        <w:t>6</w:t>
      </w:r>
      <w:r w:rsidRPr="000E1FDF">
        <w:t>)</w:t>
      </w:r>
      <w:r w:rsidR="00563CF3">
        <w:t>.</w:t>
      </w:r>
    </w:p>
    <w:p w:rsidR="009B36ED" w:rsidRPr="00F37909" w:rsidRDefault="009B36ED" w:rsidP="009B36ED">
      <w:pPr>
        <w:pStyle w:val="SingleTxtG"/>
        <w:rPr>
          <w:b/>
        </w:rPr>
      </w:pPr>
      <w:r>
        <w:rPr>
          <w:b/>
        </w:rPr>
        <w:t xml:space="preserve">The Committee recommends that the State party take steps to ensure </w:t>
      </w:r>
      <w:r w:rsidRPr="00F37909">
        <w:rPr>
          <w:b/>
        </w:rPr>
        <w:t>that temporary work permits are issued for a specific type of work/remunerated activity and specific time, rather than with a specific employer.</w:t>
      </w:r>
      <w:r>
        <w:rPr>
          <w:b/>
        </w:rPr>
        <w:t xml:space="preserve"> It also recommends that the State party ensure that </w:t>
      </w:r>
      <w:r w:rsidRPr="00F37909">
        <w:rPr>
          <w:b/>
        </w:rPr>
        <w:t xml:space="preserve">appeals against decisions by the Directorate of Labour on applications for temporary permits or revocations of such permits can be brought by </w:t>
      </w:r>
      <w:r w:rsidRPr="00B629F4">
        <w:rPr>
          <w:b/>
        </w:rPr>
        <w:t>employees alone, rather than needing the additional approval of the employer.</w:t>
      </w:r>
    </w:p>
    <w:p w:rsidR="009B36ED" w:rsidRPr="000E1FDF" w:rsidRDefault="009B36ED" w:rsidP="0002712E">
      <w:pPr>
        <w:pStyle w:val="SingleTxtG"/>
        <w:tabs>
          <w:tab w:val="left" w:pos="1701"/>
        </w:tabs>
        <w:ind w:left="1152" w:hanging="6"/>
      </w:pPr>
      <w:r>
        <w:t>11</w:t>
      </w:r>
      <w:r w:rsidRPr="000E1FDF">
        <w:t>.</w:t>
      </w:r>
      <w:r w:rsidRPr="000E1FDF">
        <w:tab/>
        <w:t xml:space="preserve">The </w:t>
      </w:r>
      <w:r w:rsidRPr="009B36ED">
        <w:rPr>
          <w:rFonts w:eastAsia="SimSun"/>
          <w:lang w:eastAsia="zh-CN"/>
        </w:rPr>
        <w:t>Committee</w:t>
      </w:r>
      <w:r w:rsidRPr="000E1FDF">
        <w:t xml:space="preserve"> </w:t>
      </w:r>
      <w:r>
        <w:t xml:space="preserve">is concerned that the State party has not yet introduced a national minimum wage </w:t>
      </w:r>
      <w:r w:rsidRPr="000E1FDF">
        <w:t xml:space="preserve">(art. </w:t>
      </w:r>
      <w:r>
        <w:t>7</w:t>
      </w:r>
      <w:r w:rsidRPr="000E1FDF">
        <w:t>)</w:t>
      </w:r>
      <w:r w:rsidR="0002712E">
        <w:t>.</w:t>
      </w:r>
    </w:p>
    <w:p w:rsidR="009B36ED" w:rsidRDefault="009B36ED" w:rsidP="009B36ED">
      <w:pPr>
        <w:pStyle w:val="SingleTxtG"/>
        <w:rPr>
          <w:b/>
        </w:rPr>
      </w:pPr>
      <w:r>
        <w:rPr>
          <w:b/>
        </w:rPr>
        <w:t>The Committee recommends that t</w:t>
      </w:r>
      <w:r w:rsidRPr="00104EEC">
        <w:rPr>
          <w:b/>
        </w:rPr>
        <w:t xml:space="preserve">he State party take legislative and other measures to introduce a national minimum wage. It </w:t>
      </w:r>
      <w:r>
        <w:rPr>
          <w:b/>
        </w:rPr>
        <w:t xml:space="preserve">also recommends that the State party </w:t>
      </w:r>
      <w:r w:rsidRPr="00104EEC">
        <w:rPr>
          <w:b/>
        </w:rPr>
        <w:t>ensure that the national minimum wage is periodically reviewed and set at a level sufficient to provide all workers and their families with a decent standard of living.</w:t>
      </w:r>
    </w:p>
    <w:p w:rsidR="009B36ED" w:rsidRPr="00971153" w:rsidRDefault="009B36ED" w:rsidP="00A93A2C">
      <w:pPr>
        <w:pStyle w:val="SingleTxtG"/>
        <w:tabs>
          <w:tab w:val="left" w:pos="1701"/>
        </w:tabs>
        <w:ind w:left="1152" w:hanging="6"/>
      </w:pPr>
      <w:r>
        <w:t>12.</w:t>
      </w:r>
      <w:r>
        <w:tab/>
      </w:r>
      <w:r w:rsidRPr="000E1FDF">
        <w:t xml:space="preserve">The Committee </w:t>
      </w:r>
      <w:r>
        <w:t xml:space="preserve">is concerned that the State party has imposed compulsory arbitration through </w:t>
      </w:r>
      <w:r w:rsidRPr="009B36ED">
        <w:rPr>
          <w:rFonts w:eastAsia="SimSun"/>
          <w:lang w:eastAsia="zh-CN"/>
        </w:rPr>
        <w:t>legislative</w:t>
      </w:r>
      <w:r>
        <w:t xml:space="preserve"> intervention into the collective bargaining process for the determination of the terms and </w:t>
      </w:r>
      <w:r w:rsidRPr="00971153">
        <w:t>conditi</w:t>
      </w:r>
      <w:r w:rsidR="00563CF3">
        <w:t>ons of employment of fisherme</w:t>
      </w:r>
      <w:r w:rsidR="00A93A2C">
        <w:t>n (</w:t>
      </w:r>
      <w:r w:rsidRPr="00971153">
        <w:t>art. 8)</w:t>
      </w:r>
      <w:r w:rsidR="00563CF3">
        <w:t>.</w:t>
      </w:r>
    </w:p>
    <w:p w:rsidR="009B36ED" w:rsidRPr="00971153" w:rsidRDefault="009B36ED" w:rsidP="009B36ED">
      <w:pPr>
        <w:pStyle w:val="SingleTxtG"/>
        <w:rPr>
          <w:b/>
        </w:rPr>
      </w:pPr>
      <w:r>
        <w:rPr>
          <w:b/>
        </w:rPr>
        <w:t>The Committee recommends that t</w:t>
      </w:r>
      <w:r w:rsidRPr="00971153">
        <w:rPr>
          <w:b/>
        </w:rPr>
        <w:t xml:space="preserve">he State party take measures to improve the existing procedures for collective bargaining, with the aim to promote free and voluntary collective bargaining and to ensure that compulsory arbitration is avoided. </w:t>
      </w:r>
    </w:p>
    <w:p w:rsidR="009B36ED" w:rsidRPr="000E1FDF" w:rsidRDefault="009B36ED" w:rsidP="009B36ED">
      <w:pPr>
        <w:pStyle w:val="SingleTxtG"/>
        <w:tabs>
          <w:tab w:val="left" w:pos="1701"/>
        </w:tabs>
        <w:ind w:left="1152" w:hanging="6"/>
      </w:pPr>
      <w:r>
        <w:t>13.</w:t>
      </w:r>
      <w:r w:rsidRPr="000E1FDF">
        <w:tab/>
        <w:t xml:space="preserve">The Committee </w:t>
      </w:r>
      <w:r>
        <w:t xml:space="preserve">is concerned that, despite efforts undertaken since the </w:t>
      </w:r>
      <w:r w:rsidR="00DC1F2C">
        <w:t xml:space="preserve">economic and financial </w:t>
      </w:r>
      <w:r>
        <w:t xml:space="preserve">crisis, the social benefits </w:t>
      </w:r>
      <w:r w:rsidRPr="009B36ED">
        <w:rPr>
          <w:rFonts w:eastAsia="SimSun"/>
          <w:lang w:eastAsia="zh-CN"/>
        </w:rPr>
        <w:t>system</w:t>
      </w:r>
      <w:r>
        <w:t xml:space="preserve"> does not provide for levels of benefits sufficient to ensure a decent living for certain groups, in pa</w:t>
      </w:r>
      <w:r w:rsidR="00563CF3">
        <w:t>rticular single-parent families</w:t>
      </w:r>
      <w:r>
        <w:t xml:space="preserve"> </w:t>
      </w:r>
      <w:r w:rsidRPr="000E1FDF">
        <w:t xml:space="preserve">(art. </w:t>
      </w:r>
      <w:r>
        <w:t>9</w:t>
      </w:r>
      <w:r w:rsidRPr="000E1FDF">
        <w:t>)</w:t>
      </w:r>
      <w:r w:rsidR="00563CF3">
        <w:t>.</w:t>
      </w:r>
    </w:p>
    <w:p w:rsidR="009B36ED" w:rsidRDefault="009B36ED" w:rsidP="009B36ED">
      <w:pPr>
        <w:pStyle w:val="SingleTxtG"/>
        <w:tabs>
          <w:tab w:val="left" w:pos="1843"/>
        </w:tabs>
        <w:rPr>
          <w:b/>
        </w:rPr>
      </w:pPr>
      <w:r>
        <w:rPr>
          <w:b/>
        </w:rPr>
        <w:t>The Committee recommends that t</w:t>
      </w:r>
      <w:r w:rsidRPr="00971153">
        <w:rPr>
          <w:b/>
        </w:rPr>
        <w:t>he State party take measures to</w:t>
      </w:r>
      <w:r>
        <w:rPr>
          <w:b/>
        </w:rPr>
        <w:t xml:space="preserve"> ensure that the social benefits system provides for a m</w:t>
      </w:r>
      <w:r w:rsidRPr="00F1260F">
        <w:rPr>
          <w:b/>
        </w:rPr>
        <w:t>inimum essential level of benefits</w:t>
      </w:r>
      <w:r>
        <w:rPr>
          <w:b/>
        </w:rPr>
        <w:t>,</w:t>
      </w:r>
      <w:r w:rsidRPr="00F1260F">
        <w:rPr>
          <w:b/>
        </w:rPr>
        <w:t xml:space="preserve"> ensuring </w:t>
      </w:r>
      <w:r>
        <w:rPr>
          <w:b/>
        </w:rPr>
        <w:t>a decent living</w:t>
      </w:r>
      <w:r w:rsidRPr="00F1260F">
        <w:rPr>
          <w:b/>
        </w:rPr>
        <w:t xml:space="preserve"> for all beneficiaries, including </w:t>
      </w:r>
      <w:r>
        <w:rPr>
          <w:b/>
        </w:rPr>
        <w:t xml:space="preserve">single-parent </w:t>
      </w:r>
      <w:r w:rsidRPr="00F1260F">
        <w:rPr>
          <w:b/>
        </w:rPr>
        <w:t>families. It also</w:t>
      </w:r>
      <w:r>
        <w:rPr>
          <w:b/>
        </w:rPr>
        <w:t xml:space="preserve"> recommends that the State party</w:t>
      </w:r>
      <w:r w:rsidRPr="00F1260F">
        <w:rPr>
          <w:b/>
        </w:rPr>
        <w:t xml:space="preserve"> ensure that levels are monitored regularly and adjusted according to the cost of living. </w:t>
      </w:r>
    </w:p>
    <w:p w:rsidR="003D7D15" w:rsidRPr="003D7D15" w:rsidRDefault="003D7D15" w:rsidP="009B36ED">
      <w:pPr>
        <w:pStyle w:val="SingleTxtG"/>
        <w:tabs>
          <w:tab w:val="left" w:pos="1843"/>
        </w:tabs>
      </w:pPr>
      <w:r>
        <w:t>14.</w:t>
      </w:r>
      <w:r>
        <w:tab/>
      </w:r>
      <w:r w:rsidR="00541087" w:rsidRPr="003D7D15">
        <w:t>The Comm</w:t>
      </w:r>
      <w:r w:rsidRPr="003D7D15">
        <w:t>ittee</w:t>
      </w:r>
      <w:r w:rsidR="00541087" w:rsidRPr="003D7D15">
        <w:t xml:space="preserve"> is concerned tha</w:t>
      </w:r>
      <w:r w:rsidRPr="003D7D15">
        <w:t>t</w:t>
      </w:r>
      <w:r w:rsidR="00541087" w:rsidRPr="003D7D15">
        <w:t xml:space="preserve"> the </w:t>
      </w:r>
      <w:r w:rsidRPr="003D7D15">
        <w:t>enjoyment</w:t>
      </w:r>
      <w:r w:rsidR="00541087" w:rsidRPr="003D7D15">
        <w:t xml:space="preserve"> of unempl</w:t>
      </w:r>
      <w:r w:rsidRPr="003D7D15">
        <w:t>oyment</w:t>
      </w:r>
      <w:r w:rsidR="00541087" w:rsidRPr="003D7D15">
        <w:t xml:space="preserve"> insura</w:t>
      </w:r>
      <w:r w:rsidRPr="003D7D15">
        <w:t>nce according to Act No.</w:t>
      </w:r>
      <w:r w:rsidR="00563CF3">
        <w:t>54/2006 remains too restrictive</w:t>
      </w:r>
      <w:r w:rsidR="006B687C">
        <w:t xml:space="preserve"> (art.</w:t>
      </w:r>
      <w:r w:rsidR="00355527">
        <w:t xml:space="preserve"> </w:t>
      </w:r>
      <w:r w:rsidR="006B687C">
        <w:t>9)</w:t>
      </w:r>
      <w:r w:rsidR="00563CF3">
        <w:t>.</w:t>
      </w:r>
    </w:p>
    <w:p w:rsidR="00541087" w:rsidRDefault="003D7D15" w:rsidP="009B36ED">
      <w:pPr>
        <w:pStyle w:val="SingleTxtG"/>
        <w:tabs>
          <w:tab w:val="left" w:pos="1843"/>
        </w:tabs>
        <w:rPr>
          <w:b/>
        </w:rPr>
      </w:pPr>
      <w:r>
        <w:rPr>
          <w:b/>
        </w:rPr>
        <w:t>The Committee recommends that the State party expand the coverage of unemployment insurance to all unemployed persons, especially the vulnerable and underprivileged groups.</w:t>
      </w:r>
    </w:p>
    <w:p w:rsidR="009B36ED" w:rsidRPr="000E1FDF" w:rsidRDefault="009B36ED" w:rsidP="009B36ED">
      <w:pPr>
        <w:pStyle w:val="SingleTxtG"/>
        <w:tabs>
          <w:tab w:val="left" w:pos="1701"/>
        </w:tabs>
        <w:ind w:left="1152" w:hanging="6"/>
      </w:pPr>
      <w:r>
        <w:t>1</w:t>
      </w:r>
      <w:r w:rsidR="00CC4520">
        <w:t>5</w:t>
      </w:r>
      <w:r w:rsidRPr="000E1FDF">
        <w:t>.</w:t>
      </w:r>
      <w:r w:rsidRPr="000E1FDF">
        <w:tab/>
      </w:r>
      <w:r w:rsidR="00DC1F2C">
        <w:t>T</w:t>
      </w:r>
      <w:r w:rsidRPr="000E1FDF">
        <w:t xml:space="preserve">he Committee </w:t>
      </w:r>
      <w:r>
        <w:t xml:space="preserve">is </w:t>
      </w:r>
      <w:r w:rsidRPr="00FE6D57">
        <w:t xml:space="preserve">concerned that domestic violence is not </w:t>
      </w:r>
      <w:r w:rsidR="00DC1F2C">
        <w:t xml:space="preserve">specifically </w:t>
      </w:r>
      <w:r w:rsidRPr="00FE6D57">
        <w:t>defined as a crime</w:t>
      </w:r>
      <w:r w:rsidR="00DC1F2C">
        <w:t>, despite the explanations given by the State party in paragraph 43 of its replies to the list of issues</w:t>
      </w:r>
      <w:r w:rsidRPr="00FE6D57">
        <w:t xml:space="preserve">. It is concerned </w:t>
      </w:r>
      <w:r>
        <w:t>about</w:t>
      </w:r>
      <w:r w:rsidRPr="00FE6D57">
        <w:t xml:space="preserve"> persisting attitudes and stereotypes leading to violence against women. The Committee is also</w:t>
      </w:r>
      <w:r>
        <w:t xml:space="preserve"> concerned that immigrant women remain insufficiently aware of the amendments to the Act on Foreigners, which states that a family reunification permit may still be extended when a marriage/cohabitatio</w:t>
      </w:r>
      <w:r w:rsidR="00563CF3">
        <w:t>n ends due to domestic violence</w:t>
      </w:r>
      <w:r>
        <w:t xml:space="preserve"> </w:t>
      </w:r>
      <w:r w:rsidRPr="000E1FDF">
        <w:t xml:space="preserve">(art. </w:t>
      </w:r>
      <w:r>
        <w:t>10</w:t>
      </w:r>
      <w:r w:rsidRPr="000E1FDF">
        <w:t>)</w:t>
      </w:r>
      <w:r w:rsidR="00563CF3">
        <w:t>.</w:t>
      </w:r>
    </w:p>
    <w:p w:rsidR="009B36ED" w:rsidRPr="005F6DC8" w:rsidRDefault="009B36ED" w:rsidP="009B36ED">
      <w:pPr>
        <w:pStyle w:val="SingleTxtG"/>
        <w:tabs>
          <w:tab w:val="left" w:pos="1843"/>
        </w:tabs>
        <w:rPr>
          <w:b/>
        </w:rPr>
      </w:pPr>
      <w:r w:rsidRPr="00D90F27">
        <w:rPr>
          <w:b/>
        </w:rPr>
        <w:t xml:space="preserve">The Committee recommends that the State party take steps to </w:t>
      </w:r>
      <w:r w:rsidR="00DC1F2C">
        <w:rPr>
          <w:b/>
        </w:rPr>
        <w:t xml:space="preserve">specifically define </w:t>
      </w:r>
      <w:r w:rsidRPr="00D90F27">
        <w:rPr>
          <w:b/>
        </w:rPr>
        <w:t>domestic violence as a crime</w:t>
      </w:r>
      <w:r w:rsidR="00DC1F2C">
        <w:rPr>
          <w:b/>
        </w:rPr>
        <w:t>, and prefer</w:t>
      </w:r>
      <w:r w:rsidR="00DC1F2C" w:rsidRPr="006C4B4D">
        <w:rPr>
          <w:b/>
        </w:rPr>
        <w:t>ably</w:t>
      </w:r>
      <w:r w:rsidRPr="006C4B4D">
        <w:rPr>
          <w:b/>
        </w:rPr>
        <w:t xml:space="preserve"> in the Penal Code. The Committee recommends that the State party continue its effort</w:t>
      </w:r>
      <w:r w:rsidR="00F66640" w:rsidRPr="006C4B4D">
        <w:rPr>
          <w:b/>
        </w:rPr>
        <w:t>s</w:t>
      </w:r>
      <w:r w:rsidRPr="006C4B4D">
        <w:rPr>
          <w:b/>
        </w:rPr>
        <w:t xml:space="preserve"> to c</w:t>
      </w:r>
      <w:r>
        <w:rPr>
          <w:b/>
        </w:rPr>
        <w:t xml:space="preserve">onduct </w:t>
      </w:r>
      <w:r w:rsidRPr="005F6DC8">
        <w:rPr>
          <w:b/>
        </w:rPr>
        <w:t>national public information campaigns and stimulate broader publ</w:t>
      </w:r>
      <w:r w:rsidRPr="00007FFC">
        <w:rPr>
          <w:b/>
        </w:rPr>
        <w:t>ic discussion with the aim to</w:t>
      </w:r>
      <w:r w:rsidRPr="005F6DC8">
        <w:rPr>
          <w:b/>
        </w:rPr>
        <w:t xml:space="preserve"> address attitudes and stereotypes leading to violence against women. </w:t>
      </w:r>
      <w:r>
        <w:rPr>
          <w:b/>
        </w:rPr>
        <w:t xml:space="preserve">It also recommends that the State party intensify its efforts </w:t>
      </w:r>
      <w:r w:rsidRPr="005F6DC8">
        <w:rPr>
          <w:b/>
        </w:rPr>
        <w:t xml:space="preserve">to reach out to immigrant women </w:t>
      </w:r>
      <w:r>
        <w:rPr>
          <w:b/>
        </w:rPr>
        <w:t>to</w:t>
      </w:r>
      <w:r w:rsidRPr="005F6DC8">
        <w:rPr>
          <w:b/>
        </w:rPr>
        <w:t xml:space="preserve"> inform them of their rights in the context of domestic violence.</w:t>
      </w:r>
    </w:p>
    <w:p w:rsidR="009B36ED" w:rsidRPr="000E1FDF" w:rsidRDefault="009B36ED" w:rsidP="009B36ED">
      <w:pPr>
        <w:pStyle w:val="SingleTxtG"/>
        <w:tabs>
          <w:tab w:val="left" w:pos="1701"/>
        </w:tabs>
        <w:ind w:left="1152" w:hanging="6"/>
      </w:pPr>
      <w:r>
        <w:t>1</w:t>
      </w:r>
      <w:r w:rsidR="00CC4520">
        <w:t>6</w:t>
      </w:r>
      <w:r>
        <w:t>.</w:t>
      </w:r>
      <w:r w:rsidRPr="000E1FDF">
        <w:tab/>
        <w:t xml:space="preserve">The </w:t>
      </w:r>
      <w:r w:rsidRPr="009B36ED">
        <w:rPr>
          <w:rFonts w:eastAsia="SimSun"/>
          <w:lang w:eastAsia="zh-CN"/>
        </w:rPr>
        <w:t>Committee</w:t>
      </w:r>
      <w:r w:rsidRPr="000E1FDF">
        <w:t xml:space="preserve"> </w:t>
      </w:r>
      <w:r>
        <w:t>is concerned that</w:t>
      </w:r>
      <w:r w:rsidR="004A5C8A">
        <w:t>, despite the State party’s efforts to combat poverty,</w:t>
      </w:r>
      <w:r>
        <w:t xml:space="preserve"> the financial and economic crisis since 2008 has led to an increase in the rate of persons that live below the low-income threshold, in particular families with children and single parent families. </w:t>
      </w:r>
      <w:r w:rsidR="00041B21">
        <w:t xml:space="preserve">The Committee is also concerned that persons with disabilities face difficulties in realizing their right to an adequate standard of living, in particular access to adequate food </w:t>
      </w:r>
      <w:r w:rsidRPr="000E1FDF">
        <w:t xml:space="preserve">(art. </w:t>
      </w:r>
      <w:r>
        <w:t>11</w:t>
      </w:r>
      <w:r w:rsidRPr="000E1FDF">
        <w:t>)</w:t>
      </w:r>
      <w:r w:rsidR="006D505D">
        <w:t>.</w:t>
      </w:r>
    </w:p>
    <w:p w:rsidR="009B36ED" w:rsidRPr="00894B3C" w:rsidRDefault="009B36ED" w:rsidP="00007FFC">
      <w:pPr>
        <w:pStyle w:val="SingleTxtG"/>
        <w:tabs>
          <w:tab w:val="left" w:pos="1843"/>
        </w:tabs>
        <w:rPr>
          <w:b/>
        </w:rPr>
      </w:pPr>
      <w:r>
        <w:rPr>
          <w:b/>
        </w:rPr>
        <w:t>The Committee recommends that t</w:t>
      </w:r>
      <w:r w:rsidRPr="00971153">
        <w:rPr>
          <w:b/>
        </w:rPr>
        <w:t xml:space="preserve">he State party </w:t>
      </w:r>
      <w:r w:rsidRPr="00894B3C">
        <w:rPr>
          <w:b/>
        </w:rPr>
        <w:t>strengthen its efforts to combat poverty and social exclusion, in particular of families with children</w:t>
      </w:r>
      <w:r w:rsidR="00041B21">
        <w:rPr>
          <w:b/>
        </w:rPr>
        <w:t>,</w:t>
      </w:r>
      <w:r>
        <w:rPr>
          <w:b/>
        </w:rPr>
        <w:t xml:space="preserve"> </w:t>
      </w:r>
      <w:r w:rsidRPr="00894B3C">
        <w:rPr>
          <w:b/>
        </w:rPr>
        <w:t>single parent families</w:t>
      </w:r>
      <w:r w:rsidR="00041B21">
        <w:rPr>
          <w:b/>
        </w:rPr>
        <w:t>, and persons with disabilities</w:t>
      </w:r>
      <w:r w:rsidRPr="00894B3C">
        <w:rPr>
          <w:b/>
        </w:rPr>
        <w:t xml:space="preserve">. The Committee draws the attention of the State party to its statement on poverty and </w:t>
      </w:r>
      <w:r w:rsidR="00A93A2C">
        <w:rPr>
          <w:b/>
        </w:rPr>
        <w:t>t</w:t>
      </w:r>
      <w:r w:rsidR="006D505D" w:rsidRPr="003E373C">
        <w:rPr>
          <w:b/>
          <w:lang w:val="en-US" w:eastAsia="zh-CN"/>
        </w:rPr>
        <w:t xml:space="preserve">he International Covenant on Economic, Social and Cultural </w:t>
      </w:r>
      <w:r w:rsidR="006D505D" w:rsidRPr="006D505D">
        <w:rPr>
          <w:b/>
          <w:lang w:val="en-US" w:eastAsia="zh-CN"/>
        </w:rPr>
        <w:t>Rights</w:t>
      </w:r>
      <w:r w:rsidR="00007FFC">
        <w:rPr>
          <w:b/>
          <w:lang w:val="en-US" w:eastAsia="zh-CN"/>
        </w:rPr>
        <w:t>,</w:t>
      </w:r>
      <w:r w:rsidRPr="006D505D">
        <w:rPr>
          <w:b/>
        </w:rPr>
        <w:t xml:space="preserve"> and r</w:t>
      </w:r>
      <w:r w:rsidRPr="00894B3C">
        <w:rPr>
          <w:b/>
        </w:rPr>
        <w:t>eminds the State party of its obligation, even under severe resource constraints, to protect vulnerable groups of society, as stated in parag</w:t>
      </w:r>
      <w:r>
        <w:rPr>
          <w:b/>
        </w:rPr>
        <w:t xml:space="preserve">raph 12 of </w:t>
      </w:r>
      <w:r w:rsidR="006D505D">
        <w:rPr>
          <w:b/>
        </w:rPr>
        <w:t xml:space="preserve">its general comment </w:t>
      </w:r>
      <w:r>
        <w:rPr>
          <w:b/>
        </w:rPr>
        <w:t>N</w:t>
      </w:r>
      <w:r w:rsidRPr="00894B3C">
        <w:rPr>
          <w:b/>
        </w:rPr>
        <w:t>o.3</w:t>
      </w:r>
      <w:r>
        <w:rPr>
          <w:b/>
        </w:rPr>
        <w:t xml:space="preserve"> (1990) on t</w:t>
      </w:r>
      <w:r w:rsidRPr="00894B3C">
        <w:rPr>
          <w:b/>
        </w:rPr>
        <w:t xml:space="preserve">he nature of States parties' obligations. </w:t>
      </w:r>
    </w:p>
    <w:p w:rsidR="009B36ED" w:rsidRDefault="009B36ED" w:rsidP="006D505D">
      <w:pPr>
        <w:pStyle w:val="SingleTxtG"/>
        <w:tabs>
          <w:tab w:val="left" w:pos="1701"/>
        </w:tabs>
        <w:ind w:left="1152" w:hanging="6"/>
      </w:pPr>
      <w:r>
        <w:t>1</w:t>
      </w:r>
      <w:r w:rsidR="00CC4520">
        <w:t>7</w:t>
      </w:r>
      <w:r>
        <w:t>.</w:t>
      </w:r>
      <w:r w:rsidRPr="000E1FDF">
        <w:tab/>
        <w:t xml:space="preserve">The Committee </w:t>
      </w:r>
      <w:r>
        <w:t xml:space="preserve">is concerned that the extensive cuts to the health sector budget since 2008 have </w:t>
      </w:r>
      <w:r w:rsidRPr="009B36ED">
        <w:rPr>
          <w:rFonts w:eastAsia="SimSun"/>
          <w:lang w:eastAsia="zh-CN"/>
        </w:rPr>
        <w:t>resulted</w:t>
      </w:r>
      <w:r>
        <w:t xml:space="preserve"> in a reduction of the quality and availability of public health</w:t>
      </w:r>
      <w:r w:rsidR="006D505D">
        <w:t>-</w:t>
      </w:r>
      <w:r>
        <w:t xml:space="preserve">care services, including the closure of facilities and reduction in the number of personnel. The Committee is also concerned that there are financial constraints for families with children with </w:t>
      </w:r>
      <w:r w:rsidRPr="009B36ED">
        <w:rPr>
          <w:rFonts w:eastAsia="SimSun"/>
          <w:lang w:eastAsia="zh-CN"/>
        </w:rPr>
        <w:t>disabilities</w:t>
      </w:r>
      <w:r>
        <w:t xml:space="preserve"> in accessing required health</w:t>
      </w:r>
      <w:r w:rsidR="006D505D">
        <w:t>-</w:t>
      </w:r>
      <w:r>
        <w:t>care services, such as dentists or speech therapists, as well as language barriers for immigrants in accessing health</w:t>
      </w:r>
      <w:r w:rsidR="00563CF3">
        <w:t xml:space="preserve"> care</w:t>
      </w:r>
      <w:r>
        <w:t xml:space="preserve"> </w:t>
      </w:r>
      <w:r w:rsidRPr="000E1FDF">
        <w:t xml:space="preserve">(art. </w:t>
      </w:r>
      <w:r>
        <w:t>12</w:t>
      </w:r>
      <w:r w:rsidRPr="000E1FDF">
        <w:t>)</w:t>
      </w:r>
      <w:r w:rsidR="00563CF3">
        <w:t>.</w:t>
      </w:r>
    </w:p>
    <w:p w:rsidR="009B36ED" w:rsidRDefault="009B36ED" w:rsidP="00640C4D">
      <w:pPr>
        <w:pStyle w:val="SingleTxtG"/>
        <w:rPr>
          <w:b/>
        </w:rPr>
      </w:pPr>
      <w:r>
        <w:rPr>
          <w:b/>
        </w:rPr>
        <w:t>The Committee recommends that t</w:t>
      </w:r>
      <w:r w:rsidRPr="00B432CF">
        <w:rPr>
          <w:b/>
        </w:rPr>
        <w:t xml:space="preserve">he State party </w:t>
      </w:r>
      <w:r w:rsidRPr="00FA187F">
        <w:rPr>
          <w:b/>
        </w:rPr>
        <w:t>take steps to address the negative impact of the financial crisis on the health sector, including through increasing its public health</w:t>
      </w:r>
      <w:r w:rsidR="006D505D">
        <w:rPr>
          <w:b/>
        </w:rPr>
        <w:t>-</w:t>
      </w:r>
      <w:r w:rsidRPr="00FA187F">
        <w:rPr>
          <w:b/>
        </w:rPr>
        <w:t>care budget.</w:t>
      </w:r>
      <w:r w:rsidRPr="00B432CF">
        <w:rPr>
          <w:b/>
        </w:rPr>
        <w:t xml:space="preserve"> </w:t>
      </w:r>
      <w:r>
        <w:rPr>
          <w:b/>
        </w:rPr>
        <w:t>It also recommends that the State party take steps to ensure that required health</w:t>
      </w:r>
      <w:r w:rsidR="006D505D">
        <w:rPr>
          <w:b/>
        </w:rPr>
        <w:t>-</w:t>
      </w:r>
      <w:r>
        <w:rPr>
          <w:b/>
        </w:rPr>
        <w:t>care services are fully accessible for all, including for immigrants and children with disabilities. In this respect, t</w:t>
      </w:r>
      <w:r w:rsidRPr="00847B24">
        <w:rPr>
          <w:b/>
        </w:rPr>
        <w:t xml:space="preserve">he </w:t>
      </w:r>
      <w:r>
        <w:rPr>
          <w:b/>
        </w:rPr>
        <w:t>C</w:t>
      </w:r>
      <w:r w:rsidRPr="00847B24">
        <w:rPr>
          <w:b/>
        </w:rPr>
        <w:t xml:space="preserve">ommittee draws the attention of the </w:t>
      </w:r>
      <w:r>
        <w:rPr>
          <w:b/>
        </w:rPr>
        <w:t>S</w:t>
      </w:r>
      <w:r w:rsidRPr="00847B24">
        <w:rPr>
          <w:b/>
        </w:rPr>
        <w:t xml:space="preserve">tate party to its </w:t>
      </w:r>
      <w:r w:rsidR="006D505D">
        <w:rPr>
          <w:b/>
        </w:rPr>
        <w:t xml:space="preserve">general </w:t>
      </w:r>
      <w:r w:rsidR="00640C4D">
        <w:rPr>
          <w:b/>
        </w:rPr>
        <w:t>c</w:t>
      </w:r>
      <w:r w:rsidRPr="00847B24">
        <w:rPr>
          <w:b/>
        </w:rPr>
        <w:t xml:space="preserve">omment </w:t>
      </w:r>
      <w:r>
        <w:rPr>
          <w:b/>
        </w:rPr>
        <w:t>N</w:t>
      </w:r>
      <w:r w:rsidRPr="00847B24">
        <w:rPr>
          <w:b/>
        </w:rPr>
        <w:t>o.14 (2000) on the right to the highest attainable standard of health</w:t>
      </w:r>
      <w:r>
        <w:rPr>
          <w:b/>
        </w:rPr>
        <w:t>.</w:t>
      </w:r>
    </w:p>
    <w:p w:rsidR="009B36ED" w:rsidRDefault="009B36ED" w:rsidP="009B36ED">
      <w:pPr>
        <w:pStyle w:val="SingleTxtG"/>
        <w:tabs>
          <w:tab w:val="left" w:pos="1701"/>
        </w:tabs>
        <w:ind w:left="1152" w:hanging="6"/>
      </w:pPr>
      <w:r>
        <w:t>1</w:t>
      </w:r>
      <w:r w:rsidR="00CC4520">
        <w:t>8</w:t>
      </w:r>
      <w:r>
        <w:t>.</w:t>
      </w:r>
      <w:r w:rsidRPr="000E1FDF">
        <w:tab/>
        <w:t xml:space="preserve">The Committee </w:t>
      </w:r>
      <w:r>
        <w:t xml:space="preserve">is concerned that the extensive budget </w:t>
      </w:r>
      <w:r w:rsidRPr="003C65C0">
        <w:t xml:space="preserve">cuts to the educational sector since 2008 have led to a reduction in staffing, merging of class groups and cancellation of courses, </w:t>
      </w:r>
      <w:r w:rsidRPr="009B36ED">
        <w:rPr>
          <w:rFonts w:eastAsia="SimSun"/>
          <w:lang w:eastAsia="zh-CN"/>
        </w:rPr>
        <w:t>particularly</w:t>
      </w:r>
      <w:r w:rsidRPr="003C65C0">
        <w:t xml:space="preserve"> affecting children with special needs. It </w:t>
      </w:r>
      <w:r>
        <w:t xml:space="preserve">remains </w:t>
      </w:r>
      <w:r w:rsidRPr="003C65C0">
        <w:t>concerned about the high dropout rate in upper secondary education</w:t>
      </w:r>
      <w:r>
        <w:t>, in particular</w:t>
      </w:r>
      <w:r w:rsidRPr="003C65C0">
        <w:t xml:space="preserve"> of studen</w:t>
      </w:r>
      <w:r w:rsidR="00563CF3">
        <w:t>ts with an immigrant background</w:t>
      </w:r>
      <w:r w:rsidRPr="003C65C0">
        <w:t xml:space="preserve"> (art</w:t>
      </w:r>
      <w:r w:rsidR="006D505D">
        <w:t>.</w:t>
      </w:r>
      <w:r w:rsidR="00355527">
        <w:t xml:space="preserve"> </w:t>
      </w:r>
      <w:r w:rsidRPr="003C65C0">
        <w:t>13)</w:t>
      </w:r>
      <w:r w:rsidR="00563CF3">
        <w:t>.</w:t>
      </w:r>
    </w:p>
    <w:p w:rsidR="009B36ED" w:rsidRDefault="009B36ED" w:rsidP="00F66640">
      <w:pPr>
        <w:pStyle w:val="SingleTxtG"/>
        <w:tabs>
          <w:tab w:val="left" w:pos="1843"/>
        </w:tabs>
        <w:rPr>
          <w:b/>
        </w:rPr>
      </w:pPr>
      <w:r>
        <w:rPr>
          <w:b/>
        </w:rPr>
        <w:t xml:space="preserve">The Committee recommends that the </w:t>
      </w:r>
      <w:r w:rsidRPr="00B432CF">
        <w:rPr>
          <w:b/>
        </w:rPr>
        <w:t xml:space="preserve">State party </w:t>
      </w:r>
      <w:r w:rsidRPr="00FA187F">
        <w:rPr>
          <w:b/>
        </w:rPr>
        <w:t>take steps</w:t>
      </w:r>
      <w:r>
        <w:rPr>
          <w:b/>
        </w:rPr>
        <w:t xml:space="preserve"> to increase the budget for the public education syste</w:t>
      </w:r>
      <w:r w:rsidRPr="00F66640">
        <w:rPr>
          <w:b/>
        </w:rPr>
        <w:t>m for all education levels, in particular primary and lower secondary education, and to remedy the recent staff reductions, merging of class groups and cancellation of co</w:t>
      </w:r>
      <w:r>
        <w:rPr>
          <w:b/>
        </w:rPr>
        <w:t xml:space="preserve">urses. </w:t>
      </w:r>
      <w:r w:rsidRPr="003C65C0">
        <w:rPr>
          <w:b/>
        </w:rPr>
        <w:t>It</w:t>
      </w:r>
      <w:r>
        <w:rPr>
          <w:b/>
        </w:rPr>
        <w:t xml:space="preserve"> recommends that the State party continue to </w:t>
      </w:r>
      <w:r w:rsidRPr="003C65C0">
        <w:rPr>
          <w:b/>
        </w:rPr>
        <w:t xml:space="preserve">take measures to improve facilities in the school system </w:t>
      </w:r>
      <w:r>
        <w:rPr>
          <w:b/>
        </w:rPr>
        <w:t xml:space="preserve">for children with special needs, in particular in the upper secondary level. The Committee also recommends that the State party intensify its efforts to address the high </w:t>
      </w:r>
      <w:r w:rsidR="006D505D">
        <w:rPr>
          <w:b/>
        </w:rPr>
        <w:t>dropout</w:t>
      </w:r>
      <w:r>
        <w:rPr>
          <w:b/>
        </w:rPr>
        <w:t xml:space="preserve"> rate in upper secondary education of students with an immigrant background. The Committee draws the attention of the State party to its </w:t>
      </w:r>
      <w:r w:rsidR="006D505D">
        <w:rPr>
          <w:b/>
        </w:rPr>
        <w:t xml:space="preserve">general comment </w:t>
      </w:r>
      <w:r>
        <w:rPr>
          <w:b/>
        </w:rPr>
        <w:t>No.13 (1999) on the right to education.</w:t>
      </w:r>
    </w:p>
    <w:p w:rsidR="009B36ED" w:rsidRPr="003C0161" w:rsidRDefault="009B36ED" w:rsidP="00355527">
      <w:pPr>
        <w:pStyle w:val="SingleTxtG"/>
        <w:tabs>
          <w:tab w:val="left" w:pos="1701"/>
        </w:tabs>
        <w:ind w:left="1152" w:hanging="6"/>
        <w:rPr>
          <w:rFonts w:eastAsia="SimSun"/>
          <w:lang w:eastAsia="zh-CN"/>
        </w:rPr>
      </w:pPr>
      <w:r w:rsidRPr="00B629F4">
        <w:t>1</w:t>
      </w:r>
      <w:r w:rsidR="00CC4520">
        <w:t>9</w:t>
      </w:r>
      <w:r w:rsidRPr="00B629F4">
        <w:t>.</w:t>
      </w:r>
      <w:r w:rsidRPr="00B629F4">
        <w:tab/>
      </w:r>
      <w:r w:rsidR="00847323">
        <w:rPr>
          <w:b/>
        </w:rPr>
        <w:t>The Committee recommends that t</w:t>
      </w:r>
      <w:r w:rsidRPr="00B629F4">
        <w:rPr>
          <w:b/>
        </w:rPr>
        <w:t>he State party take steps to ensure that all disadvantaged and marginalized groups and individuals, including persons with disabilities</w:t>
      </w:r>
      <w:r>
        <w:rPr>
          <w:b/>
        </w:rPr>
        <w:t>,</w:t>
      </w:r>
      <w:r w:rsidRPr="00B629F4">
        <w:rPr>
          <w:b/>
        </w:rPr>
        <w:t xml:space="preserve"> </w:t>
      </w:r>
      <w:r>
        <w:rPr>
          <w:b/>
        </w:rPr>
        <w:t xml:space="preserve">as well as children from low-income families and migrant children, and older persons </w:t>
      </w:r>
      <w:r w:rsidRPr="00B629F4">
        <w:rPr>
          <w:b/>
        </w:rPr>
        <w:t>can fully enjoy their right to take part in cultural life.</w:t>
      </w:r>
      <w:r>
        <w:rPr>
          <w:b/>
        </w:rPr>
        <w:t xml:space="preserve"> </w:t>
      </w:r>
      <w:r w:rsidR="00EE369A">
        <w:rPr>
          <w:b/>
        </w:rPr>
        <w:t xml:space="preserve">It recommends that this also include steps to ensure access to cultural events </w:t>
      </w:r>
      <w:r w:rsidR="005C2AB9">
        <w:rPr>
          <w:b/>
        </w:rPr>
        <w:t>for</w:t>
      </w:r>
      <w:r w:rsidR="00EE369A">
        <w:rPr>
          <w:b/>
        </w:rPr>
        <w:t xml:space="preserve"> persons with disabilities through sufficient and timely availability of their transport facilities. The Committee </w:t>
      </w:r>
      <w:r w:rsidR="005C2AB9">
        <w:rPr>
          <w:b/>
        </w:rPr>
        <w:t>requests t</w:t>
      </w:r>
      <w:r w:rsidR="00EE369A">
        <w:rPr>
          <w:b/>
        </w:rPr>
        <w:t>hat the State party include in its next periodic report information on measures taken to guarantee the right of everyone to enjoy the benefits of scientific progress and its applications, in conformity with art</w:t>
      </w:r>
      <w:r w:rsidR="00355527">
        <w:rPr>
          <w:b/>
        </w:rPr>
        <w:t xml:space="preserve">icle </w:t>
      </w:r>
      <w:r w:rsidR="00EE369A">
        <w:rPr>
          <w:b/>
        </w:rPr>
        <w:t xml:space="preserve">15, </w:t>
      </w:r>
      <w:r w:rsidR="006D505D">
        <w:rPr>
          <w:b/>
        </w:rPr>
        <w:t xml:space="preserve">paragraph </w:t>
      </w:r>
      <w:r w:rsidR="00EE369A">
        <w:rPr>
          <w:b/>
        </w:rPr>
        <w:t>1</w:t>
      </w:r>
      <w:r w:rsidR="006D505D">
        <w:rPr>
          <w:b/>
        </w:rPr>
        <w:t xml:space="preserve"> (b)</w:t>
      </w:r>
      <w:r w:rsidR="00EE369A">
        <w:rPr>
          <w:b/>
        </w:rPr>
        <w:t xml:space="preserve"> of the Covenant.</w:t>
      </w:r>
    </w:p>
    <w:p w:rsidR="009B36ED" w:rsidRDefault="00CC4520" w:rsidP="009B36ED">
      <w:pPr>
        <w:pStyle w:val="SingleTxtG"/>
        <w:tabs>
          <w:tab w:val="left" w:pos="1701"/>
        </w:tabs>
        <w:ind w:left="1152" w:hanging="6"/>
        <w:rPr>
          <w:b/>
          <w:lang w:val="en-US"/>
        </w:rPr>
      </w:pPr>
      <w:r>
        <w:rPr>
          <w:rFonts w:eastAsia="SimSun"/>
          <w:lang w:eastAsia="zh-CN"/>
        </w:rPr>
        <w:t>20</w:t>
      </w:r>
      <w:r w:rsidR="009B36ED" w:rsidRPr="003C0161">
        <w:rPr>
          <w:rFonts w:eastAsia="SimSun"/>
          <w:lang w:eastAsia="zh-CN"/>
        </w:rPr>
        <w:t>.</w:t>
      </w:r>
      <w:r w:rsidR="009B36ED" w:rsidRPr="003C0161">
        <w:rPr>
          <w:rFonts w:eastAsia="SimSun"/>
          <w:lang w:eastAsia="zh-CN"/>
        </w:rPr>
        <w:tab/>
      </w:r>
      <w:r w:rsidR="009B36ED" w:rsidRPr="003C0161">
        <w:rPr>
          <w:rFonts w:eastAsia="SimSun"/>
          <w:b/>
        </w:rPr>
        <w:t>The</w:t>
      </w:r>
      <w:r w:rsidR="009B36ED" w:rsidRPr="003C0161">
        <w:rPr>
          <w:rFonts w:eastAsia="SimSun"/>
          <w:b/>
          <w:lang w:eastAsia="zh-CN"/>
        </w:rPr>
        <w:t xml:space="preserve"> </w:t>
      </w:r>
      <w:r w:rsidR="009B36ED" w:rsidRPr="003C0161">
        <w:rPr>
          <w:b/>
          <w:lang w:val="en-US"/>
        </w:rPr>
        <w:t>Committee</w:t>
      </w:r>
      <w:r w:rsidR="009B36ED" w:rsidRPr="003C0161">
        <w:rPr>
          <w:rFonts w:eastAsia="SimSun"/>
          <w:b/>
          <w:lang w:eastAsia="zh-CN"/>
        </w:rPr>
        <w:t xml:space="preserve"> encourages the State party to consider signing and ratifying the Optional </w:t>
      </w:r>
      <w:r w:rsidR="009B36ED" w:rsidRPr="0049279C">
        <w:rPr>
          <w:rFonts w:eastAsia="SimSun"/>
          <w:b/>
          <w:lang w:eastAsia="zh-CN"/>
        </w:rPr>
        <w:t>Protocol</w:t>
      </w:r>
      <w:r w:rsidR="009B36ED" w:rsidRPr="003C0161">
        <w:rPr>
          <w:rFonts w:eastAsia="SimSun"/>
          <w:b/>
          <w:lang w:eastAsia="zh-CN"/>
        </w:rPr>
        <w:t xml:space="preserve"> to the International Covenant on Economic, Social and Cultural Rights</w:t>
      </w:r>
      <w:r w:rsidR="009B36ED" w:rsidRPr="003C0161">
        <w:rPr>
          <w:b/>
          <w:lang w:val="en-US"/>
        </w:rPr>
        <w:t>.</w:t>
      </w:r>
    </w:p>
    <w:p w:rsidR="00A64109" w:rsidRPr="006B687C" w:rsidRDefault="005C2AB9" w:rsidP="00744B88">
      <w:pPr>
        <w:pStyle w:val="SingleTxtG"/>
        <w:tabs>
          <w:tab w:val="left" w:pos="1701"/>
        </w:tabs>
        <w:rPr>
          <w:rFonts w:eastAsia="SimSun"/>
          <w:b/>
          <w:lang w:eastAsia="zh-CN"/>
        </w:rPr>
      </w:pPr>
      <w:r w:rsidRPr="00A64109">
        <w:rPr>
          <w:rFonts w:eastAsia="SimSun"/>
          <w:lang w:eastAsia="zh-CN"/>
        </w:rPr>
        <w:t>2</w:t>
      </w:r>
      <w:r w:rsidR="006B687C">
        <w:rPr>
          <w:rFonts w:eastAsia="SimSun"/>
          <w:lang w:eastAsia="zh-CN"/>
        </w:rPr>
        <w:t>1</w:t>
      </w:r>
      <w:r w:rsidRPr="00A64109">
        <w:rPr>
          <w:rFonts w:eastAsia="SimSun"/>
          <w:lang w:eastAsia="zh-CN"/>
        </w:rPr>
        <w:t>.</w:t>
      </w:r>
      <w:r w:rsidRPr="00A64109">
        <w:rPr>
          <w:rFonts w:eastAsia="SimSun"/>
          <w:lang w:eastAsia="zh-CN"/>
        </w:rPr>
        <w:tab/>
      </w:r>
      <w:r w:rsidRPr="006B687C">
        <w:rPr>
          <w:rFonts w:eastAsia="SimSun"/>
          <w:b/>
          <w:lang w:eastAsia="zh-CN"/>
        </w:rPr>
        <w:t>The Committee encourages the State party to ratify the Convention on the Rights of Persons with Disabilities</w:t>
      </w:r>
      <w:r w:rsidR="00A64109" w:rsidRPr="006B687C">
        <w:rPr>
          <w:rFonts w:eastAsia="SimSun"/>
          <w:b/>
          <w:lang w:eastAsia="zh-CN"/>
        </w:rPr>
        <w:t xml:space="preserve"> and the International Convention for the Protection of All Persons from Enforced Disappearance, as well as to consider signing and ratifying the International Convention on the Protection of the Rights of All Migrant Workers and Members of Their Famil</w:t>
      </w:r>
      <w:r w:rsidR="00CC4520" w:rsidRPr="006B687C">
        <w:rPr>
          <w:rFonts w:eastAsia="SimSun"/>
          <w:b/>
          <w:lang w:eastAsia="zh-CN"/>
        </w:rPr>
        <w:t>ies.</w:t>
      </w:r>
    </w:p>
    <w:p w:rsidR="009B36ED" w:rsidRPr="003C0161" w:rsidRDefault="009B36ED" w:rsidP="009B36ED">
      <w:pPr>
        <w:pStyle w:val="SingleTxtG"/>
        <w:tabs>
          <w:tab w:val="left" w:pos="1701"/>
        </w:tabs>
        <w:ind w:left="1152" w:hanging="6"/>
        <w:rPr>
          <w:rFonts w:eastAsia="SimSun"/>
          <w:b/>
          <w:lang w:eastAsia="zh-CN"/>
        </w:rPr>
      </w:pPr>
      <w:r>
        <w:rPr>
          <w:rFonts w:eastAsia="SimSun"/>
          <w:lang w:eastAsia="zh-CN"/>
        </w:rPr>
        <w:t>2</w:t>
      </w:r>
      <w:r w:rsidR="006B687C">
        <w:rPr>
          <w:rFonts w:eastAsia="SimSun"/>
          <w:lang w:eastAsia="zh-CN"/>
        </w:rPr>
        <w:t>2</w:t>
      </w:r>
      <w:r w:rsidRPr="003C0161">
        <w:rPr>
          <w:rFonts w:eastAsia="SimSun"/>
          <w:lang w:eastAsia="zh-CN"/>
        </w:rPr>
        <w:t>.</w:t>
      </w:r>
      <w:r w:rsidRPr="003C0161">
        <w:rPr>
          <w:rFonts w:eastAsia="SimSun"/>
          <w:lang w:eastAsia="zh-CN"/>
        </w:rPr>
        <w:tab/>
      </w:r>
      <w:r w:rsidRPr="003C0161">
        <w:rPr>
          <w:rFonts w:eastAsia="SimSun"/>
          <w:b/>
          <w:lang w:eastAsia="zh-CN"/>
        </w:rPr>
        <w:t xml:space="preserve">The Committee requests the State party to disseminate the present concluding observations widely among all levels of society, in particular among State officials, the judiciary and civil society organizations, translate and publicize them as far as possible and inform the Committee of the steps taken to implement them in its next periodic report. It also encourages the State party to engage all the relevant actors, including non-governmental organizations and other members of civil society, in the process of discussion at the national level prior to the submission of its next periodic report. </w:t>
      </w:r>
    </w:p>
    <w:p w:rsidR="00C63B6E" w:rsidRPr="003C2FF4" w:rsidRDefault="009B36ED" w:rsidP="009B36ED">
      <w:pPr>
        <w:pStyle w:val="SingleTxtG"/>
        <w:tabs>
          <w:tab w:val="left" w:pos="1701"/>
        </w:tabs>
        <w:ind w:left="1152" w:hanging="6"/>
      </w:pPr>
      <w:r w:rsidRPr="008506A2">
        <w:rPr>
          <w:rFonts w:eastAsia="SimSun"/>
          <w:lang w:eastAsia="zh-CN"/>
        </w:rPr>
        <w:t>2</w:t>
      </w:r>
      <w:r w:rsidR="006B687C" w:rsidRPr="001D0499">
        <w:rPr>
          <w:rFonts w:eastAsia="SimSun"/>
          <w:lang w:eastAsia="zh-CN"/>
        </w:rPr>
        <w:t>3</w:t>
      </w:r>
      <w:r w:rsidRPr="003C0161">
        <w:rPr>
          <w:rFonts w:eastAsia="SimSun"/>
          <w:lang w:eastAsia="zh-CN"/>
        </w:rPr>
        <w:t>.</w:t>
      </w:r>
      <w:r w:rsidRPr="003C0161">
        <w:rPr>
          <w:rFonts w:eastAsia="SimSun"/>
          <w:lang w:eastAsia="zh-CN"/>
        </w:rPr>
        <w:tab/>
      </w:r>
      <w:r w:rsidRPr="003C0161">
        <w:rPr>
          <w:rFonts w:eastAsia="SimSun"/>
          <w:b/>
          <w:lang w:eastAsia="zh-CN"/>
        </w:rPr>
        <w:t xml:space="preserve">The Committee requests the State party to submit its fifth periodic report, </w:t>
      </w:r>
      <w:r w:rsidRPr="009B36ED">
        <w:rPr>
          <w:rFonts w:eastAsia="SimSun"/>
          <w:lang w:eastAsia="zh-CN"/>
        </w:rPr>
        <w:t>prepared</w:t>
      </w:r>
      <w:r w:rsidRPr="003C0161">
        <w:rPr>
          <w:rFonts w:eastAsia="SimSun"/>
          <w:b/>
          <w:lang w:eastAsia="zh-CN"/>
        </w:rPr>
        <w:t xml:space="preserve"> in accordance with the revised reporting guidelines of the Committee, adopted in 2008 (E/C.12/2008/2), by 30 November 2017</w:t>
      </w:r>
      <w:r w:rsidR="00CC4520">
        <w:rPr>
          <w:rFonts w:eastAsia="SimSun"/>
          <w:b/>
          <w:lang w:eastAsia="zh-CN"/>
        </w:rPr>
        <w:t>.</w:t>
      </w:r>
    </w:p>
    <w:p w:rsidR="001C6663" w:rsidRPr="007D662E" w:rsidRDefault="007D662E" w:rsidP="007D662E">
      <w:pPr>
        <w:spacing w:before="240"/>
        <w:ind w:left="1134" w:right="1134"/>
        <w:jc w:val="center"/>
        <w:rPr>
          <w:u w:val="single"/>
        </w:rPr>
      </w:pPr>
      <w:r>
        <w:rPr>
          <w:u w:val="single"/>
        </w:rPr>
        <w:tab/>
      </w:r>
      <w:r>
        <w:rPr>
          <w:u w:val="single"/>
        </w:rPr>
        <w:tab/>
      </w:r>
      <w:r>
        <w:rPr>
          <w:u w:val="single"/>
        </w:rPr>
        <w:tab/>
      </w:r>
    </w:p>
    <w:sectPr w:rsidR="001C6663" w:rsidRPr="007D662E" w:rsidSect="00C63B6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29" w:rsidRDefault="00CB4029"/>
  </w:endnote>
  <w:endnote w:type="continuationSeparator" w:id="0">
    <w:p w:rsidR="00CB4029" w:rsidRDefault="00CB4029"/>
  </w:endnote>
  <w:endnote w:type="continuationNotice" w:id="1">
    <w:p w:rsidR="00CB4029" w:rsidRDefault="00CB4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C9" w:rsidRPr="00C63B6E" w:rsidRDefault="008A4BC9" w:rsidP="00C63B6E">
    <w:pPr>
      <w:pStyle w:val="Footer"/>
      <w:tabs>
        <w:tab w:val="right" w:pos="9638"/>
      </w:tabs>
    </w:pPr>
    <w:r w:rsidRPr="00C63B6E">
      <w:rPr>
        <w:b/>
        <w:sz w:val="18"/>
      </w:rPr>
      <w:fldChar w:fldCharType="begin"/>
    </w:r>
    <w:r w:rsidRPr="00C63B6E">
      <w:rPr>
        <w:b/>
        <w:sz w:val="18"/>
      </w:rPr>
      <w:instrText xml:space="preserve"> PAGE  \* MERGEFORMAT </w:instrText>
    </w:r>
    <w:r w:rsidRPr="00C63B6E">
      <w:rPr>
        <w:b/>
        <w:sz w:val="18"/>
      </w:rPr>
      <w:fldChar w:fldCharType="separate"/>
    </w:r>
    <w:r w:rsidR="00C818D7">
      <w:rPr>
        <w:b/>
        <w:noProof/>
        <w:sz w:val="18"/>
      </w:rPr>
      <w:t>2</w:t>
    </w:r>
    <w:r w:rsidRPr="00C63B6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C9" w:rsidRPr="00C63B6E" w:rsidRDefault="008A4BC9" w:rsidP="00C63B6E">
    <w:pPr>
      <w:pStyle w:val="Footer"/>
      <w:tabs>
        <w:tab w:val="right" w:pos="9638"/>
      </w:tabs>
      <w:rPr>
        <w:b/>
        <w:sz w:val="18"/>
      </w:rPr>
    </w:pPr>
    <w:r>
      <w:tab/>
    </w:r>
    <w:r w:rsidRPr="00C63B6E">
      <w:rPr>
        <w:b/>
        <w:sz w:val="18"/>
      </w:rPr>
      <w:fldChar w:fldCharType="begin"/>
    </w:r>
    <w:r w:rsidRPr="00C63B6E">
      <w:rPr>
        <w:b/>
        <w:sz w:val="18"/>
      </w:rPr>
      <w:instrText xml:space="preserve"> PAGE  \* MERGEFORMAT </w:instrText>
    </w:r>
    <w:r w:rsidRPr="00C63B6E">
      <w:rPr>
        <w:b/>
        <w:sz w:val="18"/>
      </w:rPr>
      <w:fldChar w:fldCharType="separate"/>
    </w:r>
    <w:r w:rsidR="00C818D7">
      <w:rPr>
        <w:b/>
        <w:noProof/>
        <w:sz w:val="18"/>
      </w:rPr>
      <w:t>5</w:t>
    </w:r>
    <w:r w:rsidRPr="00C63B6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C9" w:rsidRPr="00C63B6E" w:rsidRDefault="008A4BC9">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GE.12-</w:t>
    </w:r>
    <w:r w:rsidR="00C818D7">
      <w:rPr>
        <w:sz w:val="20"/>
      </w:rPr>
      <w:t>48614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29" w:rsidRPr="000B175B" w:rsidRDefault="00CB4029" w:rsidP="000B175B">
      <w:pPr>
        <w:tabs>
          <w:tab w:val="right" w:pos="2155"/>
        </w:tabs>
        <w:spacing w:after="80"/>
        <w:ind w:left="680"/>
        <w:rPr>
          <w:u w:val="single"/>
        </w:rPr>
      </w:pPr>
      <w:r>
        <w:rPr>
          <w:u w:val="single"/>
        </w:rPr>
        <w:tab/>
      </w:r>
    </w:p>
  </w:footnote>
  <w:footnote w:type="continuationSeparator" w:id="0">
    <w:p w:rsidR="00CB4029" w:rsidRPr="00FC68B7" w:rsidRDefault="00CB4029" w:rsidP="00FC68B7">
      <w:pPr>
        <w:tabs>
          <w:tab w:val="left" w:pos="2155"/>
        </w:tabs>
        <w:spacing w:after="80"/>
        <w:ind w:left="680"/>
        <w:rPr>
          <w:u w:val="single"/>
        </w:rPr>
      </w:pPr>
      <w:r>
        <w:rPr>
          <w:u w:val="single"/>
        </w:rPr>
        <w:tab/>
      </w:r>
    </w:p>
  </w:footnote>
  <w:footnote w:type="continuationNotice" w:id="1">
    <w:p w:rsidR="00CB4029" w:rsidRDefault="00CB40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C9" w:rsidRPr="00C63B6E" w:rsidRDefault="008A4BC9">
    <w:pPr>
      <w:pStyle w:val="Header"/>
    </w:pPr>
    <w:r>
      <w:t>E/C.12/ISL/CO/4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C9" w:rsidRPr="00C63B6E" w:rsidRDefault="008A4BC9" w:rsidP="00C63B6E">
    <w:pPr>
      <w:pStyle w:val="Header"/>
      <w:jc w:val="right"/>
    </w:pPr>
    <w:r>
      <w:t>E/C.12/ISL/CO/4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D7" w:rsidRDefault="00C81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0BD46C1"/>
    <w:multiLevelType w:val="hybridMultilevel"/>
    <w:tmpl w:val="2734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701345B"/>
    <w:multiLevelType w:val="hybridMultilevel"/>
    <w:tmpl w:val="8C5E75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9"/>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B6E"/>
    <w:rsid w:val="00002A7D"/>
    <w:rsid w:val="000038A8"/>
    <w:rsid w:val="00003AF3"/>
    <w:rsid w:val="00006790"/>
    <w:rsid w:val="00007FFC"/>
    <w:rsid w:val="0002712E"/>
    <w:rsid w:val="00027624"/>
    <w:rsid w:val="00037207"/>
    <w:rsid w:val="00041B21"/>
    <w:rsid w:val="00043700"/>
    <w:rsid w:val="000466AE"/>
    <w:rsid w:val="00050F6B"/>
    <w:rsid w:val="000678CD"/>
    <w:rsid w:val="00072C8C"/>
    <w:rsid w:val="00081CE0"/>
    <w:rsid w:val="00084D30"/>
    <w:rsid w:val="00090320"/>
    <w:rsid w:val="00092CC5"/>
    <w:rsid w:val="000931C0"/>
    <w:rsid w:val="000A1BB6"/>
    <w:rsid w:val="000A2E09"/>
    <w:rsid w:val="000B175B"/>
    <w:rsid w:val="000B3A0F"/>
    <w:rsid w:val="000E0415"/>
    <w:rsid w:val="000E0A03"/>
    <w:rsid w:val="000E2083"/>
    <w:rsid w:val="000F7715"/>
    <w:rsid w:val="00114A6F"/>
    <w:rsid w:val="00125AFC"/>
    <w:rsid w:val="00156B99"/>
    <w:rsid w:val="00166124"/>
    <w:rsid w:val="0017535D"/>
    <w:rsid w:val="001805E9"/>
    <w:rsid w:val="00184DDA"/>
    <w:rsid w:val="001871A1"/>
    <w:rsid w:val="001900CD"/>
    <w:rsid w:val="001A0452"/>
    <w:rsid w:val="001B4B04"/>
    <w:rsid w:val="001B5875"/>
    <w:rsid w:val="001C4B9C"/>
    <w:rsid w:val="001C6663"/>
    <w:rsid w:val="001C7895"/>
    <w:rsid w:val="001D0499"/>
    <w:rsid w:val="001D21A3"/>
    <w:rsid w:val="001D26DF"/>
    <w:rsid w:val="001F1599"/>
    <w:rsid w:val="001F19C4"/>
    <w:rsid w:val="001F3473"/>
    <w:rsid w:val="002043F0"/>
    <w:rsid w:val="00211E0B"/>
    <w:rsid w:val="002320D6"/>
    <w:rsid w:val="00232575"/>
    <w:rsid w:val="00234265"/>
    <w:rsid w:val="00247258"/>
    <w:rsid w:val="00257CAC"/>
    <w:rsid w:val="0027237A"/>
    <w:rsid w:val="0029501E"/>
    <w:rsid w:val="002974E9"/>
    <w:rsid w:val="002A7F94"/>
    <w:rsid w:val="002B0729"/>
    <w:rsid w:val="002B109A"/>
    <w:rsid w:val="002C6D45"/>
    <w:rsid w:val="002D6E53"/>
    <w:rsid w:val="002F046D"/>
    <w:rsid w:val="002F7DFB"/>
    <w:rsid w:val="00301764"/>
    <w:rsid w:val="003113E0"/>
    <w:rsid w:val="003229D8"/>
    <w:rsid w:val="00336C97"/>
    <w:rsid w:val="00337F88"/>
    <w:rsid w:val="0034214B"/>
    <w:rsid w:val="00342432"/>
    <w:rsid w:val="0035223F"/>
    <w:rsid w:val="00352D4B"/>
    <w:rsid w:val="00355527"/>
    <w:rsid w:val="0035638C"/>
    <w:rsid w:val="003714A2"/>
    <w:rsid w:val="0039381A"/>
    <w:rsid w:val="003A46BB"/>
    <w:rsid w:val="003A4EC7"/>
    <w:rsid w:val="003A7295"/>
    <w:rsid w:val="003A7C3E"/>
    <w:rsid w:val="003B1F60"/>
    <w:rsid w:val="003C1C7C"/>
    <w:rsid w:val="003C2CC4"/>
    <w:rsid w:val="003D4B23"/>
    <w:rsid w:val="003D7D15"/>
    <w:rsid w:val="003D7E76"/>
    <w:rsid w:val="003E278A"/>
    <w:rsid w:val="003E6578"/>
    <w:rsid w:val="00413520"/>
    <w:rsid w:val="004325CB"/>
    <w:rsid w:val="00440A07"/>
    <w:rsid w:val="0045013D"/>
    <w:rsid w:val="00462880"/>
    <w:rsid w:val="00476F24"/>
    <w:rsid w:val="004916F8"/>
    <w:rsid w:val="0049279C"/>
    <w:rsid w:val="004939AA"/>
    <w:rsid w:val="004A5C8A"/>
    <w:rsid w:val="004B2B27"/>
    <w:rsid w:val="004C55B0"/>
    <w:rsid w:val="004E40AD"/>
    <w:rsid w:val="004F32F9"/>
    <w:rsid w:val="004F6BA0"/>
    <w:rsid w:val="00503BEA"/>
    <w:rsid w:val="00533616"/>
    <w:rsid w:val="00535ABA"/>
    <w:rsid w:val="0053768B"/>
    <w:rsid w:val="00541087"/>
    <w:rsid w:val="005420F2"/>
    <w:rsid w:val="0054255D"/>
    <w:rsid w:val="0054285C"/>
    <w:rsid w:val="005451C8"/>
    <w:rsid w:val="00563CF3"/>
    <w:rsid w:val="00580E1E"/>
    <w:rsid w:val="0058269E"/>
    <w:rsid w:val="00584173"/>
    <w:rsid w:val="00595520"/>
    <w:rsid w:val="005A44B9"/>
    <w:rsid w:val="005A554C"/>
    <w:rsid w:val="005A6AC0"/>
    <w:rsid w:val="005B10AA"/>
    <w:rsid w:val="005B1BA0"/>
    <w:rsid w:val="005B3DB3"/>
    <w:rsid w:val="005C2AB9"/>
    <w:rsid w:val="005D15CA"/>
    <w:rsid w:val="005D4438"/>
    <w:rsid w:val="005F08DF"/>
    <w:rsid w:val="005F3066"/>
    <w:rsid w:val="005F3E61"/>
    <w:rsid w:val="005F6528"/>
    <w:rsid w:val="00601683"/>
    <w:rsid w:val="00604DDD"/>
    <w:rsid w:val="006115CC"/>
    <w:rsid w:val="00611FC4"/>
    <w:rsid w:val="006176FB"/>
    <w:rsid w:val="00630FCB"/>
    <w:rsid w:val="006317AC"/>
    <w:rsid w:val="00632936"/>
    <w:rsid w:val="00640B26"/>
    <w:rsid w:val="00640C4D"/>
    <w:rsid w:val="006770B2"/>
    <w:rsid w:val="006940E1"/>
    <w:rsid w:val="006A0BD6"/>
    <w:rsid w:val="006A36AA"/>
    <w:rsid w:val="006A3C72"/>
    <w:rsid w:val="006A3C7C"/>
    <w:rsid w:val="006A7392"/>
    <w:rsid w:val="006B03A1"/>
    <w:rsid w:val="006B67D9"/>
    <w:rsid w:val="006B687C"/>
    <w:rsid w:val="006C43E3"/>
    <w:rsid w:val="006C4B4D"/>
    <w:rsid w:val="006C5535"/>
    <w:rsid w:val="006C56D7"/>
    <w:rsid w:val="006D0589"/>
    <w:rsid w:val="006D093D"/>
    <w:rsid w:val="006D505D"/>
    <w:rsid w:val="006E564B"/>
    <w:rsid w:val="006E7154"/>
    <w:rsid w:val="007003CD"/>
    <w:rsid w:val="0070701E"/>
    <w:rsid w:val="0072632A"/>
    <w:rsid w:val="00726F38"/>
    <w:rsid w:val="0073255A"/>
    <w:rsid w:val="007358E8"/>
    <w:rsid w:val="00736ECE"/>
    <w:rsid w:val="00744B88"/>
    <w:rsid w:val="0074533B"/>
    <w:rsid w:val="007577BF"/>
    <w:rsid w:val="007643BC"/>
    <w:rsid w:val="007959FE"/>
    <w:rsid w:val="007A0CF1"/>
    <w:rsid w:val="007A72F5"/>
    <w:rsid w:val="007B5514"/>
    <w:rsid w:val="007B6BA5"/>
    <w:rsid w:val="007C3390"/>
    <w:rsid w:val="007C42D8"/>
    <w:rsid w:val="007C4F4B"/>
    <w:rsid w:val="007D662E"/>
    <w:rsid w:val="007D7362"/>
    <w:rsid w:val="007E5A76"/>
    <w:rsid w:val="007F5CE2"/>
    <w:rsid w:val="007F6611"/>
    <w:rsid w:val="00810BAC"/>
    <w:rsid w:val="008175E9"/>
    <w:rsid w:val="008242D7"/>
    <w:rsid w:val="0082577B"/>
    <w:rsid w:val="008278C0"/>
    <w:rsid w:val="0084716E"/>
    <w:rsid w:val="00847323"/>
    <w:rsid w:val="008506A2"/>
    <w:rsid w:val="00866893"/>
    <w:rsid w:val="00866F02"/>
    <w:rsid w:val="00867D18"/>
    <w:rsid w:val="00871F9A"/>
    <w:rsid w:val="00871FD5"/>
    <w:rsid w:val="008726E1"/>
    <w:rsid w:val="0087730C"/>
    <w:rsid w:val="0088172E"/>
    <w:rsid w:val="00881EFA"/>
    <w:rsid w:val="008879CB"/>
    <w:rsid w:val="008979B1"/>
    <w:rsid w:val="008A4BC9"/>
    <w:rsid w:val="008A6B25"/>
    <w:rsid w:val="008A6C4F"/>
    <w:rsid w:val="008B389E"/>
    <w:rsid w:val="008C4E03"/>
    <w:rsid w:val="008D045E"/>
    <w:rsid w:val="008D3F25"/>
    <w:rsid w:val="008D4D82"/>
    <w:rsid w:val="008E0E46"/>
    <w:rsid w:val="008E7116"/>
    <w:rsid w:val="008F09B6"/>
    <w:rsid w:val="008F143B"/>
    <w:rsid w:val="008F3882"/>
    <w:rsid w:val="008F4B7C"/>
    <w:rsid w:val="0091069D"/>
    <w:rsid w:val="00926D3A"/>
    <w:rsid w:val="00926E47"/>
    <w:rsid w:val="00943D2A"/>
    <w:rsid w:val="00947162"/>
    <w:rsid w:val="009610D0"/>
    <w:rsid w:val="0096375C"/>
    <w:rsid w:val="009662E6"/>
    <w:rsid w:val="0097095E"/>
    <w:rsid w:val="0098592B"/>
    <w:rsid w:val="00985FC4"/>
    <w:rsid w:val="00990766"/>
    <w:rsid w:val="00991261"/>
    <w:rsid w:val="00992932"/>
    <w:rsid w:val="009964C4"/>
    <w:rsid w:val="009A3C89"/>
    <w:rsid w:val="009A7B81"/>
    <w:rsid w:val="009B36ED"/>
    <w:rsid w:val="009D01C0"/>
    <w:rsid w:val="009D6A08"/>
    <w:rsid w:val="009E0A16"/>
    <w:rsid w:val="009E2EFF"/>
    <w:rsid w:val="009E6CB7"/>
    <w:rsid w:val="009E7970"/>
    <w:rsid w:val="009F2EAC"/>
    <w:rsid w:val="009F57E3"/>
    <w:rsid w:val="00A06553"/>
    <w:rsid w:val="00A10F4F"/>
    <w:rsid w:val="00A11067"/>
    <w:rsid w:val="00A1704A"/>
    <w:rsid w:val="00A1738C"/>
    <w:rsid w:val="00A33E95"/>
    <w:rsid w:val="00A425EB"/>
    <w:rsid w:val="00A44EF7"/>
    <w:rsid w:val="00A64000"/>
    <w:rsid w:val="00A64109"/>
    <w:rsid w:val="00A72F22"/>
    <w:rsid w:val="00A733BC"/>
    <w:rsid w:val="00A748A6"/>
    <w:rsid w:val="00A76A69"/>
    <w:rsid w:val="00A879A4"/>
    <w:rsid w:val="00A93A2C"/>
    <w:rsid w:val="00AA0FF8"/>
    <w:rsid w:val="00AA5087"/>
    <w:rsid w:val="00AC0F2C"/>
    <w:rsid w:val="00AC502A"/>
    <w:rsid w:val="00AD1792"/>
    <w:rsid w:val="00AD63BF"/>
    <w:rsid w:val="00AD665B"/>
    <w:rsid w:val="00AE4C77"/>
    <w:rsid w:val="00AF58C1"/>
    <w:rsid w:val="00B04A3F"/>
    <w:rsid w:val="00B04C6C"/>
    <w:rsid w:val="00B06643"/>
    <w:rsid w:val="00B128D0"/>
    <w:rsid w:val="00B143DD"/>
    <w:rsid w:val="00B15055"/>
    <w:rsid w:val="00B30179"/>
    <w:rsid w:val="00B369B4"/>
    <w:rsid w:val="00B37B15"/>
    <w:rsid w:val="00B45C02"/>
    <w:rsid w:val="00B70B63"/>
    <w:rsid w:val="00B72A1E"/>
    <w:rsid w:val="00B72AC2"/>
    <w:rsid w:val="00B81E12"/>
    <w:rsid w:val="00B82BEE"/>
    <w:rsid w:val="00B918BF"/>
    <w:rsid w:val="00B95057"/>
    <w:rsid w:val="00B96482"/>
    <w:rsid w:val="00BA339B"/>
    <w:rsid w:val="00BB027C"/>
    <w:rsid w:val="00BB2A27"/>
    <w:rsid w:val="00BC1E7E"/>
    <w:rsid w:val="00BC3BD3"/>
    <w:rsid w:val="00BC74E9"/>
    <w:rsid w:val="00BE36A9"/>
    <w:rsid w:val="00BE618E"/>
    <w:rsid w:val="00BE7BEC"/>
    <w:rsid w:val="00BF0A5A"/>
    <w:rsid w:val="00BF0E63"/>
    <w:rsid w:val="00BF12A3"/>
    <w:rsid w:val="00BF16D7"/>
    <w:rsid w:val="00BF2373"/>
    <w:rsid w:val="00C044E2"/>
    <w:rsid w:val="00C048CB"/>
    <w:rsid w:val="00C066F3"/>
    <w:rsid w:val="00C412C8"/>
    <w:rsid w:val="00C463DD"/>
    <w:rsid w:val="00C63B6E"/>
    <w:rsid w:val="00C745C3"/>
    <w:rsid w:val="00C818D7"/>
    <w:rsid w:val="00CA24A4"/>
    <w:rsid w:val="00CB348D"/>
    <w:rsid w:val="00CB4029"/>
    <w:rsid w:val="00CC4520"/>
    <w:rsid w:val="00CD3A7D"/>
    <w:rsid w:val="00CD46F5"/>
    <w:rsid w:val="00CE4A8F"/>
    <w:rsid w:val="00CF071D"/>
    <w:rsid w:val="00D015D2"/>
    <w:rsid w:val="00D01C2F"/>
    <w:rsid w:val="00D126A0"/>
    <w:rsid w:val="00D12FC6"/>
    <w:rsid w:val="00D15B04"/>
    <w:rsid w:val="00D2031B"/>
    <w:rsid w:val="00D25FE2"/>
    <w:rsid w:val="00D37DA9"/>
    <w:rsid w:val="00D40153"/>
    <w:rsid w:val="00D406A7"/>
    <w:rsid w:val="00D43252"/>
    <w:rsid w:val="00D44D86"/>
    <w:rsid w:val="00D50B7D"/>
    <w:rsid w:val="00D52012"/>
    <w:rsid w:val="00D704E5"/>
    <w:rsid w:val="00D72727"/>
    <w:rsid w:val="00D7384A"/>
    <w:rsid w:val="00D846E9"/>
    <w:rsid w:val="00D97504"/>
    <w:rsid w:val="00D978C6"/>
    <w:rsid w:val="00DA0956"/>
    <w:rsid w:val="00DA357F"/>
    <w:rsid w:val="00DA3E12"/>
    <w:rsid w:val="00DC18AD"/>
    <w:rsid w:val="00DC1F2C"/>
    <w:rsid w:val="00DC6837"/>
    <w:rsid w:val="00DE2DA7"/>
    <w:rsid w:val="00DF7CAE"/>
    <w:rsid w:val="00E21AC1"/>
    <w:rsid w:val="00E314CA"/>
    <w:rsid w:val="00E423C0"/>
    <w:rsid w:val="00E625C6"/>
    <w:rsid w:val="00E6414C"/>
    <w:rsid w:val="00E7260F"/>
    <w:rsid w:val="00E8702D"/>
    <w:rsid w:val="00E916A9"/>
    <w:rsid w:val="00E916DE"/>
    <w:rsid w:val="00E925AD"/>
    <w:rsid w:val="00E96630"/>
    <w:rsid w:val="00E978A8"/>
    <w:rsid w:val="00ED18DC"/>
    <w:rsid w:val="00ED6201"/>
    <w:rsid w:val="00ED7A2A"/>
    <w:rsid w:val="00EE369A"/>
    <w:rsid w:val="00EF1D7F"/>
    <w:rsid w:val="00F0137E"/>
    <w:rsid w:val="00F13973"/>
    <w:rsid w:val="00F21786"/>
    <w:rsid w:val="00F24B14"/>
    <w:rsid w:val="00F2617B"/>
    <w:rsid w:val="00F3742B"/>
    <w:rsid w:val="00F41FDB"/>
    <w:rsid w:val="00F556C9"/>
    <w:rsid w:val="00F56D63"/>
    <w:rsid w:val="00F609A9"/>
    <w:rsid w:val="00F618B6"/>
    <w:rsid w:val="00F61A0B"/>
    <w:rsid w:val="00F66640"/>
    <w:rsid w:val="00F80C99"/>
    <w:rsid w:val="00F867EC"/>
    <w:rsid w:val="00F87E47"/>
    <w:rsid w:val="00F91B2B"/>
    <w:rsid w:val="00F92A4A"/>
    <w:rsid w:val="00FA0E53"/>
    <w:rsid w:val="00FC03CD"/>
    <w:rsid w:val="00FC0646"/>
    <w:rsid w:val="00FC68B7"/>
    <w:rsid w:val="00FE6985"/>
    <w:rsid w:val="00FF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ago Fußnotenzeichen"/>
    <w:uiPriority w:val="99"/>
    <w:rsid w:val="00E925AD"/>
    <w:rPr>
      <w:rFonts w:ascii="Times New Roman" w:hAnsi="Times New Roman"/>
      <w:sz w:val="18"/>
      <w:vertAlign w:val="superscript"/>
    </w:rPr>
  </w:style>
  <w:style w:type="paragraph" w:styleId="FootnoteText">
    <w:name w:val="footnote text"/>
    <w:aliases w:val="5_G,Footnote Text Char1,Footnote Text Char Char,Char,Char Char Char,Char Char Char Char,single space,Footnote Text Char Char Char Char Char Char Char, Char, Char Char Char, Char Char Char Char"/>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locked/>
    <w:rsid w:val="00C63B6E"/>
    <w:rPr>
      <w:b/>
      <w:sz w:val="24"/>
      <w:lang w:eastAsia="en-US"/>
    </w:r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 Char Char, Char Char Char Char1"/>
    <w:link w:val="FootnoteText"/>
    <w:uiPriority w:val="99"/>
    <w:locked/>
    <w:rsid w:val="00C63B6E"/>
    <w:rPr>
      <w:sz w:val="18"/>
      <w:lang w:eastAsia="en-US"/>
    </w:rPr>
  </w:style>
  <w:style w:type="character" w:customStyle="1" w:styleId="SingleTxtGChar">
    <w:name w:val="_ Single Txt_G Char"/>
    <w:link w:val="SingleTxtG"/>
    <w:locked/>
    <w:rsid w:val="009B36ED"/>
    <w:rPr>
      <w:lang w:eastAsia="en-US"/>
    </w:rPr>
  </w:style>
  <w:style w:type="paragraph" w:styleId="BalloonText">
    <w:name w:val="Balloon Text"/>
    <w:basedOn w:val="Normal"/>
    <w:link w:val="BalloonTextChar"/>
    <w:rsid w:val="003D7D15"/>
    <w:pPr>
      <w:spacing w:line="240" w:lineRule="auto"/>
    </w:pPr>
    <w:rPr>
      <w:rFonts w:ascii="Tahoma" w:hAnsi="Tahoma" w:cs="Tahoma"/>
      <w:sz w:val="16"/>
      <w:szCs w:val="16"/>
    </w:rPr>
  </w:style>
  <w:style w:type="character" w:customStyle="1" w:styleId="BalloonTextChar">
    <w:name w:val="Balloon Text Char"/>
    <w:link w:val="BalloonText"/>
    <w:rsid w:val="003D7D15"/>
    <w:rPr>
      <w:rFonts w:ascii="Tahoma" w:hAnsi="Tahoma" w:cs="Tahoma"/>
      <w:sz w:val="16"/>
      <w:szCs w:val="16"/>
      <w:lang w:eastAsia="en-US"/>
    </w:rPr>
  </w:style>
  <w:style w:type="character" w:styleId="Strong">
    <w:name w:val="Strong"/>
    <w:qFormat/>
    <w:rsid w:val="00027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Template>
  <TotalTime>0</TotalTime>
  <Pages>1</Pages>
  <Words>2255</Words>
  <Characters>12855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DCM</cp:lastModifiedBy>
  <cp:revision>2</cp:revision>
  <cp:lastPrinted>2012-12-07T13:47:00Z</cp:lastPrinted>
  <dcterms:created xsi:type="dcterms:W3CDTF">2012-12-12T13:26:00Z</dcterms:created>
  <dcterms:modified xsi:type="dcterms:W3CDTF">2012-12-12T13:26:00Z</dcterms:modified>
</cp:coreProperties>
</file>