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3C51C08D" w14:textId="77777777" w:rsidTr="0002432E">
        <w:trPr>
          <w:trHeight w:hRule="exact" w:val="851"/>
        </w:trPr>
        <w:tc>
          <w:tcPr>
            <w:tcW w:w="1276" w:type="dxa"/>
            <w:tcBorders>
              <w:bottom w:val="single" w:sz="4" w:space="0" w:color="auto"/>
            </w:tcBorders>
          </w:tcPr>
          <w:p w14:paraId="31E783C8" w14:textId="77777777" w:rsidR="0080236C" w:rsidRPr="00DB58B5" w:rsidRDefault="0080236C" w:rsidP="00C262CB"/>
        </w:tc>
        <w:tc>
          <w:tcPr>
            <w:tcW w:w="2268" w:type="dxa"/>
            <w:tcBorders>
              <w:bottom w:val="single" w:sz="4" w:space="0" w:color="auto"/>
            </w:tcBorders>
            <w:vAlign w:val="bottom"/>
          </w:tcPr>
          <w:p w14:paraId="19B75E8F"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B351B1" w14:textId="77777777" w:rsidR="0080236C" w:rsidRPr="00DB58B5" w:rsidRDefault="00C262CB" w:rsidP="00C262CB">
            <w:pPr>
              <w:jc w:val="right"/>
            </w:pPr>
            <w:r w:rsidRPr="00C262CB">
              <w:rPr>
                <w:sz w:val="40"/>
              </w:rPr>
              <w:t>E</w:t>
            </w:r>
            <w:r>
              <w:t>/C.12/SWE/QPR/7</w:t>
            </w:r>
          </w:p>
        </w:tc>
      </w:tr>
      <w:tr w:rsidR="0080236C" w:rsidRPr="00DB58B5" w14:paraId="13205A08" w14:textId="77777777" w:rsidTr="0002432E">
        <w:trPr>
          <w:trHeight w:hRule="exact" w:val="2835"/>
        </w:trPr>
        <w:tc>
          <w:tcPr>
            <w:tcW w:w="1276" w:type="dxa"/>
            <w:tcBorders>
              <w:top w:val="single" w:sz="4" w:space="0" w:color="auto"/>
              <w:bottom w:val="single" w:sz="12" w:space="0" w:color="auto"/>
            </w:tcBorders>
          </w:tcPr>
          <w:p w14:paraId="2754C57B" w14:textId="77777777" w:rsidR="0080236C" w:rsidRPr="00DB58B5" w:rsidRDefault="0080236C" w:rsidP="0002432E">
            <w:pPr>
              <w:spacing w:before="120"/>
              <w:jc w:val="center"/>
            </w:pPr>
            <w:r>
              <w:rPr>
                <w:noProof/>
                <w:lang w:eastAsia="fr-CH"/>
              </w:rPr>
              <w:drawing>
                <wp:inline distT="0" distB="0" distL="0" distR="0" wp14:anchorId="5ECDD40D" wp14:editId="194CDB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28B481"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6A1BB3E" w14:textId="77777777" w:rsidR="0080236C" w:rsidRDefault="00C262CB" w:rsidP="0002432E">
            <w:pPr>
              <w:spacing w:before="240"/>
            </w:pPr>
            <w:proofErr w:type="spellStart"/>
            <w:r>
              <w:t>Distr</w:t>
            </w:r>
            <w:proofErr w:type="spellEnd"/>
            <w:r>
              <w:t>. générale</w:t>
            </w:r>
          </w:p>
          <w:p w14:paraId="0598EF1A" w14:textId="77777777" w:rsidR="00C262CB" w:rsidRDefault="00C262CB" w:rsidP="00C262CB">
            <w:pPr>
              <w:spacing w:line="240" w:lineRule="exact"/>
            </w:pPr>
            <w:r>
              <w:t>16 novembre 2020</w:t>
            </w:r>
          </w:p>
          <w:p w14:paraId="5719670D" w14:textId="77777777" w:rsidR="00C262CB" w:rsidRDefault="00C262CB" w:rsidP="00C262CB">
            <w:pPr>
              <w:spacing w:line="240" w:lineRule="exact"/>
            </w:pPr>
            <w:r>
              <w:t>Français</w:t>
            </w:r>
          </w:p>
          <w:p w14:paraId="049336D1" w14:textId="77777777" w:rsidR="00C262CB" w:rsidRDefault="00C262CB" w:rsidP="00C262CB">
            <w:pPr>
              <w:spacing w:line="240" w:lineRule="exact"/>
            </w:pPr>
            <w:r>
              <w:t>Original : anglais</w:t>
            </w:r>
          </w:p>
          <w:p w14:paraId="1EAAA248" w14:textId="77777777" w:rsidR="00C262CB" w:rsidRPr="00DB58B5" w:rsidRDefault="00C262CB" w:rsidP="00C262CB">
            <w:pPr>
              <w:spacing w:line="240" w:lineRule="exact"/>
            </w:pPr>
            <w:r>
              <w:t>Anglais, espagnol et français seulement</w:t>
            </w:r>
          </w:p>
        </w:tc>
      </w:tr>
    </w:tbl>
    <w:p w14:paraId="5B2AAF62" w14:textId="77777777" w:rsidR="00C262CB" w:rsidRPr="00175E00" w:rsidRDefault="00C262CB" w:rsidP="00C262CB">
      <w:pPr>
        <w:spacing w:before="120"/>
        <w:rPr>
          <w:rFonts w:eastAsia="SimSun"/>
          <w:b/>
          <w:sz w:val="24"/>
          <w:szCs w:val="24"/>
        </w:rPr>
      </w:pPr>
      <w:r w:rsidRPr="00175E00">
        <w:rPr>
          <w:rFonts w:eastAsia="SimSun"/>
          <w:b/>
          <w:bCs/>
          <w:sz w:val="24"/>
          <w:szCs w:val="24"/>
        </w:rPr>
        <w:t>Comité des droits économiques, sociaux et culturels</w:t>
      </w:r>
    </w:p>
    <w:p w14:paraId="0F973193" w14:textId="77777777" w:rsidR="00C262CB" w:rsidRPr="00175E00" w:rsidRDefault="00C262CB" w:rsidP="00C262CB">
      <w:pPr>
        <w:pStyle w:val="HChG"/>
        <w:rPr>
          <w:bCs/>
          <w:lang w:eastAsia="zh-CN"/>
        </w:rPr>
      </w:pPr>
      <w:r w:rsidRPr="00175E00">
        <w:rPr>
          <w:lang w:eastAsia="zh-CN"/>
        </w:rPr>
        <w:tab/>
      </w:r>
      <w:r w:rsidRPr="00175E00">
        <w:rPr>
          <w:lang w:eastAsia="zh-CN"/>
        </w:rPr>
        <w:tab/>
        <w:t xml:space="preserve">Liste de points établie avant la soumission </w:t>
      </w:r>
      <w:r>
        <w:rPr>
          <w:lang w:eastAsia="zh-CN"/>
        </w:rPr>
        <w:br/>
      </w:r>
      <w:r w:rsidRPr="00175E00">
        <w:rPr>
          <w:lang w:eastAsia="zh-CN"/>
        </w:rPr>
        <w:t>du septième rapport périodique de la Suède</w:t>
      </w:r>
      <w:r w:rsidRPr="00C262CB">
        <w:rPr>
          <w:rStyle w:val="Appelnotedebasdep"/>
          <w:rFonts w:eastAsia="SimSun"/>
          <w:b w:val="0"/>
          <w:bCs/>
          <w:sz w:val="20"/>
          <w:szCs w:val="22"/>
          <w:vertAlign w:val="baseline"/>
        </w:rPr>
        <w:footnoteReference w:customMarkFollows="1" w:id="2"/>
        <w:t>*</w:t>
      </w:r>
    </w:p>
    <w:p w14:paraId="36558841" w14:textId="77777777" w:rsidR="00C262CB" w:rsidRPr="00175E00" w:rsidRDefault="00C262CB" w:rsidP="00C262CB">
      <w:pPr>
        <w:pStyle w:val="SingleTxtG"/>
      </w:pPr>
      <w:r w:rsidRPr="00175E00">
        <w:t>1</w:t>
      </w:r>
      <w:r w:rsidR="00F96C2F" w:rsidRPr="00F96C2F">
        <w:t>.</w:t>
      </w:r>
      <w:r w:rsidRPr="00175E00">
        <w:tab/>
        <w:t>L</w:t>
      </w:r>
      <w:r>
        <w:t>’</w:t>
      </w:r>
      <w:r w:rsidRPr="00175E00">
        <w:t>État partie est invité à soumettre par écrit les informations demandées ci-après (21 200 mots maximum), le 29 octobre 202</w:t>
      </w:r>
      <w:bookmarkStart w:id="0" w:name="_GoBack"/>
      <w:bookmarkEnd w:id="0"/>
      <w:r w:rsidRPr="00175E00">
        <w:t>1 au plus tard</w:t>
      </w:r>
      <w:r w:rsidR="00F96C2F" w:rsidRPr="00F96C2F">
        <w:t>.</w:t>
      </w:r>
      <w:r w:rsidRPr="00175E00">
        <w:t xml:space="preserve"> Les réponses à cette liste de points constitueront le septième rapport périodique de l</w:t>
      </w:r>
      <w:r>
        <w:t>’</w:t>
      </w:r>
      <w:r w:rsidRPr="00175E00">
        <w:t>État partie au titre de l</w:t>
      </w:r>
      <w:r>
        <w:t>’</w:t>
      </w:r>
      <w:r w:rsidRPr="00175E00">
        <w:t>article 16 du Pacte international relatif aux droits économiques, sociaux et culturels</w:t>
      </w:r>
      <w:r w:rsidR="00F96C2F" w:rsidRPr="00F96C2F">
        <w:t>.</w:t>
      </w:r>
    </w:p>
    <w:p w14:paraId="0A58F3C4" w14:textId="77777777" w:rsidR="00C262CB" w:rsidRPr="00175E00" w:rsidRDefault="00C262CB" w:rsidP="00C262CB">
      <w:pPr>
        <w:pStyle w:val="H1G"/>
        <w:rPr>
          <w:rFonts w:eastAsia="SimSun"/>
          <w:lang w:eastAsia="zh-CN"/>
        </w:rPr>
      </w:pPr>
      <w:r w:rsidRPr="00175E00">
        <w:tab/>
        <w:t>A</w:t>
      </w:r>
      <w:r w:rsidR="00F96C2F" w:rsidRPr="00F96C2F">
        <w:t>.</w:t>
      </w:r>
      <w:r w:rsidRPr="00175E00">
        <w:tab/>
        <w:t>Points présentant un intérêt particulier</w:t>
      </w:r>
    </w:p>
    <w:p w14:paraId="118C6AFE" w14:textId="77777777" w:rsidR="00C262CB" w:rsidRPr="00175E00" w:rsidRDefault="00C262CB" w:rsidP="00C262CB">
      <w:pPr>
        <w:pStyle w:val="SingleTxtG"/>
      </w:pPr>
      <w:r w:rsidRPr="00175E00">
        <w:t>2</w:t>
      </w:r>
      <w:r w:rsidR="00F96C2F" w:rsidRPr="00F96C2F">
        <w:t>.</w:t>
      </w:r>
      <w:r w:rsidRPr="00175E00">
        <w:tab/>
        <w:t xml:space="preserve">Indiquer </w:t>
      </w:r>
      <w:r>
        <w:t xml:space="preserve">la </w:t>
      </w:r>
      <w:r w:rsidRPr="00175E00">
        <w:t xml:space="preserve">politique-cadre de réduction de la pauvreté et </w:t>
      </w:r>
      <w:r>
        <w:t xml:space="preserve">les </w:t>
      </w:r>
      <w:r w:rsidRPr="00175E00">
        <w:t xml:space="preserve">définitions de </w:t>
      </w:r>
      <w:r>
        <w:t xml:space="preserve">la pauvreté d’après lesquelles </w:t>
      </w:r>
      <w:r w:rsidRPr="00175E00">
        <w:t>l</w:t>
      </w:r>
      <w:r>
        <w:t>’</w:t>
      </w:r>
      <w:r w:rsidRPr="00175E00">
        <w:t>État partie</w:t>
      </w:r>
      <w:r>
        <w:t xml:space="preserve"> mène sa politique ou ses programmes</w:t>
      </w:r>
      <w:r w:rsidR="00F96C2F" w:rsidRPr="00F96C2F">
        <w:t>.</w:t>
      </w:r>
      <w:r w:rsidRPr="00175E00">
        <w:t xml:space="preserve"> Donner aussi des renseignements sur :</w:t>
      </w:r>
    </w:p>
    <w:p w14:paraId="52F13C02" w14:textId="77777777" w:rsidR="00C262CB" w:rsidRPr="00175E00" w:rsidRDefault="00C262CB" w:rsidP="00C262CB">
      <w:pPr>
        <w:pStyle w:val="SingleTxtG"/>
      </w:pPr>
      <w:r w:rsidRPr="00175E00">
        <w:tab/>
        <w:t>a)</w:t>
      </w:r>
      <w:r w:rsidRPr="00175E00">
        <w:tab/>
        <w:t xml:space="preserve">Toute disposition prise </w:t>
      </w:r>
      <w:r>
        <w:t xml:space="preserve">pour faire en sorte </w:t>
      </w:r>
      <w:r w:rsidRPr="00175E00">
        <w:t xml:space="preserve">que les mesures de réduction de la pauvreté couvrent toutes les personnes vivant dans la pauvreté, y compris celles qui ne sont pas enregistrées </w:t>
      </w:r>
      <w:r>
        <w:t xml:space="preserve">auprès du </w:t>
      </w:r>
      <w:r w:rsidRPr="00175E00">
        <w:t xml:space="preserve">système de sécurité sociale </w:t>
      </w:r>
      <w:r>
        <w:t xml:space="preserve">comme </w:t>
      </w:r>
      <w:r w:rsidRPr="00175E00">
        <w:t>les sans-abri, les demandeurs d</w:t>
      </w:r>
      <w:r>
        <w:t>’</w:t>
      </w:r>
      <w:r w:rsidRPr="00175E00">
        <w:t xml:space="preserve">asile et les travailleurs migrants et </w:t>
      </w:r>
      <w:r>
        <w:t xml:space="preserve">les membres de leur </w:t>
      </w:r>
      <w:r w:rsidRPr="00175E00">
        <w:t xml:space="preserve">famille, en particulier </w:t>
      </w:r>
      <w:r>
        <w:t xml:space="preserve">celles qui sont </w:t>
      </w:r>
      <w:r w:rsidRPr="00175E00">
        <w:t>en situation irrégulière ;</w:t>
      </w:r>
    </w:p>
    <w:p w14:paraId="0B97F93D" w14:textId="77777777" w:rsidR="00C262CB" w:rsidRPr="00175E00" w:rsidRDefault="00C262CB" w:rsidP="00C262CB">
      <w:pPr>
        <w:pStyle w:val="SingleTxtG"/>
      </w:pPr>
      <w:r w:rsidRPr="00175E00">
        <w:tab/>
        <w:t>b)</w:t>
      </w:r>
      <w:r w:rsidRPr="00175E00">
        <w:tab/>
        <w:t xml:space="preserve">La situation de la pauvreté en Suède, </w:t>
      </w:r>
      <w:r>
        <w:t xml:space="preserve">y compris des </w:t>
      </w:r>
      <w:r w:rsidRPr="00175E00">
        <w:t>données statistiques ventilées</w:t>
      </w:r>
      <w:r>
        <w:t xml:space="preserve"> à ce sujet</w:t>
      </w:r>
      <w:r w:rsidRPr="00175E00">
        <w:t>,</w:t>
      </w:r>
      <w:r>
        <w:t xml:space="preserve"> et</w:t>
      </w:r>
      <w:r w:rsidRPr="00175E00">
        <w:t xml:space="preserve"> les mesures prises </w:t>
      </w:r>
      <w:r>
        <w:t xml:space="preserve">pour </w:t>
      </w:r>
      <w:r w:rsidRPr="00175E00">
        <w:t>réduire l</w:t>
      </w:r>
      <w:r>
        <w:t>’</w:t>
      </w:r>
      <w:r w:rsidRPr="00175E00">
        <w:t>incidence de la pauvreté</w:t>
      </w:r>
      <w:r>
        <w:t xml:space="preserve"> − et l’efficacité de ces mesures − s’agissant particulièrement des </w:t>
      </w:r>
      <w:r w:rsidRPr="00175E00">
        <w:t>personnes issues de l</w:t>
      </w:r>
      <w:r>
        <w:t>’</w:t>
      </w:r>
      <w:r w:rsidRPr="00175E00">
        <w:t xml:space="preserve">immigration, </w:t>
      </w:r>
      <w:r>
        <w:t xml:space="preserve">des </w:t>
      </w:r>
      <w:r w:rsidRPr="00175E00">
        <w:t xml:space="preserve">familles monoparentales, </w:t>
      </w:r>
      <w:r>
        <w:t xml:space="preserve">des </w:t>
      </w:r>
      <w:r w:rsidRPr="00175E00">
        <w:t>personnes atteintes d</w:t>
      </w:r>
      <w:r>
        <w:t>’</w:t>
      </w:r>
      <w:r w:rsidRPr="00175E00">
        <w:t xml:space="preserve">une maladie de longue durée et </w:t>
      </w:r>
      <w:r>
        <w:t xml:space="preserve">des </w:t>
      </w:r>
      <w:r w:rsidRPr="00175E00">
        <w:t>retraitées ;</w:t>
      </w:r>
    </w:p>
    <w:p w14:paraId="60414AD6" w14:textId="77777777" w:rsidR="00C262CB" w:rsidRPr="00175E00" w:rsidRDefault="00C262CB" w:rsidP="00C262CB">
      <w:pPr>
        <w:pStyle w:val="SingleTxtG"/>
      </w:pPr>
      <w:r w:rsidRPr="00175E00">
        <w:tab/>
        <w:t>c)</w:t>
      </w:r>
      <w:r w:rsidRPr="00175E00">
        <w:tab/>
        <w:t xml:space="preserve">La situation de la pauvreté </w:t>
      </w:r>
      <w:r>
        <w:t xml:space="preserve">chez les personnes actives </w:t>
      </w:r>
      <w:r w:rsidRPr="00175E00">
        <w:t xml:space="preserve">en Suède, </w:t>
      </w:r>
      <w:r>
        <w:t xml:space="preserve">et </w:t>
      </w:r>
      <w:r w:rsidRPr="00175E00">
        <w:t xml:space="preserve">les principaux déterminants de </w:t>
      </w:r>
      <w:r>
        <w:t xml:space="preserve">cette </w:t>
      </w:r>
      <w:r w:rsidRPr="00175E00">
        <w:t xml:space="preserve">pauvreté et les mesures prises pour y </w:t>
      </w:r>
      <w:r>
        <w:t>remédier</w:t>
      </w:r>
      <w:r w:rsidR="00F96C2F" w:rsidRPr="00F96C2F">
        <w:t>.</w:t>
      </w:r>
    </w:p>
    <w:p w14:paraId="43E0DDFE" w14:textId="77777777" w:rsidR="00C262CB" w:rsidRPr="00175E00" w:rsidRDefault="00C262CB" w:rsidP="00C262CB">
      <w:pPr>
        <w:pStyle w:val="SingleTxtG"/>
      </w:pPr>
      <w:r w:rsidRPr="00175E00">
        <w:t>3</w:t>
      </w:r>
      <w:r w:rsidR="00F96C2F" w:rsidRPr="00F96C2F">
        <w:t>.</w:t>
      </w:r>
      <w:r w:rsidRPr="00175E00">
        <w:tab/>
      </w:r>
      <w:r>
        <w:t xml:space="preserve">Indiquer </w:t>
      </w:r>
      <w:r w:rsidRPr="00175E00">
        <w:t xml:space="preserve">les programmes de sécurité sociale supplémentaires </w:t>
      </w:r>
      <w:r>
        <w:t xml:space="preserve">qui ont été adoptés </w:t>
      </w:r>
      <w:r w:rsidRPr="00175E00">
        <w:t xml:space="preserve">pour atténuer les </w:t>
      </w:r>
      <w:r>
        <w:t xml:space="preserve">conséquences </w:t>
      </w:r>
      <w:r w:rsidRPr="00175E00">
        <w:t xml:space="preserve">de la pandémie de maladie à coronavirus (COVID-19) </w:t>
      </w:r>
      <w:r>
        <w:t xml:space="preserve">pour l’exercice </w:t>
      </w:r>
      <w:r w:rsidRPr="00175E00">
        <w:t xml:space="preserve">des droits économiques, sociaux et culturels, particulièrement </w:t>
      </w:r>
      <w:r>
        <w:t xml:space="preserve">dans le cas des </w:t>
      </w:r>
      <w:r w:rsidRPr="00175E00">
        <w:t xml:space="preserve">personnes défavorisées </w:t>
      </w:r>
      <w:r>
        <w:t>ou</w:t>
      </w:r>
      <w:r w:rsidRPr="00175E00">
        <w:t xml:space="preserve"> marginalisées, </w:t>
      </w:r>
      <w:r>
        <w:t>en</w:t>
      </w:r>
      <w:r w:rsidRPr="00175E00">
        <w:t xml:space="preserve"> précis</w:t>
      </w:r>
      <w:r>
        <w:t>ant</w:t>
      </w:r>
      <w:r w:rsidRPr="00175E00">
        <w:t xml:space="preserve"> la </w:t>
      </w:r>
      <w:r>
        <w:t>nature</w:t>
      </w:r>
      <w:r w:rsidRPr="00175E00">
        <w:t xml:space="preserve"> et le niveau des prestations, les groupes </w:t>
      </w:r>
      <w:r>
        <w:t xml:space="preserve">cibles </w:t>
      </w:r>
      <w:r w:rsidRPr="00175E00">
        <w:t>et les taux de couverture</w:t>
      </w:r>
      <w:r w:rsidR="00F96C2F" w:rsidRPr="00F96C2F">
        <w:t>.</w:t>
      </w:r>
      <w:r w:rsidRPr="00175E00">
        <w:t xml:space="preserve"> </w:t>
      </w:r>
      <w:r>
        <w:t xml:space="preserve">Donner des informations sur l’analyse menée </w:t>
      </w:r>
      <w:r w:rsidRPr="00175E00">
        <w:t xml:space="preserve">par </w:t>
      </w:r>
      <w:r>
        <w:t xml:space="preserve">l’organisme </w:t>
      </w:r>
      <w:r w:rsidRPr="00175E00">
        <w:t>d</w:t>
      </w:r>
      <w:r>
        <w:t>’</w:t>
      </w:r>
      <w:r w:rsidRPr="00175E00">
        <w:t xml:space="preserve">analyse des services de santé et de </w:t>
      </w:r>
      <w:r>
        <w:t xml:space="preserve">protection au sujet de l’incidence </w:t>
      </w:r>
      <w:r w:rsidRPr="00175E00">
        <w:t xml:space="preserve">de la pandémie de COVID-19 sur les </w:t>
      </w:r>
      <w:r w:rsidRPr="00C86070">
        <w:t xml:space="preserve">services sociaux </w:t>
      </w:r>
      <w:r>
        <w:t>dispensés au titre de la protection individuelle ou familiale, et sur les mesures de suivi qui ont été prises</w:t>
      </w:r>
      <w:r w:rsidR="00F96C2F" w:rsidRPr="00F96C2F">
        <w:t>.</w:t>
      </w:r>
      <w:r w:rsidRPr="00175E00">
        <w:t xml:space="preserve"> Indiquer en outre </w:t>
      </w:r>
      <w:r>
        <w:t xml:space="preserve">les </w:t>
      </w:r>
      <w:r w:rsidRPr="00175E00">
        <w:t xml:space="preserve">mesures prises pour garantir </w:t>
      </w:r>
      <w:r>
        <w:t xml:space="preserve">l’accès, sans discrimination, directe ou indirecte, d’aucune sorte, à toutes ces prestations et à cette assistance, aux </w:t>
      </w:r>
      <w:r w:rsidRPr="00175E00">
        <w:t xml:space="preserve">personnes et </w:t>
      </w:r>
      <w:r>
        <w:t xml:space="preserve">aux </w:t>
      </w:r>
      <w:r w:rsidRPr="00175E00">
        <w:t xml:space="preserve">groupes </w:t>
      </w:r>
      <w:r>
        <w:t xml:space="preserve">défavorisés et </w:t>
      </w:r>
      <w:r w:rsidRPr="00175E00">
        <w:t xml:space="preserve">vulnérables, y compris </w:t>
      </w:r>
      <w:r>
        <w:t xml:space="preserve">aux </w:t>
      </w:r>
      <w:r w:rsidRPr="00175E00">
        <w:t xml:space="preserve">apatrides et </w:t>
      </w:r>
      <w:r>
        <w:t xml:space="preserve">aux </w:t>
      </w:r>
      <w:r w:rsidRPr="00175E00">
        <w:t>migrants en situation irrégulière</w:t>
      </w:r>
      <w:r w:rsidR="00F96C2F" w:rsidRPr="00F96C2F">
        <w:t>.</w:t>
      </w:r>
    </w:p>
    <w:p w14:paraId="24B1227B" w14:textId="77777777" w:rsidR="00C262CB" w:rsidRPr="00175E00" w:rsidRDefault="00C262CB" w:rsidP="00053173">
      <w:pPr>
        <w:pStyle w:val="H1G"/>
      </w:pPr>
      <w:r w:rsidRPr="00175E00">
        <w:lastRenderedPageBreak/>
        <w:tab/>
        <w:t>B</w:t>
      </w:r>
      <w:r w:rsidR="00F96C2F" w:rsidRPr="00F96C2F">
        <w:t>.</w:t>
      </w:r>
      <w:r w:rsidRPr="00175E00">
        <w:tab/>
        <w:t>Mise en œuvre du Pacte</w:t>
      </w:r>
    </w:p>
    <w:p w14:paraId="3A848DEB" w14:textId="77777777" w:rsidR="00C262CB" w:rsidRPr="00175E00" w:rsidRDefault="00C262CB" w:rsidP="00C262CB">
      <w:pPr>
        <w:pStyle w:val="SingleTxtG"/>
      </w:pPr>
      <w:r w:rsidRPr="00175E00">
        <w:t>4</w:t>
      </w:r>
      <w:r w:rsidR="00F96C2F" w:rsidRPr="00F96C2F">
        <w:t>.</w:t>
      </w:r>
      <w:r w:rsidRPr="00175E00">
        <w:tab/>
      </w:r>
      <w:r>
        <w:t>Rendre compte des progrès accomplis pour ce qui est</w:t>
      </w:r>
      <w:r w:rsidRPr="00175E00">
        <w:t xml:space="preserve"> d</w:t>
      </w:r>
      <w:r>
        <w:t>’</w:t>
      </w:r>
      <w:r w:rsidRPr="00175E00">
        <w:t xml:space="preserve">intégrer le Pacte international relatif aux droits économiques, sociaux et culturels dans le droit interne </w:t>
      </w:r>
      <w:r>
        <w:t xml:space="preserve">et d’améliorer la compréhension des </w:t>
      </w:r>
      <w:r w:rsidRPr="00175E00">
        <w:t xml:space="preserve">dispositions du Pacte et </w:t>
      </w:r>
      <w:r>
        <w:t xml:space="preserve">de leur </w:t>
      </w:r>
      <w:r w:rsidRPr="00175E00">
        <w:t>justiciabilité</w:t>
      </w:r>
      <w:r>
        <w:t xml:space="preserve">, </w:t>
      </w:r>
      <w:r w:rsidRPr="00175E00">
        <w:t xml:space="preserve">particulièrement </w:t>
      </w:r>
      <w:r>
        <w:t xml:space="preserve">parmi les </w:t>
      </w:r>
      <w:r w:rsidRPr="00175E00">
        <w:t xml:space="preserve">juges, </w:t>
      </w:r>
      <w:r>
        <w:t xml:space="preserve">les </w:t>
      </w:r>
      <w:r w:rsidRPr="00175E00">
        <w:t xml:space="preserve">avocats et </w:t>
      </w:r>
      <w:r>
        <w:t xml:space="preserve">les </w:t>
      </w:r>
      <w:r w:rsidRPr="00175E00">
        <w:t>responsables de l</w:t>
      </w:r>
      <w:r>
        <w:t>’</w:t>
      </w:r>
      <w:r w:rsidRPr="00175E00">
        <w:t>application des lois</w:t>
      </w:r>
      <w:r w:rsidR="00F96C2F" w:rsidRPr="00F96C2F">
        <w:t>.</w:t>
      </w:r>
      <w:r w:rsidRPr="00175E00">
        <w:t xml:space="preserve"> </w:t>
      </w:r>
      <w:r>
        <w:t xml:space="preserve">Donner </w:t>
      </w:r>
      <w:r w:rsidRPr="00175E00">
        <w:t xml:space="preserve">des informations sur les affaires dans lesquelles </w:t>
      </w:r>
      <w:r>
        <w:t xml:space="preserve">des </w:t>
      </w:r>
      <w:r w:rsidRPr="00175E00">
        <w:t>dispositions du Pacte ont été appliquées par</w:t>
      </w:r>
      <w:r>
        <w:t xml:space="preserve"> les tribunaux nationaux ou ont été invoquées devant eux, </w:t>
      </w:r>
      <w:r w:rsidRPr="00175E00">
        <w:t>en citant des exemples</w:t>
      </w:r>
      <w:r w:rsidR="00F96C2F" w:rsidRPr="00F96C2F">
        <w:t>.</w:t>
      </w:r>
      <w:r w:rsidRPr="00175E00">
        <w:t xml:space="preserve"> </w:t>
      </w:r>
      <w:r>
        <w:t xml:space="preserve">Indiquer également ce qui a été fait pour mieux </w:t>
      </w:r>
      <w:r w:rsidRPr="00175E00">
        <w:t xml:space="preserve">sensibiliser les autorités publiques à tous les niveaux, particulièrement </w:t>
      </w:r>
      <w:r>
        <w:t xml:space="preserve">à l’échelon des </w:t>
      </w:r>
      <w:r w:rsidRPr="00175E00">
        <w:t xml:space="preserve">comtés et </w:t>
      </w:r>
      <w:r>
        <w:t xml:space="preserve">des </w:t>
      </w:r>
      <w:r w:rsidRPr="00175E00">
        <w:t xml:space="preserve">municipalités, aux obligations </w:t>
      </w:r>
      <w:r>
        <w:t xml:space="preserve">que le </w:t>
      </w:r>
      <w:r w:rsidRPr="00175E00">
        <w:t>Pacte</w:t>
      </w:r>
      <w:r>
        <w:t xml:space="preserve"> leur impose</w:t>
      </w:r>
      <w:r w:rsidRPr="00175E00">
        <w:t xml:space="preserve">, </w:t>
      </w:r>
      <w:r>
        <w:t xml:space="preserve">et </w:t>
      </w:r>
      <w:r w:rsidRPr="00175E00">
        <w:t xml:space="preserve">les mécanismes </w:t>
      </w:r>
      <w:r>
        <w:t xml:space="preserve">éventuels qui ont été institués </w:t>
      </w:r>
      <w:r w:rsidRPr="00175E00">
        <w:t xml:space="preserve">pour coordonner et </w:t>
      </w:r>
      <w:r>
        <w:t xml:space="preserve">suivre l’exécution </w:t>
      </w:r>
      <w:r w:rsidRPr="00175E00">
        <w:t>ces obligations par les autorités locales</w:t>
      </w:r>
      <w:r w:rsidR="00F96C2F" w:rsidRPr="00F96C2F">
        <w:t>.</w:t>
      </w:r>
    </w:p>
    <w:p w14:paraId="0A4543EB" w14:textId="77777777" w:rsidR="00C262CB" w:rsidRPr="00175E00" w:rsidRDefault="00C262CB" w:rsidP="00C262CB">
      <w:pPr>
        <w:pStyle w:val="SingleTxtG"/>
      </w:pPr>
      <w:r w:rsidRPr="00175E00">
        <w:t>5</w:t>
      </w:r>
      <w:r w:rsidR="00F96C2F" w:rsidRPr="00F96C2F">
        <w:t>.</w:t>
      </w:r>
      <w:r w:rsidRPr="00175E00">
        <w:tab/>
        <w:t>Compte tenu des renseignements communiqués par l</w:t>
      </w:r>
      <w:r>
        <w:t>’</w:t>
      </w:r>
      <w:r w:rsidRPr="00175E00">
        <w:t>État partie au Comité pour l</w:t>
      </w:r>
      <w:r>
        <w:t>’</w:t>
      </w:r>
      <w:r w:rsidRPr="00175E00">
        <w:t>élimination de la discrimination raciale (CERD/C/SWE/CO/22-23/Add</w:t>
      </w:r>
      <w:r w:rsidR="00F96C2F" w:rsidRPr="00F96C2F">
        <w:t>.</w:t>
      </w:r>
      <w:r w:rsidRPr="00175E00">
        <w:t>1, par</w:t>
      </w:r>
      <w:r w:rsidR="00F96C2F" w:rsidRPr="00F96C2F">
        <w:t>.</w:t>
      </w:r>
      <w:r w:rsidRPr="00175E00">
        <w:t xml:space="preserve"> 3), donner des renseignements </w:t>
      </w:r>
      <w:r>
        <w:t xml:space="preserve">à jour </w:t>
      </w:r>
      <w:r w:rsidRPr="00175E00">
        <w:t xml:space="preserve">sur </w:t>
      </w:r>
      <w:r>
        <w:t xml:space="preserve">les progrès accomplis pour ce qui est de créer </w:t>
      </w:r>
      <w:r w:rsidRPr="00175E00">
        <w:t>une institution nationale des droits de l</w:t>
      </w:r>
      <w:r>
        <w:t>’</w:t>
      </w:r>
      <w:r w:rsidRPr="00175E00">
        <w:t>homme conformément aux Principes concernant le statut des institutions nationales pour la promotion et la protection des droits de l</w:t>
      </w:r>
      <w:r>
        <w:t>’</w:t>
      </w:r>
      <w:r w:rsidRPr="00175E00">
        <w:t>homme (Principes de Paris)</w:t>
      </w:r>
      <w:r w:rsidR="00F96C2F" w:rsidRPr="00F96C2F">
        <w:t>.</w:t>
      </w:r>
      <w:r w:rsidRPr="00175E00">
        <w:t xml:space="preserve"> Indiquer également </w:t>
      </w:r>
      <w:r>
        <w:t xml:space="preserve">si l’on prévoit que l’institution envisagée sera chargée de protéger et de promouvoir les </w:t>
      </w:r>
      <w:r w:rsidRPr="00175E00">
        <w:t xml:space="preserve">droits consacrés </w:t>
      </w:r>
      <w:r>
        <w:t xml:space="preserve">dans </w:t>
      </w:r>
      <w:r w:rsidRPr="00175E00">
        <w:t>le Pacte</w:t>
      </w:r>
      <w:r w:rsidR="00F96C2F" w:rsidRPr="00F96C2F">
        <w:t>.</w:t>
      </w:r>
    </w:p>
    <w:p w14:paraId="1E4B5628" w14:textId="77777777" w:rsidR="00C262CB" w:rsidRPr="00175E00" w:rsidRDefault="00C262CB" w:rsidP="00C262CB">
      <w:pPr>
        <w:pStyle w:val="SingleTxtG"/>
      </w:pPr>
      <w:r w:rsidRPr="00175E00">
        <w:t>6</w:t>
      </w:r>
      <w:r w:rsidR="00F96C2F" w:rsidRPr="00F96C2F">
        <w:t>.</w:t>
      </w:r>
      <w:r w:rsidRPr="00175E00">
        <w:tab/>
      </w:r>
      <w:r>
        <w:t xml:space="preserve">Rendre compte de l’application </w:t>
      </w:r>
      <w:r w:rsidRPr="00175E00">
        <w:t>du plan d</w:t>
      </w:r>
      <w:r>
        <w:t>’</w:t>
      </w:r>
      <w:r w:rsidRPr="00175E00">
        <w:t>action sur les entreprises et les droits de l</w:t>
      </w:r>
      <w:r>
        <w:t>’</w:t>
      </w:r>
      <w:r w:rsidRPr="00175E00">
        <w:t xml:space="preserve">homme, y compris </w:t>
      </w:r>
      <w:r>
        <w:t xml:space="preserve">des résultats obtenus et des </w:t>
      </w:r>
      <w:r w:rsidRPr="00175E00">
        <w:t>difficultés rencontrées jusqu</w:t>
      </w:r>
      <w:r>
        <w:t>’</w:t>
      </w:r>
      <w:r w:rsidRPr="00175E00">
        <w:t>à présent</w:t>
      </w:r>
      <w:r w:rsidR="00F96C2F" w:rsidRPr="00F96C2F">
        <w:t>.</w:t>
      </w:r>
      <w:r w:rsidRPr="00175E00">
        <w:t xml:space="preserve"> En particulier, spécifier </w:t>
      </w:r>
      <w:r>
        <w:t xml:space="preserve">les </w:t>
      </w:r>
      <w:r w:rsidRPr="00175E00">
        <w:t xml:space="preserve">mesures prises pour </w:t>
      </w:r>
      <w:r>
        <w:t xml:space="preserve">veiller à ce </w:t>
      </w:r>
      <w:r w:rsidRPr="00175E00">
        <w:t>que les entreprises exercent une diligence raisonnable en matière de droits de l</w:t>
      </w:r>
      <w:r>
        <w:t>’</w:t>
      </w:r>
      <w:r w:rsidRPr="00175E00">
        <w:t xml:space="preserve">homme dans </w:t>
      </w:r>
      <w:r>
        <w:t>l’ensemble de leurs activités</w:t>
      </w:r>
      <w:r w:rsidRPr="00175E00">
        <w:t>, y compris à l</w:t>
      </w:r>
      <w:r>
        <w:t>’</w:t>
      </w:r>
      <w:r w:rsidRPr="00175E00">
        <w:t xml:space="preserve">étranger, et </w:t>
      </w:r>
      <w:r>
        <w:t xml:space="preserve">indiquer dans quelle </w:t>
      </w:r>
      <w:r w:rsidRPr="00175E00">
        <w:t xml:space="preserve">mesure </w:t>
      </w:r>
      <w:r>
        <w:t>elles le font</w:t>
      </w:r>
      <w:r w:rsidR="00F96C2F" w:rsidRPr="00F96C2F">
        <w:t>.</w:t>
      </w:r>
      <w:r w:rsidRPr="00175E00">
        <w:t xml:space="preserve"> </w:t>
      </w:r>
      <w:r>
        <w:t xml:space="preserve">Rendre compte également des </w:t>
      </w:r>
      <w:r w:rsidRPr="00175E00">
        <w:t xml:space="preserve">mesures prises pour </w:t>
      </w:r>
      <w:r>
        <w:t xml:space="preserve">assurer aux </w:t>
      </w:r>
      <w:r w:rsidRPr="00175E00">
        <w:t>victimes de violations des droits de l</w:t>
      </w:r>
      <w:r>
        <w:t>’</w:t>
      </w:r>
      <w:r w:rsidRPr="00175E00">
        <w:t xml:space="preserve">homme commises par des entreprises </w:t>
      </w:r>
      <w:r>
        <w:t xml:space="preserve">des </w:t>
      </w:r>
      <w:r w:rsidRPr="00175E00">
        <w:t xml:space="preserve">recours </w:t>
      </w:r>
      <w:r>
        <w:t>effectifs</w:t>
      </w:r>
      <w:r w:rsidRPr="00175E00">
        <w:t xml:space="preserve">, </w:t>
      </w:r>
      <w:r>
        <w:t>en citant des exemples d’affaires de cette nature</w:t>
      </w:r>
      <w:r w:rsidR="00F96C2F" w:rsidRPr="00F96C2F">
        <w:t>.</w:t>
      </w:r>
      <w:r w:rsidRPr="00175E00">
        <w:t xml:space="preserve"> </w:t>
      </w:r>
      <w:r>
        <w:t xml:space="preserve">Indiquer aussi les lacunes que des affaires judiciaires ont pu révéler, dans la législation ou sur </w:t>
      </w:r>
      <w:r>
        <w:t xml:space="preserve">le </w:t>
      </w:r>
      <w:r>
        <w:t xml:space="preserve">plan des politiques, notamment l’affaire </w:t>
      </w:r>
      <w:r w:rsidRPr="00175E00">
        <w:rPr>
          <w:i/>
        </w:rPr>
        <w:t xml:space="preserve">Arica </w:t>
      </w:r>
      <w:proofErr w:type="spellStart"/>
      <w:r w:rsidRPr="00175E00">
        <w:rPr>
          <w:i/>
        </w:rPr>
        <w:t>Victims</w:t>
      </w:r>
      <w:proofErr w:type="spellEnd"/>
      <w:r w:rsidRPr="00175E00">
        <w:rPr>
          <w:i/>
        </w:rPr>
        <w:t xml:space="preserve"> KB c</w:t>
      </w:r>
      <w:r w:rsidR="00F96C2F" w:rsidRPr="00F96C2F">
        <w:rPr>
          <w:i/>
        </w:rPr>
        <w:t>.</w:t>
      </w:r>
      <w:r w:rsidRPr="00175E00">
        <w:rPr>
          <w:i/>
        </w:rPr>
        <w:t xml:space="preserve"> </w:t>
      </w:r>
      <w:proofErr w:type="spellStart"/>
      <w:r w:rsidRPr="00175E00">
        <w:rPr>
          <w:i/>
        </w:rPr>
        <w:t>Boliden</w:t>
      </w:r>
      <w:proofErr w:type="spellEnd"/>
      <w:r w:rsidRPr="00175E00">
        <w:rPr>
          <w:i/>
        </w:rPr>
        <w:t xml:space="preserve"> </w:t>
      </w:r>
      <w:proofErr w:type="spellStart"/>
      <w:r w:rsidRPr="00175E00">
        <w:rPr>
          <w:i/>
        </w:rPr>
        <w:t>Mineral</w:t>
      </w:r>
      <w:proofErr w:type="spellEnd"/>
      <w:r w:rsidRPr="00175E00">
        <w:rPr>
          <w:i/>
        </w:rPr>
        <w:t xml:space="preserve"> AB</w:t>
      </w:r>
      <w:r>
        <w:rPr>
          <w:iCs/>
        </w:rPr>
        <w:t>,</w:t>
      </w:r>
      <w:r>
        <w:t xml:space="preserve"> s’agissant d’assurer aux victimes des recours effectifs</w:t>
      </w:r>
      <w:r w:rsidRPr="00175E00">
        <w:t xml:space="preserve">, et </w:t>
      </w:r>
      <w:r>
        <w:t xml:space="preserve">les </w:t>
      </w:r>
      <w:r w:rsidRPr="00175E00">
        <w:t xml:space="preserve">mesures </w:t>
      </w:r>
      <w:r>
        <w:t xml:space="preserve">qui ont été </w:t>
      </w:r>
      <w:r w:rsidRPr="00175E00">
        <w:t>prises</w:t>
      </w:r>
      <w:r>
        <w:t xml:space="preserve">, le cas échant, pour remédier à ces </w:t>
      </w:r>
      <w:r w:rsidRPr="00175E00">
        <w:t>lacunes</w:t>
      </w:r>
      <w:r w:rsidR="00F96C2F" w:rsidRPr="00F96C2F">
        <w:t>.</w:t>
      </w:r>
    </w:p>
    <w:p w14:paraId="4B34F075" w14:textId="77777777" w:rsidR="00C262CB" w:rsidRPr="00175E00" w:rsidRDefault="00C262CB" w:rsidP="00C262CB">
      <w:pPr>
        <w:pStyle w:val="SingleTxtG"/>
      </w:pPr>
      <w:r w:rsidRPr="00175E00">
        <w:t>7</w:t>
      </w:r>
      <w:r w:rsidR="00F96C2F" w:rsidRPr="00F96C2F">
        <w:t>.</w:t>
      </w:r>
      <w:r w:rsidRPr="00175E00">
        <w:tab/>
        <w:t xml:space="preserve">Indiquer ce qui a été fait pour intégrer </w:t>
      </w:r>
      <w:r>
        <w:t xml:space="preserve">la </w:t>
      </w:r>
      <w:r w:rsidRPr="00175E00">
        <w:t>diligence raisonnable en matière de droits de l</w:t>
      </w:r>
      <w:r>
        <w:t>’</w:t>
      </w:r>
      <w:r w:rsidRPr="00175E00">
        <w:t xml:space="preserve">homme dans les politiques et </w:t>
      </w:r>
      <w:r>
        <w:t xml:space="preserve">les principes directeurs qui concernent les </w:t>
      </w:r>
      <w:r w:rsidRPr="00175E00">
        <w:t xml:space="preserve">entreprises publiques, </w:t>
      </w:r>
      <w:r>
        <w:t xml:space="preserve">y compris s’agissant de </w:t>
      </w:r>
      <w:proofErr w:type="spellStart"/>
      <w:r w:rsidRPr="00175E00">
        <w:t>Swedfund</w:t>
      </w:r>
      <w:proofErr w:type="spellEnd"/>
      <w:r w:rsidRPr="00175E00">
        <w:t xml:space="preserve"> International AB et </w:t>
      </w:r>
      <w:r>
        <w:t xml:space="preserve">de </w:t>
      </w:r>
      <w:r w:rsidRPr="00175E00">
        <w:t>la Société suédoise de crédit à l</w:t>
      </w:r>
      <w:r>
        <w:t>’</w:t>
      </w:r>
      <w:r w:rsidRPr="00175E00">
        <w:t xml:space="preserve">exportation (EKN), et </w:t>
      </w:r>
      <w:r>
        <w:t xml:space="preserve">rendre compte de tout mécanisme par lequel les entreprises publiques rendent compte de leur </w:t>
      </w:r>
      <w:r w:rsidRPr="00175E00">
        <w:t>diligence raisonnable en matière de droits de l</w:t>
      </w:r>
      <w:r>
        <w:t>’</w:t>
      </w:r>
      <w:r w:rsidRPr="00175E00">
        <w:t xml:space="preserve">homme, </w:t>
      </w:r>
      <w:r>
        <w:t xml:space="preserve">en citant des </w:t>
      </w:r>
      <w:r w:rsidRPr="00175E00">
        <w:t xml:space="preserve">exemples de </w:t>
      </w:r>
      <w:r>
        <w:t>rapports présentés dans ce contexte</w:t>
      </w:r>
      <w:r w:rsidR="00F96C2F" w:rsidRPr="00F96C2F">
        <w:t>.</w:t>
      </w:r>
      <w:r w:rsidRPr="00175E00">
        <w:t xml:space="preserve"> </w:t>
      </w:r>
      <w:r>
        <w:t xml:space="preserve">Rendre compte aussi de la mise en œuvre de la diligence raisonnable imposée par </w:t>
      </w:r>
      <w:r w:rsidRPr="00175E00">
        <w:t xml:space="preserve">EKN </w:t>
      </w:r>
      <w:r>
        <w:t xml:space="preserve">pour les </w:t>
      </w:r>
      <w:r w:rsidRPr="00175E00">
        <w:t>transactions commerciales, conformément au plan d</w:t>
      </w:r>
      <w:r>
        <w:t>’</w:t>
      </w:r>
      <w:r w:rsidRPr="00175E00">
        <w:t>action national sur les entreprises et les droits de l</w:t>
      </w:r>
      <w:r>
        <w:t>’</w:t>
      </w:r>
      <w:r w:rsidRPr="00175E00">
        <w:t>homme (p</w:t>
      </w:r>
      <w:r w:rsidR="00F96C2F" w:rsidRPr="00F96C2F">
        <w:t>.</w:t>
      </w:r>
      <w:r w:rsidRPr="00175E00">
        <w:t> 24)</w:t>
      </w:r>
      <w:r>
        <w:t xml:space="preserve"> ; et concernant les </w:t>
      </w:r>
      <w:r w:rsidRPr="00175E00">
        <w:t xml:space="preserve">transactions qui ont été </w:t>
      </w:r>
      <w:r>
        <w:t xml:space="preserve">rejetées en vertu de la diligence raisonnable, liées </w:t>
      </w:r>
      <w:r w:rsidRPr="00175E00">
        <w:t xml:space="preserve">en particulier </w:t>
      </w:r>
      <w:r>
        <w:t>à</w:t>
      </w:r>
      <w:r w:rsidRPr="00175E00">
        <w:t xml:space="preserve"> l</w:t>
      </w:r>
      <w:r>
        <w:t>’</w:t>
      </w:r>
      <w:r w:rsidRPr="00175E00">
        <w:t>exportation d</w:t>
      </w:r>
      <w:r>
        <w:t>’</w:t>
      </w:r>
      <w:r w:rsidRPr="00175E00">
        <w:t>armes</w:t>
      </w:r>
      <w:r w:rsidR="00F96C2F" w:rsidRPr="00F96C2F">
        <w:t>.</w:t>
      </w:r>
      <w:r w:rsidRPr="00175E00">
        <w:t xml:space="preserve"> Donner, en outre, des renseignements sur les procédures</w:t>
      </w:r>
      <w:r>
        <w:t xml:space="preserve"> qui existent </w:t>
      </w:r>
      <w:r w:rsidRPr="00175E00">
        <w:t xml:space="preserve">pour évaluer les </w:t>
      </w:r>
      <w:r>
        <w:t xml:space="preserve">répercussions </w:t>
      </w:r>
      <w:r w:rsidRPr="00175E00">
        <w:t>sur les droits de l</w:t>
      </w:r>
      <w:r>
        <w:t>’</w:t>
      </w:r>
      <w:r w:rsidRPr="00175E00">
        <w:t xml:space="preserve">homme </w:t>
      </w:r>
      <w:r>
        <w:t xml:space="preserve">dans le contexte de </w:t>
      </w:r>
      <w:r w:rsidRPr="00175E00">
        <w:t>l</w:t>
      </w:r>
      <w:r>
        <w:t>’</w:t>
      </w:r>
      <w:r w:rsidRPr="00175E00">
        <w:t xml:space="preserve">aide </w:t>
      </w:r>
      <w:r>
        <w:t xml:space="preserve">publique </w:t>
      </w:r>
      <w:r w:rsidRPr="00175E00">
        <w:t xml:space="preserve">au développement </w:t>
      </w:r>
      <w:r>
        <w:t xml:space="preserve">de </w:t>
      </w:r>
      <w:r w:rsidRPr="00175E00">
        <w:t>l</w:t>
      </w:r>
      <w:r>
        <w:t>’</w:t>
      </w:r>
      <w:r w:rsidRPr="00175E00">
        <w:t xml:space="preserve">État partie et </w:t>
      </w:r>
      <w:r>
        <w:t xml:space="preserve">de </w:t>
      </w:r>
      <w:r w:rsidRPr="00175E00">
        <w:t>la négociation par celui</w:t>
      </w:r>
      <w:r>
        <w:noBreakHyphen/>
      </w:r>
      <w:r w:rsidRPr="00175E00">
        <w:t>ci d</w:t>
      </w:r>
      <w:r>
        <w:t>’</w:t>
      </w:r>
      <w:r w:rsidRPr="00175E00">
        <w:t>accords commerciaux</w:t>
      </w:r>
      <w:r w:rsidR="00F96C2F" w:rsidRPr="00F96C2F">
        <w:t>.</w:t>
      </w:r>
    </w:p>
    <w:p w14:paraId="48F98D9F" w14:textId="77777777" w:rsidR="00C262CB" w:rsidRPr="00175E00" w:rsidRDefault="00C262CB" w:rsidP="00C262CB">
      <w:pPr>
        <w:pStyle w:val="SingleTxtG"/>
      </w:pPr>
      <w:r w:rsidRPr="00175E00">
        <w:t>8</w:t>
      </w:r>
      <w:r w:rsidR="00F96C2F" w:rsidRPr="00F96C2F">
        <w:t>.</w:t>
      </w:r>
      <w:r w:rsidRPr="00175E00">
        <w:tab/>
      </w:r>
      <w:r>
        <w:t xml:space="preserve">Rendre compte de l’application </w:t>
      </w:r>
      <w:r w:rsidRPr="00175E00">
        <w:t xml:space="preserve">de la loi sur le climat et </w:t>
      </w:r>
      <w:r>
        <w:t xml:space="preserve">des </w:t>
      </w:r>
      <w:r w:rsidRPr="00175E00">
        <w:t xml:space="preserve">principales mesures </w:t>
      </w:r>
      <w:r>
        <w:t xml:space="preserve">inscrites </w:t>
      </w:r>
      <w:r w:rsidRPr="00175E00">
        <w:t>dans le plan d</w:t>
      </w:r>
      <w:r>
        <w:t>’</w:t>
      </w:r>
      <w:r w:rsidRPr="00175E00">
        <w:t>action adopté en 2019</w:t>
      </w:r>
      <w:r>
        <w:t xml:space="preserve"> sur la politique climatique</w:t>
      </w:r>
      <w:r w:rsidR="00F96C2F" w:rsidRPr="00F96C2F">
        <w:t>.</w:t>
      </w:r>
      <w:r w:rsidRPr="00175E00">
        <w:t xml:space="preserve"> </w:t>
      </w:r>
      <w:r>
        <w:t>L’</w:t>
      </w:r>
      <w:r w:rsidRPr="00175E00">
        <w:t xml:space="preserve">État partie </w:t>
      </w:r>
      <w:r>
        <w:t>pourrait aussi rendre compte des progrès accomplis dans la réalisation de</w:t>
      </w:r>
      <w:r w:rsidRPr="00175E00">
        <w:t xml:space="preserve"> son objectif </w:t>
      </w:r>
      <w:r>
        <w:t xml:space="preserve">consistant à n’émettre aucun </w:t>
      </w:r>
      <w:r w:rsidRPr="00175E00">
        <w:t>gaz à effet de serre dans l</w:t>
      </w:r>
      <w:r>
        <w:t>’</w:t>
      </w:r>
      <w:r w:rsidRPr="00175E00">
        <w:t xml:space="preserve">atmosphère </w:t>
      </w:r>
      <w:r>
        <w:t xml:space="preserve">d’ici à </w:t>
      </w:r>
      <w:r w:rsidRPr="00175E00">
        <w:t>2045</w:t>
      </w:r>
      <w:r>
        <w:t xml:space="preserve"> au plus tard</w:t>
      </w:r>
      <w:r w:rsidR="00F96C2F" w:rsidRPr="00F96C2F">
        <w:t>.</w:t>
      </w:r>
      <w:r w:rsidRPr="00175E00">
        <w:t xml:space="preserve"> </w:t>
      </w:r>
      <w:r>
        <w:t xml:space="preserve">Indiquer également </w:t>
      </w:r>
      <w:r w:rsidRPr="00175E00">
        <w:t xml:space="preserve">quelles mesures ont été prises pour atténuer les effets des changements climatiques sur la jouissance des droits économiques, sociaux et culturels dans le pays, particulièrement </w:t>
      </w:r>
      <w:r>
        <w:t xml:space="preserve">dans le cas des </w:t>
      </w:r>
      <w:proofErr w:type="spellStart"/>
      <w:r w:rsidRPr="00175E00">
        <w:t>Sâmes</w:t>
      </w:r>
      <w:proofErr w:type="spellEnd"/>
      <w:r w:rsidRPr="00175E00">
        <w:t>, et à l</w:t>
      </w:r>
      <w:r>
        <w:t>’</w:t>
      </w:r>
      <w:r w:rsidRPr="00175E00">
        <w:t xml:space="preserve">étranger, </w:t>
      </w:r>
      <w:r>
        <w:t xml:space="preserve">par </w:t>
      </w:r>
      <w:r w:rsidRPr="00175E00">
        <w:t>la coopération internationale</w:t>
      </w:r>
      <w:r w:rsidR="00F96C2F" w:rsidRPr="00F96C2F">
        <w:t>.</w:t>
      </w:r>
      <w:r w:rsidRPr="00175E00">
        <w:t xml:space="preserve"> Enfin, donner des renseignements sur les contributions que l</w:t>
      </w:r>
      <w:r>
        <w:t>’</w:t>
      </w:r>
      <w:r w:rsidRPr="00175E00">
        <w:t>État partie s</w:t>
      </w:r>
      <w:r>
        <w:t>’</w:t>
      </w:r>
      <w:r w:rsidRPr="00175E00">
        <w:t>est engagé à verser</w:t>
      </w:r>
      <w:r>
        <w:t xml:space="preserve">, et </w:t>
      </w:r>
      <w:r w:rsidRPr="00175E00">
        <w:t>celles qu</w:t>
      </w:r>
      <w:r>
        <w:t>’</w:t>
      </w:r>
      <w:r w:rsidRPr="00175E00">
        <w:t>il a déjà versées au Fonds vert pour le climat</w:t>
      </w:r>
      <w:r w:rsidR="00F96C2F" w:rsidRPr="00F96C2F">
        <w:t>.</w:t>
      </w:r>
    </w:p>
    <w:p w14:paraId="28BAF3CA" w14:textId="77777777" w:rsidR="00C262CB" w:rsidRPr="00175E00" w:rsidRDefault="00C262CB" w:rsidP="00C262CB">
      <w:pPr>
        <w:pStyle w:val="SingleTxtG"/>
        <w:keepNext/>
        <w:keepLines/>
      </w:pPr>
      <w:r w:rsidRPr="00175E00">
        <w:lastRenderedPageBreak/>
        <w:t>9</w:t>
      </w:r>
      <w:r w:rsidR="00F96C2F" w:rsidRPr="00F96C2F">
        <w:t>.</w:t>
      </w:r>
      <w:r w:rsidRPr="00175E00">
        <w:tab/>
      </w:r>
      <w:r>
        <w:t xml:space="preserve">Rendre compte de toute </w:t>
      </w:r>
      <w:r w:rsidRPr="00175E00">
        <w:t xml:space="preserve">mesure prise pour renforcer </w:t>
      </w:r>
      <w:r>
        <w:t xml:space="preserve">les attributions et le rôle du </w:t>
      </w:r>
      <w:r w:rsidRPr="00175E00">
        <w:t xml:space="preserve">Parlement </w:t>
      </w:r>
      <w:proofErr w:type="spellStart"/>
      <w:r w:rsidRPr="00175E00">
        <w:t>sâme</w:t>
      </w:r>
      <w:proofErr w:type="spellEnd"/>
      <w:r w:rsidRPr="00175E00">
        <w:t xml:space="preserve"> </w:t>
      </w:r>
      <w:r>
        <w:t>pour qu’il se prononce lui-même sur les affaires</w:t>
      </w:r>
      <w:r w:rsidRPr="00175E00">
        <w:t xml:space="preserve"> internes et </w:t>
      </w:r>
      <w:r>
        <w:t xml:space="preserve">les </w:t>
      </w:r>
      <w:r w:rsidRPr="00175E00">
        <w:t xml:space="preserve">priorités des </w:t>
      </w:r>
      <w:proofErr w:type="spellStart"/>
      <w:r w:rsidRPr="00175E00">
        <w:t>Sâmes</w:t>
      </w:r>
      <w:proofErr w:type="spellEnd"/>
      <w:r w:rsidRPr="00175E00">
        <w:t xml:space="preserve"> et </w:t>
      </w:r>
      <w:r>
        <w:t xml:space="preserve">influe </w:t>
      </w:r>
      <w:r w:rsidRPr="00175E00">
        <w:t xml:space="preserve">sur les décisions qui </w:t>
      </w:r>
      <w:r>
        <w:t xml:space="preserve">les </w:t>
      </w:r>
      <w:r w:rsidRPr="00175E00">
        <w:t>concernent</w:t>
      </w:r>
      <w:r w:rsidR="00F96C2F" w:rsidRPr="00F96C2F">
        <w:t>.</w:t>
      </w:r>
      <w:r w:rsidRPr="00175E00">
        <w:t xml:space="preserve"> Indiquer </w:t>
      </w:r>
      <w:r>
        <w:t xml:space="preserve">à quel stade en sont la création </w:t>
      </w:r>
      <w:r w:rsidRPr="00175E00">
        <w:t xml:space="preserve">de la Commission </w:t>
      </w:r>
      <w:proofErr w:type="spellStart"/>
      <w:r w:rsidRPr="00175E00">
        <w:t>sâme</w:t>
      </w:r>
      <w:proofErr w:type="spellEnd"/>
      <w:r w:rsidRPr="00175E00">
        <w:t xml:space="preserve"> de la vérité </w:t>
      </w:r>
      <w:r>
        <w:t xml:space="preserve">et </w:t>
      </w:r>
      <w:r w:rsidRPr="00175E00">
        <w:t>l</w:t>
      </w:r>
      <w:r>
        <w:t>’</w:t>
      </w:r>
      <w:r w:rsidRPr="00175E00">
        <w:t xml:space="preserve">adoption de la Convention nordique relative aux </w:t>
      </w:r>
      <w:proofErr w:type="spellStart"/>
      <w:r w:rsidRPr="00175E00">
        <w:t>Sâmes</w:t>
      </w:r>
      <w:proofErr w:type="spellEnd"/>
      <w:r w:rsidR="00F96C2F" w:rsidRPr="00F96C2F">
        <w:t>.</w:t>
      </w:r>
      <w:r w:rsidRPr="00175E00">
        <w:t xml:space="preserve"> </w:t>
      </w:r>
      <w:r>
        <w:t xml:space="preserve">Signaler également tout effort visant à faire en sorte que l’exercice </w:t>
      </w:r>
      <w:r w:rsidRPr="00175E00">
        <w:t xml:space="preserve">par les </w:t>
      </w:r>
      <w:proofErr w:type="spellStart"/>
      <w:r w:rsidRPr="00175E00">
        <w:t>Sâmes</w:t>
      </w:r>
      <w:proofErr w:type="spellEnd"/>
      <w:r w:rsidRPr="00175E00">
        <w:t xml:space="preserve"> </w:t>
      </w:r>
      <w:r>
        <w:t xml:space="preserve">des </w:t>
      </w:r>
      <w:r w:rsidRPr="00175E00">
        <w:t xml:space="preserve">droits </w:t>
      </w:r>
      <w:r>
        <w:t xml:space="preserve">prévus dans </w:t>
      </w:r>
      <w:r w:rsidRPr="00175E00">
        <w:t xml:space="preserve">le Pacte soit </w:t>
      </w:r>
      <w:r>
        <w:t xml:space="preserve">suivi </w:t>
      </w:r>
      <w:r w:rsidRPr="00175E00">
        <w:t>et analysé de manière systématique sur la base de statistiques fiables</w:t>
      </w:r>
      <w:r>
        <w:t xml:space="preserve">, et présenter des renseignements </w:t>
      </w:r>
      <w:r w:rsidRPr="00175E00">
        <w:t xml:space="preserve">sur </w:t>
      </w:r>
      <w:r>
        <w:t>l’exercice</w:t>
      </w:r>
      <w:r w:rsidRPr="00175E00">
        <w:t xml:space="preserve"> par les </w:t>
      </w:r>
      <w:proofErr w:type="spellStart"/>
      <w:r w:rsidRPr="00175E00">
        <w:t>Sâmes</w:t>
      </w:r>
      <w:proofErr w:type="spellEnd"/>
      <w:r w:rsidRPr="00175E00">
        <w:t xml:space="preserve"> de leurs droits économiques, sociaux et culturels, en particulier le droit </w:t>
      </w:r>
      <w:r>
        <w:t>au travail</w:t>
      </w:r>
      <w:r w:rsidRPr="00175E00">
        <w:t>, le droit à un niveau de vie suffisant, le droit à la santé et le droit à l</w:t>
      </w:r>
      <w:r>
        <w:t>’</w:t>
      </w:r>
      <w:r w:rsidRPr="00175E00">
        <w:t>éducation</w:t>
      </w:r>
      <w:r w:rsidR="00F96C2F" w:rsidRPr="00F96C2F">
        <w:t>.</w:t>
      </w:r>
    </w:p>
    <w:p w14:paraId="27275CDC" w14:textId="77777777" w:rsidR="00C262CB" w:rsidRPr="00175E00" w:rsidRDefault="00C262CB" w:rsidP="00C262CB">
      <w:pPr>
        <w:pStyle w:val="SingleTxtG"/>
      </w:pPr>
      <w:r w:rsidRPr="00175E00">
        <w:t>10</w:t>
      </w:r>
      <w:r w:rsidR="00F96C2F" w:rsidRPr="00F96C2F">
        <w:t>.</w:t>
      </w:r>
      <w:r w:rsidRPr="00175E00">
        <w:tab/>
        <w:t>Donner des informations sur l</w:t>
      </w:r>
      <w:r>
        <w:t>’</w:t>
      </w:r>
      <w:r w:rsidRPr="00175E00">
        <w:t xml:space="preserve">état du projet de loi relative à la consultation des </w:t>
      </w:r>
      <w:proofErr w:type="spellStart"/>
      <w:r w:rsidRPr="00175E00">
        <w:t>Sâmes</w:t>
      </w:r>
      <w:proofErr w:type="spellEnd"/>
      <w:r w:rsidRPr="00175E00">
        <w:t xml:space="preserve"> et les </w:t>
      </w:r>
      <w:r>
        <w:t xml:space="preserve">dispositions prises pour </w:t>
      </w:r>
      <w:r w:rsidRPr="00175E00">
        <w:t>que le principe du consentement préalable, libre et éclairé y soit pleinement intégré</w:t>
      </w:r>
      <w:r w:rsidR="00F96C2F" w:rsidRPr="00F96C2F">
        <w:t>.</w:t>
      </w:r>
      <w:r w:rsidRPr="00175E00">
        <w:t xml:space="preserve"> Préciser la manière dont ce principe a été appliqué dans la pratique, notamment </w:t>
      </w:r>
      <w:r>
        <w:t>à propos</w:t>
      </w:r>
      <w:r w:rsidRPr="00175E00">
        <w:t xml:space="preserve"> de l</w:t>
      </w:r>
      <w:r>
        <w:t>’</w:t>
      </w:r>
      <w:r w:rsidRPr="00175E00">
        <w:t xml:space="preserve">utilisation </w:t>
      </w:r>
      <w:r>
        <w:t xml:space="preserve">de </w:t>
      </w:r>
      <w:r w:rsidRPr="00175E00">
        <w:t xml:space="preserve">terres pour </w:t>
      </w:r>
      <w:r>
        <w:t xml:space="preserve">des </w:t>
      </w:r>
      <w:r w:rsidRPr="00175E00">
        <w:t>projets d</w:t>
      </w:r>
      <w:r>
        <w:t>’</w:t>
      </w:r>
      <w:r w:rsidRPr="00175E00">
        <w:t xml:space="preserve">extraction </w:t>
      </w:r>
      <w:r>
        <w:t xml:space="preserve">et </w:t>
      </w:r>
      <w:r w:rsidRPr="00175E00">
        <w:t>d</w:t>
      </w:r>
      <w:r>
        <w:t>’</w:t>
      </w:r>
      <w:r w:rsidRPr="00175E00">
        <w:t xml:space="preserve">infrastructure, et indiquer quelles mesures ont été prises pour systématiser la participation et la consultation des </w:t>
      </w:r>
      <w:proofErr w:type="spellStart"/>
      <w:r w:rsidRPr="00175E00">
        <w:t>Sâmes</w:t>
      </w:r>
      <w:proofErr w:type="spellEnd"/>
      <w:r w:rsidRPr="00175E00">
        <w:t xml:space="preserve"> dans </w:t>
      </w:r>
      <w:r>
        <w:t xml:space="preserve">la conception et l’exécution </w:t>
      </w:r>
      <w:r w:rsidRPr="00175E00">
        <w:t>de tous les projets de développement qui les concernent</w:t>
      </w:r>
      <w:r w:rsidR="00F96C2F" w:rsidRPr="00F96C2F">
        <w:t>.</w:t>
      </w:r>
      <w:r w:rsidRPr="00175E00">
        <w:t xml:space="preserve"> Fournir aussi des renseignements sur la révision législative entreprise </w:t>
      </w:r>
      <w:r>
        <w:t xml:space="preserve">à la suite </w:t>
      </w:r>
      <w:r w:rsidRPr="00175E00">
        <w:t>de la décision rendue par la Cour suprême le 23 janvier 2020 dans l</w:t>
      </w:r>
      <w:r>
        <w:t>’</w:t>
      </w:r>
      <w:r w:rsidRPr="00175E00">
        <w:t>affaire n</w:t>
      </w:r>
      <w:r w:rsidRPr="00175E00">
        <w:rPr>
          <w:vertAlign w:val="superscript"/>
        </w:rPr>
        <w:t>o</w:t>
      </w:r>
      <w:r w:rsidRPr="00175E00">
        <w:t xml:space="preserve"> T 853-18, concernant le droit du peuple </w:t>
      </w:r>
      <w:proofErr w:type="spellStart"/>
      <w:r w:rsidRPr="00175E00">
        <w:t>sâme</w:t>
      </w:r>
      <w:proofErr w:type="spellEnd"/>
      <w:r w:rsidRPr="00175E00">
        <w:t xml:space="preserve"> de pratiquer la chasse au petit gibier et la pêche, </w:t>
      </w:r>
      <w:r>
        <w:t>notamment sur son issue</w:t>
      </w:r>
      <w:r w:rsidR="00F96C2F" w:rsidRPr="00F96C2F">
        <w:t>.</w:t>
      </w:r>
    </w:p>
    <w:p w14:paraId="2C221A8C" w14:textId="77777777" w:rsidR="00C262CB" w:rsidRPr="003B2773" w:rsidRDefault="00C262CB" w:rsidP="00C262CB">
      <w:pPr>
        <w:pStyle w:val="SingleTxtG"/>
      </w:pPr>
      <w:r>
        <w:t>11</w:t>
      </w:r>
      <w:r w:rsidR="00F96C2F" w:rsidRPr="00F96C2F">
        <w:t>.</w:t>
      </w:r>
      <w:r w:rsidRPr="003B2773">
        <w:tab/>
        <w:t>Afin que le Comité évalue si l</w:t>
      </w:r>
      <w:r>
        <w:t>’</w:t>
      </w:r>
      <w:r w:rsidRPr="003B2773">
        <w:t>État partie agit au maximum des ressources disponibles pour réaliser les droits reconnus dans le Pacte, donner des renseignements sur l</w:t>
      </w:r>
      <w:r>
        <w:t>’</w:t>
      </w:r>
      <w:r w:rsidRPr="003B2773">
        <w:t>évolution, au cours des dix dernières années</w:t>
      </w:r>
      <w:r>
        <w:t> </w:t>
      </w:r>
      <w:r w:rsidRPr="003B2773">
        <w:t>:</w:t>
      </w:r>
    </w:p>
    <w:p w14:paraId="3361304C" w14:textId="77777777" w:rsidR="00C262CB" w:rsidRPr="003B2773" w:rsidRDefault="00C262CB" w:rsidP="00C262CB">
      <w:pPr>
        <w:pStyle w:val="SingleTxtG"/>
      </w:pPr>
      <w:r>
        <w:tab/>
      </w:r>
      <w:r w:rsidRPr="003B2773">
        <w:t>a)</w:t>
      </w:r>
      <w:r>
        <w:tab/>
      </w:r>
      <w:r w:rsidRPr="003B2773">
        <w:t>De la proportion de la population vivant sous le seuil de pauvreté défini au niveau national et du niveau des inégalités, défini comme le rapport entre le revenu total obtenu par le décile le plus riche de la population et le revenu total des 40</w:t>
      </w:r>
      <w:r>
        <w:t> </w:t>
      </w:r>
      <w:r w:rsidRPr="003B2773">
        <w:t>% de la population les plus pauvres ;</w:t>
      </w:r>
    </w:p>
    <w:p w14:paraId="3286995E" w14:textId="77777777" w:rsidR="00C262CB" w:rsidRPr="003B2773" w:rsidRDefault="00C262CB" w:rsidP="00C262CB">
      <w:pPr>
        <w:pStyle w:val="SingleTxtG"/>
      </w:pPr>
      <w:r>
        <w:tab/>
      </w:r>
      <w:r w:rsidRPr="003B2773">
        <w:t>b)</w:t>
      </w:r>
      <w:r>
        <w:tab/>
      </w:r>
      <w:r w:rsidRPr="003B2773">
        <w:t>De la part des recettes publiques qui est financée par l</w:t>
      </w:r>
      <w:r>
        <w:t>’</w:t>
      </w:r>
      <w:r w:rsidRPr="003B2773">
        <w:t>impôt ;</w:t>
      </w:r>
    </w:p>
    <w:p w14:paraId="70B6891B" w14:textId="77777777" w:rsidR="00C262CB" w:rsidRPr="003B2773" w:rsidRDefault="00C262CB" w:rsidP="00C262CB">
      <w:pPr>
        <w:pStyle w:val="SingleTxtG"/>
      </w:pPr>
      <w:r>
        <w:tab/>
      </w:r>
      <w:r w:rsidRPr="003B2773">
        <w:t>c)</w:t>
      </w:r>
      <w:r>
        <w:tab/>
      </w:r>
      <w:r w:rsidRPr="003B2773">
        <w:t>Des taux d</w:t>
      </w:r>
      <w:r>
        <w:t>’</w:t>
      </w:r>
      <w:r w:rsidRPr="003B2773">
        <w:t>imposition des bénéfices des sociétés et des revenus des personnes physiques, des taux de la taxe sur la valeur ajoutée (hors produits de luxe, produits du tabac, alcools, boissons et en-cas sucrés, ou essence) et de la part (en pourcentage) des recettes fiscales qui proviennent du décile le plus riche de la population ;</w:t>
      </w:r>
    </w:p>
    <w:p w14:paraId="25B6C879" w14:textId="77777777" w:rsidR="00C262CB" w:rsidRPr="003B2773" w:rsidRDefault="00C262CB" w:rsidP="00C262CB">
      <w:pPr>
        <w:pStyle w:val="SingleTxtG"/>
      </w:pPr>
      <w:r>
        <w:tab/>
      </w:r>
      <w:r w:rsidRPr="003B2773">
        <w:t>d)</w:t>
      </w:r>
      <w:r>
        <w:tab/>
      </w:r>
      <w:r w:rsidRPr="003B2773">
        <w:t>De la part des dépenses publiques en pourcentage du produit intérieur brut et de la part du budget public consacré aux domaines sociaux prioritaires (emploi, éducation, alimentation, santé, sécurité sociale, eau et assainissement, logement et culture) en pourcentage des dépenses publiques totales ;</w:t>
      </w:r>
    </w:p>
    <w:p w14:paraId="70358094" w14:textId="77777777" w:rsidR="00C262CB" w:rsidRPr="00175E00" w:rsidRDefault="00C262CB" w:rsidP="00C262CB">
      <w:pPr>
        <w:pStyle w:val="SingleTxtG"/>
      </w:pPr>
      <w:r>
        <w:tab/>
      </w:r>
      <w:r w:rsidRPr="003B2773">
        <w:t>e)</w:t>
      </w:r>
      <w:r>
        <w:tab/>
      </w:r>
      <w:r w:rsidRPr="003B2773">
        <w:t>Des dépenses sociales en valeur absolue corrigée de l</w:t>
      </w:r>
      <w:r>
        <w:t>’</w:t>
      </w:r>
      <w:r w:rsidRPr="003B2773">
        <w:t>inflation</w:t>
      </w:r>
      <w:r w:rsidR="00F96C2F" w:rsidRPr="00F96C2F">
        <w:t>.</w:t>
      </w:r>
    </w:p>
    <w:p w14:paraId="4F929790" w14:textId="77777777" w:rsidR="00C262CB" w:rsidRPr="00175E00" w:rsidRDefault="00C262CB" w:rsidP="00C262CB">
      <w:pPr>
        <w:pStyle w:val="SingleTxtG"/>
      </w:pPr>
      <w:r w:rsidRPr="00175E00">
        <w:t>12</w:t>
      </w:r>
      <w:r w:rsidR="00F96C2F" w:rsidRPr="00F96C2F">
        <w:t>.</w:t>
      </w:r>
      <w:r w:rsidRPr="00175E00">
        <w:tab/>
      </w:r>
      <w:r>
        <w:t xml:space="preserve">Indiquer si des progrès ont été faits dans la </w:t>
      </w:r>
      <w:r w:rsidRPr="00175E00">
        <w:t xml:space="preserve">révision de la loi sur la discrimination </w:t>
      </w:r>
      <w:r>
        <w:t xml:space="preserve">selon </w:t>
      </w:r>
      <w:r w:rsidRPr="00175E00">
        <w:t>la recommandation du Comité (E/C</w:t>
      </w:r>
      <w:r w:rsidR="00F96C2F" w:rsidRPr="00F96C2F">
        <w:t>.</w:t>
      </w:r>
      <w:r w:rsidRPr="00175E00">
        <w:t>12/SWE/CO/6, par</w:t>
      </w:r>
      <w:r w:rsidR="00F96C2F" w:rsidRPr="00F96C2F">
        <w:t>.</w:t>
      </w:r>
      <w:r w:rsidRPr="00175E00">
        <w:t xml:space="preserve"> 18)</w:t>
      </w:r>
      <w:r>
        <w:t xml:space="preserve"> et si des dispositions ont été prises pour revoir la législation antidiscriminatoire actuelle dans le même sens</w:t>
      </w:r>
      <w:r w:rsidR="00F96C2F" w:rsidRPr="00F96C2F">
        <w:t>.</w:t>
      </w:r>
      <w:r>
        <w:t xml:space="preserve"> Rendre compte également </w:t>
      </w:r>
      <w:r w:rsidRPr="00175E00">
        <w:t>sur :</w:t>
      </w:r>
    </w:p>
    <w:p w14:paraId="45CD5B6F" w14:textId="77777777" w:rsidR="00C262CB" w:rsidRPr="00175E00" w:rsidRDefault="00C262CB" w:rsidP="00C262CB">
      <w:pPr>
        <w:pStyle w:val="SingleTxtG"/>
      </w:pPr>
      <w:r w:rsidRPr="00175E00">
        <w:tab/>
        <w:t>a)</w:t>
      </w:r>
      <w:r w:rsidRPr="00175E00">
        <w:tab/>
        <w:t xml:space="preserve">Les plaintes pour discrimination </w:t>
      </w:r>
      <w:r>
        <w:t>adressées</w:t>
      </w:r>
      <w:r w:rsidRPr="00175E00">
        <w:t xml:space="preserve"> à l</w:t>
      </w:r>
      <w:r>
        <w:t>’</w:t>
      </w:r>
      <w:r w:rsidRPr="00175E00">
        <w:t>Ombudsman pour l</w:t>
      </w:r>
      <w:r>
        <w:t>’</w:t>
      </w:r>
      <w:r w:rsidRPr="00175E00">
        <w:t>égalité, en précisant les principaux domaines et motifs de ces plaintes ;</w:t>
      </w:r>
    </w:p>
    <w:p w14:paraId="72398F48" w14:textId="77777777" w:rsidR="00C262CB" w:rsidRPr="00175E00" w:rsidRDefault="00C262CB" w:rsidP="00C262CB">
      <w:pPr>
        <w:pStyle w:val="SingleTxtG"/>
      </w:pPr>
      <w:r w:rsidRPr="00175E00">
        <w:tab/>
        <w:t>b)</w:t>
      </w:r>
      <w:r w:rsidRPr="00175E00">
        <w:tab/>
        <w:t xml:space="preserve">Tout problème de discrimination systémique </w:t>
      </w:r>
      <w:r>
        <w:t xml:space="preserve">qui aurait été </w:t>
      </w:r>
      <w:r w:rsidRPr="00175E00">
        <w:t>soulevé par l</w:t>
      </w:r>
      <w:r>
        <w:t>’</w:t>
      </w:r>
      <w:r w:rsidRPr="00175E00">
        <w:t>Ombudsman ;</w:t>
      </w:r>
    </w:p>
    <w:p w14:paraId="253AB4D2" w14:textId="77777777" w:rsidR="00C262CB" w:rsidRPr="00175E00" w:rsidRDefault="00C262CB" w:rsidP="00C262CB">
      <w:pPr>
        <w:pStyle w:val="SingleTxtG"/>
      </w:pPr>
      <w:r w:rsidRPr="00175E00">
        <w:tab/>
        <w:t>c)</w:t>
      </w:r>
      <w:r w:rsidRPr="00175E00">
        <w:tab/>
        <w:t>Les principales recommandations formulées par l</w:t>
      </w:r>
      <w:r>
        <w:t>’</w:t>
      </w:r>
      <w:r w:rsidRPr="00175E00">
        <w:t xml:space="preserve">Ombudsman et </w:t>
      </w:r>
      <w:r>
        <w:t xml:space="preserve">la suite qu’elles ont reçu des </w:t>
      </w:r>
      <w:r w:rsidRPr="00175E00">
        <w:t xml:space="preserve">autorités </w:t>
      </w:r>
      <w:r>
        <w:t>concernées</w:t>
      </w:r>
      <w:r w:rsidR="00F96C2F" w:rsidRPr="00F96C2F">
        <w:t>.</w:t>
      </w:r>
    </w:p>
    <w:p w14:paraId="583792E9" w14:textId="77777777" w:rsidR="00C262CB" w:rsidRPr="00175E00" w:rsidRDefault="00C262CB" w:rsidP="00C262CB">
      <w:pPr>
        <w:pStyle w:val="SingleTxtG"/>
      </w:pPr>
      <w:r w:rsidRPr="00175E00">
        <w:t>13</w:t>
      </w:r>
      <w:r w:rsidR="00F96C2F" w:rsidRPr="00F96C2F">
        <w:t>.</w:t>
      </w:r>
      <w:r w:rsidRPr="00175E00">
        <w:tab/>
      </w:r>
      <w:r>
        <w:t xml:space="preserve">Rendre compte des </w:t>
      </w:r>
      <w:r w:rsidRPr="00175E00">
        <w:t xml:space="preserve">mesures prises pour </w:t>
      </w:r>
      <w:r>
        <w:t xml:space="preserve">remédier à la fréquence élevée </w:t>
      </w:r>
      <w:r w:rsidRPr="00175E00">
        <w:t>du chômage de longue durée</w:t>
      </w:r>
      <w:r>
        <w:t xml:space="preserve">, et au niveau comparativement bien plus élevé du chômage parmi la population </w:t>
      </w:r>
      <w:r w:rsidRPr="00175E00">
        <w:t>issue de l</w:t>
      </w:r>
      <w:r>
        <w:t>’</w:t>
      </w:r>
      <w:r w:rsidRPr="00175E00">
        <w:t xml:space="preserve">immigration, </w:t>
      </w:r>
      <w:r>
        <w:t xml:space="preserve">et de </w:t>
      </w:r>
      <w:r w:rsidRPr="00175E00">
        <w:t>l</w:t>
      </w:r>
      <w:r>
        <w:t>’</w:t>
      </w:r>
      <w:r w:rsidRPr="00175E00">
        <w:t>efficacité de ces mesures</w:t>
      </w:r>
      <w:r w:rsidR="00F96C2F" w:rsidRPr="00F96C2F">
        <w:t>.</w:t>
      </w:r>
      <w:r w:rsidRPr="00175E00">
        <w:t xml:space="preserve"> </w:t>
      </w:r>
      <w:r>
        <w:t xml:space="preserve">Rendre compte aussi de </w:t>
      </w:r>
      <w:r w:rsidRPr="00175E00">
        <w:t>la part de l</w:t>
      </w:r>
      <w:r>
        <w:t>’</w:t>
      </w:r>
      <w:r w:rsidRPr="00175E00">
        <w:t>emploi dans l</w:t>
      </w:r>
      <w:r>
        <w:t>’</w:t>
      </w:r>
      <w:r w:rsidRPr="00175E00">
        <w:t>économie informelle (</w:t>
      </w:r>
      <w:r>
        <w:t xml:space="preserve">l’emploi </w:t>
      </w:r>
      <w:r w:rsidRPr="00175E00">
        <w:t>« non déclaré »)</w:t>
      </w:r>
      <w:r>
        <w:t>,</w:t>
      </w:r>
      <w:r w:rsidRPr="00175E00">
        <w:t xml:space="preserve"> des formes d</w:t>
      </w:r>
      <w:r>
        <w:t>’</w:t>
      </w:r>
      <w:r w:rsidRPr="00175E00">
        <w:t xml:space="preserve">emploi non classiques, </w:t>
      </w:r>
      <w:r>
        <w:t xml:space="preserve">et des </w:t>
      </w:r>
      <w:r w:rsidRPr="00175E00">
        <w:t>travailleurs en situation de sous-emploi</w:t>
      </w:r>
      <w:r>
        <w:t xml:space="preserve"> ; et des </w:t>
      </w:r>
      <w:r w:rsidRPr="00175E00">
        <w:t xml:space="preserve">mesures prises pour </w:t>
      </w:r>
      <w:r>
        <w:t xml:space="preserve">assurer aux travailleurs dont l’emploi est précaire des perspectives </w:t>
      </w:r>
      <w:r w:rsidRPr="00175E00">
        <w:t>d</w:t>
      </w:r>
      <w:r>
        <w:t>’</w:t>
      </w:r>
      <w:r w:rsidRPr="00175E00">
        <w:t>emploi décent</w:t>
      </w:r>
      <w:r w:rsidR="00F96C2F" w:rsidRPr="00F96C2F">
        <w:t>.</w:t>
      </w:r>
      <w:r w:rsidRPr="00175E00">
        <w:t xml:space="preserve"> </w:t>
      </w:r>
      <w:r w:rsidRPr="00175E00">
        <w:lastRenderedPageBreak/>
        <w:t xml:space="preserve">Dans ce contexte, </w:t>
      </w:r>
      <w:r>
        <w:t xml:space="preserve">indiquer si les modifications de </w:t>
      </w:r>
      <w:r w:rsidRPr="00175E00">
        <w:t>la loi de 2016</w:t>
      </w:r>
      <w:r>
        <w:t xml:space="preserve"> sur la </w:t>
      </w:r>
      <w:r w:rsidRPr="00175E00">
        <w:t>protection de l</w:t>
      </w:r>
      <w:r>
        <w:t>’</w:t>
      </w:r>
      <w:r w:rsidRPr="00175E00">
        <w:t xml:space="preserve">emploi </w:t>
      </w:r>
      <w:r>
        <w:t>ont été efficaces</w:t>
      </w:r>
      <w:r w:rsidR="00F96C2F" w:rsidRPr="00F96C2F">
        <w:t>.</w:t>
      </w:r>
    </w:p>
    <w:p w14:paraId="670BDE71" w14:textId="77777777" w:rsidR="00C262CB" w:rsidRPr="00175E00" w:rsidRDefault="00C262CB" w:rsidP="00C262CB">
      <w:pPr>
        <w:pStyle w:val="SingleTxtG"/>
      </w:pPr>
      <w:r w:rsidRPr="00175E00">
        <w:t>14</w:t>
      </w:r>
      <w:r w:rsidR="00F96C2F" w:rsidRPr="00F96C2F">
        <w:t>.</w:t>
      </w:r>
      <w:r w:rsidRPr="00175E00">
        <w:tab/>
        <w:t>Donner des renseignements sur les mesures prises pour renforcer les capacités de l</w:t>
      </w:r>
      <w:r>
        <w:t>’</w:t>
      </w:r>
      <w:r w:rsidRPr="00175E00">
        <w:t>a</w:t>
      </w:r>
      <w:r>
        <w:t>utorité</w:t>
      </w:r>
      <w:r w:rsidRPr="00175E00">
        <w:t xml:space="preserve"> chargée des conditions de travail et </w:t>
      </w:r>
      <w:r>
        <w:t xml:space="preserve">la coopération de celle-ci </w:t>
      </w:r>
      <w:r w:rsidRPr="00175E00">
        <w:t xml:space="preserve">avec </w:t>
      </w:r>
      <w:r>
        <w:t xml:space="preserve">les </w:t>
      </w:r>
      <w:r w:rsidRPr="00175E00">
        <w:t>autres organismes compétents</w:t>
      </w:r>
      <w:r w:rsidR="00F96C2F" w:rsidRPr="00F96C2F">
        <w:t>.</w:t>
      </w:r>
      <w:r w:rsidRPr="00175E00">
        <w:t xml:space="preserve"> </w:t>
      </w:r>
      <w:r>
        <w:t xml:space="preserve">Indiquer aussi les textes de lois et les politiques adoptés pour protéger les </w:t>
      </w:r>
      <w:r w:rsidRPr="00175E00">
        <w:t xml:space="preserve">droits des travailleurs migrants, particulièrement de ceux qui </w:t>
      </w:r>
      <w:r>
        <w:t xml:space="preserve">sont </w:t>
      </w:r>
      <w:r w:rsidRPr="00175E00">
        <w:t xml:space="preserve">en situation irrégulière, et les mécanismes </w:t>
      </w:r>
      <w:r>
        <w:t xml:space="preserve">instaurés pour qu’ils disposent de recours si </w:t>
      </w:r>
      <w:r w:rsidRPr="00175E00">
        <w:t>leurs droits</w:t>
      </w:r>
      <w:r>
        <w:t xml:space="preserve"> sont bafoués</w:t>
      </w:r>
      <w:r w:rsidR="00F96C2F" w:rsidRPr="00F96C2F">
        <w:t>.</w:t>
      </w:r>
      <w:r w:rsidRPr="00175E00">
        <w:t xml:space="preserve"> </w:t>
      </w:r>
      <w:r>
        <w:t xml:space="preserve">Communiquer </w:t>
      </w:r>
      <w:r w:rsidRPr="00175E00">
        <w:t xml:space="preserve">des renseignements sur les plaintes </w:t>
      </w:r>
      <w:r>
        <w:t xml:space="preserve">dont l’autorité </w:t>
      </w:r>
      <w:r w:rsidRPr="00175E00">
        <w:t xml:space="preserve">chargée des conditions de travail </w:t>
      </w:r>
      <w:r>
        <w:t xml:space="preserve">a été saisie </w:t>
      </w:r>
      <w:r w:rsidRPr="00175E00">
        <w:t xml:space="preserve">et les inspections </w:t>
      </w:r>
      <w:r>
        <w:t>auxquelles elle a procédé</w:t>
      </w:r>
      <w:r w:rsidRPr="00175E00">
        <w:t xml:space="preserve">, en indiquant les principaux problèmes </w:t>
      </w:r>
      <w:r>
        <w:t xml:space="preserve">constatés </w:t>
      </w:r>
      <w:r w:rsidRPr="00175E00">
        <w:t xml:space="preserve">et les mesures prises pour </w:t>
      </w:r>
      <w:r>
        <w:t>y remédier, et communiquer également</w:t>
      </w:r>
      <w:r w:rsidRPr="00175E00">
        <w:t xml:space="preserve"> des données statistiques annuelles, ventilées par secteur, sur les inspections menées pendant la période considérée</w:t>
      </w:r>
      <w:r w:rsidR="00F96C2F" w:rsidRPr="00F96C2F">
        <w:t>.</w:t>
      </w:r>
    </w:p>
    <w:p w14:paraId="4D61812C" w14:textId="77777777" w:rsidR="00C262CB" w:rsidRPr="00175E00" w:rsidRDefault="00C262CB" w:rsidP="00C262CB">
      <w:pPr>
        <w:pStyle w:val="SingleTxtG"/>
      </w:pPr>
      <w:r w:rsidRPr="00175E00">
        <w:t>15</w:t>
      </w:r>
      <w:r w:rsidR="00F96C2F" w:rsidRPr="00F96C2F">
        <w:t>.</w:t>
      </w:r>
      <w:r w:rsidRPr="00175E00">
        <w:tab/>
        <w:t>Donner des renseignements sur les mesures prises pour prévenir les accidents du travail et les maladies professionnelles et sur l</w:t>
      </w:r>
      <w:r>
        <w:t>’</w:t>
      </w:r>
      <w:r w:rsidRPr="00175E00">
        <w:t>efficacité de ces mesures</w:t>
      </w:r>
      <w:r w:rsidR="00F96C2F" w:rsidRPr="00F96C2F">
        <w:t>.</w:t>
      </w:r>
      <w:r w:rsidRPr="00175E00">
        <w:t xml:space="preserve"> </w:t>
      </w:r>
      <w:r>
        <w:t xml:space="preserve">Rendre compte de </w:t>
      </w:r>
      <w:r w:rsidRPr="00175E00">
        <w:t>l</w:t>
      </w:r>
      <w:r>
        <w:t>’</w:t>
      </w:r>
      <w:r w:rsidRPr="00175E00">
        <w:t xml:space="preserve">incidence </w:t>
      </w:r>
      <w:r>
        <w:t xml:space="preserve">des </w:t>
      </w:r>
      <w:r w:rsidRPr="00104275">
        <w:t xml:space="preserve">accidents du travail et </w:t>
      </w:r>
      <w:r>
        <w:t>d</w:t>
      </w:r>
      <w:r w:rsidRPr="00104275">
        <w:t>es maladies professionnelle</w:t>
      </w:r>
      <w:r>
        <w:t>s</w:t>
      </w:r>
      <w:r w:rsidRPr="00175E00">
        <w:t xml:space="preserve">, y compris </w:t>
      </w:r>
      <w:r>
        <w:t xml:space="preserve">du </w:t>
      </w:r>
      <w:r w:rsidRPr="00175E00">
        <w:t xml:space="preserve">nombre de </w:t>
      </w:r>
      <w:r>
        <w:t>blessures</w:t>
      </w:r>
      <w:r w:rsidRPr="00175E00">
        <w:t xml:space="preserve"> et de décès</w:t>
      </w:r>
      <w:r w:rsidR="00F96C2F" w:rsidRPr="00F96C2F">
        <w:t>.</w:t>
      </w:r>
      <w:r w:rsidRPr="00175E00">
        <w:t xml:space="preserve"> </w:t>
      </w:r>
      <w:r>
        <w:t xml:space="preserve">Donner </w:t>
      </w:r>
      <w:r w:rsidRPr="00175E00">
        <w:t xml:space="preserve">des informations sur les assurances contre les accidents du travail et les indemnités de maladie, </w:t>
      </w:r>
      <w:r>
        <w:t>notamment sur l</w:t>
      </w:r>
      <w:r w:rsidRPr="00175E00">
        <w:t xml:space="preserve">a couverture offerte et les critères </w:t>
      </w:r>
      <w:r>
        <w:t xml:space="preserve">d’affiliation ; sur </w:t>
      </w:r>
      <w:r w:rsidRPr="00175E00">
        <w:t>l</w:t>
      </w:r>
      <w:r>
        <w:t>’</w:t>
      </w:r>
      <w:r w:rsidRPr="00175E00">
        <w:t xml:space="preserve">étendue, le niveau et la durée des </w:t>
      </w:r>
      <w:r>
        <w:t xml:space="preserve">prestations ; </w:t>
      </w:r>
      <w:r w:rsidRPr="00175E00">
        <w:t xml:space="preserve">et </w:t>
      </w:r>
      <w:r>
        <w:t xml:space="preserve">sur les dispositions qui auraient été prises pour </w:t>
      </w:r>
      <w:r w:rsidRPr="00175E00">
        <w:t xml:space="preserve">réformer ces </w:t>
      </w:r>
      <w:r>
        <w:t>régimes</w:t>
      </w:r>
      <w:r w:rsidR="00F96C2F" w:rsidRPr="00F96C2F">
        <w:t>.</w:t>
      </w:r>
    </w:p>
    <w:p w14:paraId="30A552F2" w14:textId="77777777" w:rsidR="00C262CB" w:rsidRPr="00175E00" w:rsidRDefault="00C262CB" w:rsidP="00C262CB">
      <w:pPr>
        <w:pStyle w:val="SingleTxtG"/>
      </w:pPr>
      <w:r w:rsidRPr="00175E00">
        <w:t>16</w:t>
      </w:r>
      <w:r w:rsidR="00F96C2F" w:rsidRPr="00F96C2F">
        <w:t>.</w:t>
      </w:r>
      <w:r w:rsidRPr="00175E00">
        <w:tab/>
        <w:t>Donner des renseignements sur les conclusions de l</w:t>
      </w:r>
      <w:r>
        <w:t>’</w:t>
      </w:r>
      <w:r w:rsidRPr="00175E00">
        <w:t>enquête relative à l</w:t>
      </w:r>
      <w:r>
        <w:t>’</w:t>
      </w:r>
      <w:r w:rsidRPr="00175E00">
        <w:t>exercice du droit de grève, lancée à la suite du conflit du travail survenu en 2016 dans le port de Göteborg</w:t>
      </w:r>
      <w:r>
        <w:t>,</w:t>
      </w:r>
      <w:r w:rsidRPr="00175E00">
        <w:t xml:space="preserve"> et sur les mesures prises </w:t>
      </w:r>
      <w:r>
        <w:t>en application de ces conclusions</w:t>
      </w:r>
      <w:r w:rsidR="00F96C2F" w:rsidRPr="00F96C2F">
        <w:t>.</w:t>
      </w:r>
      <w:r w:rsidRPr="00175E00">
        <w:t xml:space="preserve"> Préciser l</w:t>
      </w:r>
      <w:r>
        <w:t>’</w:t>
      </w:r>
      <w:r w:rsidRPr="00175E00">
        <w:t>état du projet de loi élaboré par les partenaires sociaux sur les questions relatives au droit de grève et donner des informations sur son contenu</w:t>
      </w:r>
      <w:r w:rsidR="00F96C2F" w:rsidRPr="00F96C2F">
        <w:t>.</w:t>
      </w:r>
    </w:p>
    <w:p w14:paraId="516BDF36" w14:textId="77777777" w:rsidR="00C262CB" w:rsidRPr="00175E00" w:rsidRDefault="00C262CB" w:rsidP="00C262CB">
      <w:pPr>
        <w:pStyle w:val="SingleTxtG"/>
      </w:pPr>
      <w:r w:rsidRPr="00175E00">
        <w:t>17</w:t>
      </w:r>
      <w:r w:rsidR="00F96C2F" w:rsidRPr="00F96C2F">
        <w:t>.</w:t>
      </w:r>
      <w:r w:rsidRPr="00175E00">
        <w:tab/>
      </w:r>
      <w:r>
        <w:t>À la lumière</w:t>
      </w:r>
      <w:r w:rsidRPr="00175E00">
        <w:t xml:space="preserve"> des précédentes observations finales du Comité (E/C</w:t>
      </w:r>
      <w:r w:rsidR="00F96C2F" w:rsidRPr="00F96C2F">
        <w:t>.</w:t>
      </w:r>
      <w:r w:rsidRPr="00175E00">
        <w:t>12/SWE/CO/6, par</w:t>
      </w:r>
      <w:r w:rsidR="00F96C2F" w:rsidRPr="00F96C2F">
        <w:t>.</w:t>
      </w:r>
      <w:r w:rsidRPr="00175E00">
        <w:t> 31 et 32), spécifier comment le droit au regroupement familial est garanti dans la loi limitant temporairement la possibilité d</w:t>
      </w:r>
      <w:r>
        <w:t>’</w:t>
      </w:r>
      <w:r w:rsidRPr="00175E00">
        <w:t>obtenir un permis de séjour en Suède</w:t>
      </w:r>
      <w:r>
        <w:t>,</w:t>
      </w:r>
      <w:r w:rsidRPr="00175E00">
        <w:t xml:space="preserve"> entrée en vigueur le 20 juillet 2016, et comment les notions de « membres de la famille » et de « dépendance économique » y sont définies</w:t>
      </w:r>
      <w:r w:rsidR="00F96C2F" w:rsidRPr="00F96C2F">
        <w:t>.</w:t>
      </w:r>
      <w:r w:rsidRPr="00175E00">
        <w:t xml:space="preserve"> </w:t>
      </w:r>
      <w:r>
        <w:t xml:space="preserve">Communiquer aussi des éléments </w:t>
      </w:r>
      <w:r w:rsidRPr="00175E00">
        <w:t xml:space="preserve">sur la mise en application de cette loi, </w:t>
      </w:r>
      <w:r>
        <w:t xml:space="preserve">y compris </w:t>
      </w:r>
      <w:r w:rsidRPr="00175E00">
        <w:t xml:space="preserve">des données statistiques sur le nombre de demandes de regroupement reçues et de demandes </w:t>
      </w:r>
      <w:r>
        <w:t>acceptées</w:t>
      </w:r>
      <w:r w:rsidR="00F96C2F" w:rsidRPr="00F96C2F">
        <w:t>.</w:t>
      </w:r>
    </w:p>
    <w:p w14:paraId="325EF788" w14:textId="77777777" w:rsidR="00C262CB" w:rsidRPr="00175E00" w:rsidRDefault="00C262CB" w:rsidP="00C262CB">
      <w:pPr>
        <w:pStyle w:val="SingleTxtG"/>
      </w:pPr>
      <w:r w:rsidRPr="00175E00">
        <w:t>18</w:t>
      </w:r>
      <w:r w:rsidR="00F96C2F" w:rsidRPr="00F96C2F">
        <w:t>.</w:t>
      </w:r>
      <w:r w:rsidRPr="00175E00">
        <w:tab/>
      </w:r>
      <w:r>
        <w:t xml:space="preserve">Donner des informations sur les </w:t>
      </w:r>
      <w:r w:rsidRPr="00175E00">
        <w:t xml:space="preserve">mesures prises pour </w:t>
      </w:r>
      <w:r>
        <w:t xml:space="preserve">remédier à </w:t>
      </w:r>
      <w:r w:rsidRPr="00175E00">
        <w:t xml:space="preserve">la pénurie </w:t>
      </w:r>
      <w:r>
        <w:t xml:space="preserve">de </w:t>
      </w:r>
      <w:r w:rsidRPr="00175E00">
        <w:t xml:space="preserve">logements, </w:t>
      </w:r>
      <w:r>
        <w:t xml:space="preserve">et au </w:t>
      </w:r>
      <w:r w:rsidRPr="00175E00">
        <w:t xml:space="preserve">coût élevé </w:t>
      </w:r>
      <w:r>
        <w:t xml:space="preserve">du logement, et sur l’offre </w:t>
      </w:r>
      <w:r w:rsidRPr="00175E00">
        <w:t>de logement socia</w:t>
      </w:r>
      <w:r>
        <w:t>l</w:t>
      </w:r>
      <w:r w:rsidRPr="00175E00">
        <w:t xml:space="preserve">, </w:t>
      </w:r>
      <w:r>
        <w:t xml:space="preserve">y compris les critères d’admissibilité au logement social </w:t>
      </w:r>
      <w:r w:rsidRPr="00175E00">
        <w:t>et le nombre de logements attribués</w:t>
      </w:r>
      <w:r w:rsidR="00F96C2F" w:rsidRPr="00F96C2F">
        <w:t>.</w:t>
      </w:r>
      <w:r w:rsidRPr="00175E00">
        <w:t xml:space="preserve"> </w:t>
      </w:r>
      <w:r>
        <w:t xml:space="preserve">Renseigner aussi </w:t>
      </w:r>
      <w:r w:rsidRPr="00175E00">
        <w:t xml:space="preserve">sur les mesures prises pour </w:t>
      </w:r>
      <w:r>
        <w:t xml:space="preserve">remédier au </w:t>
      </w:r>
      <w:r w:rsidRPr="00175E00">
        <w:t>fort endettement hypothécaire des ménages</w:t>
      </w:r>
      <w:r w:rsidR="00F96C2F" w:rsidRPr="00F96C2F">
        <w:t>.</w:t>
      </w:r>
      <w:r w:rsidRPr="00175E00">
        <w:t xml:space="preserve"> Donner</w:t>
      </w:r>
      <w:r>
        <w:t xml:space="preserve"> également </w:t>
      </w:r>
      <w:r w:rsidRPr="00175E00">
        <w:t xml:space="preserve">des renseignements sur la définition du sans-abrisme et </w:t>
      </w:r>
      <w:r>
        <w:t xml:space="preserve">sur la </w:t>
      </w:r>
      <w:r w:rsidRPr="00175E00">
        <w:t xml:space="preserve">protection des </w:t>
      </w:r>
      <w:r>
        <w:t xml:space="preserve">victimes de sans-abrisme qui sont prévues </w:t>
      </w:r>
      <w:r w:rsidRPr="00175E00">
        <w:t xml:space="preserve">dans la législation, </w:t>
      </w:r>
      <w:r>
        <w:t xml:space="preserve">et </w:t>
      </w:r>
      <w:r w:rsidRPr="00175E00">
        <w:t xml:space="preserve">sur les mesures prises pour </w:t>
      </w:r>
      <w:r>
        <w:t xml:space="preserve">remédier aux </w:t>
      </w:r>
      <w:r w:rsidRPr="00175E00">
        <w:t xml:space="preserve">causes fondamentales </w:t>
      </w:r>
      <w:r>
        <w:t>du sans-abrisme</w:t>
      </w:r>
      <w:r w:rsidR="00F96C2F" w:rsidRPr="00F96C2F">
        <w:t>.</w:t>
      </w:r>
      <w:r w:rsidRPr="00175E00">
        <w:t xml:space="preserve"> Fournir </w:t>
      </w:r>
      <w:r>
        <w:t xml:space="preserve">aussi des </w:t>
      </w:r>
      <w:r w:rsidRPr="00175E00">
        <w:t>statistiques, ventilées par âge, sexe, région (</w:t>
      </w:r>
      <w:r>
        <w:t>villes et campagnes</w:t>
      </w:r>
      <w:r w:rsidRPr="00175E00">
        <w:t xml:space="preserve">) et </w:t>
      </w:r>
      <w:r>
        <w:t xml:space="preserve">origine </w:t>
      </w:r>
      <w:r w:rsidRPr="00175E00">
        <w:t xml:space="preserve">ethnique, sur </w:t>
      </w:r>
      <w:r>
        <w:t>l’étendue</w:t>
      </w:r>
      <w:r w:rsidRPr="00175E00">
        <w:t xml:space="preserve"> du sans-abrisme</w:t>
      </w:r>
      <w:r w:rsidR="00F96C2F" w:rsidRPr="00F96C2F">
        <w:t>.</w:t>
      </w:r>
    </w:p>
    <w:p w14:paraId="004AD8E1" w14:textId="77777777" w:rsidR="00C262CB" w:rsidRPr="00175E00" w:rsidRDefault="00C262CB" w:rsidP="00C262CB">
      <w:pPr>
        <w:pStyle w:val="SingleTxtG"/>
      </w:pPr>
      <w:r w:rsidRPr="00175E00">
        <w:t>19</w:t>
      </w:r>
      <w:r w:rsidR="00F96C2F" w:rsidRPr="00F96C2F">
        <w:t>.</w:t>
      </w:r>
      <w:r w:rsidRPr="00175E00">
        <w:tab/>
        <w:t>Donner des renseignements sur les principaux obstacles rencontrés par les Suédois d</w:t>
      </w:r>
      <w:r>
        <w:t>’</w:t>
      </w:r>
      <w:r w:rsidRPr="00175E00">
        <w:t>origine africaine, les musulmans et les Roms pour accéder au marché du logement, et les mesures prises pour éliminer ces obstacles</w:t>
      </w:r>
      <w:r w:rsidR="00F96C2F" w:rsidRPr="00F96C2F">
        <w:t>.</w:t>
      </w:r>
      <w:r w:rsidRPr="00175E00">
        <w:t xml:space="preserve"> </w:t>
      </w:r>
      <w:r>
        <w:t xml:space="preserve">Rendre compte de </w:t>
      </w:r>
      <w:r w:rsidRPr="00175E00">
        <w:t xml:space="preserve">la situation des établissements informels en Suède, </w:t>
      </w:r>
      <w:r>
        <w:t>pour ce qui est des lieux où ils se trouvent ;</w:t>
      </w:r>
      <w:r w:rsidRPr="00175E00">
        <w:t xml:space="preserve"> </w:t>
      </w:r>
      <w:r>
        <w:t xml:space="preserve">de la taille et de la </w:t>
      </w:r>
      <w:r w:rsidRPr="00175E00">
        <w:t>composition ethnique de</w:t>
      </w:r>
      <w:r>
        <w:t xml:space="preserve">s </w:t>
      </w:r>
      <w:r w:rsidRPr="00175E00">
        <w:t>population</w:t>
      </w:r>
      <w:r>
        <w:t>s qui y vivent ;</w:t>
      </w:r>
      <w:r w:rsidRPr="00175E00">
        <w:t xml:space="preserve"> et </w:t>
      </w:r>
      <w:r>
        <w:t xml:space="preserve">de la couverture </w:t>
      </w:r>
      <w:r w:rsidRPr="00175E00">
        <w:t xml:space="preserve">des services de base </w:t>
      </w:r>
      <w:r>
        <w:t>qui y sont assurés</w:t>
      </w:r>
      <w:r w:rsidR="00F96C2F" w:rsidRPr="00F96C2F">
        <w:t>.</w:t>
      </w:r>
      <w:r w:rsidRPr="00175E00">
        <w:t xml:space="preserve"> </w:t>
      </w:r>
      <w:r>
        <w:t xml:space="preserve">Indiquer aussi quelles </w:t>
      </w:r>
      <w:r w:rsidRPr="00175E00">
        <w:t xml:space="preserve">mesures législatives </w:t>
      </w:r>
      <w:r>
        <w:t xml:space="preserve">ont été </w:t>
      </w:r>
      <w:r w:rsidRPr="00175E00">
        <w:t xml:space="preserve">prises </w:t>
      </w:r>
      <w:r>
        <w:t xml:space="preserve">pour </w:t>
      </w:r>
      <w:r w:rsidRPr="00175E00">
        <w:t xml:space="preserve">renforcer la protection contre les expulsions et </w:t>
      </w:r>
      <w:r>
        <w:t xml:space="preserve">fixer les </w:t>
      </w:r>
      <w:r w:rsidRPr="00175E00">
        <w:t xml:space="preserve">procédures </w:t>
      </w:r>
      <w:r>
        <w:t xml:space="preserve">qui doivent être suivies </w:t>
      </w:r>
      <w:r w:rsidRPr="00175E00">
        <w:t>avant toute expulsion</w:t>
      </w:r>
      <w:r w:rsidR="00F96C2F" w:rsidRPr="00F96C2F">
        <w:t>.</w:t>
      </w:r>
      <w:r w:rsidRPr="00175E00">
        <w:t xml:space="preserve"> </w:t>
      </w:r>
      <w:r>
        <w:t xml:space="preserve">Indiquer également </w:t>
      </w:r>
      <w:r w:rsidRPr="00175E00">
        <w:t>les expulsions auxquelles il a été procédé au cours de la période considérée, notamment le nombre d</w:t>
      </w:r>
      <w:r>
        <w:t>’</w:t>
      </w:r>
      <w:r w:rsidRPr="00175E00">
        <w:t>expulsions</w:t>
      </w:r>
      <w:r>
        <w:t xml:space="preserve"> et</w:t>
      </w:r>
      <w:r w:rsidRPr="00175E00">
        <w:t xml:space="preserve"> le nombre de personnes concernées</w:t>
      </w:r>
      <w:r>
        <w:t>,</w:t>
      </w:r>
      <w:r w:rsidRPr="00175E00">
        <w:t xml:space="preserve"> et </w:t>
      </w:r>
      <w:r>
        <w:t xml:space="preserve">si elles ont bénéficié d’un </w:t>
      </w:r>
      <w:r w:rsidRPr="00175E00">
        <w:t xml:space="preserve">logement de remplacement ou </w:t>
      </w:r>
      <w:r>
        <w:t>ont été indemnisées</w:t>
      </w:r>
      <w:r w:rsidR="00F96C2F" w:rsidRPr="00F96C2F">
        <w:t>.</w:t>
      </w:r>
    </w:p>
    <w:p w14:paraId="526ED341" w14:textId="77777777" w:rsidR="00C262CB" w:rsidRPr="00175E00" w:rsidRDefault="00C262CB" w:rsidP="00C262CB">
      <w:pPr>
        <w:pStyle w:val="SingleTxtG"/>
      </w:pPr>
      <w:r w:rsidRPr="00175E00">
        <w:t>20</w:t>
      </w:r>
      <w:r w:rsidR="00F96C2F" w:rsidRPr="00F96C2F">
        <w:t>.</w:t>
      </w:r>
      <w:r w:rsidRPr="00175E00">
        <w:tab/>
        <w:t xml:space="preserve">Donner des renseignements sur les mesures prises pour </w:t>
      </w:r>
      <w:r>
        <w:t xml:space="preserve">remédier aux </w:t>
      </w:r>
      <w:r w:rsidRPr="00175E00">
        <w:t>disparités régionales d</w:t>
      </w:r>
      <w:r>
        <w:t>ans l’</w:t>
      </w:r>
      <w:r w:rsidRPr="00175E00">
        <w:t xml:space="preserve">accès aux services de santé, en ce qui concerne notamment </w:t>
      </w:r>
      <w:r>
        <w:t xml:space="preserve">l’étendue des </w:t>
      </w:r>
      <w:r w:rsidRPr="00175E00">
        <w:t>services, les délais d</w:t>
      </w:r>
      <w:r>
        <w:t>’</w:t>
      </w:r>
      <w:r w:rsidRPr="00175E00">
        <w:t>attente et les dépenses non remboursables</w:t>
      </w:r>
      <w:r w:rsidR="00F96C2F" w:rsidRPr="00F96C2F">
        <w:t>.</w:t>
      </w:r>
      <w:r w:rsidRPr="00175E00">
        <w:t xml:space="preserve"> </w:t>
      </w:r>
      <w:r>
        <w:t xml:space="preserve">Indiquer aussi l’étendue </w:t>
      </w:r>
      <w:r w:rsidRPr="00175E00">
        <w:t>des services de santé offerts aux demandeurs d</w:t>
      </w:r>
      <w:r>
        <w:t>’</w:t>
      </w:r>
      <w:r w:rsidRPr="00175E00">
        <w:t xml:space="preserve">asile et aux migrants, y compris en situation irrégulière, et </w:t>
      </w:r>
      <w:r>
        <w:t xml:space="preserve">quels efforts sont faits </w:t>
      </w:r>
      <w:r w:rsidRPr="00175E00">
        <w:t xml:space="preserve">pour </w:t>
      </w:r>
      <w:r>
        <w:t xml:space="preserve">améliorer </w:t>
      </w:r>
      <w:r w:rsidRPr="00175E00">
        <w:t>la couverture sanitaire à laquelle ces personnes peuvent prétendre</w:t>
      </w:r>
      <w:r w:rsidR="00F96C2F" w:rsidRPr="00F96C2F">
        <w:t>.</w:t>
      </w:r>
      <w:r w:rsidRPr="00175E00">
        <w:t xml:space="preserve"> </w:t>
      </w:r>
      <w:r>
        <w:t xml:space="preserve">Rendre compte de l’application </w:t>
      </w:r>
      <w:r w:rsidRPr="00175E00">
        <w:t xml:space="preserve">de la stratégie nationale de </w:t>
      </w:r>
      <w:r w:rsidRPr="00175E00">
        <w:lastRenderedPageBreak/>
        <w:t xml:space="preserve">santé mentale pour la période 2016-2020, </w:t>
      </w:r>
      <w:r>
        <w:t xml:space="preserve">notamment des </w:t>
      </w:r>
      <w:r w:rsidRPr="00175E00">
        <w:t xml:space="preserve">progrès </w:t>
      </w:r>
      <w:r>
        <w:t xml:space="preserve">accomplis </w:t>
      </w:r>
      <w:r w:rsidRPr="00175E00">
        <w:t xml:space="preserve">et les difficultés rencontrées, en </w:t>
      </w:r>
      <w:r>
        <w:t xml:space="preserve">accordant une attention particulière à </w:t>
      </w:r>
      <w:r w:rsidRPr="00175E00">
        <w:t>l</w:t>
      </w:r>
      <w:r>
        <w:t>’</w:t>
      </w:r>
      <w:r w:rsidRPr="00175E00">
        <w:t xml:space="preserve">efficacité des mesures prises, dans le cadre de la stratégie, pour </w:t>
      </w:r>
      <w:r>
        <w:t xml:space="preserve">améliorer le traitement des </w:t>
      </w:r>
      <w:r w:rsidRPr="00175E00">
        <w:t>troubles de santé mentale, en particulier chez les jeunes</w:t>
      </w:r>
      <w:r w:rsidR="00F96C2F" w:rsidRPr="00F96C2F">
        <w:t>.</w:t>
      </w:r>
    </w:p>
    <w:p w14:paraId="00AB4234" w14:textId="77777777" w:rsidR="00C262CB" w:rsidRPr="00175E00" w:rsidRDefault="00C262CB" w:rsidP="00C262CB">
      <w:pPr>
        <w:pStyle w:val="SingleTxtG"/>
      </w:pPr>
      <w:r w:rsidRPr="00175E00">
        <w:t>21</w:t>
      </w:r>
      <w:r w:rsidR="00F96C2F" w:rsidRPr="00F96C2F">
        <w:t>.</w:t>
      </w:r>
      <w:r w:rsidRPr="00175E00">
        <w:tab/>
        <w:t xml:space="preserve">Donner des renseignements sur les difficultés rencontrées dans le secteur de la santé </w:t>
      </w:r>
      <w:r>
        <w:t xml:space="preserve">face </w:t>
      </w:r>
      <w:r w:rsidRPr="00175E00">
        <w:t xml:space="preserve">à la pandémie de COVID-19 et les mesures prises pour </w:t>
      </w:r>
      <w:r>
        <w:t>y remédier</w:t>
      </w:r>
      <w:r w:rsidR="00F96C2F" w:rsidRPr="00F96C2F">
        <w:t>.</w:t>
      </w:r>
    </w:p>
    <w:p w14:paraId="451781BB" w14:textId="77777777" w:rsidR="00C262CB" w:rsidRPr="00175E00" w:rsidRDefault="00C262CB" w:rsidP="00C262CB">
      <w:pPr>
        <w:pStyle w:val="SingleTxtG"/>
      </w:pPr>
      <w:r w:rsidRPr="00175E00">
        <w:t>22</w:t>
      </w:r>
      <w:r w:rsidR="00F96C2F" w:rsidRPr="00F96C2F">
        <w:t>.</w:t>
      </w:r>
      <w:r w:rsidRPr="00175E00">
        <w:tab/>
      </w:r>
      <w:r>
        <w:t>Indiquer si des dispositions ont été</w:t>
      </w:r>
      <w:r w:rsidRPr="00175E00">
        <w:t xml:space="preserve"> prise</w:t>
      </w:r>
      <w:r>
        <w:t>s</w:t>
      </w:r>
      <w:r w:rsidRPr="00175E00">
        <w:t xml:space="preserve"> pour </w:t>
      </w:r>
      <w:r>
        <w:t xml:space="preserve">réexaminer </w:t>
      </w:r>
      <w:r w:rsidRPr="00175E00">
        <w:t xml:space="preserve">la législation érigeant en infraction la consommation personnelle de drogues et </w:t>
      </w:r>
      <w:r>
        <w:t xml:space="preserve">si des études ont été menées </w:t>
      </w:r>
      <w:r w:rsidRPr="00175E00">
        <w:t xml:space="preserve">pour analyser </w:t>
      </w:r>
      <w:r>
        <w:t xml:space="preserve">l’incidence de ces textes </w:t>
      </w:r>
      <w:r w:rsidRPr="00175E00">
        <w:t>sur l</w:t>
      </w:r>
      <w:r>
        <w:t>’</w:t>
      </w:r>
      <w:r w:rsidRPr="00175E00">
        <w:t>accès des consommateurs de drogues aux services de santé</w:t>
      </w:r>
      <w:r w:rsidR="00F96C2F" w:rsidRPr="00F96C2F">
        <w:t>.</w:t>
      </w:r>
      <w:r>
        <w:t xml:space="preserve"> Préciser quelles</w:t>
      </w:r>
      <w:r w:rsidRPr="00175E00">
        <w:t xml:space="preserve"> mesures </w:t>
      </w:r>
      <w:r>
        <w:t xml:space="preserve">législatives et de politique générale ont été </w:t>
      </w:r>
      <w:r w:rsidRPr="00175E00">
        <w:t xml:space="preserve">prises </w:t>
      </w:r>
      <w:r>
        <w:t xml:space="preserve">pour </w:t>
      </w:r>
      <w:r w:rsidRPr="00175E00">
        <w:t>développer les programmes de réduction des risques</w:t>
      </w:r>
      <w:r>
        <w:t>, et indiquer dans quelle</w:t>
      </w:r>
      <w:r w:rsidRPr="00175E00">
        <w:t xml:space="preserve"> mesure les consommateurs </w:t>
      </w:r>
      <w:r>
        <w:t xml:space="preserve">de drogues </w:t>
      </w:r>
      <w:r w:rsidRPr="00175E00">
        <w:t>ont bénéficié de ces programmes</w:t>
      </w:r>
      <w:r w:rsidR="00F96C2F" w:rsidRPr="00F96C2F">
        <w:t>.</w:t>
      </w:r>
      <w:r w:rsidRPr="00175E00">
        <w:t xml:space="preserve"> Donner aussi des renseignements sur les </w:t>
      </w:r>
      <w:r>
        <w:t xml:space="preserve">mesures prises pour remédier à l’incidence élevée </w:t>
      </w:r>
      <w:r w:rsidRPr="00175E00">
        <w:t>du VIH/sida et de l</w:t>
      </w:r>
      <w:r>
        <w:t>’</w:t>
      </w:r>
      <w:r w:rsidRPr="00175E00">
        <w:t xml:space="preserve">hépatite C </w:t>
      </w:r>
      <w:r>
        <w:t xml:space="preserve">parmi </w:t>
      </w:r>
      <w:r w:rsidRPr="00175E00">
        <w:t>les consommateurs de drogues injectables</w:t>
      </w:r>
      <w:r>
        <w:t xml:space="preserve"> et au </w:t>
      </w:r>
      <w:r w:rsidRPr="00175E00">
        <w:t>nombre élevé de décès par surdose</w:t>
      </w:r>
      <w:r>
        <w:t>, et sur l’efficacité qu’ont eu ces mesures</w:t>
      </w:r>
      <w:r w:rsidR="00F96C2F" w:rsidRPr="00F96C2F">
        <w:t>.</w:t>
      </w:r>
    </w:p>
    <w:p w14:paraId="31D8CFA8" w14:textId="77777777" w:rsidR="00C262CB" w:rsidRPr="00175E00" w:rsidRDefault="00C262CB" w:rsidP="00C262CB">
      <w:pPr>
        <w:pStyle w:val="SingleTxtG"/>
      </w:pPr>
      <w:r w:rsidRPr="00175E00">
        <w:t>23</w:t>
      </w:r>
      <w:r w:rsidR="00F96C2F" w:rsidRPr="00F96C2F">
        <w:t>.</w:t>
      </w:r>
      <w:r w:rsidRPr="00175E00">
        <w:tab/>
        <w:t xml:space="preserve">Fournir des données statistiques, ventilées par origine ethnique et origine nationale, âge, sexe et situation </w:t>
      </w:r>
      <w:proofErr w:type="spellStart"/>
      <w:r w:rsidRPr="00175E00">
        <w:t>socioéconomique</w:t>
      </w:r>
      <w:proofErr w:type="spellEnd"/>
      <w:r w:rsidRPr="00175E00">
        <w:t>, sur les taux de scolarisation et d</w:t>
      </w:r>
      <w:r>
        <w:t>’</w:t>
      </w:r>
      <w:r w:rsidRPr="00175E00">
        <w:t>achèvement des études primaire</w:t>
      </w:r>
      <w:r>
        <w:t>s</w:t>
      </w:r>
      <w:r w:rsidRPr="00175E00">
        <w:t>, secondaire</w:t>
      </w:r>
      <w:r>
        <w:t>s</w:t>
      </w:r>
      <w:r w:rsidRPr="00175E00">
        <w:t xml:space="preserve"> et supérieur</w:t>
      </w:r>
      <w:r>
        <w:t>es</w:t>
      </w:r>
      <w:r w:rsidR="00F96C2F" w:rsidRPr="00F96C2F">
        <w:t>.</w:t>
      </w:r>
      <w:r w:rsidRPr="00175E00">
        <w:t xml:space="preserve"> </w:t>
      </w:r>
      <w:r>
        <w:t xml:space="preserve">Indiquer aussi </w:t>
      </w:r>
      <w:r w:rsidRPr="00175E00">
        <w:t xml:space="preserve">les mesures prises pour </w:t>
      </w:r>
      <w:r>
        <w:t xml:space="preserve">faire en sorte </w:t>
      </w:r>
      <w:r w:rsidRPr="00175E00">
        <w:t>que les enfants handicapés et les enfants de migrants, de demandeurs d</w:t>
      </w:r>
      <w:r>
        <w:t>’</w:t>
      </w:r>
      <w:r w:rsidRPr="00175E00">
        <w:t>asile, de réfugiés et d</w:t>
      </w:r>
      <w:r>
        <w:t>’</w:t>
      </w:r>
      <w:r w:rsidRPr="00175E00">
        <w:t>apatrides aient accès</w:t>
      </w:r>
      <w:r>
        <w:t xml:space="preserve"> </w:t>
      </w:r>
      <w:r w:rsidRPr="00175E00">
        <w:t>à une éducation inclusive</w:t>
      </w:r>
      <w:r>
        <w:t xml:space="preserve"> sur un pied </w:t>
      </w:r>
      <w:r w:rsidRPr="00175E00">
        <w:t>d</w:t>
      </w:r>
      <w:r>
        <w:t>’</w:t>
      </w:r>
      <w:r w:rsidRPr="00175E00">
        <w:t>égalité</w:t>
      </w:r>
      <w:r w:rsidR="00F96C2F" w:rsidRPr="00F96C2F">
        <w:t>.</w:t>
      </w:r>
    </w:p>
    <w:p w14:paraId="65A33479" w14:textId="77777777" w:rsidR="00C262CB" w:rsidRPr="00175E00" w:rsidRDefault="00C262CB" w:rsidP="00C262CB">
      <w:pPr>
        <w:pStyle w:val="SingleTxtG"/>
      </w:pPr>
      <w:r w:rsidRPr="00175E00">
        <w:t>24</w:t>
      </w:r>
      <w:r w:rsidR="00F96C2F" w:rsidRPr="00F96C2F">
        <w:t>.</w:t>
      </w:r>
      <w:r w:rsidRPr="00175E00">
        <w:tab/>
      </w:r>
      <w:r>
        <w:t>Rendre compte des</w:t>
      </w:r>
      <w:r w:rsidRPr="00175E00">
        <w:t xml:space="preserve"> mesures prises pour renforcer l</w:t>
      </w:r>
      <w:r>
        <w:t>’</w:t>
      </w:r>
      <w:r w:rsidRPr="00175E00">
        <w:t xml:space="preserve">éducation des enfants </w:t>
      </w:r>
      <w:proofErr w:type="spellStart"/>
      <w:r w:rsidRPr="00175E00">
        <w:t>sâmes</w:t>
      </w:r>
      <w:proofErr w:type="spellEnd"/>
      <w:r w:rsidRPr="00175E00">
        <w:t xml:space="preserve"> et des enfants appartenant à des minorités</w:t>
      </w:r>
      <w:r>
        <w:t xml:space="preserve"> dans leur langue maternelle</w:t>
      </w:r>
      <w:r w:rsidRPr="00175E00">
        <w:t xml:space="preserve">, y compris </w:t>
      </w:r>
      <w:r>
        <w:t xml:space="preserve">des mesures prises pour disposer d’un </w:t>
      </w:r>
      <w:r w:rsidRPr="00175E00">
        <w:t>nombre suffisant d</w:t>
      </w:r>
      <w:r>
        <w:t>’</w:t>
      </w:r>
      <w:r w:rsidRPr="00175E00">
        <w:t xml:space="preserve">enseignants </w:t>
      </w:r>
      <w:r>
        <w:t xml:space="preserve">capables de faire classe </w:t>
      </w:r>
      <w:r w:rsidRPr="00175E00">
        <w:t xml:space="preserve">en </w:t>
      </w:r>
      <w:proofErr w:type="spellStart"/>
      <w:r w:rsidRPr="00175E00">
        <w:t>sâme</w:t>
      </w:r>
      <w:proofErr w:type="spellEnd"/>
      <w:r w:rsidRPr="00175E00">
        <w:t xml:space="preserve"> et dans les langues </w:t>
      </w:r>
      <w:r>
        <w:t>minoritaires</w:t>
      </w:r>
      <w:r w:rsidR="00F96C2F" w:rsidRPr="00F96C2F">
        <w:t>.</w:t>
      </w:r>
      <w:r w:rsidRPr="00175E00">
        <w:t xml:space="preserve"> </w:t>
      </w:r>
      <w:r>
        <w:t xml:space="preserve">Signaler aussi les efforts qui seraient faits pour </w:t>
      </w:r>
      <w:r w:rsidRPr="00175E00">
        <w:t>élargir l</w:t>
      </w:r>
      <w:r>
        <w:t>’</w:t>
      </w:r>
      <w:r w:rsidRPr="00175E00">
        <w:t>accès à l</w:t>
      </w:r>
      <w:r>
        <w:t>’</w:t>
      </w:r>
      <w:r w:rsidRPr="00175E00">
        <w:t xml:space="preserve">éducation bilingue dans les régions peuplées </w:t>
      </w:r>
      <w:r>
        <w:t xml:space="preserve">de </w:t>
      </w:r>
      <w:proofErr w:type="spellStart"/>
      <w:r w:rsidRPr="00175E00">
        <w:t>Sâmes</w:t>
      </w:r>
      <w:proofErr w:type="spellEnd"/>
      <w:r w:rsidRPr="00175E00">
        <w:t xml:space="preserve"> </w:t>
      </w:r>
      <w:r>
        <w:t>et de membres de minorités ethniques</w:t>
      </w:r>
      <w:r w:rsidR="00F96C2F" w:rsidRPr="00F96C2F">
        <w:t>.</w:t>
      </w:r>
      <w:r w:rsidRPr="00175E00">
        <w:t xml:space="preserve"> </w:t>
      </w:r>
      <w:r>
        <w:t xml:space="preserve">Rendre aussi compte, le cas échéant, des </w:t>
      </w:r>
      <w:r w:rsidRPr="00175E00">
        <w:t>mesures prises pour améliorer l</w:t>
      </w:r>
      <w:r>
        <w:t>’</w:t>
      </w:r>
      <w:r w:rsidRPr="00175E00">
        <w:t xml:space="preserve">éducation </w:t>
      </w:r>
      <w:r>
        <w:t xml:space="preserve">relative </w:t>
      </w:r>
      <w:r w:rsidRPr="00175E00">
        <w:t xml:space="preserve">à la diversité culturelle, notamment </w:t>
      </w:r>
      <w:r>
        <w:t xml:space="preserve">à </w:t>
      </w:r>
      <w:r w:rsidRPr="00175E00">
        <w:t xml:space="preserve">la culture et </w:t>
      </w:r>
      <w:r>
        <w:t xml:space="preserve">à </w:t>
      </w:r>
      <w:r w:rsidRPr="00175E00">
        <w:t>l</w:t>
      </w:r>
      <w:r>
        <w:t>’</w:t>
      </w:r>
      <w:r w:rsidRPr="00175E00">
        <w:t xml:space="preserve">histoire </w:t>
      </w:r>
      <w:proofErr w:type="spellStart"/>
      <w:r w:rsidRPr="00175E00">
        <w:t>sâmes</w:t>
      </w:r>
      <w:proofErr w:type="spellEnd"/>
      <w:r w:rsidR="00F96C2F" w:rsidRPr="00F96C2F">
        <w:t>.</w:t>
      </w:r>
    </w:p>
    <w:p w14:paraId="4120FAFF" w14:textId="77777777" w:rsidR="00C262CB" w:rsidRPr="00175E00" w:rsidRDefault="00C262CB" w:rsidP="00C262CB">
      <w:pPr>
        <w:pStyle w:val="SingleTxtG"/>
      </w:pPr>
      <w:r w:rsidRPr="00175E00">
        <w:t>25</w:t>
      </w:r>
      <w:r w:rsidR="00F96C2F" w:rsidRPr="00F96C2F">
        <w:t>.</w:t>
      </w:r>
      <w:r w:rsidRPr="00175E00">
        <w:tab/>
        <w:t xml:space="preserve">Donner des renseignements sur les mesures législatives et institutionnelles qui ont été prises ou </w:t>
      </w:r>
      <w:r>
        <w:t xml:space="preserve">qui sont envisagées </w:t>
      </w:r>
      <w:r w:rsidRPr="00175E00">
        <w:t xml:space="preserve">en ce qui concerne le rapatriement des </w:t>
      </w:r>
      <w:r>
        <w:t xml:space="preserve">objets </w:t>
      </w:r>
      <w:r w:rsidRPr="00175E00">
        <w:t xml:space="preserve">culturels autochtones, </w:t>
      </w:r>
      <w:r>
        <w:t xml:space="preserve">et quant à l’ampleur </w:t>
      </w:r>
      <w:r w:rsidRPr="00175E00">
        <w:t>de ce rapatriement</w:t>
      </w:r>
      <w:r w:rsidR="00F96C2F" w:rsidRPr="00F96C2F">
        <w:t>.</w:t>
      </w:r>
      <w:r w:rsidRPr="00175E00">
        <w:t xml:space="preserve"> </w:t>
      </w:r>
    </w:p>
    <w:p w14:paraId="2949D7D6" w14:textId="77777777" w:rsidR="00C262CB" w:rsidRPr="00175E00" w:rsidRDefault="00C262CB" w:rsidP="00C262CB">
      <w:pPr>
        <w:pStyle w:val="SingleTxtG"/>
      </w:pPr>
      <w:r w:rsidRPr="00175E00">
        <w:t>26</w:t>
      </w:r>
      <w:r w:rsidR="00F96C2F" w:rsidRPr="00F96C2F">
        <w:t>.</w:t>
      </w:r>
      <w:r w:rsidRPr="00175E00">
        <w:tab/>
      </w:r>
      <w:r>
        <w:t xml:space="preserve">Rendre compte de toute mesure prise </w:t>
      </w:r>
      <w:r w:rsidRPr="00175E00">
        <w:t>pendant la période considérée pour garantir l</w:t>
      </w:r>
      <w:r>
        <w:t>’</w:t>
      </w:r>
      <w:r w:rsidRPr="00175E00">
        <w:t xml:space="preserve">accès, sans discrimination, aux </w:t>
      </w:r>
      <w:r>
        <w:t xml:space="preserve">retombées du </w:t>
      </w:r>
      <w:r w:rsidRPr="00175E00">
        <w:t xml:space="preserve">progrès scientifique et </w:t>
      </w:r>
      <w:r>
        <w:t xml:space="preserve">de ses </w:t>
      </w:r>
      <w:r w:rsidRPr="00175E00">
        <w:t>applications</w:t>
      </w:r>
      <w:r w:rsidR="00F96C2F" w:rsidRPr="00F96C2F">
        <w:t>.</w:t>
      </w:r>
    </w:p>
    <w:p w14:paraId="10EA065C" w14:textId="77777777" w:rsidR="00C262CB" w:rsidRPr="00175E00" w:rsidRDefault="00C262CB" w:rsidP="00053173">
      <w:pPr>
        <w:pStyle w:val="H1G"/>
      </w:pPr>
      <w:r w:rsidRPr="00175E00">
        <w:rPr>
          <w:rFonts w:eastAsia="Malgun Gothic"/>
        </w:rPr>
        <w:tab/>
      </w:r>
      <w:r w:rsidRPr="00175E00">
        <w:t>C</w:t>
      </w:r>
      <w:r w:rsidR="00F96C2F" w:rsidRPr="00F96C2F">
        <w:t>.</w:t>
      </w:r>
      <w:r w:rsidRPr="00175E00">
        <w:tab/>
        <w:t>Bonnes pratiques</w:t>
      </w:r>
    </w:p>
    <w:p w14:paraId="7D02B42F" w14:textId="77777777" w:rsidR="00C262CB" w:rsidRDefault="00C262CB" w:rsidP="00C262CB">
      <w:pPr>
        <w:pStyle w:val="SingleTxtG"/>
      </w:pPr>
      <w:r w:rsidRPr="00175E00">
        <w:t>27</w:t>
      </w:r>
      <w:r w:rsidR="00F96C2F" w:rsidRPr="00F96C2F">
        <w:t>.</w:t>
      </w:r>
      <w:r w:rsidRPr="00175E00">
        <w:tab/>
        <w:t>Décrire les bonnes pratiques qui ont été définies par l</w:t>
      </w:r>
      <w:r>
        <w:t>’</w:t>
      </w:r>
      <w:r w:rsidRPr="00175E00">
        <w:t>État partie dans le cadre de la conception et de l</w:t>
      </w:r>
      <w:r>
        <w:t>’</w:t>
      </w:r>
      <w:r w:rsidRPr="00175E00">
        <w:t>application de ses politiques pendant la période considérée et qui ont contribué à l</w:t>
      </w:r>
      <w:r>
        <w:t>’</w:t>
      </w:r>
      <w:r w:rsidRPr="00175E00">
        <w:t>exercice effectif des droits économiques, sociaux et culturels, en particulier des personnes et des groupes marginalisés et défavorisés</w:t>
      </w:r>
      <w:r w:rsidR="00F96C2F" w:rsidRPr="00F96C2F">
        <w:t>.</w:t>
      </w:r>
      <w:r w:rsidRPr="00175E00">
        <w:t xml:space="preserve"> Décrire la manière dont les précédentes observations finales du Comité (E/C</w:t>
      </w:r>
      <w:r w:rsidR="00F96C2F" w:rsidRPr="00F96C2F">
        <w:t>.</w:t>
      </w:r>
      <w:r w:rsidRPr="00175E00">
        <w:t>12/SWE/CO/6) ont été prises en compte aux fins de l</w:t>
      </w:r>
      <w:r>
        <w:t>’</w:t>
      </w:r>
      <w:r w:rsidRPr="00175E00">
        <w:t>élaboration de ces pratiques</w:t>
      </w:r>
      <w:r w:rsidR="00F96C2F" w:rsidRPr="00F96C2F">
        <w:t>.</w:t>
      </w:r>
    </w:p>
    <w:p w14:paraId="6BC77B30" w14:textId="77777777" w:rsidR="00446FE5" w:rsidRPr="00C262CB" w:rsidRDefault="00C262CB" w:rsidP="00C262CB">
      <w:pPr>
        <w:pStyle w:val="SingleTxtG"/>
        <w:spacing w:before="240" w:after="0"/>
        <w:jc w:val="center"/>
        <w:rPr>
          <w:u w:val="single"/>
        </w:rPr>
      </w:pPr>
      <w:r>
        <w:rPr>
          <w:u w:val="single"/>
        </w:rPr>
        <w:tab/>
      </w:r>
      <w:r>
        <w:rPr>
          <w:u w:val="single"/>
        </w:rPr>
        <w:tab/>
      </w:r>
      <w:r>
        <w:rPr>
          <w:u w:val="single"/>
        </w:rPr>
        <w:tab/>
      </w:r>
    </w:p>
    <w:sectPr w:rsidR="00446FE5" w:rsidRPr="00C262CB" w:rsidSect="00C262C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EF79F" w14:textId="77777777" w:rsidR="00B919C0" w:rsidRDefault="00B919C0" w:rsidP="00F95C08">
      <w:pPr>
        <w:spacing w:line="240" w:lineRule="auto"/>
      </w:pPr>
    </w:p>
  </w:endnote>
  <w:endnote w:type="continuationSeparator" w:id="0">
    <w:p w14:paraId="18575039" w14:textId="77777777" w:rsidR="00B919C0" w:rsidRPr="00AC3823" w:rsidRDefault="00B919C0" w:rsidP="00AC3823">
      <w:pPr>
        <w:pStyle w:val="Pieddepage"/>
      </w:pPr>
    </w:p>
  </w:endnote>
  <w:endnote w:type="continuationNotice" w:id="1">
    <w:p w14:paraId="5D691E0D" w14:textId="77777777" w:rsidR="00B919C0" w:rsidRDefault="00B919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95D9" w14:textId="77777777" w:rsidR="00C262CB" w:rsidRPr="00C262CB" w:rsidRDefault="00C262CB" w:rsidP="00C262CB">
    <w:pPr>
      <w:pStyle w:val="Pieddepage"/>
      <w:tabs>
        <w:tab w:val="right" w:pos="9638"/>
      </w:tabs>
    </w:pPr>
    <w:r w:rsidRPr="00C262CB">
      <w:rPr>
        <w:b/>
        <w:sz w:val="18"/>
      </w:rPr>
      <w:fldChar w:fldCharType="begin"/>
    </w:r>
    <w:r w:rsidRPr="00C262CB">
      <w:rPr>
        <w:b/>
        <w:sz w:val="18"/>
      </w:rPr>
      <w:instrText xml:space="preserve"> PAGE  \* MERGEFORMAT </w:instrText>
    </w:r>
    <w:r w:rsidRPr="00C262CB">
      <w:rPr>
        <w:b/>
        <w:sz w:val="18"/>
      </w:rPr>
      <w:fldChar w:fldCharType="separate"/>
    </w:r>
    <w:r w:rsidRPr="00C262CB">
      <w:rPr>
        <w:b/>
        <w:noProof/>
        <w:sz w:val="18"/>
      </w:rPr>
      <w:t>2</w:t>
    </w:r>
    <w:r w:rsidRPr="00C262CB">
      <w:rPr>
        <w:b/>
        <w:sz w:val="18"/>
      </w:rPr>
      <w:fldChar w:fldCharType="end"/>
    </w:r>
    <w:r>
      <w:rPr>
        <w:b/>
        <w:sz w:val="18"/>
      </w:rPr>
      <w:tab/>
    </w:r>
    <w:r>
      <w:t>GE.20-15334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0D10" w14:textId="77777777" w:rsidR="00C262CB" w:rsidRPr="00C262CB" w:rsidRDefault="00C262CB" w:rsidP="00C262CB">
    <w:pPr>
      <w:pStyle w:val="Pieddepage"/>
      <w:tabs>
        <w:tab w:val="right" w:pos="9638"/>
      </w:tabs>
      <w:rPr>
        <w:b/>
        <w:sz w:val="18"/>
      </w:rPr>
    </w:pPr>
    <w:r>
      <w:t>GE.20-15334</w:t>
    </w:r>
    <w:r>
      <w:tab/>
    </w:r>
    <w:r w:rsidRPr="00C262CB">
      <w:rPr>
        <w:b/>
        <w:sz w:val="18"/>
      </w:rPr>
      <w:fldChar w:fldCharType="begin"/>
    </w:r>
    <w:r w:rsidRPr="00C262CB">
      <w:rPr>
        <w:b/>
        <w:sz w:val="18"/>
      </w:rPr>
      <w:instrText xml:space="preserve"> PAGE  \* MERGEFORMAT </w:instrText>
    </w:r>
    <w:r w:rsidRPr="00C262CB">
      <w:rPr>
        <w:b/>
        <w:sz w:val="18"/>
      </w:rPr>
      <w:fldChar w:fldCharType="separate"/>
    </w:r>
    <w:r w:rsidRPr="00C262CB">
      <w:rPr>
        <w:b/>
        <w:noProof/>
        <w:sz w:val="18"/>
      </w:rPr>
      <w:t>3</w:t>
    </w:r>
    <w:r w:rsidRPr="00C262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4010" w14:textId="77777777" w:rsidR="0080236C" w:rsidRPr="00C262CB" w:rsidRDefault="00C262CB" w:rsidP="00C262CB">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55FD7388" wp14:editId="7745FCB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20-15334  (F)</w:t>
    </w:r>
    <w:r>
      <w:rPr>
        <w:noProof/>
        <w:sz w:val="20"/>
      </w:rPr>
      <w:drawing>
        <wp:anchor distT="0" distB="0" distL="114300" distR="114300" simplePos="0" relativeHeight="251660288" behindDoc="0" locked="0" layoutInCell="1" allowOverlap="1" wp14:anchorId="22010790" wp14:editId="1C8BDB7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041220    071220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8A4D5" w14:textId="77777777" w:rsidR="00B919C0" w:rsidRPr="00AC3823" w:rsidRDefault="00B919C0" w:rsidP="00AC3823">
      <w:pPr>
        <w:pStyle w:val="Pieddepage"/>
        <w:tabs>
          <w:tab w:val="right" w:pos="2155"/>
        </w:tabs>
        <w:spacing w:after="80" w:line="240" w:lineRule="atLeast"/>
        <w:ind w:left="680"/>
        <w:rPr>
          <w:u w:val="single"/>
        </w:rPr>
      </w:pPr>
      <w:r>
        <w:rPr>
          <w:u w:val="single"/>
        </w:rPr>
        <w:tab/>
      </w:r>
    </w:p>
  </w:footnote>
  <w:footnote w:type="continuationSeparator" w:id="0">
    <w:p w14:paraId="5A29DDD7" w14:textId="77777777" w:rsidR="00B919C0" w:rsidRPr="00AC3823" w:rsidRDefault="00B919C0" w:rsidP="00AC3823">
      <w:pPr>
        <w:pStyle w:val="Pieddepage"/>
        <w:tabs>
          <w:tab w:val="right" w:pos="2155"/>
        </w:tabs>
        <w:spacing w:after="80" w:line="240" w:lineRule="atLeast"/>
        <w:ind w:left="680"/>
        <w:rPr>
          <w:u w:val="single"/>
        </w:rPr>
      </w:pPr>
      <w:r>
        <w:rPr>
          <w:u w:val="single"/>
        </w:rPr>
        <w:tab/>
      </w:r>
    </w:p>
  </w:footnote>
  <w:footnote w:type="continuationNotice" w:id="1">
    <w:p w14:paraId="424B9A02" w14:textId="77777777" w:rsidR="00B919C0" w:rsidRPr="00AC3823" w:rsidRDefault="00B919C0">
      <w:pPr>
        <w:spacing w:line="240" w:lineRule="auto"/>
        <w:rPr>
          <w:sz w:val="2"/>
          <w:szCs w:val="2"/>
        </w:rPr>
      </w:pPr>
    </w:p>
  </w:footnote>
  <w:footnote w:id="2">
    <w:p w14:paraId="3C6FD20E" w14:textId="77777777" w:rsidR="00C262CB" w:rsidRPr="0051571E" w:rsidRDefault="00C262CB" w:rsidP="00C262CB">
      <w:pPr>
        <w:pStyle w:val="Notedebasdepage"/>
      </w:pPr>
      <w:r w:rsidRPr="00C262CB">
        <w:rPr>
          <w:rStyle w:val="Appelnotedebasdep"/>
          <w:sz w:val="20"/>
          <w:szCs w:val="22"/>
          <w:vertAlign w:val="baseline"/>
        </w:rPr>
        <w:tab/>
        <w:t>*</w:t>
      </w:r>
      <w:r w:rsidRPr="00C262CB">
        <w:rPr>
          <w:rStyle w:val="Appelnotedebasdep"/>
          <w:sz w:val="20"/>
          <w:szCs w:val="22"/>
          <w:vertAlign w:val="baseline"/>
        </w:rPr>
        <w:tab/>
      </w:r>
      <w:r w:rsidRPr="0051571E">
        <w:t>Adoptée par le Groupe de travail de présession à sa soixante-septième session (19-23 octobre 2020)</w:t>
      </w:r>
      <w:r w:rsidR="00F96C2F" w:rsidRPr="00F96C2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9AF5" w14:textId="22991D01" w:rsidR="00C262CB" w:rsidRPr="00C262CB" w:rsidRDefault="00C262CB">
    <w:pPr>
      <w:pStyle w:val="En-tte"/>
    </w:pPr>
    <w:fldSimple w:instr=" TITLE  \* MERGEFORMAT ">
      <w:r w:rsidR="00576103">
        <w:t>E/C.12/SWE/QPR/7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AB9F" w14:textId="336BAD34" w:rsidR="00C262CB" w:rsidRPr="00C262CB" w:rsidRDefault="00C262CB" w:rsidP="00C262CB">
    <w:pPr>
      <w:pStyle w:val="En-tte"/>
      <w:jc w:val="right"/>
    </w:pPr>
    <w:fldSimple w:instr=" TITLE  \* MERGEFORMAT ">
      <w:r w:rsidR="00576103">
        <w:t>E/C.12/SWE/QPR/7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4"/>
  </w:num>
  <w:num w:numId="18">
    <w:abstractNumId w:val="13"/>
  </w:num>
  <w:num w:numId="19">
    <w:abstractNumId w:val="10"/>
  </w:num>
  <w:num w:numId="20">
    <w:abstractNumId w:val="16"/>
  </w:num>
  <w:num w:numId="21">
    <w:abstractNumId w:val="17"/>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C0"/>
    <w:rsid w:val="00017F94"/>
    <w:rsid w:val="00023842"/>
    <w:rsid w:val="0002432E"/>
    <w:rsid w:val="000334F9"/>
    <w:rsid w:val="00053173"/>
    <w:rsid w:val="00073B9D"/>
    <w:rsid w:val="0007796D"/>
    <w:rsid w:val="000B7790"/>
    <w:rsid w:val="00111F2F"/>
    <w:rsid w:val="0014365E"/>
    <w:rsid w:val="00176178"/>
    <w:rsid w:val="001C3868"/>
    <w:rsid w:val="001F525A"/>
    <w:rsid w:val="00223272"/>
    <w:rsid w:val="0024779E"/>
    <w:rsid w:val="002515E3"/>
    <w:rsid w:val="00266ACE"/>
    <w:rsid w:val="002832AC"/>
    <w:rsid w:val="002D7C93"/>
    <w:rsid w:val="00441C3B"/>
    <w:rsid w:val="00446FE5"/>
    <w:rsid w:val="00452396"/>
    <w:rsid w:val="004E468C"/>
    <w:rsid w:val="005505B7"/>
    <w:rsid w:val="00573BE5"/>
    <w:rsid w:val="00576103"/>
    <w:rsid w:val="00586ED3"/>
    <w:rsid w:val="00596AA9"/>
    <w:rsid w:val="0071601D"/>
    <w:rsid w:val="007A62E6"/>
    <w:rsid w:val="007C132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919C0"/>
    <w:rsid w:val="00BA0CA9"/>
    <w:rsid w:val="00C02897"/>
    <w:rsid w:val="00C262CB"/>
    <w:rsid w:val="00CB182E"/>
    <w:rsid w:val="00CD5A02"/>
    <w:rsid w:val="00D3439C"/>
    <w:rsid w:val="00D75300"/>
    <w:rsid w:val="00DB1831"/>
    <w:rsid w:val="00DD3BFD"/>
    <w:rsid w:val="00DF6678"/>
    <w:rsid w:val="00EF2E22"/>
    <w:rsid w:val="00F660DF"/>
    <w:rsid w:val="00F95C08"/>
    <w:rsid w:val="00F96C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37E4F7"/>
  <w15:docId w15:val="{34F7D5E2-013C-4597-9522-DEF3E1EC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iPriority w:val="99"/>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ParaNoG">
    <w:name w:val="_ParaNo._G"/>
    <w:basedOn w:val="SingleTxtG"/>
    <w:rsid w:val="00C262CB"/>
    <w:pPr>
      <w:numPr>
        <w:numId w:val="19"/>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C262CB"/>
    <w:pPr>
      <w:numPr>
        <w:numId w:val="21"/>
      </w:numPr>
    </w:pPr>
  </w:style>
  <w:style w:type="numbering" w:styleId="1ai">
    <w:name w:val="Outline List 1"/>
    <w:basedOn w:val="Aucuneliste"/>
    <w:semiHidden/>
    <w:rsid w:val="00C262CB"/>
    <w:pPr>
      <w:numPr>
        <w:numId w:val="22"/>
      </w:numPr>
    </w:pPr>
  </w:style>
  <w:style w:type="character" w:styleId="Titredulivre">
    <w:name w:val="Book Title"/>
    <w:basedOn w:val="Policepardfaut"/>
    <w:uiPriority w:val="33"/>
    <w:semiHidden/>
    <w:rsid w:val="00C262CB"/>
    <w:rPr>
      <w:b/>
      <w:bCs/>
      <w:smallCaps/>
      <w:spacing w:val="5"/>
    </w:rPr>
  </w:style>
  <w:style w:type="character" w:customStyle="1" w:styleId="SingleTxtGChar">
    <w:name w:val="_ Single Txt_G Char"/>
    <w:basedOn w:val="Policepardfaut"/>
    <w:link w:val="SingleTxtG"/>
    <w:rsid w:val="00C262CB"/>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C262CB"/>
    <w:rPr>
      <w:sz w:val="16"/>
      <w:szCs w:val="16"/>
    </w:rPr>
  </w:style>
  <w:style w:type="paragraph" w:styleId="Commentaire">
    <w:name w:val="annotation text"/>
    <w:basedOn w:val="Normal"/>
    <w:link w:val="CommentaireCar"/>
    <w:uiPriority w:val="99"/>
    <w:semiHidden/>
    <w:unhideWhenUsed/>
    <w:rsid w:val="00C262CB"/>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C262CB"/>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C262CB"/>
    <w:rPr>
      <w:b/>
      <w:bCs/>
    </w:rPr>
  </w:style>
  <w:style w:type="character" w:customStyle="1" w:styleId="ObjetducommentaireCar">
    <w:name w:val="Objet du commentaire Car"/>
    <w:basedOn w:val="CommentaireCar"/>
    <w:link w:val="Objetducommentaire"/>
    <w:uiPriority w:val="99"/>
    <w:semiHidden/>
    <w:rsid w:val="00C262CB"/>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C26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5</Pages>
  <Words>2682</Words>
  <Characters>16522</Characters>
  <Application>Microsoft Office Word</Application>
  <DocSecurity>0</DocSecurity>
  <Lines>2753</Lines>
  <Paragraphs>1010</Paragraphs>
  <ScaleCrop>false</ScaleCrop>
  <HeadingPairs>
    <vt:vector size="2" baseType="variant">
      <vt:variant>
        <vt:lpstr>Titre</vt:lpstr>
      </vt:variant>
      <vt:variant>
        <vt:i4>1</vt:i4>
      </vt:variant>
    </vt:vector>
  </HeadingPairs>
  <TitlesOfParts>
    <vt:vector size="1" baseType="lpstr">
      <vt:lpstr>E/C.12/SWE/QPR/7</vt:lpstr>
    </vt:vector>
  </TitlesOfParts>
  <Company>DCM</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E/C.12/SWE/QPR/7</dc:title>
  <dc:subject/>
  <dc:creator>Maud DARICHE</dc:creator>
  <cp:keywords/>
  <cp:lastModifiedBy>Maud Dariche</cp:lastModifiedBy>
  <cp:revision>4</cp:revision>
  <cp:lastPrinted>2020-12-07T08:26:00Z</cp:lastPrinted>
  <dcterms:created xsi:type="dcterms:W3CDTF">2020-12-07T08:26:00Z</dcterms:created>
  <dcterms:modified xsi:type="dcterms:W3CDTF">2020-12-07T08:28:00Z</dcterms:modified>
</cp:coreProperties>
</file>