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9E6CB7" w:rsidRPr="000F7862" w:rsidTr="009E6CB7">
        <w:trPr>
          <w:cantSplit/>
          <w:trHeight w:hRule="exact" w:val="851"/>
        </w:trPr>
        <w:tc>
          <w:tcPr>
            <w:tcW w:w="1276" w:type="dxa"/>
            <w:tcBorders>
              <w:bottom w:val="single" w:sz="4" w:space="0" w:color="auto"/>
            </w:tcBorders>
            <w:vAlign w:val="bottom"/>
          </w:tcPr>
          <w:p w:rsidR="009E6CB7" w:rsidRPr="000F7862" w:rsidRDefault="009E6CB7" w:rsidP="009E6CB7">
            <w:pPr>
              <w:spacing w:after="80"/>
              <w:rPr>
                <w:lang w:val="fr-FR"/>
              </w:rPr>
            </w:pPr>
          </w:p>
        </w:tc>
        <w:tc>
          <w:tcPr>
            <w:tcW w:w="2268" w:type="dxa"/>
            <w:tcBorders>
              <w:bottom w:val="single" w:sz="4" w:space="0" w:color="auto"/>
            </w:tcBorders>
            <w:vAlign w:val="bottom"/>
          </w:tcPr>
          <w:p w:rsidR="009E6CB7" w:rsidRPr="000F7862" w:rsidRDefault="009E6CB7" w:rsidP="009E6CB7">
            <w:pPr>
              <w:spacing w:after="80" w:line="300" w:lineRule="exact"/>
              <w:rPr>
                <w:b/>
                <w:sz w:val="24"/>
                <w:szCs w:val="24"/>
                <w:lang w:val="fr-FR"/>
              </w:rPr>
            </w:pPr>
            <w:r w:rsidRPr="000F7862">
              <w:rPr>
                <w:sz w:val="28"/>
                <w:szCs w:val="28"/>
                <w:lang w:val="fr-FR"/>
              </w:rPr>
              <w:t>Nations</w:t>
            </w:r>
            <w:r w:rsidR="00B04C58" w:rsidRPr="000F7862">
              <w:rPr>
                <w:sz w:val="28"/>
                <w:szCs w:val="28"/>
                <w:lang w:val="fr-FR"/>
              </w:rPr>
              <w:t xml:space="preserve"> Unies</w:t>
            </w:r>
          </w:p>
        </w:tc>
        <w:tc>
          <w:tcPr>
            <w:tcW w:w="6095" w:type="dxa"/>
            <w:gridSpan w:val="2"/>
            <w:tcBorders>
              <w:bottom w:val="single" w:sz="4" w:space="0" w:color="auto"/>
            </w:tcBorders>
            <w:vAlign w:val="bottom"/>
          </w:tcPr>
          <w:p w:rsidR="009E6CB7" w:rsidRPr="000F7862" w:rsidRDefault="0092578A" w:rsidP="0092578A">
            <w:pPr>
              <w:jc w:val="right"/>
              <w:rPr>
                <w:lang w:val="fr-FR"/>
              </w:rPr>
            </w:pPr>
            <w:r w:rsidRPr="000F7862">
              <w:rPr>
                <w:sz w:val="40"/>
                <w:lang w:val="fr-FR"/>
              </w:rPr>
              <w:t>E</w:t>
            </w:r>
            <w:r w:rsidRPr="000F7862">
              <w:rPr>
                <w:lang w:val="fr-FR"/>
              </w:rPr>
              <w:t>/C.12/PHL/5-6</w:t>
            </w:r>
          </w:p>
        </w:tc>
      </w:tr>
      <w:tr w:rsidR="009E6CB7" w:rsidRPr="000F7862" w:rsidTr="009E6CB7">
        <w:trPr>
          <w:cantSplit/>
          <w:trHeight w:hRule="exact" w:val="2835"/>
        </w:trPr>
        <w:tc>
          <w:tcPr>
            <w:tcW w:w="1276" w:type="dxa"/>
            <w:tcBorders>
              <w:top w:val="single" w:sz="4" w:space="0" w:color="auto"/>
              <w:bottom w:val="single" w:sz="12" w:space="0" w:color="auto"/>
            </w:tcBorders>
          </w:tcPr>
          <w:p w:rsidR="009E6CB7" w:rsidRPr="000F7862" w:rsidRDefault="00EA3CA5" w:rsidP="009E6CB7">
            <w:pPr>
              <w:spacing w:before="120"/>
              <w:rPr>
                <w:lang w:val="fr-FR"/>
              </w:rPr>
            </w:pPr>
            <w:r w:rsidRPr="000F7862">
              <w:rPr>
                <w:lang w:val="fr-FR"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tcPr>
          <w:p w:rsidR="009E6CB7" w:rsidRPr="000F7862" w:rsidRDefault="00B04C58" w:rsidP="00B04C58">
            <w:pPr>
              <w:spacing w:before="120" w:line="420" w:lineRule="exact"/>
              <w:rPr>
                <w:sz w:val="40"/>
                <w:szCs w:val="40"/>
                <w:lang w:val="fr-FR"/>
              </w:rPr>
            </w:pPr>
            <w:r w:rsidRPr="000F7862">
              <w:rPr>
                <w:b/>
                <w:sz w:val="40"/>
                <w:szCs w:val="40"/>
                <w:lang w:val="fr-FR"/>
              </w:rPr>
              <w:t>Conseil économique et s</w:t>
            </w:r>
            <w:r w:rsidR="009E6CB7" w:rsidRPr="000F7862">
              <w:rPr>
                <w:b/>
                <w:sz w:val="40"/>
                <w:szCs w:val="40"/>
                <w:lang w:val="fr-FR"/>
              </w:rPr>
              <w:t xml:space="preserve">ocial </w:t>
            </w:r>
          </w:p>
        </w:tc>
        <w:tc>
          <w:tcPr>
            <w:tcW w:w="2835" w:type="dxa"/>
            <w:tcBorders>
              <w:top w:val="single" w:sz="4" w:space="0" w:color="auto"/>
              <w:bottom w:val="single" w:sz="12" w:space="0" w:color="auto"/>
            </w:tcBorders>
          </w:tcPr>
          <w:p w:rsidR="009E6CB7" w:rsidRPr="000F7862" w:rsidRDefault="0092578A" w:rsidP="00420EE5">
            <w:pPr>
              <w:spacing w:before="240" w:line="240" w:lineRule="exact"/>
              <w:rPr>
                <w:lang w:val="fr-FR"/>
              </w:rPr>
            </w:pPr>
            <w:r w:rsidRPr="000F7862">
              <w:rPr>
                <w:lang w:val="fr-FR"/>
              </w:rPr>
              <w:t>Distr.</w:t>
            </w:r>
            <w:r w:rsidR="00420EE5" w:rsidRPr="000F7862">
              <w:rPr>
                <w:lang w:val="fr-FR"/>
              </w:rPr>
              <w:t xml:space="preserve"> g</w:t>
            </w:r>
            <w:r w:rsidR="00B04C58" w:rsidRPr="000F7862">
              <w:rPr>
                <w:lang w:val="fr-FR"/>
              </w:rPr>
              <w:t>é</w:t>
            </w:r>
            <w:r w:rsidRPr="000F7862">
              <w:rPr>
                <w:lang w:val="fr-FR"/>
              </w:rPr>
              <w:t>n</w:t>
            </w:r>
            <w:r w:rsidR="00B04C58" w:rsidRPr="000F7862">
              <w:rPr>
                <w:lang w:val="fr-FR"/>
              </w:rPr>
              <w:t>é</w:t>
            </w:r>
            <w:r w:rsidRPr="000F7862">
              <w:rPr>
                <w:lang w:val="fr-FR"/>
              </w:rPr>
              <w:t>ral</w:t>
            </w:r>
            <w:r w:rsidR="00B04C58" w:rsidRPr="000F7862">
              <w:rPr>
                <w:lang w:val="fr-FR"/>
              </w:rPr>
              <w:t>e</w:t>
            </w:r>
          </w:p>
          <w:p w:rsidR="0092578A" w:rsidRPr="000F7862" w:rsidRDefault="001A39BF" w:rsidP="009A732B">
            <w:pPr>
              <w:spacing w:line="240" w:lineRule="exact"/>
              <w:rPr>
                <w:lang w:val="fr-FR"/>
              </w:rPr>
            </w:pPr>
            <w:r w:rsidRPr="000F7862">
              <w:rPr>
                <w:lang w:val="fr-FR"/>
              </w:rPr>
              <w:t>2</w:t>
            </w:r>
            <w:r w:rsidR="00BF3DBC" w:rsidRPr="000F7862">
              <w:rPr>
                <w:lang w:val="fr-FR"/>
              </w:rPr>
              <w:t>7</w:t>
            </w:r>
            <w:r w:rsidRPr="000F7862">
              <w:rPr>
                <w:lang w:val="fr-FR"/>
              </w:rPr>
              <w:t xml:space="preserve"> </w:t>
            </w:r>
            <w:r w:rsidR="00B04C58" w:rsidRPr="000F7862">
              <w:rPr>
                <w:lang w:val="fr-FR"/>
              </w:rPr>
              <w:t>av</w:t>
            </w:r>
            <w:r w:rsidR="009A732B" w:rsidRPr="000F7862">
              <w:rPr>
                <w:lang w:val="fr-FR"/>
              </w:rPr>
              <w:t xml:space="preserve">ril </w:t>
            </w:r>
            <w:r w:rsidR="00CA416E" w:rsidRPr="000F7862">
              <w:rPr>
                <w:lang w:val="fr-FR"/>
              </w:rPr>
              <w:t>2015</w:t>
            </w:r>
          </w:p>
          <w:p w:rsidR="0092578A" w:rsidRPr="000F7862" w:rsidRDefault="00B04C58" w:rsidP="0092578A">
            <w:pPr>
              <w:spacing w:line="240" w:lineRule="exact"/>
              <w:rPr>
                <w:lang w:val="fr-FR"/>
              </w:rPr>
            </w:pPr>
            <w:r w:rsidRPr="000F7862">
              <w:rPr>
                <w:lang w:val="fr-FR"/>
              </w:rPr>
              <w:t>Français</w:t>
            </w:r>
          </w:p>
          <w:p w:rsidR="0092578A" w:rsidRPr="000F7862" w:rsidRDefault="0092578A" w:rsidP="0092578A">
            <w:pPr>
              <w:spacing w:line="240" w:lineRule="exact"/>
              <w:rPr>
                <w:lang w:val="fr-FR"/>
              </w:rPr>
            </w:pPr>
            <w:r w:rsidRPr="000F7862">
              <w:rPr>
                <w:lang w:val="fr-FR"/>
              </w:rPr>
              <w:t>Original</w:t>
            </w:r>
            <w:r w:rsidR="0005004C" w:rsidRPr="000F7862">
              <w:rPr>
                <w:lang w:val="fr-FR"/>
              </w:rPr>
              <w:t>:</w:t>
            </w:r>
            <w:r w:rsidRPr="000F7862">
              <w:rPr>
                <w:lang w:val="fr-FR"/>
              </w:rPr>
              <w:t xml:space="preserve"> </w:t>
            </w:r>
            <w:r w:rsidR="00B04C58" w:rsidRPr="000F7862">
              <w:rPr>
                <w:lang w:val="fr-FR"/>
              </w:rPr>
              <w:t xml:space="preserve">anglais </w:t>
            </w:r>
          </w:p>
          <w:p w:rsidR="00BF3DBC" w:rsidRPr="000F7862" w:rsidRDefault="00B04C58" w:rsidP="00B04C58">
            <w:pPr>
              <w:spacing w:line="240" w:lineRule="exact"/>
              <w:rPr>
                <w:lang w:val="fr-FR"/>
              </w:rPr>
            </w:pPr>
            <w:r w:rsidRPr="000F7862">
              <w:rPr>
                <w:lang w:val="fr-FR"/>
              </w:rPr>
              <w:t>Anglais, espagnol et français seulement</w:t>
            </w:r>
            <w:r w:rsidR="00EA3CA5" w:rsidRPr="000F7862">
              <w:rPr>
                <w:lang w:val="fr-FR"/>
              </w:rPr>
              <w:pict>
                <v:shape id="Picture 2" o:spid="_x0000_s1028" type="#_x0000_t75" alt="http://undocs.org/m2/QRCode.ashx?DS=E/C.12/PHL/5-6&amp;Size=2 &amp;Lang=E" style="position:absolute;margin-left:432.25pt;margin-top:632.1pt;width:50.25pt;height:50.25pt;z-index:1;visibility:visible;mso-position-horizontal-relative:margin;mso-position-vertical-relative:margin" o:allowoverlap="f">
                  <v:imagedata r:id="rId8" o:title="5-6&amp;Size=2 &amp;Lang=E"/>
                  <w10:wrap anchorx="margin" anchory="margin"/>
                </v:shape>
              </w:pict>
            </w:r>
          </w:p>
        </w:tc>
      </w:tr>
    </w:tbl>
    <w:p w:rsidR="0092578A" w:rsidRPr="000F7862" w:rsidRDefault="0092578A" w:rsidP="0092578A">
      <w:pPr>
        <w:spacing w:before="120"/>
        <w:rPr>
          <w:b/>
          <w:sz w:val="24"/>
          <w:szCs w:val="24"/>
          <w:lang w:val="fr-FR"/>
        </w:rPr>
      </w:pPr>
      <w:r w:rsidRPr="000F7862">
        <w:rPr>
          <w:b/>
          <w:sz w:val="24"/>
          <w:szCs w:val="24"/>
          <w:lang w:val="fr-FR"/>
        </w:rPr>
        <w:t>Com</w:t>
      </w:r>
      <w:r w:rsidR="00B04C58" w:rsidRPr="000F7862">
        <w:rPr>
          <w:b/>
          <w:sz w:val="24"/>
          <w:szCs w:val="24"/>
          <w:lang w:val="fr-FR"/>
        </w:rPr>
        <w:t>ité des droi</w:t>
      </w:r>
      <w:r w:rsidR="0009336B" w:rsidRPr="000F7862">
        <w:rPr>
          <w:b/>
          <w:sz w:val="24"/>
          <w:szCs w:val="24"/>
          <w:lang w:val="fr-FR"/>
        </w:rPr>
        <w:t>t</w:t>
      </w:r>
      <w:r w:rsidR="00B04C58" w:rsidRPr="000F7862">
        <w:rPr>
          <w:b/>
          <w:sz w:val="24"/>
          <w:szCs w:val="24"/>
          <w:lang w:val="fr-FR"/>
        </w:rPr>
        <w:t>s économiques</w:t>
      </w:r>
      <w:r w:rsidRPr="000F7862">
        <w:rPr>
          <w:b/>
          <w:sz w:val="24"/>
          <w:szCs w:val="24"/>
          <w:lang w:val="fr-FR"/>
        </w:rPr>
        <w:t xml:space="preserve">, </w:t>
      </w:r>
      <w:r w:rsidR="00B04C58" w:rsidRPr="000F7862">
        <w:rPr>
          <w:b/>
          <w:sz w:val="24"/>
          <w:szCs w:val="24"/>
          <w:lang w:val="fr-FR"/>
        </w:rPr>
        <w:t>s</w:t>
      </w:r>
      <w:r w:rsidRPr="000F7862">
        <w:rPr>
          <w:b/>
          <w:sz w:val="24"/>
          <w:szCs w:val="24"/>
          <w:lang w:val="fr-FR"/>
        </w:rPr>
        <w:t>ocia</w:t>
      </w:r>
      <w:r w:rsidR="00B04C58" w:rsidRPr="000F7862">
        <w:rPr>
          <w:b/>
          <w:sz w:val="24"/>
          <w:szCs w:val="24"/>
          <w:lang w:val="fr-FR"/>
        </w:rPr>
        <w:t>ux et culture</w:t>
      </w:r>
      <w:r w:rsidRPr="000F7862">
        <w:rPr>
          <w:b/>
          <w:sz w:val="24"/>
          <w:szCs w:val="24"/>
          <w:lang w:val="fr-FR"/>
        </w:rPr>
        <w:t>l</w:t>
      </w:r>
      <w:r w:rsidR="00B04C58" w:rsidRPr="000F7862">
        <w:rPr>
          <w:b/>
          <w:sz w:val="24"/>
          <w:szCs w:val="24"/>
          <w:lang w:val="fr-FR"/>
        </w:rPr>
        <w:t>s</w:t>
      </w:r>
    </w:p>
    <w:p w:rsidR="0092578A" w:rsidRPr="000F7862" w:rsidRDefault="0092578A" w:rsidP="009A732B">
      <w:pPr>
        <w:pStyle w:val="HMG"/>
        <w:rPr>
          <w:lang w:val="fr-FR"/>
        </w:rPr>
      </w:pPr>
      <w:r w:rsidRPr="000F7862">
        <w:rPr>
          <w:lang w:val="fr-FR"/>
        </w:rPr>
        <w:tab/>
      </w:r>
      <w:r w:rsidRPr="000F7862">
        <w:rPr>
          <w:lang w:val="fr-FR"/>
        </w:rPr>
        <w:tab/>
      </w:r>
      <w:r w:rsidR="00B04C58" w:rsidRPr="000F7862">
        <w:rPr>
          <w:lang w:val="fr-FR"/>
        </w:rPr>
        <w:t>Examen des rapports soumis par les États parties en application des articles 16 et 17 du Pacte international relatif aux droits éc</w:t>
      </w:r>
      <w:r w:rsidR="00CC5D4F" w:rsidRPr="000F7862">
        <w:rPr>
          <w:lang w:val="fr-FR"/>
        </w:rPr>
        <w:t>onomiques, sociaux et culturels</w:t>
      </w:r>
    </w:p>
    <w:p w:rsidR="0092578A" w:rsidRPr="000F7862" w:rsidRDefault="0092578A" w:rsidP="00CA416E">
      <w:pPr>
        <w:pStyle w:val="HChG"/>
        <w:rPr>
          <w:lang w:val="fr-FR"/>
        </w:rPr>
      </w:pPr>
      <w:r w:rsidRPr="000F7862">
        <w:rPr>
          <w:lang w:val="fr-FR"/>
        </w:rPr>
        <w:tab/>
      </w:r>
      <w:r w:rsidRPr="000F7862">
        <w:rPr>
          <w:lang w:val="fr-FR"/>
        </w:rPr>
        <w:tab/>
      </w:r>
      <w:r w:rsidR="00B04C58" w:rsidRPr="000F7862">
        <w:rPr>
          <w:lang w:val="fr-FR"/>
        </w:rPr>
        <w:t>Cinquième et sixième rapports périodiques des</w:t>
      </w:r>
      <w:r w:rsidR="00647576" w:rsidRPr="000F7862">
        <w:rPr>
          <w:lang w:val="fr-FR"/>
        </w:rPr>
        <w:t> États parties attendus en 2013</w:t>
      </w:r>
    </w:p>
    <w:p w:rsidR="0092578A" w:rsidRPr="000F7862" w:rsidRDefault="0092578A" w:rsidP="0092578A">
      <w:pPr>
        <w:pStyle w:val="HMG"/>
        <w:rPr>
          <w:lang w:val="fr-FR"/>
        </w:rPr>
      </w:pPr>
      <w:r w:rsidRPr="000F7862">
        <w:rPr>
          <w:lang w:val="fr-FR"/>
        </w:rPr>
        <w:tab/>
      </w:r>
      <w:r w:rsidRPr="000F7862">
        <w:rPr>
          <w:lang w:val="fr-FR"/>
        </w:rPr>
        <w:tab/>
        <w:t>Philippines</w:t>
      </w:r>
      <w:r w:rsidRPr="000F7862">
        <w:rPr>
          <w:rStyle w:val="FootnoteReference"/>
          <w:b w:val="0"/>
          <w:sz w:val="20"/>
          <w:vertAlign w:val="baseline"/>
          <w:lang w:val="fr-FR"/>
        </w:rPr>
        <w:footnoteReference w:customMarkFollows="1" w:id="2"/>
        <w:t>*</w:t>
      </w:r>
    </w:p>
    <w:p w:rsidR="0092578A" w:rsidRPr="000F7862" w:rsidRDefault="0092578A" w:rsidP="009A732B">
      <w:pPr>
        <w:pStyle w:val="SingleTxtG"/>
        <w:jc w:val="right"/>
        <w:rPr>
          <w:lang w:val="fr-FR"/>
        </w:rPr>
      </w:pPr>
      <w:r w:rsidRPr="000F7862">
        <w:rPr>
          <w:lang w:val="fr-FR"/>
        </w:rPr>
        <w:t>[Date</w:t>
      </w:r>
      <w:r w:rsidR="00FF54BA" w:rsidRPr="000F7862">
        <w:rPr>
          <w:lang w:val="fr-FR"/>
        </w:rPr>
        <w:t xml:space="preserve"> de réception</w:t>
      </w:r>
      <w:r w:rsidR="0005004C" w:rsidRPr="000F7862">
        <w:rPr>
          <w:lang w:val="fr-FR"/>
        </w:rPr>
        <w:t>:</w:t>
      </w:r>
      <w:r w:rsidR="009A732B" w:rsidRPr="000F7862">
        <w:rPr>
          <w:lang w:val="fr-FR"/>
        </w:rPr>
        <w:t xml:space="preserve"> </w:t>
      </w:r>
      <w:r w:rsidRPr="000F7862">
        <w:rPr>
          <w:lang w:val="fr-FR"/>
        </w:rPr>
        <w:t xml:space="preserve">24 </w:t>
      </w:r>
      <w:r w:rsidR="00FF54BA" w:rsidRPr="000F7862">
        <w:rPr>
          <w:lang w:val="fr-FR"/>
        </w:rPr>
        <w:t>novembre</w:t>
      </w:r>
      <w:r w:rsidRPr="000F7862">
        <w:rPr>
          <w:lang w:val="fr-FR"/>
        </w:rPr>
        <w:t xml:space="preserve"> 2014]</w:t>
      </w:r>
    </w:p>
    <w:p w:rsidR="001C6663" w:rsidRPr="000F7862" w:rsidRDefault="0092578A" w:rsidP="0092578A">
      <w:pPr>
        <w:spacing w:after="120"/>
        <w:rPr>
          <w:sz w:val="28"/>
          <w:lang w:val="fr-FR"/>
        </w:rPr>
      </w:pPr>
      <w:r w:rsidRPr="000F7862">
        <w:rPr>
          <w:lang w:val="fr-FR"/>
        </w:rPr>
        <w:br w:type="page"/>
      </w:r>
      <w:r w:rsidR="001B3487" w:rsidRPr="000F7862">
        <w:rPr>
          <w:sz w:val="28"/>
          <w:lang w:val="fr-FR"/>
        </w:rPr>
        <w:t>Table des matières</w:t>
      </w:r>
    </w:p>
    <w:p w:rsidR="00B02C6C" w:rsidRPr="000F7862" w:rsidRDefault="00B02C6C" w:rsidP="00B02C6C">
      <w:pPr>
        <w:tabs>
          <w:tab w:val="right" w:pos="8929"/>
          <w:tab w:val="right" w:pos="9638"/>
        </w:tabs>
        <w:spacing w:after="120"/>
        <w:ind w:left="283"/>
        <w:rPr>
          <w:lang w:val="fr-FR"/>
        </w:rPr>
      </w:pPr>
      <w:r w:rsidRPr="000F7862">
        <w:rPr>
          <w:i/>
          <w:sz w:val="18"/>
          <w:lang w:val="fr-FR"/>
        </w:rPr>
        <w:tab/>
        <w:t>Paragraph</w:t>
      </w:r>
      <w:r w:rsidR="00FF54BA" w:rsidRPr="000F7862">
        <w:rPr>
          <w:i/>
          <w:sz w:val="18"/>
          <w:lang w:val="fr-FR"/>
        </w:rPr>
        <w:t>e</w:t>
      </w:r>
      <w:r w:rsidRPr="000F7862">
        <w:rPr>
          <w:i/>
          <w:sz w:val="18"/>
          <w:lang w:val="fr-FR"/>
        </w:rPr>
        <w:t>s</w:t>
      </w:r>
      <w:r w:rsidRPr="000F7862">
        <w:rPr>
          <w:i/>
          <w:sz w:val="18"/>
          <w:lang w:val="fr-FR"/>
        </w:rPr>
        <w:tab/>
        <w:t>Page</w:t>
      </w:r>
    </w:p>
    <w:p w:rsidR="00B02C6C" w:rsidRPr="000F7862" w:rsidRDefault="00B02C6C" w:rsidP="00B02C6C">
      <w:pPr>
        <w:tabs>
          <w:tab w:val="right" w:pos="850"/>
          <w:tab w:val="left" w:pos="1134"/>
          <w:tab w:val="left" w:pos="1559"/>
          <w:tab w:val="left" w:pos="1984"/>
          <w:tab w:val="left" w:leader="dot" w:pos="7654"/>
          <w:tab w:val="right" w:pos="8929"/>
          <w:tab w:val="right" w:pos="9638"/>
        </w:tabs>
        <w:spacing w:after="120"/>
        <w:rPr>
          <w:lang w:val="fr-FR"/>
        </w:rPr>
      </w:pPr>
      <w:r w:rsidRPr="000F7862">
        <w:rPr>
          <w:lang w:val="fr-FR"/>
        </w:rPr>
        <w:tab/>
      </w:r>
      <w:r w:rsidR="00B53507" w:rsidRPr="000F7862">
        <w:rPr>
          <w:lang w:val="fr-FR"/>
        </w:rPr>
        <w:t>I.</w:t>
      </w:r>
      <w:r w:rsidRPr="000F7862">
        <w:rPr>
          <w:lang w:val="fr-FR"/>
        </w:rPr>
        <w:tab/>
        <w:t>Introduction</w:t>
      </w:r>
      <w:r w:rsidRPr="000F7862">
        <w:rPr>
          <w:lang w:val="fr-FR"/>
        </w:rPr>
        <w:tab/>
      </w:r>
      <w:r w:rsidRPr="000F7862">
        <w:rPr>
          <w:lang w:val="fr-FR"/>
        </w:rPr>
        <w:tab/>
        <w:t>1–15</w:t>
      </w:r>
      <w:r w:rsidRPr="000F7862">
        <w:rPr>
          <w:lang w:val="fr-FR"/>
        </w:rPr>
        <w:tab/>
        <w:t>3</w:t>
      </w:r>
    </w:p>
    <w:p w:rsidR="00B02C6C" w:rsidRPr="000F7862" w:rsidRDefault="00B02C6C" w:rsidP="001B3487">
      <w:pPr>
        <w:tabs>
          <w:tab w:val="right" w:pos="850"/>
          <w:tab w:val="left" w:pos="1134"/>
          <w:tab w:val="left" w:pos="1559"/>
          <w:tab w:val="left" w:leader="dot" w:pos="7654"/>
          <w:tab w:val="right" w:pos="8929"/>
          <w:tab w:val="right" w:pos="9638"/>
        </w:tabs>
        <w:suppressAutoHyphens w:val="0"/>
        <w:spacing w:after="120"/>
        <w:rPr>
          <w:lang w:val="fr-FR"/>
        </w:rPr>
      </w:pPr>
      <w:r w:rsidRPr="000F7862">
        <w:rPr>
          <w:lang w:val="fr-FR"/>
        </w:rPr>
        <w:tab/>
        <w:t>I</w:t>
      </w:r>
      <w:r w:rsidR="00B53507" w:rsidRPr="000F7862">
        <w:rPr>
          <w:lang w:val="fr-FR"/>
        </w:rPr>
        <w:t>I</w:t>
      </w:r>
      <w:r w:rsidRPr="000F7862">
        <w:rPr>
          <w:lang w:val="fr-FR"/>
        </w:rPr>
        <w:t>.</w:t>
      </w:r>
      <w:r w:rsidRPr="000F7862">
        <w:rPr>
          <w:lang w:val="fr-FR"/>
        </w:rPr>
        <w:tab/>
      </w:r>
      <w:r w:rsidR="00FF54BA" w:rsidRPr="000F7862">
        <w:rPr>
          <w:lang w:val="fr-FR" w:eastAsia="es-ES"/>
        </w:rPr>
        <w:t>Renseignements</w:t>
      </w:r>
      <w:r w:rsidR="00FF54BA" w:rsidRPr="000F7862">
        <w:rPr>
          <w:lang w:val="fr-FR"/>
        </w:rPr>
        <w:t xml:space="preserve"> relatifs aux </w:t>
      </w:r>
      <w:r w:rsidR="001C088C" w:rsidRPr="000F7862">
        <w:rPr>
          <w:lang w:val="fr-FR"/>
        </w:rPr>
        <w:t>a</w:t>
      </w:r>
      <w:r w:rsidR="00FF54BA" w:rsidRPr="000F7862">
        <w:rPr>
          <w:lang w:val="fr-FR"/>
        </w:rPr>
        <w:t xml:space="preserve">rticles </w:t>
      </w:r>
      <w:r w:rsidR="001B3487" w:rsidRPr="000F7862">
        <w:rPr>
          <w:lang w:val="fr-FR"/>
        </w:rPr>
        <w:t>1</w:t>
      </w:r>
      <w:r w:rsidR="001B3487" w:rsidRPr="000F7862">
        <w:rPr>
          <w:vertAlign w:val="superscript"/>
          <w:lang w:val="fr-FR"/>
        </w:rPr>
        <w:t>er</w:t>
      </w:r>
      <w:r w:rsidRPr="000F7862">
        <w:rPr>
          <w:lang w:val="fr-FR"/>
        </w:rPr>
        <w:t>, 11, 12</w:t>
      </w:r>
      <w:r w:rsidR="00FF54BA" w:rsidRPr="000F7862">
        <w:rPr>
          <w:lang w:val="fr-FR"/>
        </w:rPr>
        <w:t xml:space="preserve"> et</w:t>
      </w:r>
      <w:r w:rsidRPr="000F7862">
        <w:rPr>
          <w:lang w:val="fr-FR"/>
        </w:rPr>
        <w:t xml:space="preserve"> 15 </w:t>
      </w:r>
      <w:r w:rsidR="00FF54BA" w:rsidRPr="000F7862">
        <w:rPr>
          <w:lang w:val="fr-FR"/>
        </w:rPr>
        <w:t>du Pacte concernant</w:t>
      </w:r>
      <w:r w:rsidRPr="000F7862">
        <w:rPr>
          <w:lang w:val="fr-FR"/>
        </w:rPr>
        <w:br/>
      </w:r>
      <w:r w:rsidR="001B3487" w:rsidRPr="000F7862">
        <w:rPr>
          <w:lang w:val="fr-FR"/>
        </w:rPr>
        <w:tab/>
      </w:r>
      <w:r w:rsidR="001B3487" w:rsidRPr="000F7862">
        <w:rPr>
          <w:lang w:val="fr-FR"/>
        </w:rPr>
        <w:tab/>
      </w:r>
      <w:r w:rsidR="00FF54BA" w:rsidRPr="000F7862">
        <w:rPr>
          <w:lang w:val="fr-FR"/>
        </w:rPr>
        <w:t>les peuples autochtones</w:t>
      </w:r>
      <w:r w:rsidRPr="000F7862">
        <w:rPr>
          <w:lang w:val="fr-FR"/>
        </w:rPr>
        <w:tab/>
      </w:r>
      <w:r w:rsidRPr="000F7862">
        <w:rPr>
          <w:lang w:val="fr-FR"/>
        </w:rPr>
        <w:tab/>
        <w:t>16–23</w:t>
      </w:r>
      <w:r w:rsidRPr="000F7862">
        <w:rPr>
          <w:lang w:val="fr-FR"/>
        </w:rPr>
        <w:tab/>
        <w:t>6</w:t>
      </w:r>
    </w:p>
    <w:p w:rsidR="00B02C6C" w:rsidRPr="000F7862" w:rsidRDefault="00B02C6C" w:rsidP="00897451">
      <w:pPr>
        <w:tabs>
          <w:tab w:val="right" w:pos="850"/>
          <w:tab w:val="left" w:pos="1134"/>
          <w:tab w:val="left" w:pos="1559"/>
          <w:tab w:val="left" w:pos="1984"/>
          <w:tab w:val="left" w:leader="dot" w:pos="7654"/>
          <w:tab w:val="right" w:pos="8929"/>
          <w:tab w:val="right" w:pos="9638"/>
        </w:tabs>
        <w:spacing w:after="120"/>
        <w:ind w:left="1134" w:hanging="1134"/>
        <w:rPr>
          <w:lang w:val="fr-FR"/>
        </w:rPr>
      </w:pPr>
      <w:r w:rsidRPr="000F7862">
        <w:rPr>
          <w:lang w:val="fr-FR"/>
        </w:rPr>
        <w:tab/>
        <w:t>II</w:t>
      </w:r>
      <w:r w:rsidR="00B53507" w:rsidRPr="000F7862">
        <w:rPr>
          <w:lang w:val="fr-FR"/>
        </w:rPr>
        <w:t>I</w:t>
      </w:r>
      <w:r w:rsidRPr="000F7862">
        <w:rPr>
          <w:lang w:val="fr-FR"/>
        </w:rPr>
        <w:t>.</w:t>
      </w:r>
      <w:r w:rsidRPr="000F7862">
        <w:rPr>
          <w:lang w:val="fr-FR"/>
        </w:rPr>
        <w:tab/>
      </w:r>
      <w:r w:rsidR="00FF54BA" w:rsidRPr="000F7862">
        <w:rPr>
          <w:lang w:val="fr-FR"/>
        </w:rPr>
        <w:t>Renseignements relatifs à l</w:t>
      </w:r>
      <w:r w:rsidR="00120E2E" w:rsidRPr="000F7862">
        <w:rPr>
          <w:lang w:val="fr-FR"/>
        </w:rPr>
        <w:t>’</w:t>
      </w:r>
      <w:r w:rsidR="001C088C" w:rsidRPr="000F7862">
        <w:rPr>
          <w:lang w:val="fr-FR"/>
        </w:rPr>
        <w:t>a</w:t>
      </w:r>
      <w:r w:rsidRPr="000F7862">
        <w:rPr>
          <w:lang w:val="fr-FR"/>
        </w:rPr>
        <w:t xml:space="preserve">rticle 2 </w:t>
      </w:r>
      <w:r w:rsidR="00FF54BA" w:rsidRPr="000F7862">
        <w:rPr>
          <w:lang w:val="fr-FR"/>
        </w:rPr>
        <w:t>du Pacte</w:t>
      </w:r>
      <w:r w:rsidRPr="000F7862">
        <w:rPr>
          <w:lang w:val="fr-FR"/>
        </w:rPr>
        <w:tab/>
      </w:r>
      <w:r w:rsidRPr="000F7862">
        <w:rPr>
          <w:lang w:val="fr-FR"/>
        </w:rPr>
        <w:tab/>
        <w:t>24</w:t>
      </w:r>
      <w:r w:rsidR="001B3F92" w:rsidRPr="000F7862">
        <w:rPr>
          <w:lang w:val="fr-FR"/>
        </w:rPr>
        <w:t>–</w:t>
      </w:r>
      <w:r w:rsidRPr="000F7862">
        <w:rPr>
          <w:lang w:val="fr-FR"/>
        </w:rPr>
        <w:t>45</w:t>
      </w:r>
      <w:r w:rsidRPr="000F7862">
        <w:rPr>
          <w:lang w:val="fr-FR"/>
        </w:rPr>
        <w:tab/>
      </w:r>
      <w:r w:rsidR="00897451" w:rsidRPr="000F7862">
        <w:rPr>
          <w:lang w:val="fr-FR"/>
        </w:rPr>
        <w:t>8</w:t>
      </w:r>
    </w:p>
    <w:p w:rsidR="00B02C6C" w:rsidRPr="000F7862" w:rsidRDefault="00B02C6C" w:rsidP="00897451">
      <w:pPr>
        <w:tabs>
          <w:tab w:val="right" w:pos="850"/>
          <w:tab w:val="left" w:pos="1134"/>
          <w:tab w:val="left" w:pos="1559"/>
          <w:tab w:val="left" w:pos="1984"/>
          <w:tab w:val="left" w:leader="dot" w:pos="7654"/>
          <w:tab w:val="right" w:pos="8929"/>
          <w:tab w:val="right" w:pos="9638"/>
        </w:tabs>
        <w:spacing w:after="120"/>
        <w:rPr>
          <w:lang w:val="fr-FR"/>
        </w:rPr>
      </w:pPr>
      <w:r w:rsidRPr="000F7862">
        <w:rPr>
          <w:lang w:val="fr-FR"/>
        </w:rPr>
        <w:tab/>
      </w:r>
      <w:r w:rsidR="00B53507" w:rsidRPr="000F7862">
        <w:rPr>
          <w:lang w:val="fr-FR"/>
        </w:rPr>
        <w:t>IV</w:t>
      </w:r>
      <w:r w:rsidRPr="000F7862">
        <w:rPr>
          <w:lang w:val="fr-FR"/>
        </w:rPr>
        <w:t>.</w:t>
      </w:r>
      <w:r w:rsidRPr="000F7862">
        <w:rPr>
          <w:lang w:val="fr-FR"/>
        </w:rPr>
        <w:tab/>
      </w:r>
      <w:r w:rsidR="00FF54BA" w:rsidRPr="000F7862">
        <w:rPr>
          <w:lang w:val="fr-FR"/>
        </w:rPr>
        <w:t xml:space="preserve">Renseignements relatifs aux </w:t>
      </w:r>
      <w:r w:rsidR="001C088C" w:rsidRPr="000F7862">
        <w:rPr>
          <w:lang w:val="fr-FR"/>
        </w:rPr>
        <w:t>a</w:t>
      </w:r>
      <w:r w:rsidRPr="000F7862">
        <w:rPr>
          <w:lang w:val="fr-FR"/>
        </w:rPr>
        <w:t>rticle</w:t>
      </w:r>
      <w:r w:rsidR="0009336B" w:rsidRPr="000F7862">
        <w:rPr>
          <w:lang w:val="fr-FR"/>
        </w:rPr>
        <w:t>s</w:t>
      </w:r>
      <w:r w:rsidRPr="000F7862">
        <w:rPr>
          <w:lang w:val="fr-FR"/>
        </w:rPr>
        <w:t xml:space="preserve"> 2 </w:t>
      </w:r>
      <w:r w:rsidR="00FF54BA" w:rsidRPr="000F7862">
        <w:rPr>
          <w:lang w:val="fr-FR"/>
        </w:rPr>
        <w:t xml:space="preserve">et </w:t>
      </w:r>
      <w:r w:rsidRPr="000F7862">
        <w:rPr>
          <w:lang w:val="fr-FR"/>
        </w:rPr>
        <w:t xml:space="preserve">10 </w:t>
      </w:r>
      <w:r w:rsidR="00FF54BA" w:rsidRPr="000F7862">
        <w:rPr>
          <w:lang w:val="fr-FR"/>
        </w:rPr>
        <w:t>du Pacte</w:t>
      </w:r>
      <w:r w:rsidRPr="000F7862">
        <w:rPr>
          <w:lang w:val="fr-FR"/>
        </w:rPr>
        <w:tab/>
      </w:r>
      <w:r w:rsidRPr="000F7862">
        <w:rPr>
          <w:lang w:val="fr-FR"/>
        </w:rPr>
        <w:tab/>
        <w:t>46–60</w:t>
      </w:r>
      <w:r w:rsidRPr="000F7862">
        <w:rPr>
          <w:lang w:val="fr-FR"/>
        </w:rPr>
        <w:tab/>
        <w:t>1</w:t>
      </w:r>
      <w:r w:rsidR="00897451" w:rsidRPr="000F7862">
        <w:rPr>
          <w:lang w:val="fr-FR"/>
        </w:rPr>
        <w:t>4</w:t>
      </w:r>
    </w:p>
    <w:p w:rsidR="00B02C6C" w:rsidRPr="000F7862" w:rsidRDefault="00B02C6C" w:rsidP="00B53507">
      <w:pPr>
        <w:tabs>
          <w:tab w:val="right" w:pos="850"/>
          <w:tab w:val="left" w:pos="1134"/>
          <w:tab w:val="left" w:pos="1559"/>
          <w:tab w:val="left" w:pos="1984"/>
          <w:tab w:val="left" w:leader="dot" w:pos="7654"/>
          <w:tab w:val="right" w:pos="8929"/>
          <w:tab w:val="right" w:pos="9638"/>
        </w:tabs>
        <w:spacing w:after="120"/>
        <w:rPr>
          <w:lang w:val="fr-FR"/>
        </w:rPr>
      </w:pPr>
      <w:r w:rsidRPr="000F7862">
        <w:rPr>
          <w:lang w:val="fr-FR"/>
        </w:rPr>
        <w:tab/>
        <w:t>V.</w:t>
      </w:r>
      <w:r w:rsidRPr="000F7862">
        <w:rPr>
          <w:lang w:val="fr-FR"/>
        </w:rPr>
        <w:tab/>
      </w:r>
      <w:r w:rsidR="00FF54BA" w:rsidRPr="000F7862">
        <w:rPr>
          <w:lang w:val="fr-FR"/>
        </w:rPr>
        <w:t>Renseignements relatifs à l</w:t>
      </w:r>
      <w:r w:rsidR="00120E2E" w:rsidRPr="000F7862">
        <w:rPr>
          <w:lang w:val="fr-FR"/>
        </w:rPr>
        <w:t>’</w:t>
      </w:r>
      <w:r w:rsidR="00FF54BA" w:rsidRPr="000F7862">
        <w:rPr>
          <w:lang w:val="fr-FR"/>
        </w:rPr>
        <w:t>article 6 du Pacte</w:t>
      </w:r>
      <w:r w:rsidR="00897451" w:rsidRPr="000F7862">
        <w:rPr>
          <w:lang w:val="fr-FR"/>
        </w:rPr>
        <w:tab/>
      </w:r>
      <w:r w:rsidR="00897451" w:rsidRPr="000F7862">
        <w:rPr>
          <w:lang w:val="fr-FR"/>
        </w:rPr>
        <w:tab/>
        <w:t>61–112</w:t>
      </w:r>
      <w:r w:rsidR="00897451" w:rsidRPr="000F7862">
        <w:rPr>
          <w:lang w:val="fr-FR"/>
        </w:rPr>
        <w:tab/>
        <w:t>19</w:t>
      </w:r>
    </w:p>
    <w:p w:rsidR="00B02C6C" w:rsidRPr="000F7862" w:rsidRDefault="00B02C6C" w:rsidP="001C088C">
      <w:pPr>
        <w:tabs>
          <w:tab w:val="right" w:pos="850"/>
          <w:tab w:val="left" w:pos="1134"/>
          <w:tab w:val="left" w:pos="1559"/>
          <w:tab w:val="left" w:pos="1984"/>
          <w:tab w:val="left" w:leader="dot" w:pos="7654"/>
          <w:tab w:val="right" w:pos="8929"/>
          <w:tab w:val="right" w:pos="9638"/>
        </w:tabs>
        <w:spacing w:after="120"/>
        <w:rPr>
          <w:lang w:val="fr-FR"/>
        </w:rPr>
      </w:pPr>
      <w:r w:rsidRPr="000F7862">
        <w:rPr>
          <w:lang w:val="fr-FR"/>
        </w:rPr>
        <w:tab/>
        <w:t>V</w:t>
      </w:r>
      <w:r w:rsidR="00B53507" w:rsidRPr="000F7862">
        <w:rPr>
          <w:lang w:val="fr-FR"/>
        </w:rPr>
        <w:t>I</w:t>
      </w:r>
      <w:r w:rsidRPr="000F7862">
        <w:rPr>
          <w:lang w:val="fr-FR"/>
        </w:rPr>
        <w:t>.</w:t>
      </w:r>
      <w:r w:rsidRPr="000F7862">
        <w:rPr>
          <w:lang w:val="fr-FR"/>
        </w:rPr>
        <w:tab/>
      </w:r>
      <w:r w:rsidR="00FF54BA" w:rsidRPr="000F7862">
        <w:rPr>
          <w:lang w:val="fr-FR"/>
        </w:rPr>
        <w:t>Renseignements relatifs à l</w:t>
      </w:r>
      <w:r w:rsidR="00120E2E" w:rsidRPr="000F7862">
        <w:rPr>
          <w:lang w:val="fr-FR"/>
        </w:rPr>
        <w:t>’</w:t>
      </w:r>
      <w:r w:rsidR="00FF54BA" w:rsidRPr="000F7862">
        <w:rPr>
          <w:lang w:val="fr-FR"/>
        </w:rPr>
        <w:t>article 11 du Pacte</w:t>
      </w:r>
      <w:r w:rsidR="00897451" w:rsidRPr="000F7862">
        <w:rPr>
          <w:lang w:val="fr-FR"/>
        </w:rPr>
        <w:tab/>
      </w:r>
      <w:r w:rsidR="00897451" w:rsidRPr="000F7862">
        <w:rPr>
          <w:lang w:val="fr-FR"/>
        </w:rPr>
        <w:tab/>
        <w:t>113–218</w:t>
      </w:r>
      <w:r w:rsidR="00897451" w:rsidRPr="000F7862">
        <w:rPr>
          <w:lang w:val="fr-FR"/>
        </w:rPr>
        <w:tab/>
        <w:t>30</w:t>
      </w:r>
    </w:p>
    <w:p w:rsidR="00B02C6C" w:rsidRPr="000F7862" w:rsidRDefault="00B02C6C" w:rsidP="001B3487">
      <w:pPr>
        <w:tabs>
          <w:tab w:val="right" w:pos="850"/>
          <w:tab w:val="left" w:pos="1134"/>
          <w:tab w:val="left" w:pos="1559"/>
          <w:tab w:val="left" w:pos="1984"/>
          <w:tab w:val="left" w:leader="dot" w:pos="7654"/>
          <w:tab w:val="right" w:pos="8929"/>
          <w:tab w:val="right" w:pos="9638"/>
        </w:tabs>
        <w:spacing w:after="120"/>
        <w:rPr>
          <w:lang w:val="fr-FR"/>
        </w:rPr>
      </w:pPr>
      <w:r w:rsidRPr="000F7862">
        <w:rPr>
          <w:lang w:val="fr-FR"/>
        </w:rPr>
        <w:tab/>
        <w:t>VI</w:t>
      </w:r>
      <w:r w:rsidR="00B53507" w:rsidRPr="000F7862">
        <w:rPr>
          <w:lang w:val="fr-FR"/>
        </w:rPr>
        <w:t>I</w:t>
      </w:r>
      <w:r w:rsidRPr="000F7862">
        <w:rPr>
          <w:lang w:val="fr-FR"/>
        </w:rPr>
        <w:t>.</w:t>
      </w:r>
      <w:r w:rsidRPr="000F7862">
        <w:rPr>
          <w:lang w:val="fr-FR"/>
        </w:rPr>
        <w:tab/>
      </w:r>
      <w:r w:rsidR="00FF54BA" w:rsidRPr="000F7862">
        <w:rPr>
          <w:lang w:val="fr-FR"/>
        </w:rPr>
        <w:t>Renseignements relatifs à l</w:t>
      </w:r>
      <w:r w:rsidR="00120E2E" w:rsidRPr="000F7862">
        <w:rPr>
          <w:lang w:val="fr-FR"/>
        </w:rPr>
        <w:t>’</w:t>
      </w:r>
      <w:r w:rsidR="00FF54BA" w:rsidRPr="000F7862">
        <w:rPr>
          <w:lang w:val="fr-FR"/>
        </w:rPr>
        <w:t>article 12 du Pacte</w:t>
      </w:r>
      <w:r w:rsidR="00897451" w:rsidRPr="000F7862">
        <w:rPr>
          <w:lang w:val="fr-FR"/>
        </w:rPr>
        <w:tab/>
      </w:r>
      <w:r w:rsidR="00897451" w:rsidRPr="000F7862">
        <w:rPr>
          <w:lang w:val="fr-FR"/>
        </w:rPr>
        <w:tab/>
        <w:t>219–228</w:t>
      </w:r>
      <w:r w:rsidR="00897451" w:rsidRPr="000F7862">
        <w:rPr>
          <w:lang w:val="fr-FR"/>
        </w:rPr>
        <w:tab/>
        <w:t>52</w:t>
      </w:r>
    </w:p>
    <w:p w:rsidR="0086185C" w:rsidRPr="000F7862" w:rsidRDefault="0092578A" w:rsidP="00730F8F">
      <w:pPr>
        <w:pStyle w:val="HChG"/>
        <w:rPr>
          <w:lang w:val="fr-FR"/>
        </w:rPr>
      </w:pPr>
      <w:r w:rsidRPr="000F7862">
        <w:rPr>
          <w:lang w:val="fr-FR"/>
        </w:rPr>
        <w:br w:type="page"/>
      </w:r>
      <w:r w:rsidR="0086185C" w:rsidRPr="000F7862">
        <w:rPr>
          <w:lang w:val="fr-FR"/>
        </w:rPr>
        <w:tab/>
      </w:r>
      <w:r w:rsidR="00730F8F" w:rsidRPr="000F7862">
        <w:rPr>
          <w:lang w:val="fr-FR"/>
        </w:rPr>
        <w:t>I.</w:t>
      </w:r>
      <w:r w:rsidR="0086185C" w:rsidRPr="000F7862">
        <w:rPr>
          <w:lang w:val="fr-FR"/>
        </w:rPr>
        <w:tab/>
        <w:t>Introduction</w:t>
      </w:r>
    </w:p>
    <w:p w:rsidR="0086185C" w:rsidRPr="000F7862" w:rsidRDefault="003F7F57" w:rsidP="003F7F57">
      <w:pPr>
        <w:pStyle w:val="SingleTxtG"/>
        <w:rPr>
          <w:lang w:val="fr-FR"/>
        </w:rPr>
      </w:pPr>
      <w:r w:rsidRPr="000F7862">
        <w:rPr>
          <w:lang w:val="fr-FR"/>
        </w:rPr>
        <w:t>1.</w:t>
      </w:r>
      <w:r w:rsidRPr="000F7862">
        <w:rPr>
          <w:lang w:val="fr-FR"/>
        </w:rPr>
        <w:tab/>
      </w:r>
      <w:r w:rsidR="0063601A" w:rsidRPr="000F7862">
        <w:rPr>
          <w:lang w:val="fr-FR"/>
        </w:rPr>
        <w:t xml:space="preserve">En complément des </w:t>
      </w:r>
      <w:r w:rsidR="0086185C" w:rsidRPr="000F7862">
        <w:rPr>
          <w:lang w:val="fr-FR"/>
        </w:rPr>
        <w:t>information</w:t>
      </w:r>
      <w:r w:rsidR="0063601A" w:rsidRPr="000F7862">
        <w:rPr>
          <w:lang w:val="fr-FR"/>
        </w:rPr>
        <w:t>s figurant dans les deuxième, troisième et quatrième rapports sur l</w:t>
      </w:r>
      <w:r w:rsidR="00120E2E" w:rsidRPr="000F7862">
        <w:rPr>
          <w:lang w:val="fr-FR"/>
        </w:rPr>
        <w:t>’</w:t>
      </w:r>
      <w:r w:rsidR="0063601A" w:rsidRPr="000F7862">
        <w:rPr>
          <w:lang w:val="fr-FR"/>
        </w:rPr>
        <w:t>application du Pacte</w:t>
      </w:r>
      <w:r w:rsidR="0086185C" w:rsidRPr="000F7862">
        <w:rPr>
          <w:lang w:val="fr-FR"/>
        </w:rPr>
        <w:t xml:space="preserve"> </w:t>
      </w:r>
      <w:r w:rsidR="0063601A" w:rsidRPr="000F7862">
        <w:rPr>
          <w:lang w:val="fr-FR"/>
        </w:rPr>
        <w:t>i</w:t>
      </w:r>
      <w:r w:rsidR="0086185C" w:rsidRPr="000F7862">
        <w:rPr>
          <w:lang w:val="fr-FR"/>
        </w:rPr>
        <w:t xml:space="preserve">nternational </w:t>
      </w:r>
      <w:r w:rsidR="0063601A" w:rsidRPr="000F7862">
        <w:rPr>
          <w:lang w:val="fr-FR"/>
        </w:rPr>
        <w:t>relatif aux droits économiques</w:t>
      </w:r>
      <w:r w:rsidR="0086185C" w:rsidRPr="000F7862">
        <w:rPr>
          <w:lang w:val="fr-FR"/>
        </w:rPr>
        <w:t xml:space="preserve">, </w:t>
      </w:r>
      <w:r w:rsidR="0063601A" w:rsidRPr="000F7862">
        <w:rPr>
          <w:lang w:val="fr-FR"/>
        </w:rPr>
        <w:t>s</w:t>
      </w:r>
      <w:r w:rsidR="0086185C" w:rsidRPr="000F7862">
        <w:rPr>
          <w:lang w:val="fr-FR"/>
        </w:rPr>
        <w:t>ocia</w:t>
      </w:r>
      <w:r w:rsidR="0063601A" w:rsidRPr="000F7862">
        <w:rPr>
          <w:lang w:val="fr-FR"/>
        </w:rPr>
        <w:t>ux et culture</w:t>
      </w:r>
      <w:r w:rsidR="0086185C" w:rsidRPr="000F7862">
        <w:rPr>
          <w:lang w:val="fr-FR"/>
        </w:rPr>
        <w:t>l</w:t>
      </w:r>
      <w:r w:rsidR="0063601A" w:rsidRPr="000F7862">
        <w:rPr>
          <w:lang w:val="fr-FR"/>
        </w:rPr>
        <w:t>s</w:t>
      </w:r>
      <w:r w:rsidR="0086185C" w:rsidRPr="000F7862">
        <w:rPr>
          <w:lang w:val="fr-FR"/>
        </w:rPr>
        <w:t xml:space="preserve"> </w:t>
      </w:r>
      <w:r w:rsidR="0063601A" w:rsidRPr="000F7862">
        <w:rPr>
          <w:lang w:val="fr-FR"/>
        </w:rPr>
        <w:t xml:space="preserve">soumis par les Philippines en un seul document et des réponses écrites des </w:t>
      </w:r>
      <w:r w:rsidR="0086185C" w:rsidRPr="000F7862">
        <w:rPr>
          <w:lang w:val="fr-FR"/>
        </w:rPr>
        <w:t xml:space="preserve">Philippines </w:t>
      </w:r>
      <w:r w:rsidR="0063601A" w:rsidRPr="000F7862">
        <w:rPr>
          <w:lang w:val="fr-FR"/>
        </w:rPr>
        <w:t>à la liste de points à traiter avant</w:t>
      </w:r>
      <w:r w:rsidR="00F47F46" w:rsidRPr="000F7862">
        <w:rPr>
          <w:lang w:val="fr-FR"/>
        </w:rPr>
        <w:t xml:space="preserve"> la soumission du présent rapport, le Gouvernement philippin tient à fournir les renseignements ci-après</w:t>
      </w:r>
      <w:r w:rsidR="00867E43" w:rsidRPr="000F7862">
        <w:rPr>
          <w:lang w:val="fr-FR"/>
        </w:rPr>
        <w:t>.</w:t>
      </w:r>
    </w:p>
    <w:p w:rsidR="0086185C" w:rsidRPr="000F7862" w:rsidRDefault="00730F8F" w:rsidP="00730F8F">
      <w:pPr>
        <w:pStyle w:val="H23G"/>
        <w:rPr>
          <w:lang w:val="fr-FR"/>
        </w:rPr>
      </w:pPr>
      <w:r w:rsidRPr="000F7862">
        <w:rPr>
          <w:lang w:val="fr-FR"/>
        </w:rPr>
        <w:tab/>
      </w:r>
      <w:r w:rsidRPr="000F7862">
        <w:rPr>
          <w:lang w:val="fr-FR"/>
        </w:rPr>
        <w:tab/>
      </w:r>
      <w:r w:rsidR="0009336B" w:rsidRPr="000F7862">
        <w:rPr>
          <w:lang w:val="fr-FR"/>
        </w:rPr>
        <w:t>A</w:t>
      </w:r>
      <w:r w:rsidR="00F47F46" w:rsidRPr="000F7862">
        <w:rPr>
          <w:lang w:val="fr-FR"/>
        </w:rPr>
        <w:t xml:space="preserve">pplication du Pacte au niveau national </w:t>
      </w:r>
    </w:p>
    <w:p w:rsidR="0086185C" w:rsidRPr="000F7862" w:rsidRDefault="003F7F57" w:rsidP="003F7F57">
      <w:pPr>
        <w:pStyle w:val="SingleTxtG"/>
        <w:rPr>
          <w:lang w:val="fr-FR"/>
        </w:rPr>
      </w:pPr>
      <w:r w:rsidRPr="000F7862">
        <w:rPr>
          <w:lang w:val="fr-FR"/>
        </w:rPr>
        <w:t>2.</w:t>
      </w:r>
      <w:r w:rsidRPr="000F7862">
        <w:rPr>
          <w:lang w:val="fr-FR"/>
        </w:rPr>
        <w:tab/>
      </w:r>
      <w:r w:rsidR="00F47F46" w:rsidRPr="000F7862">
        <w:rPr>
          <w:lang w:val="fr-FR"/>
        </w:rPr>
        <w:t>Depuis l</w:t>
      </w:r>
      <w:r w:rsidR="00120E2E" w:rsidRPr="000F7862">
        <w:rPr>
          <w:lang w:val="fr-FR"/>
        </w:rPr>
        <w:t>’</w:t>
      </w:r>
      <w:r w:rsidR="00F47F46" w:rsidRPr="000F7862">
        <w:rPr>
          <w:lang w:val="fr-FR"/>
        </w:rPr>
        <w:t>examen en 2008 du rapport précédent des Philippines</w:t>
      </w:r>
      <w:r w:rsidR="0086185C" w:rsidRPr="000F7862">
        <w:rPr>
          <w:lang w:val="fr-FR"/>
        </w:rPr>
        <w:t xml:space="preserve">, </w:t>
      </w:r>
      <w:r w:rsidR="00F47F46" w:rsidRPr="000F7862">
        <w:rPr>
          <w:lang w:val="fr-FR"/>
        </w:rPr>
        <w:t>plusieurs lois ont été adoptées pour promouvoir une application plus efficace du Pacte au niveau national. Il s</w:t>
      </w:r>
      <w:r w:rsidR="00120E2E" w:rsidRPr="000F7862">
        <w:rPr>
          <w:lang w:val="fr-FR"/>
        </w:rPr>
        <w:t>’</w:t>
      </w:r>
      <w:r w:rsidR="00F47F46" w:rsidRPr="000F7862">
        <w:rPr>
          <w:lang w:val="fr-FR"/>
        </w:rPr>
        <w:t>agit des lois ci-après</w:t>
      </w:r>
      <w:r w:rsidR="0005004C" w:rsidRPr="000F7862">
        <w:rPr>
          <w:lang w:val="fr-FR"/>
        </w:rPr>
        <w:t>:</w:t>
      </w:r>
    </w:p>
    <w:p w:rsidR="0086185C" w:rsidRPr="000F7862" w:rsidRDefault="00F47F46" w:rsidP="009111E1">
      <w:pPr>
        <w:pStyle w:val="Bullet1G"/>
      </w:pPr>
      <w:r w:rsidRPr="000F7862">
        <w:t>E</w:t>
      </w:r>
      <w:r w:rsidR="0086185C" w:rsidRPr="000F7862">
        <w:t xml:space="preserve">n </w:t>
      </w:r>
      <w:r w:rsidRPr="000F7862">
        <w:t xml:space="preserve">août </w:t>
      </w:r>
      <w:r w:rsidR="0086185C" w:rsidRPr="000F7862">
        <w:t xml:space="preserve">2009, </w:t>
      </w:r>
      <w:r w:rsidRPr="000F7862">
        <w:t xml:space="preserve">les </w:t>
      </w:r>
      <w:r w:rsidR="0086185C" w:rsidRPr="000F7862">
        <w:t xml:space="preserve">Philippines </w:t>
      </w:r>
      <w:r w:rsidRPr="000F7862">
        <w:t>ont adopté la Charte d</w:t>
      </w:r>
      <w:r w:rsidR="006D5063" w:rsidRPr="000F7862">
        <w:t>e</w:t>
      </w:r>
      <w:r w:rsidRPr="000F7862">
        <w:t xml:space="preserve">s droits des femmes </w:t>
      </w:r>
      <w:r w:rsidR="0086185C" w:rsidRPr="000F7862">
        <w:t>(</w:t>
      </w:r>
      <w:r w:rsidRPr="000F7862">
        <w:t xml:space="preserve">loi républicaine </w:t>
      </w:r>
      <w:r w:rsidR="00730F8F" w:rsidRPr="000F7862">
        <w:t>n</w:t>
      </w:r>
      <w:r w:rsidR="00730F8F" w:rsidRPr="000F7862">
        <w:rPr>
          <w:vertAlign w:val="superscript"/>
        </w:rPr>
        <w:t>o</w:t>
      </w:r>
      <w:r w:rsidR="00730F8F" w:rsidRPr="000F7862">
        <w:t> </w:t>
      </w:r>
      <w:r w:rsidR="0086185C" w:rsidRPr="000F7862">
        <w:t xml:space="preserve">9710), </w:t>
      </w:r>
      <w:r w:rsidR="00635B2C" w:rsidRPr="000F7862">
        <w:t>loi</w:t>
      </w:r>
      <w:r w:rsidR="0025652A" w:rsidRPr="000F7862">
        <w:t xml:space="preserve"> </w:t>
      </w:r>
      <w:r w:rsidR="00B678CE" w:rsidRPr="000F7862">
        <w:t>d</w:t>
      </w:r>
      <w:r w:rsidR="00120E2E" w:rsidRPr="000F7862">
        <w:t>’</w:t>
      </w:r>
      <w:r w:rsidR="00B678CE" w:rsidRPr="000F7862">
        <w:t>ensemble</w:t>
      </w:r>
      <w:r w:rsidR="00635B2C" w:rsidRPr="000F7862">
        <w:t xml:space="preserve"> régissant l</w:t>
      </w:r>
      <w:r w:rsidR="00120E2E" w:rsidRPr="000F7862">
        <w:t>’</w:t>
      </w:r>
      <w:r w:rsidR="00635B2C" w:rsidRPr="000F7862">
        <w:t xml:space="preserve">ensemble des droits fondamentaux des femmes qui vise à éliminer la discrimination par la reconnaissance, la protection, </w:t>
      </w:r>
      <w:r w:rsidR="00B678CE" w:rsidRPr="000F7862">
        <w:t>la réalisation</w:t>
      </w:r>
      <w:r w:rsidR="00635B2C" w:rsidRPr="000F7862">
        <w:t xml:space="preserve"> et la promotion des droits des </w:t>
      </w:r>
      <w:r w:rsidR="00EB2EB0" w:rsidRPr="000F7862">
        <w:t>femmes</w:t>
      </w:r>
      <w:r w:rsidR="00635B2C" w:rsidRPr="000F7862">
        <w:t xml:space="preserve">, en particulier celles </w:t>
      </w:r>
      <w:r w:rsidR="00E7038D" w:rsidRPr="000F7862">
        <w:t>appartenant aux</w:t>
      </w:r>
      <w:r w:rsidR="00635B2C" w:rsidRPr="000F7862">
        <w:t xml:space="preserve"> </w:t>
      </w:r>
      <w:r w:rsidR="00E7038D" w:rsidRPr="000F7862">
        <w:t>groupes</w:t>
      </w:r>
      <w:r w:rsidR="00635B2C" w:rsidRPr="000F7862">
        <w:t xml:space="preserve"> marginalisés de la société</w:t>
      </w:r>
      <w:r w:rsidR="006D5063" w:rsidRPr="000F7862">
        <w:t xml:space="preserve">, </w:t>
      </w:r>
      <w:r w:rsidR="00636317" w:rsidRPr="000F7862">
        <w:t>sur les plans</w:t>
      </w:r>
      <w:r w:rsidR="00E26DA3" w:rsidRPr="000F7862">
        <w:t xml:space="preserve"> </w:t>
      </w:r>
      <w:r w:rsidR="0086185C" w:rsidRPr="000F7862">
        <w:t>cultur</w:t>
      </w:r>
      <w:r w:rsidR="006D5063" w:rsidRPr="000F7862">
        <w:t>el</w:t>
      </w:r>
      <w:r w:rsidR="0086185C" w:rsidRPr="000F7862">
        <w:t xml:space="preserve">, </w:t>
      </w:r>
      <w:r w:rsidR="006D5063" w:rsidRPr="000F7862">
        <w:t>é</w:t>
      </w:r>
      <w:r w:rsidR="0086185C" w:rsidRPr="000F7862">
        <w:t>conomi</w:t>
      </w:r>
      <w:r w:rsidR="006D5063" w:rsidRPr="000F7862">
        <w:t>que</w:t>
      </w:r>
      <w:r w:rsidR="0086185C" w:rsidRPr="000F7862">
        <w:t>, civi</w:t>
      </w:r>
      <w:r w:rsidR="006D5063" w:rsidRPr="000F7862">
        <w:t>que et politique</w:t>
      </w:r>
      <w:r w:rsidR="0086185C" w:rsidRPr="000F7862">
        <w:t>.</w:t>
      </w:r>
      <w:r w:rsidR="00446EA5" w:rsidRPr="000F7862">
        <w:t xml:space="preserve"> </w:t>
      </w:r>
      <w:r w:rsidR="006D5063" w:rsidRPr="000F7862">
        <w:t xml:space="preserve">Cette Charte est le cadre juridique </w:t>
      </w:r>
      <w:r w:rsidR="0086185C" w:rsidRPr="000F7862">
        <w:t xml:space="preserve">national </w:t>
      </w:r>
      <w:r w:rsidR="006D5063" w:rsidRPr="000F7862">
        <w:t xml:space="preserve">de la </w:t>
      </w:r>
      <w:r w:rsidR="0086185C" w:rsidRPr="000F7862">
        <w:t xml:space="preserve">Convention </w:t>
      </w:r>
      <w:r w:rsidR="006D5063" w:rsidRPr="000F7862">
        <w:t>sur l</w:t>
      </w:r>
      <w:r w:rsidR="00120E2E" w:rsidRPr="000F7862">
        <w:t>’</w:t>
      </w:r>
      <w:r w:rsidR="006D5063" w:rsidRPr="000F7862">
        <w:t>é</w:t>
      </w:r>
      <w:r w:rsidR="0086185C" w:rsidRPr="000F7862">
        <w:t xml:space="preserve">limination </w:t>
      </w:r>
      <w:r w:rsidR="006D5063" w:rsidRPr="000F7862">
        <w:t>de toutes les f</w:t>
      </w:r>
      <w:r w:rsidR="0086185C" w:rsidRPr="000F7862">
        <w:t>orm</w:t>
      </w:r>
      <w:r w:rsidR="006D5063" w:rsidRPr="000F7862">
        <w:t>e</w:t>
      </w:r>
      <w:r w:rsidR="0086185C" w:rsidRPr="000F7862">
        <w:t xml:space="preserve">s </w:t>
      </w:r>
      <w:r w:rsidR="006D5063" w:rsidRPr="000F7862">
        <w:t>de d</w:t>
      </w:r>
      <w:r w:rsidR="0086185C" w:rsidRPr="000F7862">
        <w:t xml:space="preserve">iscrimination </w:t>
      </w:r>
      <w:r w:rsidR="006D5063" w:rsidRPr="000F7862">
        <w:t>à l</w:t>
      </w:r>
      <w:r w:rsidR="00120E2E" w:rsidRPr="000F7862">
        <w:t>’</w:t>
      </w:r>
      <w:r w:rsidR="006D5063" w:rsidRPr="000F7862">
        <w:t xml:space="preserve">égard des femmes aux </w:t>
      </w:r>
      <w:r w:rsidR="0086185C" w:rsidRPr="000F7862">
        <w:t>Philippines.</w:t>
      </w:r>
      <w:r w:rsidR="00446EA5" w:rsidRPr="000F7862">
        <w:t xml:space="preserve"> </w:t>
      </w:r>
      <w:r w:rsidR="006D5063" w:rsidRPr="000F7862">
        <w:t>Le règlement d</w:t>
      </w:r>
      <w:r w:rsidR="00120E2E" w:rsidRPr="000F7862">
        <w:t>’</w:t>
      </w:r>
      <w:r w:rsidR="006D5063" w:rsidRPr="000F7862">
        <w:t xml:space="preserve">application de </w:t>
      </w:r>
      <w:r w:rsidR="00635B2C" w:rsidRPr="000F7862">
        <w:t>cette</w:t>
      </w:r>
      <w:r w:rsidR="006D5063" w:rsidRPr="000F7862">
        <w:t xml:space="preserve"> loi a ultérieurement été publié le </w:t>
      </w:r>
      <w:r w:rsidR="00730F8F" w:rsidRPr="000F7862">
        <w:t>15 </w:t>
      </w:r>
      <w:r w:rsidR="006D5063" w:rsidRPr="000F7862">
        <w:t>septembre</w:t>
      </w:r>
      <w:r w:rsidR="0086185C" w:rsidRPr="000F7862">
        <w:t xml:space="preserve"> 2010</w:t>
      </w:r>
      <w:r w:rsidR="007E27A6" w:rsidRPr="000F7862">
        <w:t>;</w:t>
      </w:r>
    </w:p>
    <w:p w:rsidR="0086185C" w:rsidRPr="000F7862" w:rsidRDefault="006B6BD5" w:rsidP="009111E1">
      <w:pPr>
        <w:pStyle w:val="Bullet1G"/>
      </w:pPr>
      <w:r w:rsidRPr="000F7862">
        <w:t>E</w:t>
      </w:r>
      <w:r w:rsidR="0086185C" w:rsidRPr="000F7862">
        <w:t xml:space="preserve">n </w:t>
      </w:r>
      <w:r w:rsidRPr="000F7862">
        <w:t>décembre</w:t>
      </w:r>
      <w:r w:rsidR="0086185C" w:rsidRPr="000F7862">
        <w:t xml:space="preserve"> 2009, </w:t>
      </w:r>
      <w:r w:rsidRPr="000F7862">
        <w:t>la loi contre la t</w:t>
      </w:r>
      <w:r w:rsidR="0086185C" w:rsidRPr="000F7862">
        <w:t>orture</w:t>
      </w:r>
      <w:r w:rsidR="0005004C" w:rsidRPr="000F7862">
        <w:t xml:space="preserve"> </w:t>
      </w:r>
      <w:r w:rsidR="0086185C" w:rsidRPr="000F7862">
        <w:t>(</w:t>
      </w:r>
      <w:r w:rsidRPr="000F7862">
        <w:t xml:space="preserve">loi républicaine </w:t>
      </w:r>
      <w:r w:rsidR="00730F8F" w:rsidRPr="000F7862">
        <w:t>n</w:t>
      </w:r>
      <w:r w:rsidR="00730F8F" w:rsidRPr="000F7862">
        <w:rPr>
          <w:vertAlign w:val="superscript"/>
        </w:rPr>
        <w:t>o</w:t>
      </w:r>
      <w:r w:rsidR="00730F8F" w:rsidRPr="000F7862">
        <w:t> </w:t>
      </w:r>
      <w:r w:rsidR="0086185C" w:rsidRPr="000F7862">
        <w:t>9745)</w:t>
      </w:r>
      <w:r w:rsidRPr="000F7862">
        <w:t xml:space="preserve"> a été</w:t>
      </w:r>
      <w:r w:rsidR="0086185C" w:rsidRPr="000F7862">
        <w:t xml:space="preserve"> sign</w:t>
      </w:r>
      <w:r w:rsidRPr="000F7862">
        <w:t>é</w:t>
      </w:r>
      <w:r w:rsidR="0086185C" w:rsidRPr="000F7862">
        <w:t>e</w:t>
      </w:r>
      <w:r w:rsidRPr="000F7862">
        <w:t>;</w:t>
      </w:r>
      <w:r w:rsidR="0086185C" w:rsidRPr="000F7862">
        <w:t xml:space="preserve"> </w:t>
      </w:r>
      <w:r w:rsidRPr="000F7862">
        <w:t>elle prescrit pour l</w:t>
      </w:r>
      <w:r w:rsidR="00120E2E" w:rsidRPr="000F7862">
        <w:t>’</w:t>
      </w:r>
      <w:r w:rsidRPr="000F7862">
        <w:t xml:space="preserve">infraction de </w:t>
      </w:r>
      <w:r w:rsidR="0086185C" w:rsidRPr="000F7862">
        <w:t>torture</w:t>
      </w:r>
      <w:r w:rsidR="00635B2C" w:rsidRPr="000F7862">
        <w:t xml:space="preserve"> des sanctions </w:t>
      </w:r>
      <w:r w:rsidRPr="000F7862">
        <w:t>dont la durée oscille entre un mois d</w:t>
      </w:r>
      <w:r w:rsidR="00120E2E" w:rsidRPr="000F7862">
        <w:t>’</w:t>
      </w:r>
      <w:r w:rsidRPr="000F7862">
        <w:t>emprisonnement et la réclusion à perpétuité</w:t>
      </w:r>
      <w:r w:rsidR="007E27A6" w:rsidRPr="000F7862">
        <w:t>;</w:t>
      </w:r>
    </w:p>
    <w:p w:rsidR="0086185C" w:rsidRPr="000F7862" w:rsidRDefault="00635B2C" w:rsidP="009111E1">
      <w:pPr>
        <w:pStyle w:val="Bullet1G"/>
      </w:pPr>
      <w:r w:rsidRPr="000F7862">
        <w:t>En</w:t>
      </w:r>
      <w:r w:rsidR="0086185C" w:rsidRPr="000F7862">
        <w:t xml:space="preserve"> </w:t>
      </w:r>
      <w:r w:rsidRPr="000F7862">
        <w:t>mars</w:t>
      </w:r>
      <w:r w:rsidR="0086185C" w:rsidRPr="000F7862">
        <w:t xml:space="preserve"> 2010, </w:t>
      </w:r>
      <w:r w:rsidRPr="000F7862">
        <w:t xml:space="preserve">une loi portant modification de la loi de 1995 sur les travailleurs migrants et les Philippins expatriés </w:t>
      </w:r>
      <w:r w:rsidR="0086185C" w:rsidRPr="000F7862">
        <w:t>(</w:t>
      </w:r>
      <w:r w:rsidR="006B6BD5" w:rsidRPr="000F7862">
        <w:t xml:space="preserve">loi républicaine </w:t>
      </w:r>
      <w:r w:rsidR="00730F8F" w:rsidRPr="000F7862">
        <w:t>n</w:t>
      </w:r>
      <w:r w:rsidR="00730F8F" w:rsidRPr="000F7862">
        <w:rPr>
          <w:vertAlign w:val="superscript"/>
        </w:rPr>
        <w:t>o</w:t>
      </w:r>
      <w:r w:rsidR="00730F8F" w:rsidRPr="000F7862">
        <w:t> </w:t>
      </w:r>
      <w:r w:rsidR="0086185C" w:rsidRPr="000F7862">
        <w:t xml:space="preserve">10022) </w:t>
      </w:r>
      <w:r w:rsidRPr="000F7862">
        <w:t xml:space="preserve">a été promulguée pour </w:t>
      </w:r>
      <w:r w:rsidR="00DB24DF" w:rsidRPr="000F7862">
        <w:t>re</w:t>
      </w:r>
      <w:r w:rsidR="00667792" w:rsidRPr="000F7862">
        <w:t>nforcer les normes en matière</w:t>
      </w:r>
      <w:r w:rsidRPr="000F7862">
        <w:t xml:space="preserve"> de protection et de promotion du bien-être des travailleurs migrants et de leur famille, ainsi que des Philippins en difficulté à l</w:t>
      </w:r>
      <w:r w:rsidR="00120E2E" w:rsidRPr="000F7862">
        <w:t>’</w:t>
      </w:r>
      <w:r w:rsidRPr="000F7862">
        <w:t>étranger</w:t>
      </w:r>
      <w:r w:rsidR="007E27A6" w:rsidRPr="000F7862">
        <w:t>;</w:t>
      </w:r>
    </w:p>
    <w:p w:rsidR="0086185C" w:rsidRPr="000F7862" w:rsidRDefault="00635B2C" w:rsidP="009111E1">
      <w:pPr>
        <w:pStyle w:val="Bullet1G"/>
      </w:pPr>
      <w:r w:rsidRPr="000F7862">
        <w:t>E</w:t>
      </w:r>
      <w:r w:rsidR="0086185C" w:rsidRPr="000F7862">
        <w:t xml:space="preserve">n </w:t>
      </w:r>
      <w:r w:rsidRPr="000F7862">
        <w:t>décemb</w:t>
      </w:r>
      <w:r w:rsidR="0086185C" w:rsidRPr="000F7862">
        <w:t>r</w:t>
      </w:r>
      <w:r w:rsidRPr="000F7862">
        <w:t>e</w:t>
      </w:r>
      <w:r w:rsidR="0086185C" w:rsidRPr="000F7862">
        <w:t xml:space="preserve"> 2010, </w:t>
      </w:r>
      <w:r w:rsidRPr="000F7862">
        <w:t>la loi sur les crimes commis en violation du droit international humanitaire, les crimes de génocide et autres crimes contre l</w:t>
      </w:r>
      <w:r w:rsidR="00120E2E" w:rsidRPr="000F7862">
        <w:t>’</w:t>
      </w:r>
      <w:r w:rsidRPr="000F7862">
        <w:t xml:space="preserve">humanité </w:t>
      </w:r>
      <w:r w:rsidR="0086185C" w:rsidRPr="000F7862">
        <w:t>(</w:t>
      </w:r>
      <w:r w:rsidR="006B6BD5" w:rsidRPr="000F7862">
        <w:t xml:space="preserve">loi républicaine </w:t>
      </w:r>
      <w:r w:rsidR="00730F8F" w:rsidRPr="000F7862">
        <w:t>n</w:t>
      </w:r>
      <w:r w:rsidR="00730F8F" w:rsidRPr="000F7862">
        <w:rPr>
          <w:vertAlign w:val="superscript"/>
        </w:rPr>
        <w:t>o</w:t>
      </w:r>
      <w:r w:rsidR="00730F8F" w:rsidRPr="000F7862">
        <w:t> </w:t>
      </w:r>
      <w:r w:rsidR="0086185C" w:rsidRPr="000F7862">
        <w:t xml:space="preserve">9851) </w:t>
      </w:r>
      <w:r w:rsidRPr="000F7862">
        <w:t>a été adoptée</w:t>
      </w:r>
      <w:r w:rsidR="007E27A6" w:rsidRPr="000F7862">
        <w:t>;</w:t>
      </w:r>
    </w:p>
    <w:p w:rsidR="0086185C" w:rsidRPr="000F7862" w:rsidRDefault="00635B2C" w:rsidP="009111E1">
      <w:pPr>
        <w:pStyle w:val="Bullet1G"/>
      </w:pPr>
      <w:r w:rsidRPr="000F7862">
        <w:t>E</w:t>
      </w:r>
      <w:r w:rsidR="0086185C" w:rsidRPr="000F7862">
        <w:t xml:space="preserve">n </w:t>
      </w:r>
      <w:r w:rsidRPr="000F7862">
        <w:t>dé</w:t>
      </w:r>
      <w:r w:rsidR="0086185C" w:rsidRPr="000F7862">
        <w:t>cemb</w:t>
      </w:r>
      <w:r w:rsidRPr="000F7862">
        <w:t>re</w:t>
      </w:r>
      <w:r w:rsidR="0086185C" w:rsidRPr="000F7862">
        <w:t xml:space="preserve"> 2012, </w:t>
      </w:r>
      <w:r w:rsidRPr="000F7862">
        <w:t xml:space="preserve">la loi </w:t>
      </w:r>
      <w:r w:rsidR="00511F25" w:rsidRPr="000F7862">
        <w:t xml:space="preserve">sur la lutte </w:t>
      </w:r>
      <w:r w:rsidRPr="000F7862">
        <w:t xml:space="preserve">contre les disparitions forcées </w:t>
      </w:r>
      <w:r w:rsidR="0086185C" w:rsidRPr="000F7862">
        <w:t>(</w:t>
      </w:r>
      <w:r w:rsidR="006B6BD5" w:rsidRPr="000F7862">
        <w:t xml:space="preserve">loi républicaine </w:t>
      </w:r>
      <w:r w:rsidR="00730F8F" w:rsidRPr="000F7862">
        <w:t>n</w:t>
      </w:r>
      <w:r w:rsidR="00730F8F" w:rsidRPr="000F7862">
        <w:rPr>
          <w:vertAlign w:val="superscript"/>
        </w:rPr>
        <w:t>o</w:t>
      </w:r>
      <w:r w:rsidR="00730F8F" w:rsidRPr="000F7862">
        <w:t> </w:t>
      </w:r>
      <w:r w:rsidR="0086185C" w:rsidRPr="000F7862">
        <w:t xml:space="preserve">10353) </w:t>
      </w:r>
      <w:r w:rsidR="00511F25" w:rsidRPr="000F7862">
        <w:t>a été promulguée</w:t>
      </w:r>
      <w:r w:rsidR="00CA7C2C" w:rsidRPr="000F7862">
        <w:t>;</w:t>
      </w:r>
      <w:r w:rsidR="00511F25" w:rsidRPr="000F7862">
        <w:t xml:space="preserve"> </w:t>
      </w:r>
      <w:r w:rsidR="00CA7C2C" w:rsidRPr="000F7862">
        <w:t>elle érige en infraction pénale la pr</w:t>
      </w:r>
      <w:r w:rsidR="0009336B" w:rsidRPr="000F7862">
        <w:t>atique</w:t>
      </w:r>
      <w:r w:rsidR="00CA7C2C" w:rsidRPr="000F7862">
        <w:t xml:space="preserve"> des disparitions forcées ou involontaires</w:t>
      </w:r>
      <w:r w:rsidR="007E27A6" w:rsidRPr="000F7862">
        <w:t>;</w:t>
      </w:r>
    </w:p>
    <w:p w:rsidR="0086185C" w:rsidRPr="000F7862" w:rsidRDefault="00703BA3" w:rsidP="009111E1">
      <w:pPr>
        <w:pStyle w:val="Bullet1G"/>
      </w:pPr>
      <w:r w:rsidRPr="000F7862">
        <w:t>E</w:t>
      </w:r>
      <w:r w:rsidR="0086185C" w:rsidRPr="000F7862">
        <w:t xml:space="preserve">n </w:t>
      </w:r>
      <w:r w:rsidRPr="000F7862">
        <w:t>dé</w:t>
      </w:r>
      <w:r w:rsidR="0086185C" w:rsidRPr="000F7862">
        <w:t>cemb</w:t>
      </w:r>
      <w:r w:rsidRPr="000F7862">
        <w:t>re</w:t>
      </w:r>
      <w:r w:rsidR="0086185C" w:rsidRPr="000F7862">
        <w:t xml:space="preserve"> 2012, </w:t>
      </w:r>
      <w:r w:rsidRPr="000F7862">
        <w:t>la loi de 2012 sur la procréation r</w:t>
      </w:r>
      <w:r w:rsidR="0086185C" w:rsidRPr="000F7862">
        <w:t>espons</w:t>
      </w:r>
      <w:r w:rsidRPr="000F7862">
        <w:t>a</w:t>
      </w:r>
      <w:r w:rsidR="0086185C" w:rsidRPr="000F7862">
        <w:t xml:space="preserve">ble </w:t>
      </w:r>
      <w:r w:rsidRPr="000F7862">
        <w:t xml:space="preserve">et la santé </w:t>
      </w:r>
      <w:r w:rsidR="008A040B" w:rsidRPr="000F7862">
        <w:t>procréative</w:t>
      </w:r>
      <w:r w:rsidRPr="000F7862">
        <w:t xml:space="preserve"> </w:t>
      </w:r>
      <w:r w:rsidR="0086185C" w:rsidRPr="000F7862">
        <w:t>(</w:t>
      </w:r>
      <w:r w:rsidR="006B6BD5" w:rsidRPr="000F7862">
        <w:t>loi républicaine n</w:t>
      </w:r>
      <w:r w:rsidR="00730F8F" w:rsidRPr="000F7862">
        <w:rPr>
          <w:vertAlign w:val="superscript"/>
        </w:rPr>
        <w:t>o</w:t>
      </w:r>
      <w:r w:rsidR="00730F8F" w:rsidRPr="000F7862">
        <w:t> </w:t>
      </w:r>
      <w:r w:rsidR="0086185C" w:rsidRPr="000F7862">
        <w:t xml:space="preserve">10354) </w:t>
      </w:r>
      <w:r w:rsidRPr="000F7862">
        <w:t>a été promulguée</w:t>
      </w:r>
      <w:r w:rsidR="0086185C" w:rsidRPr="000F7862">
        <w:t xml:space="preserve">; </w:t>
      </w:r>
      <w:r w:rsidRPr="000F7862">
        <w:t>toutefois, sa mise en application a été temporairemen</w:t>
      </w:r>
      <w:r w:rsidR="0048012A" w:rsidRPr="000F7862">
        <w:t>t</w:t>
      </w:r>
      <w:r w:rsidRPr="000F7862">
        <w:t xml:space="preserve"> bloquée par un arrêt de la Cour suprême</w:t>
      </w:r>
      <w:r w:rsidR="007E27A6" w:rsidRPr="000F7862">
        <w:t>;</w:t>
      </w:r>
    </w:p>
    <w:p w:rsidR="0086185C" w:rsidRPr="000F7862" w:rsidRDefault="0048012A" w:rsidP="009111E1">
      <w:pPr>
        <w:pStyle w:val="Bullet1G"/>
      </w:pPr>
      <w:r w:rsidRPr="000F7862">
        <w:t xml:space="preserve">En février </w:t>
      </w:r>
      <w:r w:rsidR="0086185C" w:rsidRPr="000F7862">
        <w:t xml:space="preserve">2013, </w:t>
      </w:r>
      <w:r w:rsidR="000B7BA7" w:rsidRPr="000F7862">
        <w:t>la loi sur la reconnaissance et l</w:t>
      </w:r>
      <w:r w:rsidR="00120E2E" w:rsidRPr="000F7862">
        <w:t>’</w:t>
      </w:r>
      <w:r w:rsidR="000B7BA7" w:rsidRPr="000F7862">
        <w:t>indemnisation des victimes de violations des droits de l</w:t>
      </w:r>
      <w:r w:rsidR="00120E2E" w:rsidRPr="000F7862">
        <w:t>’</w:t>
      </w:r>
      <w:r w:rsidR="000B7BA7" w:rsidRPr="000F7862">
        <w:t xml:space="preserve">homme </w:t>
      </w:r>
      <w:r w:rsidR="0086185C" w:rsidRPr="000F7862">
        <w:t>(</w:t>
      </w:r>
      <w:r w:rsidR="006B6BD5" w:rsidRPr="000F7862">
        <w:t xml:space="preserve">loi républicaine </w:t>
      </w:r>
      <w:r w:rsidR="00730F8F" w:rsidRPr="000F7862">
        <w:t>n</w:t>
      </w:r>
      <w:r w:rsidR="00730F8F" w:rsidRPr="000F7862">
        <w:rPr>
          <w:vertAlign w:val="superscript"/>
        </w:rPr>
        <w:t>o</w:t>
      </w:r>
      <w:r w:rsidR="00730F8F" w:rsidRPr="000F7862">
        <w:t> </w:t>
      </w:r>
      <w:r w:rsidR="0086185C" w:rsidRPr="000F7862">
        <w:t xml:space="preserve">10368) </w:t>
      </w:r>
      <w:r w:rsidR="000B7BA7" w:rsidRPr="000F7862">
        <w:t>a été promulguée afin d</w:t>
      </w:r>
      <w:r w:rsidR="00120E2E" w:rsidRPr="000F7862">
        <w:t>’</w:t>
      </w:r>
      <w:r w:rsidR="000B7BA7" w:rsidRPr="000F7862">
        <w:t>indemniser les victimes de violations des droits de l</w:t>
      </w:r>
      <w:r w:rsidR="00120E2E" w:rsidRPr="000F7862">
        <w:t>’</w:t>
      </w:r>
      <w:r w:rsidR="000B7BA7" w:rsidRPr="000F7862">
        <w:t>homme commises sous la loi martiale</w:t>
      </w:r>
      <w:r w:rsidR="0086185C" w:rsidRPr="000F7862">
        <w:t>.</w:t>
      </w:r>
    </w:p>
    <w:p w:rsidR="0086185C" w:rsidRPr="000F7862" w:rsidRDefault="003F7F57" w:rsidP="003F7F57">
      <w:pPr>
        <w:pStyle w:val="SingleTxtG"/>
        <w:rPr>
          <w:lang w:val="fr-FR"/>
        </w:rPr>
      </w:pPr>
      <w:r w:rsidRPr="000F7862">
        <w:rPr>
          <w:lang w:val="fr-FR"/>
        </w:rPr>
        <w:t>3.</w:t>
      </w:r>
      <w:r w:rsidRPr="000F7862">
        <w:rPr>
          <w:lang w:val="fr-FR"/>
        </w:rPr>
        <w:tab/>
      </w:r>
      <w:r w:rsidR="000B7BA7" w:rsidRPr="000F7862">
        <w:rPr>
          <w:lang w:val="fr-FR"/>
        </w:rPr>
        <w:t>En ce qui concerne les programmes de formation à l</w:t>
      </w:r>
      <w:r w:rsidR="00120E2E" w:rsidRPr="000F7862">
        <w:rPr>
          <w:lang w:val="fr-FR"/>
        </w:rPr>
        <w:t>’</w:t>
      </w:r>
      <w:r w:rsidR="000B7BA7" w:rsidRPr="000F7862">
        <w:rPr>
          <w:lang w:val="fr-FR"/>
        </w:rPr>
        <w:t>intention des juges, des avocats et des fonctionnaires</w:t>
      </w:r>
      <w:r w:rsidR="0086185C" w:rsidRPr="000F7862">
        <w:rPr>
          <w:lang w:val="fr-FR"/>
        </w:rPr>
        <w:t xml:space="preserve">, </w:t>
      </w:r>
      <w:r w:rsidR="000B7BA7" w:rsidRPr="000F7862">
        <w:rPr>
          <w:lang w:val="fr-FR"/>
        </w:rPr>
        <w:t>l</w:t>
      </w:r>
      <w:r w:rsidR="00120E2E" w:rsidRPr="000F7862">
        <w:rPr>
          <w:lang w:val="fr-FR"/>
        </w:rPr>
        <w:t>’</w:t>
      </w:r>
      <w:r w:rsidR="000B7BA7" w:rsidRPr="000F7862">
        <w:rPr>
          <w:lang w:val="fr-FR"/>
        </w:rPr>
        <w:t>Académie judi</w:t>
      </w:r>
      <w:r w:rsidR="009E6699" w:rsidRPr="000F7862">
        <w:rPr>
          <w:lang w:val="fr-FR"/>
        </w:rPr>
        <w:t>c</w:t>
      </w:r>
      <w:r w:rsidR="008470FB" w:rsidRPr="000F7862">
        <w:rPr>
          <w:lang w:val="fr-FR"/>
        </w:rPr>
        <w:t>i</w:t>
      </w:r>
      <w:r w:rsidR="000B7BA7" w:rsidRPr="000F7862">
        <w:rPr>
          <w:lang w:val="fr-FR"/>
        </w:rPr>
        <w:t xml:space="preserve">aire des </w:t>
      </w:r>
      <w:r w:rsidR="0086185C" w:rsidRPr="000F7862">
        <w:rPr>
          <w:lang w:val="fr-FR"/>
        </w:rPr>
        <w:t>Philippine</w:t>
      </w:r>
      <w:r w:rsidR="000B7BA7" w:rsidRPr="000F7862">
        <w:rPr>
          <w:lang w:val="fr-FR"/>
        </w:rPr>
        <w:t>s poursuit sa mission d</w:t>
      </w:r>
      <w:r w:rsidR="00120E2E" w:rsidRPr="000F7862">
        <w:rPr>
          <w:lang w:val="fr-FR"/>
        </w:rPr>
        <w:t>’</w:t>
      </w:r>
      <w:r w:rsidR="000B7BA7" w:rsidRPr="000F7862">
        <w:rPr>
          <w:lang w:val="fr-FR"/>
        </w:rPr>
        <w:t>éducation en tenant les juges, le personnel judiciaire, les avocats et les candidats à des postes dans les services judiciaires informés de la législation nationale relative au Pacte</w:t>
      </w:r>
      <w:r w:rsidR="0086185C" w:rsidRPr="000F7862">
        <w:rPr>
          <w:lang w:val="fr-FR"/>
        </w:rPr>
        <w:t xml:space="preserve">. </w:t>
      </w:r>
      <w:r w:rsidR="009E6699" w:rsidRPr="000F7862">
        <w:rPr>
          <w:lang w:val="fr-FR"/>
        </w:rPr>
        <w:t xml:space="preserve">Ces dernières années, elle a organisé quelque </w:t>
      </w:r>
      <w:r w:rsidR="0086185C" w:rsidRPr="000F7862">
        <w:rPr>
          <w:lang w:val="fr-FR"/>
        </w:rPr>
        <w:t xml:space="preserve">400 </w:t>
      </w:r>
      <w:r w:rsidR="009E6699" w:rsidRPr="000F7862">
        <w:rPr>
          <w:lang w:val="fr-FR"/>
        </w:rPr>
        <w:t xml:space="preserve">conférences, formations, séminaires-ateliers et concertations sur les différentes lois en rapport avec le Pacte, auxquels ont participé des procureurs, des fonctionnaires des </w:t>
      </w:r>
      <w:r w:rsidR="0086185C" w:rsidRPr="000F7862">
        <w:rPr>
          <w:lang w:val="fr-FR"/>
        </w:rPr>
        <w:t>barangay</w:t>
      </w:r>
      <w:r w:rsidR="009E6699" w:rsidRPr="000F7862">
        <w:rPr>
          <w:lang w:val="fr-FR"/>
        </w:rPr>
        <w:t>s</w:t>
      </w:r>
      <w:r w:rsidR="0086185C" w:rsidRPr="000F7862">
        <w:rPr>
          <w:lang w:val="fr-FR"/>
        </w:rPr>
        <w:t xml:space="preserve"> </w:t>
      </w:r>
      <w:r w:rsidR="009E6699" w:rsidRPr="000F7862">
        <w:rPr>
          <w:lang w:val="fr-FR"/>
        </w:rPr>
        <w:t>et d</w:t>
      </w:r>
      <w:r w:rsidR="00120E2E" w:rsidRPr="000F7862">
        <w:rPr>
          <w:lang w:val="fr-FR"/>
        </w:rPr>
        <w:t>’</w:t>
      </w:r>
      <w:r w:rsidR="009E6699" w:rsidRPr="000F7862">
        <w:rPr>
          <w:lang w:val="fr-FR"/>
        </w:rPr>
        <w:t>autres acteurs</w:t>
      </w:r>
      <w:r w:rsidR="0086185C" w:rsidRPr="000F7862">
        <w:rPr>
          <w:lang w:val="fr-FR"/>
        </w:rPr>
        <w:t>.</w:t>
      </w:r>
      <w:r w:rsidR="00446EA5" w:rsidRPr="000F7862">
        <w:rPr>
          <w:lang w:val="fr-FR"/>
        </w:rPr>
        <w:t xml:space="preserve"> </w:t>
      </w:r>
    </w:p>
    <w:p w:rsidR="0086185C" w:rsidRPr="000F7862" w:rsidRDefault="003F7F57" w:rsidP="003F7F57">
      <w:pPr>
        <w:pStyle w:val="SingleTxtG"/>
        <w:rPr>
          <w:lang w:val="fr-FR"/>
        </w:rPr>
      </w:pPr>
      <w:r w:rsidRPr="000F7862">
        <w:rPr>
          <w:lang w:val="fr-FR"/>
        </w:rPr>
        <w:t>4.</w:t>
      </w:r>
      <w:r w:rsidRPr="000F7862">
        <w:rPr>
          <w:lang w:val="fr-FR"/>
        </w:rPr>
        <w:tab/>
      </w:r>
      <w:r w:rsidR="009E6699" w:rsidRPr="000F7862">
        <w:rPr>
          <w:lang w:val="fr-FR"/>
        </w:rPr>
        <w:t xml:space="preserve">Dès </w:t>
      </w:r>
      <w:r w:rsidR="0086185C" w:rsidRPr="000F7862">
        <w:rPr>
          <w:lang w:val="fr-FR"/>
        </w:rPr>
        <w:t xml:space="preserve">2001, </w:t>
      </w:r>
      <w:r w:rsidR="009E6699" w:rsidRPr="000F7862">
        <w:rPr>
          <w:lang w:val="fr-FR"/>
        </w:rPr>
        <w:t>la Cour suprême a, par l</w:t>
      </w:r>
      <w:r w:rsidR="00120E2E" w:rsidRPr="000F7862">
        <w:rPr>
          <w:lang w:val="fr-FR"/>
        </w:rPr>
        <w:t>’</w:t>
      </w:r>
      <w:r w:rsidR="009E6699" w:rsidRPr="000F7862">
        <w:rPr>
          <w:lang w:val="fr-FR"/>
        </w:rPr>
        <w:t>intermédiaire de son</w:t>
      </w:r>
      <w:r w:rsidR="0086185C" w:rsidRPr="000F7862">
        <w:rPr>
          <w:lang w:val="fr-FR"/>
        </w:rPr>
        <w:t xml:space="preserve"> </w:t>
      </w:r>
      <w:r w:rsidR="008470FB" w:rsidRPr="000F7862">
        <w:rPr>
          <w:lang w:val="fr-FR"/>
        </w:rPr>
        <w:t>antenne éducative</w:t>
      </w:r>
      <w:r w:rsidR="0086185C" w:rsidRPr="000F7862">
        <w:rPr>
          <w:lang w:val="fr-FR"/>
        </w:rPr>
        <w:t xml:space="preserve">, </w:t>
      </w:r>
      <w:r w:rsidR="008470FB" w:rsidRPr="000F7862">
        <w:rPr>
          <w:lang w:val="fr-FR"/>
        </w:rPr>
        <w:t>l</w:t>
      </w:r>
      <w:r w:rsidR="00120E2E" w:rsidRPr="000F7862">
        <w:rPr>
          <w:lang w:val="fr-FR"/>
        </w:rPr>
        <w:t>’</w:t>
      </w:r>
      <w:r w:rsidR="008470FB" w:rsidRPr="000F7862">
        <w:rPr>
          <w:lang w:val="fr-FR"/>
        </w:rPr>
        <w:t>Académie judiciaire des Philippines</w:t>
      </w:r>
      <w:r w:rsidR="0086185C" w:rsidRPr="000F7862">
        <w:rPr>
          <w:lang w:val="fr-FR"/>
        </w:rPr>
        <w:t xml:space="preserve">, </w:t>
      </w:r>
      <w:r w:rsidR="009E6699" w:rsidRPr="000F7862">
        <w:rPr>
          <w:lang w:val="fr-FR"/>
        </w:rPr>
        <w:t>conduit l</w:t>
      </w:r>
      <w:r w:rsidR="00120E2E" w:rsidRPr="000F7862">
        <w:rPr>
          <w:lang w:val="fr-FR"/>
        </w:rPr>
        <w:t>’</w:t>
      </w:r>
      <w:r w:rsidR="008470FB" w:rsidRPr="000F7862">
        <w:rPr>
          <w:lang w:val="fr-FR"/>
        </w:rPr>
        <w:t>Atelier de l</w:t>
      </w:r>
      <w:r w:rsidR="00120E2E" w:rsidRPr="000F7862">
        <w:rPr>
          <w:lang w:val="fr-FR"/>
        </w:rPr>
        <w:t>’</w:t>
      </w:r>
      <w:r w:rsidR="008470FB" w:rsidRPr="000F7862">
        <w:rPr>
          <w:lang w:val="fr-FR"/>
        </w:rPr>
        <w:t xml:space="preserve">appareil judiciaire des </w:t>
      </w:r>
      <w:r w:rsidR="0086185C" w:rsidRPr="000F7862">
        <w:rPr>
          <w:lang w:val="fr-FR"/>
        </w:rPr>
        <w:t>Philippine</w:t>
      </w:r>
      <w:r w:rsidR="008470FB" w:rsidRPr="000F7862">
        <w:rPr>
          <w:lang w:val="fr-FR"/>
        </w:rPr>
        <w:t>s</w:t>
      </w:r>
      <w:r w:rsidR="0086185C" w:rsidRPr="000F7862">
        <w:rPr>
          <w:lang w:val="fr-FR"/>
        </w:rPr>
        <w:t xml:space="preserve"> </w:t>
      </w:r>
      <w:r w:rsidR="008470FB" w:rsidRPr="000F7862">
        <w:rPr>
          <w:lang w:val="fr-FR"/>
        </w:rPr>
        <w:t>sur l</w:t>
      </w:r>
      <w:r w:rsidR="00120E2E" w:rsidRPr="000F7862">
        <w:rPr>
          <w:lang w:val="fr-FR"/>
        </w:rPr>
        <w:t>’</w:t>
      </w:r>
      <w:r w:rsidR="008470FB" w:rsidRPr="000F7862">
        <w:rPr>
          <w:lang w:val="fr-FR"/>
        </w:rPr>
        <w:t>exercice des droits é</w:t>
      </w:r>
      <w:r w:rsidR="0086185C" w:rsidRPr="000F7862">
        <w:rPr>
          <w:lang w:val="fr-FR"/>
        </w:rPr>
        <w:t>conomi</w:t>
      </w:r>
      <w:r w:rsidR="008470FB" w:rsidRPr="000F7862">
        <w:rPr>
          <w:lang w:val="fr-FR"/>
        </w:rPr>
        <w:t>ques</w:t>
      </w:r>
      <w:r w:rsidR="0086185C" w:rsidRPr="000F7862">
        <w:rPr>
          <w:lang w:val="fr-FR"/>
        </w:rPr>
        <w:t xml:space="preserve">, </w:t>
      </w:r>
      <w:r w:rsidR="008470FB" w:rsidRPr="000F7862">
        <w:rPr>
          <w:lang w:val="fr-FR"/>
        </w:rPr>
        <w:t>s</w:t>
      </w:r>
      <w:r w:rsidR="0086185C" w:rsidRPr="000F7862">
        <w:rPr>
          <w:lang w:val="fr-FR"/>
        </w:rPr>
        <w:t>ocia</w:t>
      </w:r>
      <w:r w:rsidR="008470FB" w:rsidRPr="000F7862">
        <w:rPr>
          <w:lang w:val="fr-FR"/>
        </w:rPr>
        <w:t xml:space="preserve">ux et culturels </w:t>
      </w:r>
      <w:r w:rsidR="0086185C" w:rsidRPr="000F7862">
        <w:rPr>
          <w:lang w:val="fr-FR"/>
        </w:rPr>
        <w:t>(2001)</w:t>
      </w:r>
      <w:r w:rsidR="001A39BF" w:rsidRPr="000F7862">
        <w:rPr>
          <w:lang w:val="fr-FR"/>
        </w:rPr>
        <w:t>.</w:t>
      </w:r>
      <w:r w:rsidR="00446EA5" w:rsidRPr="000F7862">
        <w:rPr>
          <w:i/>
          <w:lang w:val="fr-FR"/>
        </w:rPr>
        <w:t xml:space="preserve"> </w:t>
      </w:r>
      <w:r w:rsidR="00EC3119" w:rsidRPr="000F7862">
        <w:rPr>
          <w:lang w:val="fr-FR"/>
        </w:rPr>
        <w:t xml:space="preserve">Les objectifs du </w:t>
      </w:r>
      <w:r w:rsidR="002E7607" w:rsidRPr="000F7862">
        <w:rPr>
          <w:lang w:val="fr-FR"/>
        </w:rPr>
        <w:t>programme</w:t>
      </w:r>
      <w:r w:rsidR="00EC3119" w:rsidRPr="000F7862">
        <w:rPr>
          <w:lang w:val="fr-FR"/>
        </w:rPr>
        <w:t xml:space="preserve"> étaient les suivants</w:t>
      </w:r>
      <w:r w:rsidR="0005004C" w:rsidRPr="000F7862">
        <w:rPr>
          <w:lang w:val="fr-FR"/>
        </w:rPr>
        <w:t>:</w:t>
      </w:r>
      <w:r w:rsidR="0086185C" w:rsidRPr="000F7862">
        <w:rPr>
          <w:lang w:val="fr-FR"/>
        </w:rPr>
        <w:t xml:space="preserve"> a)</w:t>
      </w:r>
      <w:r w:rsidR="00EC3119" w:rsidRPr="000F7862">
        <w:rPr>
          <w:lang w:val="fr-FR"/>
        </w:rPr>
        <w:t xml:space="preserve"> comprendre l</w:t>
      </w:r>
      <w:r w:rsidR="00FA319B" w:rsidRPr="000F7862">
        <w:rPr>
          <w:lang w:val="fr-FR"/>
        </w:rPr>
        <w:t>a teneur</w:t>
      </w:r>
      <w:r w:rsidR="00EC3119" w:rsidRPr="000F7862">
        <w:rPr>
          <w:lang w:val="fr-FR"/>
        </w:rPr>
        <w:t>, le</w:t>
      </w:r>
      <w:r w:rsidR="0005004C" w:rsidRPr="000F7862">
        <w:rPr>
          <w:lang w:val="fr-FR"/>
        </w:rPr>
        <w:t xml:space="preserve"> </w:t>
      </w:r>
      <w:r w:rsidR="0086185C" w:rsidRPr="000F7862">
        <w:rPr>
          <w:lang w:val="fr-FR"/>
        </w:rPr>
        <w:t>process</w:t>
      </w:r>
      <w:r w:rsidR="00EC3119" w:rsidRPr="000F7862">
        <w:rPr>
          <w:lang w:val="fr-FR"/>
        </w:rPr>
        <w:t>us et l</w:t>
      </w:r>
      <w:r w:rsidR="00120E2E" w:rsidRPr="000F7862">
        <w:rPr>
          <w:lang w:val="fr-FR"/>
        </w:rPr>
        <w:t>’</w:t>
      </w:r>
      <w:r w:rsidR="00EC3119" w:rsidRPr="000F7862">
        <w:rPr>
          <w:lang w:val="fr-FR"/>
        </w:rPr>
        <w:t xml:space="preserve">applicabilité des normes </w:t>
      </w:r>
      <w:r w:rsidR="0086185C" w:rsidRPr="000F7862">
        <w:rPr>
          <w:lang w:val="fr-FR"/>
        </w:rPr>
        <w:t>international</w:t>
      </w:r>
      <w:r w:rsidR="00EC3119" w:rsidRPr="000F7862">
        <w:rPr>
          <w:lang w:val="fr-FR"/>
        </w:rPr>
        <w:t>es</w:t>
      </w:r>
      <w:r w:rsidR="0086185C" w:rsidRPr="000F7862">
        <w:rPr>
          <w:lang w:val="fr-FR"/>
        </w:rPr>
        <w:t xml:space="preserve"> </w:t>
      </w:r>
      <w:r w:rsidR="00EC3119" w:rsidRPr="000F7862">
        <w:rPr>
          <w:lang w:val="fr-FR"/>
        </w:rPr>
        <w:t>en matière de droits économiques</w:t>
      </w:r>
      <w:r w:rsidR="0086185C" w:rsidRPr="000F7862">
        <w:rPr>
          <w:lang w:val="fr-FR"/>
        </w:rPr>
        <w:t>, socia</w:t>
      </w:r>
      <w:r w:rsidR="00EC3119" w:rsidRPr="000F7862">
        <w:rPr>
          <w:lang w:val="fr-FR"/>
        </w:rPr>
        <w:t xml:space="preserve">ux et culturels; </w:t>
      </w:r>
      <w:r w:rsidR="0086185C" w:rsidRPr="000F7862">
        <w:rPr>
          <w:lang w:val="fr-FR"/>
        </w:rPr>
        <w:t>b)</w:t>
      </w:r>
      <w:r w:rsidR="007E27A6" w:rsidRPr="000F7862">
        <w:rPr>
          <w:lang w:val="fr-FR"/>
        </w:rPr>
        <w:t> </w:t>
      </w:r>
      <w:r w:rsidR="0086185C" w:rsidRPr="000F7862">
        <w:rPr>
          <w:lang w:val="fr-FR"/>
        </w:rPr>
        <w:t>examine</w:t>
      </w:r>
      <w:r w:rsidR="00EC3119" w:rsidRPr="000F7862">
        <w:rPr>
          <w:lang w:val="fr-FR"/>
        </w:rPr>
        <w:t xml:space="preserve">r les processus administratifs et </w:t>
      </w:r>
      <w:r w:rsidR="0086185C" w:rsidRPr="000F7862">
        <w:rPr>
          <w:lang w:val="fr-FR"/>
        </w:rPr>
        <w:t>judicia</w:t>
      </w:r>
      <w:r w:rsidR="00EC3119" w:rsidRPr="000F7862">
        <w:rPr>
          <w:lang w:val="fr-FR"/>
        </w:rPr>
        <w:t>ires à la lumière des principes fondamentaux r</w:t>
      </w:r>
      <w:r w:rsidR="00F14A82" w:rsidRPr="000F7862">
        <w:rPr>
          <w:lang w:val="fr-FR"/>
        </w:rPr>
        <w:t>elatifs aux</w:t>
      </w:r>
      <w:r w:rsidR="00EC3119" w:rsidRPr="000F7862">
        <w:rPr>
          <w:lang w:val="fr-FR"/>
        </w:rPr>
        <w:t xml:space="preserve"> droits de l</w:t>
      </w:r>
      <w:r w:rsidR="00120E2E" w:rsidRPr="000F7862">
        <w:rPr>
          <w:lang w:val="fr-FR"/>
        </w:rPr>
        <w:t>’</w:t>
      </w:r>
      <w:r w:rsidR="00EC3119" w:rsidRPr="000F7862">
        <w:rPr>
          <w:lang w:val="fr-FR"/>
        </w:rPr>
        <w:t>homme, notamment la responsabilité de l</w:t>
      </w:r>
      <w:r w:rsidR="00120E2E" w:rsidRPr="000F7862">
        <w:rPr>
          <w:lang w:val="fr-FR"/>
        </w:rPr>
        <w:t>’</w:t>
      </w:r>
      <w:r w:rsidR="00EC3119" w:rsidRPr="000F7862">
        <w:rPr>
          <w:lang w:val="fr-FR"/>
        </w:rPr>
        <w:t>État découlant de la Convention sur l</w:t>
      </w:r>
      <w:r w:rsidR="00120E2E" w:rsidRPr="000F7862">
        <w:rPr>
          <w:lang w:val="fr-FR"/>
        </w:rPr>
        <w:t>’</w:t>
      </w:r>
      <w:r w:rsidR="00EC3119" w:rsidRPr="000F7862">
        <w:rPr>
          <w:lang w:val="fr-FR"/>
        </w:rPr>
        <w:t>élimination de toutes les formes de discrimination à l</w:t>
      </w:r>
      <w:r w:rsidR="00120E2E" w:rsidRPr="000F7862">
        <w:rPr>
          <w:lang w:val="fr-FR"/>
        </w:rPr>
        <w:t>’</w:t>
      </w:r>
      <w:r w:rsidR="00EC3119" w:rsidRPr="000F7862">
        <w:rPr>
          <w:lang w:val="fr-FR"/>
        </w:rPr>
        <w:t>égard des femmes</w:t>
      </w:r>
      <w:r w:rsidR="0086185C" w:rsidRPr="000F7862">
        <w:rPr>
          <w:lang w:val="fr-FR"/>
        </w:rPr>
        <w:t xml:space="preserve"> </w:t>
      </w:r>
      <w:r w:rsidR="00EC3119" w:rsidRPr="000F7862">
        <w:rPr>
          <w:lang w:val="fr-FR"/>
        </w:rPr>
        <w:t>et de la Convention relative aux droits de l</w:t>
      </w:r>
      <w:r w:rsidR="00120E2E" w:rsidRPr="000F7862">
        <w:rPr>
          <w:lang w:val="fr-FR"/>
        </w:rPr>
        <w:t>’</w:t>
      </w:r>
      <w:r w:rsidR="00EC3119" w:rsidRPr="000F7862">
        <w:rPr>
          <w:lang w:val="fr-FR"/>
        </w:rPr>
        <w:t>enfant</w:t>
      </w:r>
      <w:r w:rsidR="0086185C" w:rsidRPr="000F7862">
        <w:rPr>
          <w:lang w:val="fr-FR"/>
        </w:rPr>
        <w:t xml:space="preserve">; </w:t>
      </w:r>
      <w:r w:rsidR="00EC3119" w:rsidRPr="000F7862">
        <w:rPr>
          <w:lang w:val="fr-FR"/>
        </w:rPr>
        <w:t>et</w:t>
      </w:r>
      <w:r w:rsidR="0086185C" w:rsidRPr="000F7862">
        <w:rPr>
          <w:lang w:val="fr-FR"/>
        </w:rPr>
        <w:t xml:space="preserve"> c)</w:t>
      </w:r>
      <w:r w:rsidR="007E27A6" w:rsidRPr="000F7862">
        <w:rPr>
          <w:lang w:val="fr-FR"/>
        </w:rPr>
        <w:t> </w:t>
      </w:r>
      <w:r w:rsidR="001F798E" w:rsidRPr="000F7862">
        <w:rPr>
          <w:lang w:val="fr-FR"/>
        </w:rPr>
        <w:t>comprendre le rôle de l</w:t>
      </w:r>
      <w:r w:rsidR="00120E2E" w:rsidRPr="000F7862">
        <w:rPr>
          <w:lang w:val="fr-FR"/>
        </w:rPr>
        <w:t>’</w:t>
      </w:r>
      <w:r w:rsidR="001F798E" w:rsidRPr="000F7862">
        <w:rPr>
          <w:lang w:val="fr-FR"/>
        </w:rPr>
        <w:t xml:space="preserve">appareil judiciaire dans la mise en œuvre des </w:t>
      </w:r>
      <w:r w:rsidR="0086185C" w:rsidRPr="000F7862">
        <w:rPr>
          <w:lang w:val="fr-FR"/>
        </w:rPr>
        <w:t xml:space="preserve">obligations </w:t>
      </w:r>
      <w:r w:rsidR="001F798E" w:rsidRPr="000F7862">
        <w:rPr>
          <w:lang w:val="fr-FR"/>
        </w:rPr>
        <w:t xml:space="preserve">conventionnelles concernant les droits économiques, sociaux et culturels dans le contexte de la </w:t>
      </w:r>
      <w:r w:rsidR="0086185C" w:rsidRPr="000F7862">
        <w:rPr>
          <w:lang w:val="fr-FR"/>
        </w:rPr>
        <w:t>Constitution</w:t>
      </w:r>
      <w:r w:rsidR="001F798E" w:rsidRPr="000F7862">
        <w:rPr>
          <w:lang w:val="fr-FR"/>
        </w:rPr>
        <w:t xml:space="preserve"> nationale</w:t>
      </w:r>
      <w:r w:rsidR="0086185C" w:rsidRPr="000F7862">
        <w:rPr>
          <w:lang w:val="fr-FR"/>
        </w:rPr>
        <w:t>.</w:t>
      </w:r>
      <w:r w:rsidR="00446EA5" w:rsidRPr="000F7862">
        <w:rPr>
          <w:lang w:val="fr-FR"/>
        </w:rPr>
        <w:t xml:space="preserve"> </w:t>
      </w:r>
    </w:p>
    <w:p w:rsidR="0086185C" w:rsidRPr="000F7862" w:rsidRDefault="003F7F57" w:rsidP="003F7F57">
      <w:pPr>
        <w:pStyle w:val="SingleTxtG"/>
        <w:rPr>
          <w:iCs/>
          <w:lang w:val="fr-FR"/>
        </w:rPr>
      </w:pPr>
      <w:r w:rsidRPr="000F7862">
        <w:rPr>
          <w:iCs/>
          <w:lang w:val="fr-FR"/>
        </w:rPr>
        <w:t>5.</w:t>
      </w:r>
      <w:r w:rsidRPr="000F7862">
        <w:rPr>
          <w:iCs/>
          <w:lang w:val="fr-FR"/>
        </w:rPr>
        <w:tab/>
      </w:r>
      <w:r w:rsidR="001F798E" w:rsidRPr="000F7862">
        <w:rPr>
          <w:lang w:val="fr-FR"/>
        </w:rPr>
        <w:t xml:space="preserve">Ce </w:t>
      </w:r>
      <w:r w:rsidR="00867E43" w:rsidRPr="000F7862">
        <w:rPr>
          <w:lang w:val="fr-FR"/>
        </w:rPr>
        <w:t>programme</w:t>
      </w:r>
      <w:r w:rsidR="0086185C" w:rsidRPr="000F7862">
        <w:rPr>
          <w:lang w:val="fr-FR"/>
        </w:rPr>
        <w:t xml:space="preserve"> </w:t>
      </w:r>
      <w:r w:rsidR="001F798E" w:rsidRPr="000F7862">
        <w:rPr>
          <w:lang w:val="fr-FR"/>
        </w:rPr>
        <w:t>portait sur les thèmes ci-après</w:t>
      </w:r>
      <w:r w:rsidR="0005004C" w:rsidRPr="000F7862">
        <w:rPr>
          <w:lang w:val="fr-FR"/>
        </w:rPr>
        <w:t>:</w:t>
      </w:r>
    </w:p>
    <w:p w:rsidR="0086185C" w:rsidRPr="000F7862" w:rsidRDefault="001F798E" w:rsidP="009111E1">
      <w:pPr>
        <w:pStyle w:val="Bullet1G"/>
      </w:pPr>
      <w:r w:rsidRPr="000F7862">
        <w:t>Le Pacte i</w:t>
      </w:r>
      <w:r w:rsidR="0086185C" w:rsidRPr="000F7862">
        <w:t xml:space="preserve">nternational </w:t>
      </w:r>
      <w:r w:rsidRPr="000F7862">
        <w:t>relatif aux droits économiques</w:t>
      </w:r>
      <w:r w:rsidR="0086185C" w:rsidRPr="000F7862">
        <w:t xml:space="preserve">, </w:t>
      </w:r>
      <w:r w:rsidRPr="000F7862">
        <w:t>s</w:t>
      </w:r>
      <w:r w:rsidR="0086185C" w:rsidRPr="000F7862">
        <w:t>ocia</w:t>
      </w:r>
      <w:r w:rsidRPr="000F7862">
        <w:t>ux et culture</w:t>
      </w:r>
      <w:r w:rsidR="0086185C" w:rsidRPr="000F7862">
        <w:t>l</w:t>
      </w:r>
      <w:r w:rsidRPr="000F7862">
        <w:t>s</w:t>
      </w:r>
      <w:r w:rsidR="0086185C" w:rsidRPr="000F7862">
        <w:t xml:space="preserve"> </w:t>
      </w:r>
      <w:r w:rsidRPr="000F7862">
        <w:t>et la j</w:t>
      </w:r>
      <w:r w:rsidR="0086185C" w:rsidRPr="000F7862">
        <w:t xml:space="preserve">urisprudence </w:t>
      </w:r>
      <w:r w:rsidRPr="000F7862">
        <w:t>é</w:t>
      </w:r>
      <w:r w:rsidR="0086185C" w:rsidRPr="000F7862">
        <w:t>mana</w:t>
      </w:r>
      <w:r w:rsidRPr="000F7862">
        <w:t>nt du Comité des droits économiques, sociaux et culturels</w:t>
      </w:r>
      <w:r w:rsidR="007E27A6" w:rsidRPr="000F7862">
        <w:t>;</w:t>
      </w:r>
    </w:p>
    <w:p w:rsidR="0086185C" w:rsidRPr="000F7862" w:rsidRDefault="00FD28CB" w:rsidP="009111E1">
      <w:pPr>
        <w:pStyle w:val="Bullet1G"/>
      </w:pPr>
      <w:r w:rsidRPr="000F7862">
        <w:t>La j</w:t>
      </w:r>
      <w:r w:rsidR="0086185C" w:rsidRPr="000F7862">
        <w:t>ustic</w:t>
      </w:r>
      <w:r w:rsidR="001F798E" w:rsidRPr="000F7862">
        <w:t>iabilité des droits é</w:t>
      </w:r>
      <w:r w:rsidR="0086185C" w:rsidRPr="000F7862">
        <w:t>conomi</w:t>
      </w:r>
      <w:r w:rsidR="001F798E" w:rsidRPr="000F7862">
        <w:t>ques</w:t>
      </w:r>
      <w:r w:rsidR="0086185C" w:rsidRPr="000F7862">
        <w:t xml:space="preserve">, </w:t>
      </w:r>
      <w:r w:rsidR="001F798E" w:rsidRPr="000F7862">
        <w:t>s</w:t>
      </w:r>
      <w:r w:rsidR="0086185C" w:rsidRPr="000F7862">
        <w:t>ocia</w:t>
      </w:r>
      <w:r w:rsidR="001F798E" w:rsidRPr="000F7862">
        <w:t>ux et culturels</w:t>
      </w:r>
      <w:r w:rsidR="007E27A6" w:rsidRPr="000F7862">
        <w:t>;</w:t>
      </w:r>
    </w:p>
    <w:p w:rsidR="0086185C" w:rsidRPr="000F7862" w:rsidRDefault="001214E2" w:rsidP="009111E1">
      <w:pPr>
        <w:pStyle w:val="Bullet1G"/>
      </w:pPr>
      <w:r w:rsidRPr="000F7862">
        <w:t xml:space="preserve">Le système </w:t>
      </w:r>
      <w:r w:rsidR="00DD3814" w:rsidRPr="000F7862">
        <w:t>de protection des</w:t>
      </w:r>
      <w:r w:rsidRPr="000F7862">
        <w:t xml:space="preserve"> droits de l</w:t>
      </w:r>
      <w:r w:rsidR="00120E2E" w:rsidRPr="000F7862">
        <w:t>’</w:t>
      </w:r>
      <w:r w:rsidRPr="000F7862">
        <w:t>homme</w:t>
      </w:r>
      <w:r w:rsidR="00DD3814" w:rsidRPr="000F7862">
        <w:t xml:space="preserve"> des Nations Unies</w:t>
      </w:r>
      <w:r w:rsidR="0005004C" w:rsidRPr="000F7862">
        <w:t>:</w:t>
      </w:r>
      <w:r w:rsidR="0086185C" w:rsidRPr="000F7862">
        <w:t xml:space="preserve"> </w:t>
      </w:r>
      <w:r w:rsidRPr="000F7862">
        <w:t>vue d</w:t>
      </w:r>
      <w:r w:rsidR="00120E2E" w:rsidRPr="000F7862">
        <w:t>’</w:t>
      </w:r>
      <w:r w:rsidRPr="000F7862">
        <w:t>ensemble</w:t>
      </w:r>
      <w:r w:rsidR="007E27A6" w:rsidRPr="000F7862">
        <w:t>;</w:t>
      </w:r>
    </w:p>
    <w:p w:rsidR="0086185C" w:rsidRPr="000F7862" w:rsidRDefault="001214E2" w:rsidP="009111E1">
      <w:pPr>
        <w:pStyle w:val="Bullet1G"/>
      </w:pPr>
      <w:r w:rsidRPr="000F7862">
        <w:t>Le rô</w:t>
      </w:r>
      <w:r w:rsidR="0086185C" w:rsidRPr="000F7862">
        <w:t xml:space="preserve">le </w:t>
      </w:r>
      <w:r w:rsidRPr="000F7862">
        <w:t>de l</w:t>
      </w:r>
      <w:r w:rsidR="00120E2E" w:rsidRPr="000F7862">
        <w:t>’</w:t>
      </w:r>
      <w:r w:rsidRPr="000F7862">
        <w:t>appareil judiciaire dans l</w:t>
      </w:r>
      <w:r w:rsidR="00120E2E" w:rsidRPr="000F7862">
        <w:t>’</w:t>
      </w:r>
      <w:r w:rsidR="0086185C" w:rsidRPr="000F7862">
        <w:t xml:space="preserve">application </w:t>
      </w:r>
      <w:r w:rsidRPr="000F7862">
        <w:t xml:space="preserve">des droits </w:t>
      </w:r>
      <w:r w:rsidR="002E7607" w:rsidRPr="000F7862">
        <w:t>économiques</w:t>
      </w:r>
      <w:r w:rsidRPr="000F7862">
        <w:t xml:space="preserve">, sociaux et culturels et la </w:t>
      </w:r>
      <w:r w:rsidR="0086185C" w:rsidRPr="000F7862">
        <w:t>Constitution</w:t>
      </w:r>
      <w:r w:rsidR="0005004C" w:rsidRPr="000F7862">
        <w:t>:</w:t>
      </w:r>
      <w:r w:rsidR="0086185C" w:rsidRPr="000F7862">
        <w:t xml:space="preserve"> </w:t>
      </w:r>
      <w:r w:rsidRPr="000F7862">
        <w:t>e</w:t>
      </w:r>
      <w:r w:rsidR="0086185C" w:rsidRPr="000F7862">
        <w:t>xp</w:t>
      </w:r>
      <w:r w:rsidRPr="000F7862">
        <w:t>é</w:t>
      </w:r>
      <w:r w:rsidR="0086185C" w:rsidRPr="000F7862">
        <w:t xml:space="preserve">riences </w:t>
      </w:r>
      <w:r w:rsidRPr="000F7862">
        <w:t xml:space="preserve">menées en </w:t>
      </w:r>
      <w:r w:rsidR="0086185C" w:rsidRPr="000F7862">
        <w:t>Ind</w:t>
      </w:r>
      <w:r w:rsidRPr="000F7862">
        <w:t>e</w:t>
      </w:r>
      <w:r w:rsidR="0086185C" w:rsidRPr="000F7862">
        <w:t xml:space="preserve"> </w:t>
      </w:r>
      <w:r w:rsidRPr="000F7862">
        <w:t xml:space="preserve">et aux </w:t>
      </w:r>
      <w:r w:rsidR="0086185C" w:rsidRPr="000F7862">
        <w:t>Philippines</w:t>
      </w:r>
      <w:r w:rsidR="007E27A6" w:rsidRPr="000F7862">
        <w:t>;</w:t>
      </w:r>
    </w:p>
    <w:p w:rsidR="0086185C" w:rsidRPr="000F7862" w:rsidRDefault="0086185C" w:rsidP="009111E1">
      <w:pPr>
        <w:pStyle w:val="Bullet1G"/>
      </w:pPr>
      <w:r w:rsidRPr="000F7862">
        <w:t xml:space="preserve">Jurisprudence </w:t>
      </w:r>
      <w:r w:rsidR="001214E2" w:rsidRPr="000F7862">
        <w:t xml:space="preserve">concernant les droits </w:t>
      </w:r>
      <w:r w:rsidR="002E7607" w:rsidRPr="000F7862">
        <w:t>économiques</w:t>
      </w:r>
      <w:r w:rsidR="001214E2" w:rsidRPr="000F7862">
        <w:t>, sociaux et culturels</w:t>
      </w:r>
      <w:r w:rsidR="0005004C" w:rsidRPr="000F7862">
        <w:t>:</w:t>
      </w:r>
      <w:r w:rsidRPr="000F7862">
        <w:t xml:space="preserve"> </w:t>
      </w:r>
      <w:r w:rsidR="001214E2" w:rsidRPr="000F7862">
        <w:t>Cour européenne et Cour interaméricaine</w:t>
      </w:r>
      <w:r w:rsidRPr="000F7862">
        <w:t xml:space="preserve">; </w:t>
      </w:r>
      <w:r w:rsidR="001214E2" w:rsidRPr="000F7862">
        <w:t>expériences menées en Afrique du Sud et en Inde</w:t>
      </w:r>
      <w:r w:rsidR="007E27A6" w:rsidRPr="000F7862">
        <w:t>;</w:t>
      </w:r>
    </w:p>
    <w:p w:rsidR="0086185C" w:rsidRPr="000F7862" w:rsidRDefault="0086185C" w:rsidP="009111E1">
      <w:pPr>
        <w:pStyle w:val="Bullet1G"/>
      </w:pPr>
      <w:r w:rsidRPr="000F7862">
        <w:t>D</w:t>
      </w:r>
      <w:r w:rsidR="001214E2" w:rsidRPr="000F7862">
        <w:t>é</w:t>
      </w:r>
      <w:r w:rsidRPr="000F7862">
        <w:t>velop</w:t>
      </w:r>
      <w:r w:rsidR="001214E2" w:rsidRPr="000F7862">
        <w:t>pe</w:t>
      </w:r>
      <w:r w:rsidRPr="000F7862">
        <w:t xml:space="preserve">ment </w:t>
      </w:r>
      <w:r w:rsidR="001214E2" w:rsidRPr="000F7862">
        <w:t xml:space="preserve">du droit administratif </w:t>
      </w:r>
      <w:r w:rsidRPr="000F7862">
        <w:t>relati</w:t>
      </w:r>
      <w:r w:rsidR="001214E2" w:rsidRPr="000F7862">
        <w:t>f aux droits économ</w:t>
      </w:r>
      <w:r w:rsidR="00A14BD5" w:rsidRPr="000F7862">
        <w:t>i</w:t>
      </w:r>
      <w:r w:rsidR="001214E2" w:rsidRPr="000F7862">
        <w:t>ques, sociaux et culturels</w:t>
      </w:r>
      <w:r w:rsidR="007E27A6" w:rsidRPr="000F7862">
        <w:t>;</w:t>
      </w:r>
    </w:p>
    <w:p w:rsidR="0086185C" w:rsidRPr="000F7862" w:rsidRDefault="0086185C" w:rsidP="009111E1">
      <w:pPr>
        <w:pStyle w:val="Bullet1G"/>
      </w:pPr>
      <w:r w:rsidRPr="000F7862">
        <w:t>Acc</w:t>
      </w:r>
      <w:r w:rsidR="001214E2" w:rsidRPr="000F7862">
        <w:t>ès à la j</w:t>
      </w:r>
      <w:r w:rsidRPr="000F7862">
        <w:t>ustice</w:t>
      </w:r>
      <w:r w:rsidR="0005004C" w:rsidRPr="000F7862">
        <w:t>:</w:t>
      </w:r>
      <w:r w:rsidRPr="000F7862">
        <w:t xml:space="preserve"> </w:t>
      </w:r>
      <w:r w:rsidR="001214E2" w:rsidRPr="000F7862">
        <w:t>transparence</w:t>
      </w:r>
      <w:r w:rsidRPr="000F7862">
        <w:t xml:space="preserve">, </w:t>
      </w:r>
      <w:r w:rsidR="001214E2" w:rsidRPr="000F7862">
        <w:t>responsabilité et accessibilité financière</w:t>
      </w:r>
      <w:r w:rsidR="007E27A6" w:rsidRPr="000F7862">
        <w:t>;</w:t>
      </w:r>
    </w:p>
    <w:p w:rsidR="0086185C" w:rsidRPr="000F7862" w:rsidRDefault="00836071" w:rsidP="009111E1">
      <w:pPr>
        <w:pStyle w:val="Bullet1G"/>
      </w:pPr>
      <w:r w:rsidRPr="000F7862">
        <w:t>Dro</w:t>
      </w:r>
      <w:r w:rsidR="0086185C" w:rsidRPr="000F7862">
        <w:t xml:space="preserve">its, </w:t>
      </w:r>
      <w:r w:rsidRPr="000F7862">
        <w:t>o</w:t>
      </w:r>
      <w:r w:rsidR="0086185C" w:rsidRPr="000F7862">
        <w:t xml:space="preserve">bligations </w:t>
      </w:r>
      <w:r w:rsidRPr="000F7862">
        <w:t>et recours</w:t>
      </w:r>
      <w:r w:rsidR="0005004C" w:rsidRPr="000F7862">
        <w:t>:</w:t>
      </w:r>
      <w:r w:rsidR="0086185C" w:rsidRPr="000F7862">
        <w:t xml:space="preserve"> </w:t>
      </w:r>
      <w:r w:rsidRPr="000F7862">
        <w:t>expériences i</w:t>
      </w:r>
      <w:r w:rsidR="0086185C" w:rsidRPr="000F7862">
        <w:t>nternational</w:t>
      </w:r>
      <w:r w:rsidRPr="000F7862">
        <w:t>es et nationales</w:t>
      </w:r>
      <w:r w:rsidR="007E27A6" w:rsidRPr="000F7862">
        <w:t>;</w:t>
      </w:r>
    </w:p>
    <w:p w:rsidR="0086185C" w:rsidRPr="000F7862" w:rsidRDefault="0086185C" w:rsidP="009111E1">
      <w:pPr>
        <w:pStyle w:val="Bullet1G"/>
      </w:pPr>
      <w:r w:rsidRPr="000F7862">
        <w:t>Non-</w:t>
      </w:r>
      <w:r w:rsidR="00836071" w:rsidRPr="000F7862">
        <w:t>d</w:t>
      </w:r>
      <w:r w:rsidRPr="000F7862">
        <w:t xml:space="preserve">iscrimination </w:t>
      </w:r>
      <w:r w:rsidR="00836071" w:rsidRPr="000F7862">
        <w:t>et p</w:t>
      </w:r>
      <w:r w:rsidRPr="000F7862">
        <w:t>articipation</w:t>
      </w:r>
      <w:r w:rsidR="0005004C" w:rsidRPr="000F7862">
        <w:t>:</w:t>
      </w:r>
      <w:r w:rsidRPr="000F7862">
        <w:t xml:space="preserve"> </w:t>
      </w:r>
      <w:r w:rsidR="00836071" w:rsidRPr="000F7862">
        <w:t>questions de genre et questions relatives aux enfants</w:t>
      </w:r>
      <w:r w:rsidR="007E27A6" w:rsidRPr="000F7862">
        <w:t>;</w:t>
      </w:r>
    </w:p>
    <w:p w:rsidR="0086185C" w:rsidRPr="000F7862" w:rsidRDefault="003E14A1" w:rsidP="009111E1">
      <w:pPr>
        <w:pStyle w:val="Bullet1G"/>
      </w:pPr>
      <w:r w:rsidRPr="000F7862">
        <w:t>L</w:t>
      </w:r>
      <w:r w:rsidR="00120E2E" w:rsidRPr="000F7862">
        <w:t>’</w:t>
      </w:r>
      <w:r w:rsidRPr="000F7862">
        <w:t>action en justice au service de l</w:t>
      </w:r>
      <w:r w:rsidR="00120E2E" w:rsidRPr="000F7862">
        <w:t>’</w:t>
      </w:r>
      <w:r w:rsidRPr="000F7862">
        <w:t>action sociale</w:t>
      </w:r>
      <w:r w:rsidR="0005004C" w:rsidRPr="000F7862">
        <w:t>:</w:t>
      </w:r>
      <w:r w:rsidR="0086185C" w:rsidRPr="000F7862">
        <w:t xml:space="preserve"> </w:t>
      </w:r>
      <w:r w:rsidR="00874347" w:rsidRPr="000F7862">
        <w:t>l</w:t>
      </w:r>
      <w:r w:rsidR="00120E2E" w:rsidRPr="000F7862">
        <w:t>’</w:t>
      </w:r>
      <w:r w:rsidR="00874347" w:rsidRPr="000F7862">
        <w:t>expérience de l</w:t>
      </w:r>
      <w:r w:rsidR="00120E2E" w:rsidRPr="000F7862">
        <w:t>’</w:t>
      </w:r>
      <w:r w:rsidR="00874347" w:rsidRPr="000F7862">
        <w:t>Inde, une étude de cas aux Philippines</w:t>
      </w:r>
      <w:r w:rsidR="007E27A6" w:rsidRPr="000F7862">
        <w:t>.</w:t>
      </w:r>
    </w:p>
    <w:p w:rsidR="0086185C" w:rsidRPr="000F7862" w:rsidRDefault="003F7F57" w:rsidP="003F7F57">
      <w:pPr>
        <w:pStyle w:val="SingleTxtG"/>
        <w:rPr>
          <w:i/>
          <w:lang w:val="fr-FR"/>
        </w:rPr>
      </w:pPr>
      <w:r w:rsidRPr="000F7862">
        <w:rPr>
          <w:lang w:val="fr-FR"/>
        </w:rPr>
        <w:t>6.</w:t>
      </w:r>
      <w:r w:rsidRPr="000F7862">
        <w:rPr>
          <w:lang w:val="fr-FR"/>
        </w:rPr>
        <w:tab/>
      </w:r>
      <w:r w:rsidR="00F51D7D" w:rsidRPr="000F7862">
        <w:rPr>
          <w:lang w:val="fr-FR"/>
        </w:rPr>
        <w:t>Sous la direction de son président de l</w:t>
      </w:r>
      <w:r w:rsidR="00120E2E" w:rsidRPr="000F7862">
        <w:rPr>
          <w:lang w:val="fr-FR"/>
        </w:rPr>
        <w:t>’</w:t>
      </w:r>
      <w:r w:rsidR="00F51D7D" w:rsidRPr="000F7862">
        <w:rPr>
          <w:lang w:val="fr-FR"/>
        </w:rPr>
        <w:t xml:space="preserve">époque, </w:t>
      </w:r>
      <w:r w:rsidR="0086185C" w:rsidRPr="000F7862">
        <w:rPr>
          <w:lang w:val="fr-FR"/>
        </w:rPr>
        <w:t xml:space="preserve">Reynato S. Puno, </w:t>
      </w:r>
      <w:r w:rsidR="00F51D7D" w:rsidRPr="000F7862">
        <w:rPr>
          <w:lang w:val="fr-FR"/>
        </w:rPr>
        <w:t xml:space="preserve">la Cour suprême a également organisé un sommet intitulé </w:t>
      </w:r>
      <w:r w:rsidR="002E7607" w:rsidRPr="000F7862">
        <w:rPr>
          <w:iCs/>
          <w:lang w:val="fr-FR"/>
        </w:rPr>
        <w:t>«</w:t>
      </w:r>
      <w:r w:rsidR="0086185C" w:rsidRPr="000F7862">
        <w:rPr>
          <w:iCs/>
          <w:lang w:val="fr-FR"/>
        </w:rPr>
        <w:t xml:space="preserve">Forum </w:t>
      </w:r>
      <w:r w:rsidR="00F51D7D" w:rsidRPr="000F7862">
        <w:rPr>
          <w:iCs/>
          <w:lang w:val="fr-FR"/>
        </w:rPr>
        <w:t>sur l</w:t>
      </w:r>
      <w:r w:rsidR="00120E2E" w:rsidRPr="000F7862">
        <w:rPr>
          <w:iCs/>
          <w:lang w:val="fr-FR"/>
        </w:rPr>
        <w:t>’</w:t>
      </w:r>
      <w:r w:rsidR="00F51D7D" w:rsidRPr="000F7862">
        <w:rPr>
          <w:iCs/>
          <w:lang w:val="fr-FR"/>
        </w:rPr>
        <w:t>élargissement de l</w:t>
      </w:r>
      <w:r w:rsidR="00120E2E" w:rsidRPr="000F7862">
        <w:rPr>
          <w:iCs/>
          <w:lang w:val="fr-FR"/>
        </w:rPr>
        <w:t>’</w:t>
      </w:r>
      <w:r w:rsidR="00F51D7D" w:rsidRPr="000F7862">
        <w:rPr>
          <w:iCs/>
          <w:lang w:val="fr-FR"/>
        </w:rPr>
        <w:t>accès à la j</w:t>
      </w:r>
      <w:r w:rsidR="0086185C" w:rsidRPr="000F7862">
        <w:rPr>
          <w:iCs/>
          <w:lang w:val="fr-FR"/>
        </w:rPr>
        <w:t>ustice</w:t>
      </w:r>
      <w:r w:rsidR="0005004C" w:rsidRPr="000F7862">
        <w:rPr>
          <w:iCs/>
          <w:lang w:val="fr-FR"/>
        </w:rPr>
        <w:t>:</w:t>
      </w:r>
      <w:r w:rsidR="0086185C" w:rsidRPr="000F7862">
        <w:rPr>
          <w:iCs/>
          <w:lang w:val="fr-FR"/>
        </w:rPr>
        <w:t xml:space="preserve"> </w:t>
      </w:r>
      <w:r w:rsidR="00F51D7D" w:rsidRPr="000F7862">
        <w:rPr>
          <w:iCs/>
          <w:lang w:val="fr-FR"/>
        </w:rPr>
        <w:t>combler les écarts et lever les obstacles</w:t>
      </w:r>
      <w:r w:rsidR="002E7607" w:rsidRPr="000F7862">
        <w:rPr>
          <w:iCs/>
          <w:lang w:val="fr-FR"/>
        </w:rPr>
        <w:t>»</w:t>
      </w:r>
      <w:r w:rsidR="00F51D7D" w:rsidRPr="000F7862">
        <w:rPr>
          <w:iCs/>
          <w:lang w:val="fr-FR"/>
        </w:rPr>
        <w:t>,</w:t>
      </w:r>
      <w:r w:rsidR="0086185C" w:rsidRPr="000F7862">
        <w:rPr>
          <w:lang w:val="fr-FR"/>
        </w:rPr>
        <w:t xml:space="preserve"> </w:t>
      </w:r>
      <w:r w:rsidR="00F51D7D" w:rsidRPr="000F7862">
        <w:rPr>
          <w:lang w:val="fr-FR"/>
        </w:rPr>
        <w:t>qui s</w:t>
      </w:r>
      <w:r w:rsidR="00120E2E" w:rsidRPr="000F7862">
        <w:rPr>
          <w:lang w:val="fr-FR"/>
        </w:rPr>
        <w:t>’</w:t>
      </w:r>
      <w:r w:rsidR="00F51D7D" w:rsidRPr="000F7862">
        <w:rPr>
          <w:lang w:val="fr-FR"/>
        </w:rPr>
        <w:t xml:space="preserve">est tenu </w:t>
      </w:r>
      <w:r w:rsidR="0086185C" w:rsidRPr="000F7862">
        <w:rPr>
          <w:lang w:val="fr-FR"/>
        </w:rPr>
        <w:t>simultan</w:t>
      </w:r>
      <w:r w:rsidR="00F51D7D" w:rsidRPr="000F7862">
        <w:rPr>
          <w:lang w:val="fr-FR"/>
        </w:rPr>
        <w:t xml:space="preserve">ément </w:t>
      </w:r>
      <w:r w:rsidR="00FD28CB" w:rsidRPr="000F7862">
        <w:rPr>
          <w:lang w:val="fr-FR"/>
        </w:rPr>
        <w:t>en</w:t>
      </w:r>
      <w:r w:rsidR="00F51D7D" w:rsidRPr="000F7862">
        <w:rPr>
          <w:lang w:val="fr-FR"/>
        </w:rPr>
        <w:t xml:space="preserve"> trois endroits –</w:t>
      </w:r>
      <w:r w:rsidR="0005004C" w:rsidRPr="000F7862">
        <w:rPr>
          <w:lang w:val="fr-FR"/>
        </w:rPr>
        <w:t xml:space="preserve"> </w:t>
      </w:r>
      <w:r w:rsidR="0086185C" w:rsidRPr="000F7862">
        <w:rPr>
          <w:lang w:val="fr-FR"/>
        </w:rPr>
        <w:t>Lu</w:t>
      </w:r>
      <w:r w:rsidR="00F51D7D" w:rsidRPr="000F7862">
        <w:rPr>
          <w:lang w:val="fr-FR"/>
        </w:rPr>
        <w:t>çon</w:t>
      </w:r>
      <w:r w:rsidR="0086185C" w:rsidRPr="000F7862">
        <w:rPr>
          <w:lang w:val="fr-FR"/>
        </w:rPr>
        <w:t xml:space="preserve">, Visayas </w:t>
      </w:r>
      <w:r w:rsidR="00F51D7D" w:rsidRPr="000F7862">
        <w:rPr>
          <w:lang w:val="fr-FR"/>
        </w:rPr>
        <w:t>et</w:t>
      </w:r>
      <w:r w:rsidR="0086185C" w:rsidRPr="000F7862">
        <w:rPr>
          <w:lang w:val="fr-FR"/>
        </w:rPr>
        <w:t xml:space="preserve"> Mindanao </w:t>
      </w:r>
      <w:r w:rsidR="00F51D7D" w:rsidRPr="000F7862">
        <w:rPr>
          <w:lang w:val="fr-FR"/>
        </w:rPr>
        <w:t>– les 30 juin et 1</w:t>
      </w:r>
      <w:r w:rsidR="00F51D7D" w:rsidRPr="000F7862">
        <w:rPr>
          <w:vertAlign w:val="superscript"/>
          <w:lang w:val="fr-FR"/>
        </w:rPr>
        <w:t>er</w:t>
      </w:r>
      <w:r w:rsidR="00F51D7D" w:rsidRPr="000F7862">
        <w:rPr>
          <w:lang w:val="fr-FR"/>
        </w:rPr>
        <w:t xml:space="preserve"> juillet </w:t>
      </w:r>
      <w:r w:rsidR="0086185C" w:rsidRPr="000F7862">
        <w:rPr>
          <w:lang w:val="fr-FR"/>
        </w:rPr>
        <w:t xml:space="preserve">2008, </w:t>
      </w:r>
      <w:r w:rsidR="00F51D7D" w:rsidRPr="000F7862">
        <w:rPr>
          <w:lang w:val="fr-FR"/>
        </w:rPr>
        <w:t>par visio</w:t>
      </w:r>
      <w:r w:rsidR="0086185C" w:rsidRPr="000F7862">
        <w:rPr>
          <w:lang w:val="fr-FR"/>
        </w:rPr>
        <w:t>conf</w:t>
      </w:r>
      <w:r w:rsidR="00F51D7D" w:rsidRPr="000F7862">
        <w:rPr>
          <w:lang w:val="fr-FR"/>
        </w:rPr>
        <w:t>é</w:t>
      </w:r>
      <w:r w:rsidR="0086185C" w:rsidRPr="000F7862">
        <w:rPr>
          <w:lang w:val="fr-FR"/>
        </w:rPr>
        <w:t>renc</w:t>
      </w:r>
      <w:r w:rsidR="00F51D7D" w:rsidRPr="000F7862">
        <w:rPr>
          <w:lang w:val="fr-FR"/>
        </w:rPr>
        <w:t>e</w:t>
      </w:r>
      <w:r w:rsidR="0086185C" w:rsidRPr="000F7862">
        <w:rPr>
          <w:lang w:val="fr-FR"/>
        </w:rPr>
        <w:t xml:space="preserve">. </w:t>
      </w:r>
      <w:r w:rsidR="001B14F5" w:rsidRPr="000F7862">
        <w:rPr>
          <w:lang w:val="fr-FR"/>
        </w:rPr>
        <w:t>Les participants à ce forum ont considéré qu</w:t>
      </w:r>
      <w:r w:rsidR="00120E2E" w:rsidRPr="000F7862">
        <w:rPr>
          <w:lang w:val="fr-FR"/>
        </w:rPr>
        <w:t>’</w:t>
      </w:r>
      <w:r w:rsidR="001B14F5" w:rsidRPr="000F7862">
        <w:rPr>
          <w:lang w:val="fr-FR"/>
        </w:rPr>
        <w:t>en dehors de la pauvreté, le montant exorbitant des frais de justice et le recours peu fréquent au t</w:t>
      </w:r>
      <w:r w:rsidR="0086185C" w:rsidRPr="000F7862">
        <w:rPr>
          <w:lang w:val="fr-FR"/>
        </w:rPr>
        <w:t xml:space="preserve">agalog </w:t>
      </w:r>
      <w:r w:rsidR="001B14F5" w:rsidRPr="000F7862">
        <w:rPr>
          <w:lang w:val="fr-FR"/>
        </w:rPr>
        <w:t>à l</w:t>
      </w:r>
      <w:r w:rsidR="00120E2E" w:rsidRPr="000F7862">
        <w:rPr>
          <w:lang w:val="fr-FR"/>
        </w:rPr>
        <w:t>’</w:t>
      </w:r>
      <w:r w:rsidR="001B14F5" w:rsidRPr="000F7862">
        <w:rPr>
          <w:lang w:val="fr-FR"/>
        </w:rPr>
        <w:t>audience avaient un impact sur l</w:t>
      </w:r>
      <w:r w:rsidR="00120E2E" w:rsidRPr="000F7862">
        <w:rPr>
          <w:lang w:val="fr-FR"/>
        </w:rPr>
        <w:t>’</w:t>
      </w:r>
      <w:r w:rsidR="001B14F5" w:rsidRPr="000F7862">
        <w:rPr>
          <w:lang w:val="fr-FR"/>
        </w:rPr>
        <w:t xml:space="preserve">accès à la </w:t>
      </w:r>
      <w:r w:rsidR="0086185C" w:rsidRPr="000F7862">
        <w:rPr>
          <w:lang w:val="fr-FR"/>
        </w:rPr>
        <w:t>ju</w:t>
      </w:r>
      <w:r w:rsidR="001B14F5" w:rsidRPr="000F7862">
        <w:rPr>
          <w:lang w:val="fr-FR"/>
        </w:rPr>
        <w:t>stice</w:t>
      </w:r>
      <w:r w:rsidR="0086185C" w:rsidRPr="000F7862">
        <w:rPr>
          <w:lang w:val="fr-FR"/>
        </w:rPr>
        <w:t xml:space="preserve">. </w:t>
      </w:r>
      <w:r w:rsidR="001B14F5" w:rsidRPr="000F7862">
        <w:rPr>
          <w:lang w:val="fr-FR"/>
        </w:rPr>
        <w:t>On a poursu</w:t>
      </w:r>
      <w:r w:rsidR="009C0F6E" w:rsidRPr="000F7862">
        <w:rPr>
          <w:lang w:val="fr-FR"/>
        </w:rPr>
        <w:t>ivi</w:t>
      </w:r>
      <w:r w:rsidR="001B14F5" w:rsidRPr="000F7862">
        <w:rPr>
          <w:lang w:val="fr-FR"/>
        </w:rPr>
        <w:t xml:space="preserve"> l</w:t>
      </w:r>
      <w:r w:rsidR="00120E2E" w:rsidRPr="000F7862">
        <w:rPr>
          <w:lang w:val="fr-FR"/>
        </w:rPr>
        <w:t>’</w:t>
      </w:r>
      <w:r w:rsidR="001B14F5" w:rsidRPr="000F7862">
        <w:rPr>
          <w:lang w:val="fr-FR"/>
        </w:rPr>
        <w:t xml:space="preserve">exécution du </w:t>
      </w:r>
      <w:r w:rsidR="002E7607" w:rsidRPr="000F7862">
        <w:rPr>
          <w:iCs/>
          <w:lang w:val="fr-FR"/>
        </w:rPr>
        <w:t>«</w:t>
      </w:r>
      <w:r w:rsidR="001B14F5" w:rsidRPr="000F7862">
        <w:rPr>
          <w:iCs/>
          <w:lang w:val="fr-FR"/>
        </w:rPr>
        <w:t>Projet relatif à l</w:t>
      </w:r>
      <w:r w:rsidR="00120E2E" w:rsidRPr="000F7862">
        <w:rPr>
          <w:iCs/>
          <w:lang w:val="fr-FR"/>
        </w:rPr>
        <w:t>’</w:t>
      </w:r>
      <w:r w:rsidR="001B14F5" w:rsidRPr="000F7862">
        <w:rPr>
          <w:iCs/>
          <w:lang w:val="fr-FR"/>
        </w:rPr>
        <w:t xml:space="preserve">accès des </w:t>
      </w:r>
      <w:r w:rsidR="00FD28CB" w:rsidRPr="000F7862">
        <w:rPr>
          <w:iCs/>
          <w:lang w:val="fr-FR"/>
        </w:rPr>
        <w:t>personnes démunies</w:t>
      </w:r>
      <w:r w:rsidR="001B14F5" w:rsidRPr="000F7862">
        <w:rPr>
          <w:iCs/>
          <w:lang w:val="fr-FR"/>
        </w:rPr>
        <w:t xml:space="preserve"> à la justice</w:t>
      </w:r>
      <w:r w:rsidR="002E7607" w:rsidRPr="000F7862">
        <w:rPr>
          <w:iCs/>
          <w:lang w:val="fr-FR"/>
        </w:rPr>
        <w:t>»</w:t>
      </w:r>
      <w:r w:rsidR="0086185C" w:rsidRPr="000F7862">
        <w:rPr>
          <w:lang w:val="fr-FR"/>
        </w:rPr>
        <w:t xml:space="preserve"> </w:t>
      </w:r>
      <w:r w:rsidR="001B14F5" w:rsidRPr="000F7862">
        <w:rPr>
          <w:lang w:val="fr-FR"/>
        </w:rPr>
        <w:t xml:space="preserve">de la Cour </w:t>
      </w:r>
      <w:r w:rsidR="009C0F6E" w:rsidRPr="000F7862">
        <w:rPr>
          <w:lang w:val="fr-FR"/>
        </w:rPr>
        <w:t>par le biais</w:t>
      </w:r>
      <w:r w:rsidR="001B14F5" w:rsidRPr="000F7862">
        <w:rPr>
          <w:lang w:val="fr-FR"/>
        </w:rPr>
        <w:t xml:space="preserve"> de programmes d</w:t>
      </w:r>
      <w:r w:rsidR="00120E2E" w:rsidRPr="000F7862">
        <w:rPr>
          <w:lang w:val="fr-FR"/>
        </w:rPr>
        <w:t>’</w:t>
      </w:r>
      <w:r w:rsidR="009C0F6E" w:rsidRPr="000F7862">
        <w:rPr>
          <w:lang w:val="fr-FR"/>
        </w:rPr>
        <w:t>i</w:t>
      </w:r>
      <w:r w:rsidR="0086185C" w:rsidRPr="000F7862">
        <w:rPr>
          <w:bCs/>
          <w:iCs/>
          <w:lang w:val="fr-FR"/>
        </w:rPr>
        <w:t xml:space="preserve">nformation, </w:t>
      </w:r>
      <w:r w:rsidR="001B14F5" w:rsidRPr="000F7862">
        <w:rPr>
          <w:bCs/>
          <w:iCs/>
          <w:lang w:val="fr-FR"/>
        </w:rPr>
        <w:t>d</w:t>
      </w:r>
      <w:r w:rsidR="00120E2E" w:rsidRPr="000F7862">
        <w:rPr>
          <w:bCs/>
          <w:iCs/>
          <w:lang w:val="fr-FR"/>
        </w:rPr>
        <w:t>’</w:t>
      </w:r>
      <w:r w:rsidR="001B14F5" w:rsidRPr="000F7862">
        <w:rPr>
          <w:bCs/>
          <w:iCs/>
          <w:lang w:val="fr-FR"/>
        </w:rPr>
        <w:t>é</w:t>
      </w:r>
      <w:r w:rsidR="0086185C" w:rsidRPr="000F7862">
        <w:rPr>
          <w:bCs/>
          <w:iCs/>
          <w:lang w:val="fr-FR"/>
        </w:rPr>
        <w:t xml:space="preserve">ducation </w:t>
      </w:r>
      <w:r w:rsidR="001B14F5" w:rsidRPr="000F7862">
        <w:rPr>
          <w:bCs/>
          <w:iCs/>
          <w:lang w:val="fr-FR"/>
        </w:rPr>
        <w:t xml:space="preserve">et de </w:t>
      </w:r>
      <w:r w:rsidR="0086185C" w:rsidRPr="000F7862">
        <w:rPr>
          <w:bCs/>
          <w:iCs/>
          <w:lang w:val="fr-FR"/>
        </w:rPr>
        <w:t xml:space="preserve">communication </w:t>
      </w:r>
      <w:r w:rsidR="001B14F5" w:rsidRPr="000F7862">
        <w:rPr>
          <w:bCs/>
          <w:iCs/>
          <w:lang w:val="fr-FR"/>
        </w:rPr>
        <w:t xml:space="preserve">exécutés dans </w:t>
      </w:r>
      <w:r w:rsidR="001B14F5" w:rsidRPr="000F7862">
        <w:rPr>
          <w:lang w:val="fr-FR"/>
        </w:rPr>
        <w:t>36 municipalité</w:t>
      </w:r>
      <w:r w:rsidR="0086185C" w:rsidRPr="000F7862">
        <w:rPr>
          <w:lang w:val="fr-FR"/>
        </w:rPr>
        <w:t xml:space="preserve">s </w:t>
      </w:r>
      <w:r w:rsidR="001B14F5" w:rsidRPr="000F7862">
        <w:rPr>
          <w:lang w:val="fr-FR"/>
        </w:rPr>
        <w:t xml:space="preserve">des 15 provinces les plus </w:t>
      </w:r>
      <w:r w:rsidR="00FD28CB" w:rsidRPr="000F7862">
        <w:rPr>
          <w:lang w:val="fr-FR"/>
        </w:rPr>
        <w:t>pauvres</w:t>
      </w:r>
      <w:r w:rsidR="0086185C" w:rsidRPr="000F7862">
        <w:rPr>
          <w:lang w:val="fr-FR"/>
        </w:rPr>
        <w:t xml:space="preserve">, </w:t>
      </w:r>
      <w:r w:rsidR="001B14F5" w:rsidRPr="000F7862">
        <w:rPr>
          <w:lang w:val="fr-FR"/>
        </w:rPr>
        <w:t xml:space="preserve">avec le concours du </w:t>
      </w:r>
      <w:r w:rsidR="009C0F6E" w:rsidRPr="000F7862">
        <w:rPr>
          <w:lang w:val="fr-FR"/>
        </w:rPr>
        <w:t>Ministère de la protection s</w:t>
      </w:r>
      <w:r w:rsidR="0086185C" w:rsidRPr="000F7862">
        <w:rPr>
          <w:lang w:val="fr-FR"/>
        </w:rPr>
        <w:t>ocial</w:t>
      </w:r>
      <w:r w:rsidR="00FD28CB" w:rsidRPr="000F7862">
        <w:rPr>
          <w:lang w:val="fr-FR"/>
        </w:rPr>
        <w:t>e et du développement</w:t>
      </w:r>
      <w:r w:rsidR="0086185C" w:rsidRPr="000F7862">
        <w:rPr>
          <w:lang w:val="fr-FR"/>
        </w:rPr>
        <w:t xml:space="preserve">, </w:t>
      </w:r>
      <w:r w:rsidR="009C0F6E" w:rsidRPr="000F7862">
        <w:rPr>
          <w:lang w:val="fr-FR"/>
        </w:rPr>
        <w:t>du Ministère de l</w:t>
      </w:r>
      <w:r w:rsidR="00120E2E" w:rsidRPr="000F7862">
        <w:rPr>
          <w:lang w:val="fr-FR"/>
        </w:rPr>
        <w:t>’</w:t>
      </w:r>
      <w:r w:rsidR="009C0F6E" w:rsidRPr="000F7862">
        <w:rPr>
          <w:lang w:val="fr-FR"/>
        </w:rPr>
        <w:t>intérieur et des collectivités locales</w:t>
      </w:r>
      <w:r w:rsidR="0086185C" w:rsidRPr="000F7862">
        <w:rPr>
          <w:lang w:val="fr-FR"/>
        </w:rPr>
        <w:t xml:space="preserve">, </w:t>
      </w:r>
      <w:r w:rsidR="009C0F6E" w:rsidRPr="000F7862">
        <w:rPr>
          <w:lang w:val="fr-FR"/>
        </w:rPr>
        <w:t>du Ministère de la j</w:t>
      </w:r>
      <w:r w:rsidR="00FD28CB" w:rsidRPr="000F7862">
        <w:rPr>
          <w:lang w:val="fr-FR"/>
        </w:rPr>
        <w:t xml:space="preserve">ustice </w:t>
      </w:r>
      <w:r w:rsidR="009C0F6E" w:rsidRPr="000F7862">
        <w:rPr>
          <w:lang w:val="fr-FR"/>
        </w:rPr>
        <w:t>et d</w:t>
      </w:r>
      <w:r w:rsidR="00120E2E" w:rsidRPr="000F7862">
        <w:rPr>
          <w:lang w:val="fr-FR"/>
        </w:rPr>
        <w:t>’</w:t>
      </w:r>
      <w:r w:rsidR="0086185C" w:rsidRPr="000F7862">
        <w:rPr>
          <w:lang w:val="fr-FR"/>
        </w:rPr>
        <w:t xml:space="preserve">Alternative Law Groups Inc. </w:t>
      </w:r>
      <w:r w:rsidR="009C0F6E" w:rsidRPr="000F7862">
        <w:rPr>
          <w:lang w:val="fr-FR"/>
        </w:rPr>
        <w:t xml:space="preserve">Ce projet visait </w:t>
      </w:r>
      <w:r w:rsidR="00172149" w:rsidRPr="000F7862">
        <w:rPr>
          <w:lang w:val="fr-FR"/>
        </w:rPr>
        <w:t>a</w:t>
      </w:r>
      <w:r w:rsidR="001B3F92" w:rsidRPr="000F7862">
        <w:rPr>
          <w:lang w:val="fr-FR"/>
        </w:rPr>
        <w:t>) </w:t>
      </w:r>
      <w:r w:rsidR="009C0F6E" w:rsidRPr="000F7862">
        <w:rPr>
          <w:lang w:val="fr-FR"/>
        </w:rPr>
        <w:t xml:space="preserve">à </w:t>
      </w:r>
      <w:r w:rsidR="00015C5C" w:rsidRPr="000F7862">
        <w:rPr>
          <w:lang w:val="fr-FR"/>
        </w:rPr>
        <w:t xml:space="preserve">mettre les </w:t>
      </w:r>
      <w:r w:rsidR="00FD28CB" w:rsidRPr="000F7862">
        <w:rPr>
          <w:lang w:val="fr-FR"/>
        </w:rPr>
        <w:t>personnes démunies</w:t>
      </w:r>
      <w:r w:rsidR="00015C5C" w:rsidRPr="000F7862">
        <w:rPr>
          <w:lang w:val="fr-FR"/>
        </w:rPr>
        <w:t xml:space="preserve"> et les groupes vulnérables (femmes et enfants</w:t>
      </w:r>
      <w:r w:rsidR="00FD28CB" w:rsidRPr="000F7862">
        <w:rPr>
          <w:lang w:val="fr-FR"/>
        </w:rPr>
        <w:t xml:space="preserve"> démunis</w:t>
      </w:r>
      <w:r w:rsidR="00015C5C" w:rsidRPr="000F7862">
        <w:rPr>
          <w:lang w:val="fr-FR"/>
        </w:rPr>
        <w:t>, en particulier) mieux à même d</w:t>
      </w:r>
      <w:r w:rsidR="00120E2E" w:rsidRPr="000F7862">
        <w:rPr>
          <w:lang w:val="fr-FR"/>
        </w:rPr>
        <w:t>’</w:t>
      </w:r>
      <w:r w:rsidR="00015C5C" w:rsidRPr="000F7862">
        <w:rPr>
          <w:lang w:val="fr-FR"/>
        </w:rPr>
        <w:t xml:space="preserve">intenter une action en </w:t>
      </w:r>
      <w:r w:rsidR="0086185C" w:rsidRPr="000F7862">
        <w:rPr>
          <w:iCs/>
          <w:lang w:val="fr-FR"/>
        </w:rPr>
        <w:t xml:space="preserve">justice </w:t>
      </w:r>
      <w:r w:rsidR="00015C5C" w:rsidRPr="000F7862">
        <w:rPr>
          <w:iCs/>
          <w:lang w:val="fr-FR"/>
        </w:rPr>
        <w:t>grâce à une meilleure connaissance de leurs droits fondamentaux et du système judiciaire</w:t>
      </w:r>
      <w:r w:rsidR="0086185C" w:rsidRPr="000F7862">
        <w:rPr>
          <w:iCs/>
          <w:lang w:val="fr-FR"/>
        </w:rPr>
        <w:t xml:space="preserve">; </w:t>
      </w:r>
      <w:r w:rsidR="009C0F6E" w:rsidRPr="000F7862">
        <w:rPr>
          <w:iCs/>
          <w:lang w:val="fr-FR"/>
        </w:rPr>
        <w:t>et</w:t>
      </w:r>
      <w:r w:rsidR="0086185C" w:rsidRPr="000F7862">
        <w:rPr>
          <w:iCs/>
          <w:lang w:val="fr-FR"/>
        </w:rPr>
        <w:t xml:space="preserve"> </w:t>
      </w:r>
      <w:r w:rsidR="00172149" w:rsidRPr="000F7862">
        <w:rPr>
          <w:iCs/>
          <w:lang w:val="fr-FR"/>
        </w:rPr>
        <w:t>b</w:t>
      </w:r>
      <w:r w:rsidR="001B3F92" w:rsidRPr="000F7862">
        <w:rPr>
          <w:iCs/>
          <w:lang w:val="fr-FR"/>
        </w:rPr>
        <w:t>) </w:t>
      </w:r>
      <w:r w:rsidR="009C0F6E" w:rsidRPr="000F7862">
        <w:rPr>
          <w:iCs/>
          <w:lang w:val="fr-FR"/>
        </w:rPr>
        <w:t xml:space="preserve">à </w:t>
      </w:r>
      <w:r w:rsidR="00015C5C" w:rsidRPr="000F7862">
        <w:rPr>
          <w:iCs/>
          <w:lang w:val="fr-FR"/>
        </w:rPr>
        <w:t xml:space="preserve">renforcer le système judiciaire pour le rendre plus </w:t>
      </w:r>
      <w:r w:rsidR="0086185C" w:rsidRPr="000F7862">
        <w:rPr>
          <w:iCs/>
          <w:lang w:val="fr-FR"/>
        </w:rPr>
        <w:t xml:space="preserve">accessible </w:t>
      </w:r>
      <w:r w:rsidR="00015C5C" w:rsidRPr="000F7862">
        <w:rPr>
          <w:iCs/>
          <w:lang w:val="fr-FR"/>
        </w:rPr>
        <w:t xml:space="preserve">pour les </w:t>
      </w:r>
      <w:r w:rsidR="00FD28CB" w:rsidRPr="000F7862">
        <w:rPr>
          <w:iCs/>
          <w:lang w:val="fr-FR"/>
        </w:rPr>
        <w:t>personnes démunies</w:t>
      </w:r>
      <w:r w:rsidR="00015C5C" w:rsidRPr="000F7862">
        <w:rPr>
          <w:iCs/>
          <w:lang w:val="fr-FR"/>
        </w:rPr>
        <w:t xml:space="preserve"> et les groupes </w:t>
      </w:r>
      <w:r w:rsidR="0086185C" w:rsidRPr="000F7862">
        <w:rPr>
          <w:iCs/>
          <w:lang w:val="fr-FR"/>
        </w:rPr>
        <w:t>vuln</w:t>
      </w:r>
      <w:r w:rsidR="00015C5C" w:rsidRPr="000F7862">
        <w:rPr>
          <w:iCs/>
          <w:lang w:val="fr-FR"/>
        </w:rPr>
        <w:t>é</w:t>
      </w:r>
      <w:r w:rsidR="0086185C" w:rsidRPr="000F7862">
        <w:rPr>
          <w:iCs/>
          <w:lang w:val="fr-FR"/>
        </w:rPr>
        <w:t>rable</w:t>
      </w:r>
      <w:r w:rsidR="00015C5C" w:rsidRPr="000F7862">
        <w:rPr>
          <w:iCs/>
          <w:lang w:val="fr-FR"/>
        </w:rPr>
        <w:t>s</w:t>
      </w:r>
      <w:r w:rsidR="0086185C" w:rsidRPr="000F7862">
        <w:rPr>
          <w:iCs/>
          <w:lang w:val="fr-FR"/>
        </w:rPr>
        <w:t xml:space="preserve">. </w:t>
      </w:r>
    </w:p>
    <w:p w:rsidR="0086185C" w:rsidRPr="000F7862" w:rsidRDefault="003F7F57" w:rsidP="003F7F57">
      <w:pPr>
        <w:pStyle w:val="SingleTxtG"/>
        <w:rPr>
          <w:i/>
          <w:lang w:val="fr-FR"/>
        </w:rPr>
      </w:pPr>
      <w:r w:rsidRPr="000F7862">
        <w:rPr>
          <w:lang w:val="fr-FR"/>
        </w:rPr>
        <w:t>7.</w:t>
      </w:r>
      <w:r w:rsidRPr="000F7862">
        <w:rPr>
          <w:lang w:val="fr-FR"/>
        </w:rPr>
        <w:tab/>
      </w:r>
      <w:r w:rsidR="00015C5C" w:rsidRPr="000F7862">
        <w:rPr>
          <w:lang w:val="fr-FR"/>
        </w:rPr>
        <w:t>De même, l</w:t>
      </w:r>
      <w:r w:rsidR="00120E2E" w:rsidRPr="000F7862">
        <w:rPr>
          <w:lang w:val="fr-FR"/>
        </w:rPr>
        <w:t>’</w:t>
      </w:r>
      <w:r w:rsidR="00015C5C" w:rsidRPr="000F7862">
        <w:rPr>
          <w:lang w:val="fr-FR"/>
        </w:rPr>
        <w:t>Académie judiciaire des Philippines a conduit des séminaires de renforcement des capacités à l</w:t>
      </w:r>
      <w:r w:rsidR="00120E2E" w:rsidRPr="000F7862">
        <w:rPr>
          <w:lang w:val="fr-FR"/>
        </w:rPr>
        <w:t>’</w:t>
      </w:r>
      <w:r w:rsidR="00015C5C" w:rsidRPr="000F7862">
        <w:rPr>
          <w:lang w:val="fr-FR"/>
        </w:rPr>
        <w:t xml:space="preserve">intention des juristes de la </w:t>
      </w:r>
      <w:r w:rsidR="0086185C" w:rsidRPr="000F7862">
        <w:rPr>
          <w:lang w:val="fr-FR"/>
        </w:rPr>
        <w:t xml:space="preserve">Commission </w:t>
      </w:r>
      <w:r w:rsidR="00015C5C" w:rsidRPr="000F7862">
        <w:rPr>
          <w:lang w:val="fr-FR"/>
        </w:rPr>
        <w:t>nationale des peuples autochtones</w:t>
      </w:r>
      <w:r w:rsidR="0086185C" w:rsidRPr="000F7862">
        <w:rPr>
          <w:lang w:val="fr-FR"/>
        </w:rPr>
        <w:t xml:space="preserve">. </w:t>
      </w:r>
      <w:r w:rsidR="00015C5C" w:rsidRPr="000F7862">
        <w:rPr>
          <w:lang w:val="fr-FR"/>
        </w:rPr>
        <w:t>En dehors de cela, l</w:t>
      </w:r>
      <w:r w:rsidR="00120E2E" w:rsidRPr="000F7862">
        <w:rPr>
          <w:lang w:val="fr-FR"/>
        </w:rPr>
        <w:t>’</w:t>
      </w:r>
      <w:r w:rsidR="00015C5C" w:rsidRPr="000F7862">
        <w:rPr>
          <w:lang w:val="fr-FR"/>
        </w:rPr>
        <w:t xml:space="preserve">Académie inscrit en permanence </w:t>
      </w:r>
      <w:r w:rsidR="00203B5A" w:rsidRPr="000F7862">
        <w:rPr>
          <w:lang w:val="fr-FR"/>
        </w:rPr>
        <w:t>dans ses programmes de formation ordinaires et spéciaux des sujets concernant les droits de l</w:t>
      </w:r>
      <w:r w:rsidR="00120E2E" w:rsidRPr="000F7862">
        <w:rPr>
          <w:lang w:val="fr-FR"/>
        </w:rPr>
        <w:t>’</w:t>
      </w:r>
      <w:r w:rsidR="00203B5A" w:rsidRPr="000F7862">
        <w:rPr>
          <w:lang w:val="fr-FR"/>
        </w:rPr>
        <w:t>homme</w:t>
      </w:r>
      <w:r w:rsidR="0086185C" w:rsidRPr="000F7862">
        <w:rPr>
          <w:lang w:val="fr-FR"/>
        </w:rPr>
        <w:t xml:space="preserve">, </w:t>
      </w:r>
      <w:r w:rsidR="00203B5A" w:rsidRPr="000F7862">
        <w:rPr>
          <w:lang w:val="fr-FR"/>
        </w:rPr>
        <w:t xml:space="preserve">tels que le </w:t>
      </w:r>
      <w:r w:rsidR="00203B5A" w:rsidRPr="000F7862">
        <w:rPr>
          <w:i/>
          <w:iCs/>
          <w:lang w:val="fr-FR"/>
        </w:rPr>
        <w:t>Règlement d</w:t>
      </w:r>
      <w:r w:rsidR="00120E2E" w:rsidRPr="000F7862">
        <w:rPr>
          <w:i/>
          <w:iCs/>
          <w:lang w:val="fr-FR"/>
        </w:rPr>
        <w:t>’</w:t>
      </w:r>
      <w:r w:rsidR="00203B5A" w:rsidRPr="000F7862">
        <w:rPr>
          <w:i/>
          <w:iCs/>
          <w:lang w:val="fr-FR"/>
        </w:rPr>
        <w:t xml:space="preserve">application de </w:t>
      </w:r>
      <w:r w:rsidR="00E91F1D" w:rsidRPr="000F7862">
        <w:rPr>
          <w:i/>
          <w:iCs/>
          <w:lang w:val="fr-FR"/>
        </w:rPr>
        <w:t>la loi sur la violence contre les femmes et les enfants</w:t>
      </w:r>
      <w:r w:rsidR="0086185C" w:rsidRPr="000F7862">
        <w:rPr>
          <w:i/>
          <w:iCs/>
          <w:lang w:val="fr-FR"/>
        </w:rPr>
        <w:t xml:space="preserve">, </w:t>
      </w:r>
      <w:r w:rsidR="00E91F1D" w:rsidRPr="000F7862">
        <w:rPr>
          <w:iCs/>
          <w:lang w:val="fr-FR"/>
        </w:rPr>
        <w:t xml:space="preserve">la </w:t>
      </w:r>
      <w:r w:rsidR="00E91F1D" w:rsidRPr="000F7862">
        <w:rPr>
          <w:i/>
          <w:iCs/>
          <w:lang w:val="fr-FR"/>
        </w:rPr>
        <w:t>loi sur les droits des peuples autochtones</w:t>
      </w:r>
      <w:r w:rsidR="0086185C" w:rsidRPr="000F7862">
        <w:rPr>
          <w:i/>
          <w:iCs/>
          <w:lang w:val="fr-FR"/>
        </w:rPr>
        <w:t xml:space="preserve">, </w:t>
      </w:r>
      <w:r w:rsidR="00B63172" w:rsidRPr="000F7862">
        <w:rPr>
          <w:iCs/>
          <w:lang w:val="fr-FR"/>
        </w:rPr>
        <w:t>la</w:t>
      </w:r>
      <w:r w:rsidR="00E91F1D" w:rsidRPr="000F7862">
        <w:rPr>
          <w:i/>
          <w:iCs/>
          <w:lang w:val="fr-FR"/>
        </w:rPr>
        <w:t xml:space="preserve"> loi sur la lutte contre la traite des personnes</w:t>
      </w:r>
      <w:r w:rsidR="0086185C" w:rsidRPr="000F7862">
        <w:rPr>
          <w:i/>
          <w:iCs/>
          <w:lang w:val="fr-FR"/>
        </w:rPr>
        <w:t xml:space="preserve"> (</w:t>
      </w:r>
      <w:r w:rsidR="00FD28CB" w:rsidRPr="000F7862">
        <w:rPr>
          <w:i/>
          <w:iCs/>
          <w:lang w:val="fr-FR"/>
        </w:rPr>
        <w:t>L</w:t>
      </w:r>
      <w:r w:rsidR="0086185C" w:rsidRPr="000F7862">
        <w:rPr>
          <w:i/>
          <w:iCs/>
          <w:lang w:val="fr-FR"/>
        </w:rPr>
        <w:t>.</w:t>
      </w:r>
      <w:r w:rsidR="00FD28CB" w:rsidRPr="000F7862">
        <w:rPr>
          <w:i/>
          <w:iCs/>
          <w:lang w:val="fr-FR"/>
        </w:rPr>
        <w:t>R</w:t>
      </w:r>
      <w:r w:rsidR="0086185C" w:rsidRPr="000F7862">
        <w:rPr>
          <w:i/>
          <w:iCs/>
          <w:lang w:val="fr-FR"/>
        </w:rPr>
        <w:t xml:space="preserve">. 9208 </w:t>
      </w:r>
      <w:r w:rsidR="00E91F1D" w:rsidRPr="000F7862">
        <w:rPr>
          <w:i/>
          <w:iCs/>
          <w:lang w:val="fr-FR"/>
        </w:rPr>
        <w:t>et son règlement d</w:t>
      </w:r>
      <w:r w:rsidR="00120E2E" w:rsidRPr="000F7862">
        <w:rPr>
          <w:i/>
          <w:iCs/>
          <w:lang w:val="fr-FR"/>
        </w:rPr>
        <w:t>’</w:t>
      </w:r>
      <w:r w:rsidR="00E91F1D" w:rsidRPr="000F7862">
        <w:rPr>
          <w:i/>
          <w:iCs/>
          <w:lang w:val="fr-FR"/>
        </w:rPr>
        <w:t>application</w:t>
      </w:r>
      <w:r w:rsidR="0086185C" w:rsidRPr="000F7862">
        <w:rPr>
          <w:i/>
          <w:iCs/>
          <w:lang w:val="fr-FR"/>
        </w:rPr>
        <w:t>)</w:t>
      </w:r>
      <w:r w:rsidR="00E91F1D" w:rsidRPr="000F7862">
        <w:rPr>
          <w:iCs/>
          <w:lang w:val="fr-FR"/>
        </w:rPr>
        <w:t xml:space="preserve"> et les</w:t>
      </w:r>
      <w:r w:rsidR="0086185C" w:rsidRPr="000F7862">
        <w:rPr>
          <w:i/>
          <w:iCs/>
          <w:lang w:val="fr-FR"/>
        </w:rPr>
        <w:t xml:space="preserve"> </w:t>
      </w:r>
      <w:r w:rsidR="00E91F1D" w:rsidRPr="000F7862">
        <w:rPr>
          <w:i/>
          <w:iCs/>
          <w:lang w:val="fr-FR"/>
        </w:rPr>
        <w:t>lois et procédures e</w:t>
      </w:r>
      <w:r w:rsidR="0086185C" w:rsidRPr="000F7862">
        <w:rPr>
          <w:i/>
          <w:iCs/>
          <w:lang w:val="fr-FR"/>
        </w:rPr>
        <w:t>nviron</w:t>
      </w:r>
      <w:r w:rsidR="00E91F1D" w:rsidRPr="000F7862">
        <w:rPr>
          <w:i/>
          <w:iCs/>
          <w:lang w:val="fr-FR"/>
        </w:rPr>
        <w:t>ne</w:t>
      </w:r>
      <w:r w:rsidR="0086185C" w:rsidRPr="000F7862">
        <w:rPr>
          <w:i/>
          <w:iCs/>
          <w:lang w:val="fr-FR"/>
        </w:rPr>
        <w:t>mental</w:t>
      </w:r>
      <w:r w:rsidR="00E91F1D" w:rsidRPr="000F7862">
        <w:rPr>
          <w:i/>
          <w:iCs/>
          <w:lang w:val="fr-FR"/>
        </w:rPr>
        <w:t>es</w:t>
      </w:r>
      <w:r w:rsidR="0086185C" w:rsidRPr="000F7862">
        <w:rPr>
          <w:i/>
          <w:iCs/>
          <w:lang w:val="fr-FR"/>
        </w:rPr>
        <w:t xml:space="preserve"> </w:t>
      </w:r>
      <w:r w:rsidR="0086185C" w:rsidRPr="000F7862">
        <w:rPr>
          <w:iCs/>
          <w:lang w:val="fr-FR"/>
        </w:rPr>
        <w:t>(</w:t>
      </w:r>
      <w:r w:rsidR="00E91F1D" w:rsidRPr="000F7862">
        <w:rPr>
          <w:iCs/>
          <w:lang w:val="fr-FR"/>
        </w:rPr>
        <w:t>en rapport avec la garantie c</w:t>
      </w:r>
      <w:r w:rsidR="0086185C" w:rsidRPr="000F7862">
        <w:rPr>
          <w:iCs/>
          <w:lang w:val="fr-FR"/>
        </w:rPr>
        <w:t>onstitution</w:t>
      </w:r>
      <w:r w:rsidR="00E91F1D" w:rsidRPr="000F7862">
        <w:rPr>
          <w:iCs/>
          <w:lang w:val="fr-FR"/>
        </w:rPr>
        <w:t xml:space="preserve">nelle du droit </w:t>
      </w:r>
      <w:r w:rsidR="00B63172" w:rsidRPr="000F7862">
        <w:rPr>
          <w:iCs/>
          <w:lang w:val="fr-FR"/>
        </w:rPr>
        <w:t xml:space="preserve">à un </w:t>
      </w:r>
      <w:r w:rsidR="00B63172" w:rsidRPr="000F7862">
        <w:rPr>
          <w:lang w:val="fr-FR"/>
        </w:rPr>
        <w:t>environnement écologique équilibré et sain</w:t>
      </w:r>
      <w:r w:rsidR="0086185C" w:rsidRPr="000F7862">
        <w:rPr>
          <w:iCs/>
          <w:lang w:val="fr-FR"/>
        </w:rPr>
        <w:t>).</w:t>
      </w:r>
    </w:p>
    <w:p w:rsidR="0086185C" w:rsidRPr="000F7862" w:rsidRDefault="00691D59" w:rsidP="00691D59">
      <w:pPr>
        <w:pStyle w:val="H23G"/>
        <w:rPr>
          <w:lang w:val="fr-FR"/>
        </w:rPr>
      </w:pPr>
      <w:r w:rsidRPr="000F7862">
        <w:rPr>
          <w:lang w:val="fr-FR"/>
        </w:rPr>
        <w:tab/>
      </w:r>
      <w:r w:rsidRPr="000F7862">
        <w:rPr>
          <w:lang w:val="fr-FR"/>
        </w:rPr>
        <w:tab/>
      </w:r>
      <w:r w:rsidR="00FD28CB" w:rsidRPr="000F7862">
        <w:rPr>
          <w:lang w:val="fr-FR"/>
        </w:rPr>
        <w:t>D</w:t>
      </w:r>
      <w:r w:rsidR="00B63172" w:rsidRPr="000F7862">
        <w:rPr>
          <w:lang w:val="fr-FR"/>
        </w:rPr>
        <w:t xml:space="preserve">écisions rendues par les autorités administratives, cours ou tribunaux </w:t>
      </w:r>
    </w:p>
    <w:p w:rsidR="0086185C" w:rsidRPr="000F7862" w:rsidRDefault="003F7F57" w:rsidP="003F7F57">
      <w:pPr>
        <w:pStyle w:val="SingleTxtG"/>
        <w:rPr>
          <w:lang w:val="fr-FR"/>
        </w:rPr>
      </w:pPr>
      <w:r w:rsidRPr="000F7862">
        <w:rPr>
          <w:lang w:val="fr-FR"/>
        </w:rPr>
        <w:t>8.</w:t>
      </w:r>
      <w:r w:rsidRPr="000F7862">
        <w:rPr>
          <w:lang w:val="fr-FR"/>
        </w:rPr>
        <w:tab/>
      </w:r>
      <w:r w:rsidR="00B63172" w:rsidRPr="000F7862">
        <w:rPr>
          <w:lang w:val="fr-FR"/>
        </w:rPr>
        <w:t>E</w:t>
      </w:r>
      <w:r w:rsidR="0086185C" w:rsidRPr="000F7862">
        <w:rPr>
          <w:lang w:val="fr-FR"/>
        </w:rPr>
        <w:t xml:space="preserve">n 2012, </w:t>
      </w:r>
      <w:r w:rsidR="006371CB" w:rsidRPr="000F7862">
        <w:rPr>
          <w:lang w:val="fr-FR"/>
        </w:rPr>
        <w:t>la Cour suprême a, dans l</w:t>
      </w:r>
      <w:r w:rsidR="00120E2E" w:rsidRPr="000F7862">
        <w:rPr>
          <w:lang w:val="fr-FR"/>
        </w:rPr>
        <w:t>’</w:t>
      </w:r>
      <w:r w:rsidR="006371CB" w:rsidRPr="000F7862">
        <w:rPr>
          <w:lang w:val="fr-FR"/>
        </w:rPr>
        <w:t xml:space="preserve">affaire </w:t>
      </w:r>
      <w:r w:rsidR="0086185C" w:rsidRPr="000F7862">
        <w:rPr>
          <w:lang w:val="fr-FR"/>
        </w:rPr>
        <w:t>Hacienda Luisita</w:t>
      </w:r>
      <w:r w:rsidR="0058630E" w:rsidRPr="000F7862">
        <w:rPr>
          <w:lang w:val="fr-FR"/>
        </w:rPr>
        <w:t>,</w:t>
      </w:r>
      <w:r w:rsidR="0086185C" w:rsidRPr="000F7862">
        <w:rPr>
          <w:lang w:val="fr-FR"/>
        </w:rPr>
        <w:t xml:space="preserve"> d</w:t>
      </w:r>
      <w:r w:rsidR="006371CB" w:rsidRPr="000F7862">
        <w:rPr>
          <w:lang w:val="fr-FR"/>
        </w:rPr>
        <w:t xml:space="preserve">écidé de </w:t>
      </w:r>
      <w:r w:rsidR="0086185C" w:rsidRPr="000F7862">
        <w:rPr>
          <w:lang w:val="fr-FR"/>
        </w:rPr>
        <w:t>redistribu</w:t>
      </w:r>
      <w:r w:rsidR="006371CB" w:rsidRPr="000F7862">
        <w:rPr>
          <w:lang w:val="fr-FR"/>
        </w:rPr>
        <w:t xml:space="preserve">er les </w:t>
      </w:r>
      <w:r w:rsidR="0086185C" w:rsidRPr="000F7862">
        <w:rPr>
          <w:lang w:val="fr-FR"/>
        </w:rPr>
        <w:t>6</w:t>
      </w:r>
      <w:r w:rsidR="00691D59" w:rsidRPr="000F7862">
        <w:rPr>
          <w:lang w:val="fr-FR"/>
        </w:rPr>
        <w:t> </w:t>
      </w:r>
      <w:r w:rsidR="0086185C" w:rsidRPr="000F7862">
        <w:rPr>
          <w:lang w:val="fr-FR"/>
        </w:rPr>
        <w:t>000</w:t>
      </w:r>
      <w:r w:rsidR="007E27A6" w:rsidRPr="000F7862">
        <w:rPr>
          <w:lang w:val="fr-FR"/>
        </w:rPr>
        <w:t xml:space="preserve"> </w:t>
      </w:r>
      <w:r w:rsidR="0086185C" w:rsidRPr="000F7862">
        <w:rPr>
          <w:lang w:val="fr-FR"/>
        </w:rPr>
        <w:t>hectare</w:t>
      </w:r>
      <w:r w:rsidR="006371CB" w:rsidRPr="000F7862">
        <w:rPr>
          <w:lang w:val="fr-FR"/>
        </w:rPr>
        <w:t>s</w:t>
      </w:r>
      <w:r w:rsidR="0086185C" w:rsidRPr="000F7862">
        <w:rPr>
          <w:lang w:val="fr-FR"/>
        </w:rPr>
        <w:t xml:space="preserve"> </w:t>
      </w:r>
      <w:r w:rsidR="006371CB" w:rsidRPr="000F7862">
        <w:rPr>
          <w:lang w:val="fr-FR"/>
        </w:rPr>
        <w:t xml:space="preserve">de terres de la plantation sucrière appartenant à la famille du </w:t>
      </w:r>
      <w:r w:rsidR="0086185C" w:rsidRPr="000F7862">
        <w:rPr>
          <w:lang w:val="fr-FR"/>
        </w:rPr>
        <w:t>Pr</w:t>
      </w:r>
      <w:r w:rsidR="0058630E" w:rsidRPr="000F7862">
        <w:rPr>
          <w:lang w:val="fr-FR"/>
        </w:rPr>
        <w:t>é</w:t>
      </w:r>
      <w:r w:rsidR="0086185C" w:rsidRPr="000F7862">
        <w:rPr>
          <w:lang w:val="fr-FR"/>
        </w:rPr>
        <w:t xml:space="preserve">sident Benigno Cojuangco Aquino </w:t>
      </w:r>
      <w:r w:rsidR="0058630E" w:rsidRPr="000F7862">
        <w:rPr>
          <w:lang w:val="fr-FR"/>
        </w:rPr>
        <w:t>aux ouvriers de la plantation et d</w:t>
      </w:r>
      <w:r w:rsidR="00120E2E" w:rsidRPr="000F7862">
        <w:rPr>
          <w:lang w:val="fr-FR"/>
        </w:rPr>
        <w:t>’</w:t>
      </w:r>
      <w:r w:rsidR="0058630E" w:rsidRPr="000F7862">
        <w:rPr>
          <w:lang w:val="fr-FR"/>
        </w:rPr>
        <w:t xml:space="preserve">indemniser la famille </w:t>
      </w:r>
      <w:r w:rsidR="0086185C" w:rsidRPr="000F7862">
        <w:rPr>
          <w:lang w:val="fr-FR"/>
        </w:rPr>
        <w:t xml:space="preserve">Cojuangco </w:t>
      </w:r>
      <w:r w:rsidR="0058630E" w:rsidRPr="000F7862">
        <w:rPr>
          <w:lang w:val="fr-FR"/>
        </w:rPr>
        <w:t xml:space="preserve">au prix des terres en vigueur en </w:t>
      </w:r>
      <w:r w:rsidR="0086185C" w:rsidRPr="000F7862">
        <w:rPr>
          <w:lang w:val="fr-FR"/>
        </w:rPr>
        <w:t xml:space="preserve">1989. </w:t>
      </w:r>
    </w:p>
    <w:p w:rsidR="0086185C" w:rsidRPr="000F7862" w:rsidRDefault="00691D59" w:rsidP="00691D59">
      <w:pPr>
        <w:pStyle w:val="H23G"/>
        <w:rPr>
          <w:lang w:val="fr-FR"/>
        </w:rPr>
      </w:pPr>
      <w:r w:rsidRPr="000F7862">
        <w:rPr>
          <w:lang w:val="fr-FR"/>
        </w:rPr>
        <w:tab/>
      </w:r>
      <w:r w:rsidRPr="000F7862">
        <w:rPr>
          <w:lang w:val="fr-FR"/>
        </w:rPr>
        <w:tab/>
      </w:r>
      <w:r w:rsidR="00FD28CB" w:rsidRPr="000F7862">
        <w:rPr>
          <w:lang w:val="fr-FR"/>
        </w:rPr>
        <w:t>I</w:t>
      </w:r>
      <w:r w:rsidR="0058630E" w:rsidRPr="000F7862">
        <w:rPr>
          <w:lang w:val="fr-FR"/>
        </w:rPr>
        <w:t>nstitution n</w:t>
      </w:r>
      <w:r w:rsidR="0086185C" w:rsidRPr="000F7862">
        <w:rPr>
          <w:lang w:val="fr-FR"/>
        </w:rPr>
        <w:t>ational</w:t>
      </w:r>
      <w:r w:rsidR="0058630E" w:rsidRPr="000F7862">
        <w:rPr>
          <w:lang w:val="fr-FR"/>
        </w:rPr>
        <w:t>e des droits de l</w:t>
      </w:r>
      <w:r w:rsidR="00120E2E" w:rsidRPr="000F7862">
        <w:rPr>
          <w:lang w:val="fr-FR"/>
        </w:rPr>
        <w:t>’</w:t>
      </w:r>
      <w:r w:rsidR="0058630E" w:rsidRPr="000F7862">
        <w:rPr>
          <w:lang w:val="fr-FR"/>
        </w:rPr>
        <w:t>homme</w:t>
      </w:r>
      <w:r w:rsidR="0005004C" w:rsidRPr="000F7862">
        <w:rPr>
          <w:lang w:val="fr-FR"/>
        </w:rPr>
        <w:t xml:space="preserve"> </w:t>
      </w:r>
    </w:p>
    <w:p w:rsidR="0086185C" w:rsidRPr="000F7862" w:rsidRDefault="003F7F57" w:rsidP="003F7F57">
      <w:pPr>
        <w:pStyle w:val="SingleTxtG"/>
        <w:rPr>
          <w:lang w:val="fr-FR"/>
        </w:rPr>
      </w:pPr>
      <w:r w:rsidRPr="000F7862">
        <w:rPr>
          <w:lang w:val="fr-FR"/>
        </w:rPr>
        <w:t>9.</w:t>
      </w:r>
      <w:r w:rsidRPr="000F7862">
        <w:rPr>
          <w:lang w:val="fr-FR"/>
        </w:rPr>
        <w:tab/>
      </w:r>
      <w:r w:rsidR="00D1449B" w:rsidRPr="000F7862">
        <w:rPr>
          <w:lang w:val="fr-FR"/>
        </w:rPr>
        <w:t xml:space="preserve">Le projet de loi du Sénat </w:t>
      </w:r>
      <w:r w:rsidR="00730F8F" w:rsidRPr="000F7862">
        <w:rPr>
          <w:lang w:val="fr-FR"/>
        </w:rPr>
        <w:t>n</w:t>
      </w:r>
      <w:r w:rsidR="00730F8F" w:rsidRPr="000F7862">
        <w:rPr>
          <w:vertAlign w:val="superscript"/>
          <w:lang w:val="fr-FR"/>
        </w:rPr>
        <w:t>o</w:t>
      </w:r>
      <w:r w:rsidR="00730F8F" w:rsidRPr="000F7862">
        <w:rPr>
          <w:lang w:val="fr-FR"/>
        </w:rPr>
        <w:t> </w:t>
      </w:r>
      <w:r w:rsidR="00D1449B" w:rsidRPr="000F7862">
        <w:rPr>
          <w:lang w:val="fr-FR"/>
        </w:rPr>
        <w:t>2818 (loi renforçant l</w:t>
      </w:r>
      <w:r w:rsidR="00120E2E" w:rsidRPr="000F7862">
        <w:rPr>
          <w:lang w:val="fr-FR"/>
        </w:rPr>
        <w:t>’</w:t>
      </w:r>
      <w:r w:rsidR="00D1449B" w:rsidRPr="000F7862">
        <w:rPr>
          <w:lang w:val="fr-FR"/>
        </w:rPr>
        <w:t>organisation fonctionnelle et structurelle de la Commission des droits de l</w:t>
      </w:r>
      <w:r w:rsidR="00120E2E" w:rsidRPr="000F7862">
        <w:rPr>
          <w:lang w:val="fr-FR"/>
        </w:rPr>
        <w:t>’</w:t>
      </w:r>
      <w:r w:rsidR="00D1449B" w:rsidRPr="000F7862">
        <w:rPr>
          <w:lang w:val="fr-FR"/>
        </w:rPr>
        <w:t>homme) est en cours d</w:t>
      </w:r>
      <w:r w:rsidR="00120E2E" w:rsidRPr="000F7862">
        <w:rPr>
          <w:lang w:val="fr-FR"/>
        </w:rPr>
        <w:t>’</w:t>
      </w:r>
      <w:r w:rsidR="00D1449B" w:rsidRPr="000F7862">
        <w:rPr>
          <w:lang w:val="fr-FR"/>
        </w:rPr>
        <w:t>examen par une commission du Sénat</w:t>
      </w:r>
      <w:r w:rsidR="0086185C" w:rsidRPr="000F7862">
        <w:rPr>
          <w:lang w:val="fr-FR"/>
        </w:rPr>
        <w:t>.</w:t>
      </w:r>
      <w:r w:rsidR="00446EA5" w:rsidRPr="000F7862">
        <w:rPr>
          <w:lang w:val="fr-FR"/>
        </w:rPr>
        <w:t xml:space="preserve"> </w:t>
      </w:r>
      <w:r w:rsidR="00D1449B" w:rsidRPr="000F7862">
        <w:rPr>
          <w:lang w:val="fr-FR"/>
        </w:rPr>
        <w:t xml:space="preserve">Ce projet vise à doter la </w:t>
      </w:r>
      <w:r w:rsidR="0086185C" w:rsidRPr="000F7862">
        <w:rPr>
          <w:lang w:val="fr-FR"/>
        </w:rPr>
        <w:t xml:space="preserve">Commission </w:t>
      </w:r>
      <w:r w:rsidR="00D1449B" w:rsidRPr="000F7862">
        <w:rPr>
          <w:lang w:val="fr-FR"/>
        </w:rPr>
        <w:t>des droits de l</w:t>
      </w:r>
      <w:r w:rsidR="00120E2E" w:rsidRPr="000F7862">
        <w:rPr>
          <w:lang w:val="fr-FR"/>
        </w:rPr>
        <w:t>’</w:t>
      </w:r>
      <w:r w:rsidR="00D1449B" w:rsidRPr="000F7862">
        <w:rPr>
          <w:lang w:val="fr-FR"/>
        </w:rPr>
        <w:t xml:space="preserve">homme des </w:t>
      </w:r>
      <w:r w:rsidR="0086185C" w:rsidRPr="000F7862">
        <w:rPr>
          <w:lang w:val="fr-FR"/>
        </w:rPr>
        <w:t xml:space="preserve">Philippines, </w:t>
      </w:r>
      <w:r w:rsidR="00D1449B" w:rsidRPr="000F7862">
        <w:rPr>
          <w:lang w:val="fr-FR"/>
        </w:rPr>
        <w:t>qui est l</w:t>
      </w:r>
      <w:r w:rsidR="00120E2E" w:rsidRPr="000F7862">
        <w:rPr>
          <w:lang w:val="fr-FR"/>
        </w:rPr>
        <w:t>’</w:t>
      </w:r>
      <w:r w:rsidR="00D1449B" w:rsidRPr="000F7862">
        <w:rPr>
          <w:lang w:val="fr-FR"/>
        </w:rPr>
        <w:t xml:space="preserve">institution </w:t>
      </w:r>
      <w:r w:rsidR="0086185C" w:rsidRPr="000F7862">
        <w:rPr>
          <w:lang w:val="fr-FR"/>
        </w:rPr>
        <w:t>national</w:t>
      </w:r>
      <w:r w:rsidR="00D1449B" w:rsidRPr="000F7862">
        <w:rPr>
          <w:lang w:val="fr-FR"/>
        </w:rPr>
        <w:t>e</w:t>
      </w:r>
      <w:r w:rsidR="0086185C" w:rsidRPr="000F7862">
        <w:rPr>
          <w:lang w:val="fr-FR"/>
        </w:rPr>
        <w:t xml:space="preserve"> </w:t>
      </w:r>
      <w:r w:rsidR="00D1449B" w:rsidRPr="000F7862">
        <w:rPr>
          <w:lang w:val="fr-FR"/>
        </w:rPr>
        <w:t>des droits de l</w:t>
      </w:r>
      <w:r w:rsidR="00120E2E" w:rsidRPr="000F7862">
        <w:rPr>
          <w:lang w:val="fr-FR"/>
        </w:rPr>
        <w:t>’</w:t>
      </w:r>
      <w:r w:rsidR="00D1449B" w:rsidRPr="000F7862">
        <w:rPr>
          <w:lang w:val="fr-FR"/>
        </w:rPr>
        <w:t xml:space="preserve">homme aux </w:t>
      </w:r>
      <w:r w:rsidR="0086185C" w:rsidRPr="000F7862">
        <w:rPr>
          <w:lang w:val="fr-FR"/>
        </w:rPr>
        <w:t xml:space="preserve">Philippines, </w:t>
      </w:r>
      <w:r w:rsidR="00D1449B" w:rsidRPr="000F7862">
        <w:rPr>
          <w:lang w:val="fr-FR"/>
        </w:rPr>
        <w:t>d</w:t>
      </w:r>
      <w:r w:rsidR="00120E2E" w:rsidRPr="000F7862">
        <w:rPr>
          <w:lang w:val="fr-FR"/>
        </w:rPr>
        <w:t>’</w:t>
      </w:r>
      <w:r w:rsidR="00D1449B" w:rsidRPr="000F7862">
        <w:rPr>
          <w:lang w:val="fr-FR"/>
        </w:rPr>
        <w:t xml:space="preserve">une </w:t>
      </w:r>
      <w:r w:rsidR="00CF153C" w:rsidRPr="000F7862">
        <w:rPr>
          <w:lang w:val="fr-FR"/>
        </w:rPr>
        <w:t>charte qui en affirmerait l</w:t>
      </w:r>
      <w:r w:rsidR="00120E2E" w:rsidRPr="000F7862">
        <w:rPr>
          <w:lang w:val="fr-FR"/>
        </w:rPr>
        <w:t>’</w:t>
      </w:r>
      <w:r w:rsidR="0086185C" w:rsidRPr="000F7862">
        <w:rPr>
          <w:lang w:val="fr-FR"/>
        </w:rPr>
        <w:t>organi</w:t>
      </w:r>
      <w:r w:rsidR="00CF153C" w:rsidRPr="000F7862">
        <w:rPr>
          <w:lang w:val="fr-FR"/>
        </w:rPr>
        <w:t>s</w:t>
      </w:r>
      <w:r w:rsidR="0086185C" w:rsidRPr="000F7862">
        <w:rPr>
          <w:lang w:val="fr-FR"/>
        </w:rPr>
        <w:t xml:space="preserve">ation </w:t>
      </w:r>
      <w:r w:rsidR="00CF153C" w:rsidRPr="000F7862">
        <w:rPr>
          <w:lang w:val="fr-FR"/>
        </w:rPr>
        <w:t xml:space="preserve">et la </w:t>
      </w:r>
      <w:r w:rsidR="0086185C" w:rsidRPr="000F7862">
        <w:rPr>
          <w:lang w:val="fr-FR"/>
        </w:rPr>
        <w:t xml:space="preserve">structure </w:t>
      </w:r>
      <w:r w:rsidR="00CF153C" w:rsidRPr="000F7862">
        <w:rPr>
          <w:lang w:val="fr-FR"/>
        </w:rPr>
        <w:t>en lui conférant un mandat et une indépendance renforcés</w:t>
      </w:r>
      <w:r w:rsidR="0086185C" w:rsidRPr="000F7862">
        <w:rPr>
          <w:lang w:val="fr-FR"/>
        </w:rPr>
        <w:t>.</w:t>
      </w:r>
      <w:r w:rsidR="00446EA5" w:rsidRPr="000F7862">
        <w:rPr>
          <w:lang w:val="fr-FR"/>
        </w:rPr>
        <w:t xml:space="preserve"> </w:t>
      </w:r>
      <w:r w:rsidR="00CF153C" w:rsidRPr="000F7862">
        <w:rPr>
          <w:lang w:val="fr-FR"/>
        </w:rPr>
        <w:t>E</w:t>
      </w:r>
      <w:r w:rsidR="0086185C" w:rsidRPr="000F7862">
        <w:rPr>
          <w:lang w:val="fr-FR"/>
        </w:rPr>
        <w:t xml:space="preserve">n </w:t>
      </w:r>
      <w:r w:rsidR="00CF153C" w:rsidRPr="000F7862">
        <w:rPr>
          <w:lang w:val="fr-FR"/>
        </w:rPr>
        <w:t>outre</w:t>
      </w:r>
      <w:r w:rsidR="0086185C" w:rsidRPr="000F7862">
        <w:rPr>
          <w:lang w:val="fr-FR"/>
        </w:rPr>
        <w:t xml:space="preserve">, </w:t>
      </w:r>
      <w:r w:rsidR="00CF153C" w:rsidRPr="000F7862">
        <w:rPr>
          <w:lang w:val="fr-FR"/>
        </w:rPr>
        <w:t>la Commission des droits de l</w:t>
      </w:r>
      <w:r w:rsidR="00120E2E" w:rsidRPr="000F7862">
        <w:rPr>
          <w:lang w:val="fr-FR"/>
        </w:rPr>
        <w:t>’</w:t>
      </w:r>
      <w:r w:rsidR="00CF153C" w:rsidRPr="000F7862">
        <w:rPr>
          <w:lang w:val="fr-FR"/>
        </w:rPr>
        <w:t>homme jouirait d</w:t>
      </w:r>
      <w:r w:rsidR="00120E2E" w:rsidRPr="000F7862">
        <w:rPr>
          <w:lang w:val="fr-FR"/>
        </w:rPr>
        <w:t>’</w:t>
      </w:r>
      <w:r w:rsidR="00CF153C" w:rsidRPr="000F7862">
        <w:rPr>
          <w:lang w:val="fr-FR"/>
        </w:rPr>
        <w:t>une autonomie financière, à l</w:t>
      </w:r>
      <w:r w:rsidR="00120E2E" w:rsidRPr="000F7862">
        <w:rPr>
          <w:lang w:val="fr-FR"/>
        </w:rPr>
        <w:t>’</w:t>
      </w:r>
      <w:r w:rsidR="00CF153C" w:rsidRPr="000F7862">
        <w:rPr>
          <w:lang w:val="fr-FR"/>
        </w:rPr>
        <w:t>instar des autres organes constitutionnels</w:t>
      </w:r>
      <w:r w:rsidR="0086185C" w:rsidRPr="000F7862">
        <w:rPr>
          <w:lang w:val="fr-FR"/>
        </w:rPr>
        <w:t>.</w:t>
      </w:r>
      <w:r w:rsidR="00446EA5" w:rsidRPr="000F7862">
        <w:rPr>
          <w:lang w:val="fr-FR"/>
        </w:rPr>
        <w:t xml:space="preserve"> </w:t>
      </w:r>
      <w:r w:rsidR="00CF153C" w:rsidRPr="000F7862">
        <w:rPr>
          <w:lang w:val="fr-FR"/>
        </w:rPr>
        <w:t>Par ailleurs, ce projet élargit les prérogatives de la Commission en matière d</w:t>
      </w:r>
      <w:r w:rsidR="00120E2E" w:rsidRPr="000F7862">
        <w:rPr>
          <w:lang w:val="fr-FR"/>
        </w:rPr>
        <w:t>’</w:t>
      </w:r>
      <w:r w:rsidR="00CF153C" w:rsidRPr="000F7862">
        <w:rPr>
          <w:lang w:val="fr-FR"/>
        </w:rPr>
        <w:t>enquête aux droits économiques</w:t>
      </w:r>
      <w:r w:rsidR="005C3492" w:rsidRPr="000F7862">
        <w:rPr>
          <w:lang w:val="fr-FR"/>
        </w:rPr>
        <w:t>, sociaux et culturels, en sus des droits civils et politiques</w:t>
      </w:r>
      <w:r w:rsidR="0086185C" w:rsidRPr="000F7862">
        <w:rPr>
          <w:lang w:val="fr-FR"/>
        </w:rPr>
        <w:t>.</w:t>
      </w:r>
      <w:r w:rsidR="00446EA5" w:rsidRPr="000F7862">
        <w:rPr>
          <w:lang w:val="fr-FR"/>
        </w:rPr>
        <w:t xml:space="preserve"> </w:t>
      </w:r>
      <w:r w:rsidR="005C3492" w:rsidRPr="000F7862">
        <w:rPr>
          <w:lang w:val="fr-FR"/>
        </w:rPr>
        <w:t>La Chambre des représentants des Philippines examine simultanément un projet de loi homologue</w:t>
      </w:r>
      <w:r w:rsidR="0086185C" w:rsidRPr="000F7862">
        <w:rPr>
          <w:lang w:val="fr-FR"/>
        </w:rPr>
        <w:t>.</w:t>
      </w:r>
    </w:p>
    <w:p w:rsidR="0086185C" w:rsidRPr="000F7862" w:rsidRDefault="003F7F57" w:rsidP="003F7F57">
      <w:pPr>
        <w:pStyle w:val="SingleTxtG"/>
        <w:rPr>
          <w:lang w:val="fr-FR"/>
        </w:rPr>
      </w:pPr>
      <w:r w:rsidRPr="000F7862">
        <w:rPr>
          <w:lang w:val="fr-FR"/>
        </w:rPr>
        <w:t>10.</w:t>
      </w:r>
      <w:r w:rsidRPr="000F7862">
        <w:rPr>
          <w:lang w:val="fr-FR"/>
        </w:rPr>
        <w:tab/>
      </w:r>
      <w:r w:rsidR="005C3492" w:rsidRPr="000F7862">
        <w:rPr>
          <w:lang w:val="fr-FR"/>
        </w:rPr>
        <w:t>Le Bureau régional de la Commission des droits de l</w:t>
      </w:r>
      <w:r w:rsidR="00120E2E" w:rsidRPr="000F7862">
        <w:rPr>
          <w:lang w:val="fr-FR"/>
        </w:rPr>
        <w:t>’</w:t>
      </w:r>
      <w:r w:rsidR="005C3492" w:rsidRPr="000F7862">
        <w:rPr>
          <w:lang w:val="fr-FR"/>
        </w:rPr>
        <w:t>homme des Philippines de la région autonome du</w:t>
      </w:r>
      <w:r w:rsidR="0086185C" w:rsidRPr="000F7862">
        <w:rPr>
          <w:lang w:val="fr-FR"/>
        </w:rPr>
        <w:t xml:space="preserve"> Mindanao </w:t>
      </w:r>
      <w:r w:rsidR="005C3492" w:rsidRPr="000F7862">
        <w:rPr>
          <w:lang w:val="fr-FR"/>
        </w:rPr>
        <w:t xml:space="preserve">musulman a été ouvert en mai </w:t>
      </w:r>
      <w:r w:rsidR="0086185C" w:rsidRPr="000F7862">
        <w:rPr>
          <w:lang w:val="fr-FR"/>
        </w:rPr>
        <w:t>2012.</w:t>
      </w:r>
    </w:p>
    <w:p w:rsidR="0086185C" w:rsidRPr="000F7862" w:rsidRDefault="00691D59" w:rsidP="00691D59">
      <w:pPr>
        <w:pStyle w:val="H23G"/>
        <w:rPr>
          <w:lang w:val="fr-FR"/>
        </w:rPr>
      </w:pPr>
      <w:r w:rsidRPr="000F7862">
        <w:rPr>
          <w:lang w:val="fr-FR"/>
        </w:rPr>
        <w:tab/>
      </w:r>
      <w:r w:rsidRPr="000F7862">
        <w:rPr>
          <w:lang w:val="fr-FR"/>
        </w:rPr>
        <w:tab/>
      </w:r>
      <w:r w:rsidR="00FD28CB" w:rsidRPr="000F7862">
        <w:rPr>
          <w:lang w:val="fr-FR"/>
        </w:rPr>
        <w:t>B</w:t>
      </w:r>
      <w:r w:rsidR="005C3492" w:rsidRPr="000F7862">
        <w:rPr>
          <w:lang w:val="fr-FR"/>
        </w:rPr>
        <w:t xml:space="preserve">onne gouvernance </w:t>
      </w:r>
    </w:p>
    <w:p w:rsidR="0086185C" w:rsidRPr="000F7862" w:rsidRDefault="003F7F57" w:rsidP="003F7F57">
      <w:pPr>
        <w:pStyle w:val="SingleTxtG"/>
        <w:rPr>
          <w:lang w:val="fr-FR"/>
        </w:rPr>
      </w:pPr>
      <w:r w:rsidRPr="000F7862">
        <w:rPr>
          <w:lang w:val="fr-FR"/>
        </w:rPr>
        <w:t>11.</w:t>
      </w:r>
      <w:r w:rsidRPr="000F7862">
        <w:rPr>
          <w:lang w:val="fr-FR"/>
        </w:rPr>
        <w:tab/>
      </w:r>
      <w:r w:rsidR="00675038" w:rsidRPr="000F7862">
        <w:rPr>
          <w:lang w:val="fr-FR"/>
        </w:rPr>
        <w:t>Avec la récente approbation par son Président du Plan de bonne gouvernance et de lutte contre la c</w:t>
      </w:r>
      <w:r w:rsidR="0086185C" w:rsidRPr="000F7862">
        <w:rPr>
          <w:lang w:val="fr-FR"/>
        </w:rPr>
        <w:t xml:space="preserve">orruption, </w:t>
      </w:r>
      <w:r w:rsidR="00675038" w:rsidRPr="000F7862">
        <w:rPr>
          <w:lang w:val="fr-FR"/>
        </w:rPr>
        <w:t>le</w:t>
      </w:r>
      <w:r w:rsidR="00E11F40" w:rsidRPr="000F7862">
        <w:rPr>
          <w:lang w:val="fr-FR"/>
        </w:rPr>
        <w:t>s</w:t>
      </w:r>
      <w:r w:rsidR="00675038" w:rsidRPr="000F7862">
        <w:rPr>
          <w:lang w:val="fr-FR"/>
        </w:rPr>
        <w:t xml:space="preserve"> </w:t>
      </w:r>
      <w:r w:rsidR="0086185C" w:rsidRPr="000F7862">
        <w:rPr>
          <w:lang w:val="fr-FR"/>
        </w:rPr>
        <w:t xml:space="preserve">Philippines </w:t>
      </w:r>
      <w:r w:rsidR="00675038" w:rsidRPr="000F7862">
        <w:rPr>
          <w:lang w:val="fr-FR"/>
        </w:rPr>
        <w:t>poursui</w:t>
      </w:r>
      <w:r w:rsidR="00E11F40" w:rsidRPr="000F7862">
        <w:rPr>
          <w:lang w:val="fr-FR"/>
        </w:rPr>
        <w:t>ven</w:t>
      </w:r>
      <w:r w:rsidR="00675038" w:rsidRPr="000F7862">
        <w:rPr>
          <w:lang w:val="fr-FR"/>
        </w:rPr>
        <w:t>t l</w:t>
      </w:r>
      <w:r w:rsidR="00120E2E" w:rsidRPr="000F7862">
        <w:rPr>
          <w:lang w:val="fr-FR"/>
        </w:rPr>
        <w:t>’</w:t>
      </w:r>
      <w:r w:rsidR="00675038" w:rsidRPr="000F7862">
        <w:rPr>
          <w:lang w:val="fr-FR"/>
        </w:rPr>
        <w:t xml:space="preserve">élaboration de </w:t>
      </w:r>
      <w:r w:rsidR="00E11F40" w:rsidRPr="000F7862">
        <w:rPr>
          <w:lang w:val="fr-FR"/>
        </w:rPr>
        <w:t>leur</w:t>
      </w:r>
      <w:r w:rsidR="00675038" w:rsidRPr="000F7862">
        <w:rPr>
          <w:lang w:val="fr-FR"/>
        </w:rPr>
        <w:t xml:space="preserve"> plan d</w:t>
      </w:r>
      <w:r w:rsidR="00120E2E" w:rsidRPr="000F7862">
        <w:rPr>
          <w:lang w:val="fr-FR"/>
        </w:rPr>
        <w:t>’</w:t>
      </w:r>
      <w:r w:rsidR="00675038" w:rsidRPr="000F7862">
        <w:rPr>
          <w:lang w:val="fr-FR"/>
        </w:rPr>
        <w:t>action national pour s</w:t>
      </w:r>
      <w:r w:rsidR="00120E2E" w:rsidRPr="000F7862">
        <w:rPr>
          <w:lang w:val="fr-FR"/>
        </w:rPr>
        <w:t>’</w:t>
      </w:r>
      <w:r w:rsidR="00675038" w:rsidRPr="000F7862">
        <w:rPr>
          <w:lang w:val="fr-FR"/>
        </w:rPr>
        <w:t xml:space="preserve">attaquer aux principaux problèmes </w:t>
      </w:r>
      <w:r w:rsidR="00925D64" w:rsidRPr="000F7862">
        <w:rPr>
          <w:lang w:val="fr-FR"/>
        </w:rPr>
        <w:t>touchant à la</w:t>
      </w:r>
      <w:r w:rsidR="00675038" w:rsidRPr="000F7862">
        <w:rPr>
          <w:lang w:val="fr-FR"/>
        </w:rPr>
        <w:t xml:space="preserve"> gouvernance ouverte et</w:t>
      </w:r>
      <w:r w:rsidR="00925D64" w:rsidRPr="000F7862">
        <w:rPr>
          <w:lang w:val="fr-FR"/>
        </w:rPr>
        <w:t xml:space="preserve"> à</w:t>
      </w:r>
      <w:r w:rsidR="00675038" w:rsidRPr="000F7862">
        <w:rPr>
          <w:lang w:val="fr-FR"/>
        </w:rPr>
        <w:t xml:space="preserve"> </w:t>
      </w:r>
      <w:r w:rsidR="00925D64" w:rsidRPr="000F7862">
        <w:rPr>
          <w:lang w:val="fr-FR"/>
        </w:rPr>
        <w:t>la</w:t>
      </w:r>
      <w:r w:rsidR="0005004C" w:rsidRPr="000F7862">
        <w:rPr>
          <w:lang w:val="fr-FR"/>
        </w:rPr>
        <w:t xml:space="preserve"> </w:t>
      </w:r>
      <w:r w:rsidR="00675038" w:rsidRPr="000F7862">
        <w:rPr>
          <w:lang w:val="fr-FR"/>
        </w:rPr>
        <w:t>transparence</w:t>
      </w:r>
      <w:r w:rsidR="0086185C" w:rsidRPr="000F7862">
        <w:rPr>
          <w:lang w:val="fr-FR"/>
        </w:rPr>
        <w:t xml:space="preserve">. </w:t>
      </w:r>
      <w:r w:rsidR="00A04A43" w:rsidRPr="000F7862">
        <w:rPr>
          <w:lang w:val="fr-FR"/>
        </w:rPr>
        <w:t>Dans ce</w:t>
      </w:r>
      <w:r w:rsidR="00675038" w:rsidRPr="000F7862">
        <w:rPr>
          <w:lang w:val="fr-FR"/>
        </w:rPr>
        <w:t xml:space="preserve"> plan</w:t>
      </w:r>
      <w:r w:rsidR="00A04A43" w:rsidRPr="000F7862">
        <w:rPr>
          <w:lang w:val="fr-FR"/>
        </w:rPr>
        <w:t xml:space="preserve"> sont</w:t>
      </w:r>
      <w:r w:rsidR="00675038" w:rsidRPr="000F7862">
        <w:rPr>
          <w:lang w:val="fr-FR"/>
        </w:rPr>
        <w:t xml:space="preserve"> </w:t>
      </w:r>
      <w:r w:rsidR="0086185C" w:rsidRPr="000F7862">
        <w:rPr>
          <w:lang w:val="fr-FR"/>
        </w:rPr>
        <w:t>d</w:t>
      </w:r>
      <w:r w:rsidR="00675038" w:rsidRPr="000F7862">
        <w:rPr>
          <w:lang w:val="fr-FR"/>
        </w:rPr>
        <w:t>ésign</w:t>
      </w:r>
      <w:r w:rsidR="00A04A43" w:rsidRPr="000F7862">
        <w:rPr>
          <w:lang w:val="fr-FR"/>
        </w:rPr>
        <w:t>és</w:t>
      </w:r>
      <w:r w:rsidR="00675038" w:rsidRPr="000F7862">
        <w:rPr>
          <w:lang w:val="fr-FR"/>
        </w:rPr>
        <w:t xml:space="preserve"> les </w:t>
      </w:r>
      <w:r w:rsidR="000E4A5A" w:rsidRPr="000F7862">
        <w:rPr>
          <w:lang w:val="fr-FR"/>
        </w:rPr>
        <w:t>agents de l</w:t>
      </w:r>
      <w:r w:rsidR="00120E2E" w:rsidRPr="000F7862">
        <w:rPr>
          <w:lang w:val="fr-FR"/>
        </w:rPr>
        <w:t>’</w:t>
      </w:r>
      <w:r w:rsidR="000E4A5A" w:rsidRPr="000F7862">
        <w:rPr>
          <w:lang w:val="fr-FR"/>
        </w:rPr>
        <w:t>État</w:t>
      </w:r>
      <w:r w:rsidR="00675038" w:rsidRPr="000F7862">
        <w:rPr>
          <w:lang w:val="fr-FR"/>
        </w:rPr>
        <w:t xml:space="preserve"> </w:t>
      </w:r>
      <w:r w:rsidR="00A33351" w:rsidRPr="000F7862">
        <w:rPr>
          <w:lang w:val="fr-FR"/>
        </w:rPr>
        <w:t>chargés</w:t>
      </w:r>
      <w:r w:rsidR="00675038" w:rsidRPr="000F7862">
        <w:rPr>
          <w:lang w:val="fr-FR"/>
        </w:rPr>
        <w:t xml:space="preserve"> de se concentrer sur plusieurs </w:t>
      </w:r>
      <w:r w:rsidR="00394865" w:rsidRPr="000F7862">
        <w:rPr>
          <w:lang w:val="fr-FR"/>
        </w:rPr>
        <w:t xml:space="preserve">principaux </w:t>
      </w:r>
      <w:r w:rsidR="00675038" w:rsidRPr="000F7862">
        <w:rPr>
          <w:lang w:val="fr-FR"/>
        </w:rPr>
        <w:t>domaines de résultats</w:t>
      </w:r>
      <w:r w:rsidR="0086185C" w:rsidRPr="000F7862">
        <w:rPr>
          <w:lang w:val="fr-FR"/>
        </w:rPr>
        <w:t xml:space="preserve">, </w:t>
      </w:r>
      <w:r w:rsidR="00394865" w:rsidRPr="000F7862">
        <w:rPr>
          <w:lang w:val="fr-FR"/>
        </w:rPr>
        <w:t>tel que</w:t>
      </w:r>
      <w:r w:rsidR="00675038" w:rsidRPr="000F7862">
        <w:rPr>
          <w:lang w:val="fr-FR"/>
        </w:rPr>
        <w:t xml:space="preserve"> ce</w:t>
      </w:r>
      <w:r w:rsidR="00970E23" w:rsidRPr="000F7862">
        <w:rPr>
          <w:lang w:val="fr-FR"/>
        </w:rPr>
        <w:t>l</w:t>
      </w:r>
      <w:r w:rsidR="00675038" w:rsidRPr="000F7862">
        <w:rPr>
          <w:lang w:val="fr-FR"/>
        </w:rPr>
        <w:t xml:space="preserve">ui qui relève de </w:t>
      </w:r>
      <w:r w:rsidR="00BC2C58" w:rsidRPr="000F7862">
        <w:rPr>
          <w:lang w:val="fr-FR"/>
        </w:rPr>
        <w:t>celui de l</w:t>
      </w:r>
      <w:r w:rsidR="00120E2E" w:rsidRPr="000F7862">
        <w:rPr>
          <w:lang w:val="fr-FR"/>
        </w:rPr>
        <w:t>’</w:t>
      </w:r>
      <w:r w:rsidR="00BC2C58" w:rsidRPr="000F7862">
        <w:rPr>
          <w:lang w:val="fr-FR"/>
        </w:rPr>
        <w:t>équipe interministérielle</w:t>
      </w:r>
      <w:r w:rsidR="00970E23" w:rsidRPr="000F7862">
        <w:rPr>
          <w:lang w:val="fr-FR"/>
        </w:rPr>
        <w:t xml:space="preserve"> sur la bonne gouvernance et la lutte contre la c</w:t>
      </w:r>
      <w:r w:rsidR="00FD28CB" w:rsidRPr="000F7862">
        <w:rPr>
          <w:lang w:val="fr-FR"/>
        </w:rPr>
        <w:t>orruption</w:t>
      </w:r>
      <w:r w:rsidR="0086185C" w:rsidRPr="000F7862">
        <w:rPr>
          <w:lang w:val="fr-FR"/>
        </w:rPr>
        <w:t xml:space="preserve">. </w:t>
      </w:r>
      <w:r w:rsidR="00970E23" w:rsidRPr="000F7862">
        <w:rPr>
          <w:lang w:val="fr-FR"/>
        </w:rPr>
        <w:t>Les trois piliers de la gouvernance ouverte – la transparence</w:t>
      </w:r>
      <w:r w:rsidR="0086185C" w:rsidRPr="000F7862">
        <w:rPr>
          <w:lang w:val="fr-FR"/>
        </w:rPr>
        <w:t xml:space="preserve">, </w:t>
      </w:r>
      <w:r w:rsidR="00970E23" w:rsidRPr="000F7862">
        <w:rPr>
          <w:lang w:val="fr-FR"/>
        </w:rPr>
        <w:t xml:space="preserve">la responsabilité et la </w:t>
      </w:r>
      <w:r w:rsidR="0086185C" w:rsidRPr="000F7862">
        <w:rPr>
          <w:lang w:val="fr-FR"/>
        </w:rPr>
        <w:t>participation</w:t>
      </w:r>
      <w:r w:rsidR="00B63BFB" w:rsidRPr="000F7862">
        <w:rPr>
          <w:lang w:val="fr-FR"/>
        </w:rPr>
        <w:t xml:space="preserve"> </w:t>
      </w:r>
      <w:r w:rsidR="00970E23" w:rsidRPr="000F7862">
        <w:rPr>
          <w:lang w:val="fr-FR"/>
        </w:rPr>
        <w:t xml:space="preserve">– constituent le fondement du </w:t>
      </w:r>
      <w:r w:rsidR="0086185C" w:rsidRPr="000F7862">
        <w:rPr>
          <w:lang w:val="fr-FR"/>
        </w:rPr>
        <w:t xml:space="preserve">Plan, </w:t>
      </w:r>
      <w:r w:rsidR="00970E23" w:rsidRPr="000F7862">
        <w:rPr>
          <w:lang w:val="fr-FR"/>
        </w:rPr>
        <w:t xml:space="preserve">chaque pilier englobant des programmes </w:t>
      </w:r>
      <w:r w:rsidR="00137190" w:rsidRPr="000F7862">
        <w:rPr>
          <w:lang w:val="fr-FR"/>
        </w:rPr>
        <w:t>orientés vers l</w:t>
      </w:r>
      <w:r w:rsidR="00120E2E" w:rsidRPr="000F7862">
        <w:rPr>
          <w:lang w:val="fr-FR"/>
        </w:rPr>
        <w:t>’</w:t>
      </w:r>
      <w:r w:rsidR="00970E23" w:rsidRPr="000F7862">
        <w:rPr>
          <w:lang w:val="fr-FR"/>
        </w:rPr>
        <w:t xml:space="preserve">action et </w:t>
      </w:r>
      <w:r w:rsidR="00137190" w:rsidRPr="000F7862">
        <w:rPr>
          <w:lang w:val="fr-FR"/>
        </w:rPr>
        <w:t>donnant lieu à</w:t>
      </w:r>
      <w:r w:rsidR="00970E23" w:rsidRPr="000F7862">
        <w:rPr>
          <w:lang w:val="fr-FR"/>
        </w:rPr>
        <w:t xml:space="preserve"> un effort de mobilisation en fa</w:t>
      </w:r>
      <w:r w:rsidR="00EC7B5A" w:rsidRPr="000F7862">
        <w:rPr>
          <w:lang w:val="fr-FR"/>
        </w:rPr>
        <w:t xml:space="preserve">veur des principes du </w:t>
      </w:r>
      <w:r w:rsidR="00E11F40" w:rsidRPr="000F7862">
        <w:rPr>
          <w:color w:val="000000"/>
          <w:lang w:val="fr-FR"/>
        </w:rPr>
        <w:t xml:space="preserve">Partenariat </w:t>
      </w:r>
      <w:r w:rsidR="00CD102D" w:rsidRPr="000F7862">
        <w:rPr>
          <w:color w:val="000000"/>
          <w:lang w:val="fr-FR"/>
        </w:rPr>
        <w:t>pour un gouvernement ouvert</w:t>
      </w:r>
      <w:r w:rsidR="00E11F40" w:rsidRPr="000F7862">
        <w:rPr>
          <w:lang w:val="fr-FR"/>
        </w:rPr>
        <w:t xml:space="preserve"> à tous les niveaux de</w:t>
      </w:r>
      <w:r w:rsidR="00CC79E0" w:rsidRPr="000F7862">
        <w:rPr>
          <w:lang w:val="fr-FR"/>
        </w:rPr>
        <w:t>s pouvoirs publics</w:t>
      </w:r>
      <w:r w:rsidR="00E11F40" w:rsidRPr="000F7862">
        <w:rPr>
          <w:lang w:val="fr-FR"/>
        </w:rPr>
        <w:t>.</w:t>
      </w:r>
    </w:p>
    <w:p w:rsidR="0086185C" w:rsidRPr="000F7862" w:rsidRDefault="003F7F57" w:rsidP="003F7F57">
      <w:pPr>
        <w:pStyle w:val="SingleTxtG"/>
        <w:rPr>
          <w:lang w:val="fr-FR"/>
        </w:rPr>
      </w:pPr>
      <w:r w:rsidRPr="000F7862">
        <w:rPr>
          <w:lang w:val="fr-FR"/>
        </w:rPr>
        <w:t>12.</w:t>
      </w:r>
      <w:r w:rsidRPr="000F7862">
        <w:rPr>
          <w:lang w:val="fr-FR"/>
        </w:rPr>
        <w:tab/>
      </w:r>
      <w:r w:rsidR="004A3CEA" w:rsidRPr="000F7862">
        <w:rPr>
          <w:lang w:val="fr-FR"/>
        </w:rPr>
        <w:t xml:space="preserve">Un </w:t>
      </w:r>
      <w:r w:rsidR="0086185C" w:rsidRPr="000F7862">
        <w:rPr>
          <w:lang w:val="fr-FR"/>
        </w:rPr>
        <w:t>m</w:t>
      </w:r>
      <w:r w:rsidR="004A3CEA" w:rsidRPr="000F7862">
        <w:rPr>
          <w:lang w:val="fr-FR"/>
        </w:rPr>
        <w:t>é</w:t>
      </w:r>
      <w:r w:rsidR="0086185C" w:rsidRPr="000F7862">
        <w:rPr>
          <w:lang w:val="fr-FR"/>
        </w:rPr>
        <w:t>morandum dat</w:t>
      </w:r>
      <w:r w:rsidR="004A3CEA" w:rsidRPr="000F7862">
        <w:rPr>
          <w:lang w:val="fr-FR"/>
        </w:rPr>
        <w:t xml:space="preserve">é du </w:t>
      </w:r>
      <w:r w:rsidR="0086185C" w:rsidRPr="000F7862">
        <w:rPr>
          <w:lang w:val="fr-FR"/>
        </w:rPr>
        <w:t xml:space="preserve">6 </w:t>
      </w:r>
      <w:r w:rsidR="004A3CEA" w:rsidRPr="000F7862">
        <w:rPr>
          <w:lang w:val="fr-FR"/>
        </w:rPr>
        <w:t xml:space="preserve">août </w:t>
      </w:r>
      <w:r w:rsidR="0086185C" w:rsidRPr="000F7862">
        <w:rPr>
          <w:lang w:val="fr-FR"/>
        </w:rPr>
        <w:t xml:space="preserve">2012 </w:t>
      </w:r>
      <w:r w:rsidR="004A3CEA" w:rsidRPr="000F7862">
        <w:rPr>
          <w:lang w:val="fr-FR"/>
        </w:rPr>
        <w:t xml:space="preserve">a été publié pour </w:t>
      </w:r>
      <w:r w:rsidR="0086185C" w:rsidRPr="000F7862">
        <w:rPr>
          <w:lang w:val="fr-FR"/>
        </w:rPr>
        <w:t>inform</w:t>
      </w:r>
      <w:r w:rsidR="004A3CEA" w:rsidRPr="000F7862">
        <w:rPr>
          <w:lang w:val="fr-FR"/>
        </w:rPr>
        <w:t xml:space="preserve">er les organismes publics </w:t>
      </w:r>
      <w:r w:rsidR="0086185C" w:rsidRPr="000F7862">
        <w:rPr>
          <w:lang w:val="fr-FR"/>
        </w:rPr>
        <w:t>concern</w:t>
      </w:r>
      <w:r w:rsidR="004A3CEA" w:rsidRPr="000F7862">
        <w:rPr>
          <w:lang w:val="fr-FR"/>
        </w:rPr>
        <w:t xml:space="preserve">és sur le suivi régulier de leurs initiatives </w:t>
      </w:r>
      <w:r w:rsidR="0086185C" w:rsidRPr="000F7862">
        <w:rPr>
          <w:lang w:val="fr-FR"/>
        </w:rPr>
        <w:t>respective</w:t>
      </w:r>
      <w:r w:rsidR="004A3CEA" w:rsidRPr="000F7862">
        <w:rPr>
          <w:lang w:val="fr-FR"/>
        </w:rPr>
        <w:t>s</w:t>
      </w:r>
      <w:r w:rsidR="0086185C" w:rsidRPr="000F7862">
        <w:rPr>
          <w:lang w:val="fr-FR"/>
        </w:rPr>
        <w:t xml:space="preserve"> </w:t>
      </w:r>
      <w:r w:rsidR="004A3CEA" w:rsidRPr="000F7862">
        <w:rPr>
          <w:lang w:val="fr-FR"/>
        </w:rPr>
        <w:t>sur la base du Plan d</w:t>
      </w:r>
      <w:r w:rsidR="00120E2E" w:rsidRPr="000F7862">
        <w:rPr>
          <w:lang w:val="fr-FR"/>
        </w:rPr>
        <w:t>’</w:t>
      </w:r>
      <w:r w:rsidR="004A3CEA" w:rsidRPr="000F7862">
        <w:rPr>
          <w:lang w:val="fr-FR"/>
        </w:rPr>
        <w:t xml:space="preserve">action relatif à la bonne gouvernance et à la lutte contre la corruption </w:t>
      </w:r>
      <w:r w:rsidR="0086185C" w:rsidRPr="000F7862">
        <w:rPr>
          <w:lang w:val="fr-FR"/>
        </w:rPr>
        <w:t>(2012</w:t>
      </w:r>
      <w:r w:rsidR="004A3CEA" w:rsidRPr="000F7862">
        <w:rPr>
          <w:lang w:val="fr-FR"/>
        </w:rPr>
        <w:t>-</w:t>
      </w:r>
      <w:r w:rsidR="0086185C" w:rsidRPr="000F7862">
        <w:rPr>
          <w:lang w:val="fr-FR"/>
        </w:rPr>
        <w:t>2016)</w:t>
      </w:r>
      <w:r w:rsidR="004A3CEA" w:rsidRPr="000F7862">
        <w:rPr>
          <w:lang w:val="fr-FR"/>
        </w:rPr>
        <w:t>, qui prescrivait un modèle et fixait une date limite de présentation du rapport pour le septième jour du mois suivant</w:t>
      </w:r>
      <w:r w:rsidR="0086185C" w:rsidRPr="000F7862">
        <w:rPr>
          <w:lang w:val="fr-FR"/>
        </w:rPr>
        <w:t>.</w:t>
      </w:r>
    </w:p>
    <w:p w:rsidR="0086185C" w:rsidRPr="000F7862" w:rsidRDefault="003F7F57" w:rsidP="003F7F57">
      <w:pPr>
        <w:pStyle w:val="SingleTxtG"/>
        <w:rPr>
          <w:lang w:val="fr-FR"/>
        </w:rPr>
      </w:pPr>
      <w:r w:rsidRPr="000F7862">
        <w:rPr>
          <w:lang w:val="fr-FR"/>
        </w:rPr>
        <w:t>13.</w:t>
      </w:r>
      <w:r w:rsidRPr="000F7862">
        <w:rPr>
          <w:lang w:val="fr-FR"/>
        </w:rPr>
        <w:tab/>
      </w:r>
      <w:r w:rsidR="004A3CEA" w:rsidRPr="000F7862">
        <w:rPr>
          <w:lang w:val="fr-FR"/>
        </w:rPr>
        <w:t>Par ailleurs, le Ministère de l</w:t>
      </w:r>
      <w:r w:rsidR="00120E2E" w:rsidRPr="000F7862">
        <w:rPr>
          <w:lang w:val="fr-FR"/>
        </w:rPr>
        <w:t>’</w:t>
      </w:r>
      <w:r w:rsidR="004A3CEA" w:rsidRPr="000F7862">
        <w:rPr>
          <w:lang w:val="fr-FR"/>
        </w:rPr>
        <w:t xml:space="preserve">intérieur et des collectivités locales </w:t>
      </w:r>
      <w:r w:rsidR="004B6E25" w:rsidRPr="000F7862">
        <w:rPr>
          <w:lang w:val="fr-FR"/>
        </w:rPr>
        <w:t>a été l</w:t>
      </w:r>
      <w:r w:rsidR="00120E2E" w:rsidRPr="000F7862">
        <w:rPr>
          <w:lang w:val="fr-FR"/>
        </w:rPr>
        <w:t>’</w:t>
      </w:r>
      <w:r w:rsidR="004B6E25" w:rsidRPr="000F7862">
        <w:rPr>
          <w:lang w:val="fr-FR"/>
        </w:rPr>
        <w:t xml:space="preserve">initiateur des projets ci-après qui visent à combattre la </w:t>
      </w:r>
      <w:r w:rsidR="0086185C" w:rsidRPr="000F7862">
        <w:rPr>
          <w:lang w:val="fr-FR"/>
        </w:rPr>
        <w:t xml:space="preserve">corruption </w:t>
      </w:r>
      <w:r w:rsidR="004B6E25" w:rsidRPr="000F7862">
        <w:rPr>
          <w:lang w:val="fr-FR"/>
        </w:rPr>
        <w:t>dans le pays</w:t>
      </w:r>
      <w:r w:rsidR="0005004C" w:rsidRPr="000F7862">
        <w:rPr>
          <w:lang w:val="fr-FR"/>
        </w:rPr>
        <w:t>:</w:t>
      </w:r>
      <w:r w:rsidR="0086185C" w:rsidRPr="000F7862">
        <w:rPr>
          <w:lang w:val="fr-FR"/>
        </w:rPr>
        <w:t xml:space="preserve"> </w:t>
      </w:r>
      <w:r w:rsidR="00172149" w:rsidRPr="000F7862">
        <w:rPr>
          <w:lang w:val="fr-FR"/>
        </w:rPr>
        <w:t>a</w:t>
      </w:r>
      <w:r w:rsidR="0086185C" w:rsidRPr="000F7862">
        <w:rPr>
          <w:lang w:val="fr-FR"/>
        </w:rPr>
        <w:t>)</w:t>
      </w:r>
      <w:r w:rsidR="0005004C" w:rsidRPr="000F7862">
        <w:rPr>
          <w:lang w:val="fr-FR"/>
        </w:rPr>
        <w:t xml:space="preserve"> </w:t>
      </w:r>
      <w:r w:rsidR="004B6E25" w:rsidRPr="000F7862">
        <w:rPr>
          <w:lang w:val="fr-FR"/>
        </w:rPr>
        <w:t>politique de l</w:t>
      </w:r>
      <w:r w:rsidR="00120E2E" w:rsidRPr="000F7862">
        <w:rPr>
          <w:lang w:val="fr-FR"/>
        </w:rPr>
        <w:t>’</w:t>
      </w:r>
      <w:r w:rsidR="004B6E25" w:rsidRPr="000F7862">
        <w:rPr>
          <w:lang w:val="fr-FR"/>
        </w:rPr>
        <w:t>information complète</w:t>
      </w:r>
      <w:r w:rsidR="0086185C" w:rsidRPr="000F7862">
        <w:rPr>
          <w:lang w:val="fr-FR"/>
        </w:rPr>
        <w:t xml:space="preserve">; </w:t>
      </w:r>
      <w:r w:rsidR="00172149" w:rsidRPr="000F7862">
        <w:rPr>
          <w:lang w:val="fr-FR"/>
        </w:rPr>
        <w:t>b</w:t>
      </w:r>
      <w:r w:rsidR="0086185C" w:rsidRPr="000F7862">
        <w:rPr>
          <w:lang w:val="fr-FR"/>
        </w:rPr>
        <w:t>)</w:t>
      </w:r>
      <w:r w:rsidR="007E27A6" w:rsidRPr="000F7862">
        <w:rPr>
          <w:lang w:val="fr-FR"/>
        </w:rPr>
        <w:t> </w:t>
      </w:r>
      <w:r w:rsidR="003068AD" w:rsidRPr="000F7862">
        <w:rPr>
          <w:lang w:val="fr-FR"/>
        </w:rPr>
        <w:t>label de bonne gestion</w:t>
      </w:r>
      <w:r w:rsidR="0086185C" w:rsidRPr="000F7862">
        <w:rPr>
          <w:lang w:val="fr-FR"/>
        </w:rPr>
        <w:t xml:space="preserve">; </w:t>
      </w:r>
      <w:r w:rsidR="00172149" w:rsidRPr="000F7862">
        <w:rPr>
          <w:lang w:val="fr-FR"/>
        </w:rPr>
        <w:t>c</w:t>
      </w:r>
      <w:r w:rsidR="0086185C" w:rsidRPr="000F7862">
        <w:rPr>
          <w:lang w:val="fr-FR"/>
        </w:rPr>
        <w:t>)</w:t>
      </w:r>
      <w:r w:rsidR="007E27A6" w:rsidRPr="000F7862">
        <w:rPr>
          <w:lang w:val="fr-FR"/>
        </w:rPr>
        <w:t> </w:t>
      </w:r>
      <w:r w:rsidR="003068AD" w:rsidRPr="000F7862">
        <w:rPr>
          <w:lang w:val="fr-FR"/>
        </w:rPr>
        <w:t>Fonds d</w:t>
      </w:r>
      <w:r w:rsidR="00120E2E" w:rsidRPr="000F7862">
        <w:rPr>
          <w:lang w:val="fr-FR"/>
        </w:rPr>
        <w:t>’</w:t>
      </w:r>
      <w:r w:rsidR="003068AD" w:rsidRPr="000F7862">
        <w:rPr>
          <w:lang w:val="fr-FR"/>
        </w:rPr>
        <w:t xml:space="preserve">appui </w:t>
      </w:r>
      <w:r w:rsidR="003F2DD1" w:rsidRPr="000F7862">
        <w:rPr>
          <w:lang w:val="fr-FR"/>
        </w:rPr>
        <w:t>à la gestion des résultats</w:t>
      </w:r>
      <w:r w:rsidR="0086185C" w:rsidRPr="000F7862">
        <w:rPr>
          <w:lang w:val="fr-FR"/>
        </w:rPr>
        <w:t xml:space="preserve">; </w:t>
      </w:r>
      <w:r w:rsidR="00172149" w:rsidRPr="000F7862">
        <w:rPr>
          <w:lang w:val="fr-FR"/>
        </w:rPr>
        <w:t>d</w:t>
      </w:r>
      <w:r w:rsidR="0086185C" w:rsidRPr="000F7862">
        <w:rPr>
          <w:lang w:val="fr-FR"/>
        </w:rPr>
        <w:t>)</w:t>
      </w:r>
      <w:r w:rsidR="007E27A6" w:rsidRPr="000F7862">
        <w:rPr>
          <w:lang w:val="fr-FR"/>
        </w:rPr>
        <w:t> </w:t>
      </w:r>
      <w:r w:rsidR="003F2DD1" w:rsidRPr="000F7862">
        <w:rPr>
          <w:lang w:val="fr-FR"/>
        </w:rPr>
        <w:t>programme de partenariat organisations de la société civile/organisations privées</w:t>
      </w:r>
      <w:r w:rsidR="0086185C" w:rsidRPr="000F7862">
        <w:rPr>
          <w:lang w:val="fr-FR"/>
        </w:rPr>
        <w:t xml:space="preserve">; </w:t>
      </w:r>
      <w:r w:rsidR="00172149" w:rsidRPr="000F7862">
        <w:rPr>
          <w:lang w:val="fr-FR"/>
        </w:rPr>
        <w:t>e</w:t>
      </w:r>
      <w:r w:rsidR="0086185C" w:rsidRPr="000F7862">
        <w:rPr>
          <w:lang w:val="fr-FR"/>
        </w:rPr>
        <w:t>)</w:t>
      </w:r>
      <w:r w:rsidR="007E27A6" w:rsidRPr="000F7862">
        <w:rPr>
          <w:lang w:val="fr-FR"/>
        </w:rPr>
        <w:t> </w:t>
      </w:r>
      <w:r w:rsidR="003F2DD1" w:rsidRPr="000F7862">
        <w:rPr>
          <w:lang w:val="fr-FR"/>
        </w:rPr>
        <w:t>loi sur la lutte contre les lourdeurs administratives</w:t>
      </w:r>
      <w:r w:rsidR="0086185C" w:rsidRPr="000F7862">
        <w:rPr>
          <w:lang w:val="fr-FR"/>
        </w:rPr>
        <w:t xml:space="preserve">; </w:t>
      </w:r>
      <w:r w:rsidR="003F2DD1" w:rsidRPr="000F7862">
        <w:rPr>
          <w:lang w:val="fr-FR"/>
        </w:rPr>
        <w:t>et</w:t>
      </w:r>
      <w:r w:rsidR="0086185C" w:rsidRPr="000F7862">
        <w:rPr>
          <w:lang w:val="fr-FR"/>
        </w:rPr>
        <w:t xml:space="preserve"> </w:t>
      </w:r>
      <w:r w:rsidR="00172149" w:rsidRPr="000F7862">
        <w:rPr>
          <w:lang w:val="fr-FR"/>
        </w:rPr>
        <w:t>e</w:t>
      </w:r>
      <w:r w:rsidR="0086185C" w:rsidRPr="000F7862">
        <w:rPr>
          <w:lang w:val="fr-FR"/>
        </w:rPr>
        <w:t>)</w:t>
      </w:r>
      <w:r w:rsidR="007E27A6" w:rsidRPr="000F7862">
        <w:rPr>
          <w:lang w:val="fr-FR"/>
        </w:rPr>
        <w:t> </w:t>
      </w:r>
      <w:r w:rsidR="003F2DD1" w:rsidRPr="000F7862">
        <w:rPr>
          <w:lang w:val="fr-FR"/>
        </w:rPr>
        <w:t>rationalisation à l</w:t>
      </w:r>
      <w:r w:rsidR="00120E2E" w:rsidRPr="000F7862">
        <w:rPr>
          <w:lang w:val="fr-FR"/>
        </w:rPr>
        <w:t>’</w:t>
      </w:r>
      <w:r w:rsidR="003F2DD1" w:rsidRPr="000F7862">
        <w:rPr>
          <w:lang w:val="fr-FR"/>
        </w:rPr>
        <w:t>échelle nationale du système de permis d</w:t>
      </w:r>
      <w:r w:rsidR="00120E2E" w:rsidRPr="000F7862">
        <w:rPr>
          <w:lang w:val="fr-FR"/>
        </w:rPr>
        <w:t>’</w:t>
      </w:r>
      <w:r w:rsidR="003F2DD1" w:rsidRPr="000F7862">
        <w:rPr>
          <w:lang w:val="fr-FR"/>
        </w:rPr>
        <w:t>exploitation d</w:t>
      </w:r>
      <w:r w:rsidR="00120E2E" w:rsidRPr="000F7862">
        <w:rPr>
          <w:lang w:val="fr-FR"/>
        </w:rPr>
        <w:t>’</w:t>
      </w:r>
      <w:r w:rsidR="003F2DD1" w:rsidRPr="000F7862">
        <w:rPr>
          <w:lang w:val="fr-FR"/>
        </w:rPr>
        <w:t>entreprise et de licences</w:t>
      </w:r>
      <w:r w:rsidR="0086185C" w:rsidRPr="000F7862">
        <w:rPr>
          <w:lang w:val="fr-FR"/>
        </w:rPr>
        <w:t>.</w:t>
      </w:r>
    </w:p>
    <w:p w:rsidR="0086185C" w:rsidRPr="000F7862" w:rsidRDefault="00420EE5" w:rsidP="00420EE5">
      <w:pPr>
        <w:pStyle w:val="H23G"/>
        <w:rPr>
          <w:lang w:val="fr-FR"/>
        </w:rPr>
      </w:pPr>
      <w:r w:rsidRPr="000F7862">
        <w:rPr>
          <w:lang w:val="fr-FR"/>
        </w:rPr>
        <w:tab/>
      </w:r>
      <w:r w:rsidRPr="000F7862">
        <w:rPr>
          <w:lang w:val="fr-FR"/>
        </w:rPr>
        <w:tab/>
      </w:r>
      <w:r w:rsidR="00FD28CB" w:rsidRPr="000F7862">
        <w:rPr>
          <w:lang w:val="fr-FR"/>
        </w:rPr>
        <w:t>M</w:t>
      </w:r>
      <w:r w:rsidR="003F2DD1" w:rsidRPr="000F7862">
        <w:rPr>
          <w:lang w:val="fr-FR"/>
        </w:rPr>
        <w:t>esures destinées à renforcer la p</w:t>
      </w:r>
      <w:r w:rsidR="0086185C" w:rsidRPr="000F7862">
        <w:rPr>
          <w:lang w:val="fr-FR"/>
        </w:rPr>
        <w:t xml:space="preserve">rotection </w:t>
      </w:r>
      <w:r w:rsidR="003F2DD1" w:rsidRPr="000F7862">
        <w:rPr>
          <w:lang w:val="fr-FR"/>
        </w:rPr>
        <w:t>du droit à la vie, à la liberté et à la sécurité</w:t>
      </w:r>
    </w:p>
    <w:p w:rsidR="0086185C" w:rsidRPr="000F7862" w:rsidRDefault="003F7F57" w:rsidP="003F7F57">
      <w:pPr>
        <w:pStyle w:val="SingleTxtG"/>
        <w:rPr>
          <w:lang w:val="fr-FR"/>
        </w:rPr>
      </w:pPr>
      <w:r w:rsidRPr="000F7862">
        <w:rPr>
          <w:lang w:val="fr-FR"/>
        </w:rPr>
        <w:t>14.</w:t>
      </w:r>
      <w:r w:rsidRPr="000F7862">
        <w:rPr>
          <w:lang w:val="fr-FR"/>
        </w:rPr>
        <w:tab/>
      </w:r>
      <w:r w:rsidR="00570E92" w:rsidRPr="000F7862">
        <w:rPr>
          <w:lang w:val="fr-FR"/>
        </w:rPr>
        <w:t xml:space="preserve">Le </w:t>
      </w:r>
      <w:r w:rsidR="0086185C" w:rsidRPr="000F7862">
        <w:rPr>
          <w:lang w:val="fr-FR"/>
        </w:rPr>
        <w:t xml:space="preserve">22 </w:t>
      </w:r>
      <w:r w:rsidR="00570E92" w:rsidRPr="000F7862">
        <w:rPr>
          <w:lang w:val="fr-FR"/>
        </w:rPr>
        <w:t>n</w:t>
      </w:r>
      <w:r w:rsidR="0086185C" w:rsidRPr="000F7862">
        <w:rPr>
          <w:lang w:val="fr-FR"/>
        </w:rPr>
        <w:t>ovemb</w:t>
      </w:r>
      <w:r w:rsidR="00570E92" w:rsidRPr="000F7862">
        <w:rPr>
          <w:lang w:val="fr-FR"/>
        </w:rPr>
        <w:t>re</w:t>
      </w:r>
      <w:r w:rsidR="0086185C" w:rsidRPr="000F7862">
        <w:rPr>
          <w:lang w:val="fr-FR"/>
        </w:rPr>
        <w:t xml:space="preserve"> 2012, </w:t>
      </w:r>
      <w:r w:rsidR="00570E92" w:rsidRPr="000F7862">
        <w:rPr>
          <w:lang w:val="fr-FR"/>
        </w:rPr>
        <w:t>un</w:t>
      </w:r>
      <w:r w:rsidR="00377823" w:rsidRPr="000F7862">
        <w:rPr>
          <w:lang w:val="fr-FR"/>
        </w:rPr>
        <w:t xml:space="preserve"> </w:t>
      </w:r>
      <w:r w:rsidR="002E7607" w:rsidRPr="000F7862">
        <w:rPr>
          <w:lang w:val="fr-FR"/>
        </w:rPr>
        <w:t>«</w:t>
      </w:r>
      <w:r w:rsidR="0086185C" w:rsidRPr="000F7862">
        <w:rPr>
          <w:lang w:val="fr-FR"/>
        </w:rPr>
        <w:t>super</w:t>
      </w:r>
      <w:r w:rsidR="00570E92" w:rsidRPr="000F7862">
        <w:rPr>
          <w:lang w:val="fr-FR"/>
        </w:rPr>
        <w:t>organe</w:t>
      </w:r>
      <w:r w:rsidR="002E7607" w:rsidRPr="000F7862">
        <w:rPr>
          <w:lang w:val="fr-FR"/>
        </w:rPr>
        <w:t>»</w:t>
      </w:r>
      <w:r w:rsidR="0086185C" w:rsidRPr="000F7862">
        <w:rPr>
          <w:lang w:val="fr-FR"/>
        </w:rPr>
        <w:t xml:space="preserve"> </w:t>
      </w:r>
      <w:r w:rsidR="00570E92" w:rsidRPr="000F7862">
        <w:rPr>
          <w:lang w:val="fr-FR"/>
        </w:rPr>
        <w:t xml:space="preserve">a été créé </w:t>
      </w:r>
      <w:r w:rsidR="00377823" w:rsidRPr="000F7862">
        <w:rPr>
          <w:lang w:val="fr-FR"/>
        </w:rPr>
        <w:t>en vertu de l</w:t>
      </w:r>
      <w:r w:rsidR="00120E2E" w:rsidRPr="000F7862">
        <w:rPr>
          <w:lang w:val="fr-FR"/>
        </w:rPr>
        <w:t>’</w:t>
      </w:r>
      <w:r w:rsidR="00377823" w:rsidRPr="000F7862">
        <w:rPr>
          <w:lang w:val="fr-FR"/>
        </w:rPr>
        <w:t>ordonnance a</w:t>
      </w:r>
      <w:r w:rsidR="0086185C" w:rsidRPr="000F7862">
        <w:rPr>
          <w:lang w:val="fr-FR"/>
        </w:rPr>
        <w:t xml:space="preserve">dministrative </w:t>
      </w:r>
      <w:r w:rsidR="00730F8F" w:rsidRPr="000F7862">
        <w:rPr>
          <w:lang w:val="fr-FR"/>
        </w:rPr>
        <w:t>n</w:t>
      </w:r>
      <w:r w:rsidR="00730F8F" w:rsidRPr="000F7862">
        <w:rPr>
          <w:vertAlign w:val="superscript"/>
          <w:lang w:val="fr-FR"/>
        </w:rPr>
        <w:t>o</w:t>
      </w:r>
      <w:r w:rsidR="00730F8F" w:rsidRPr="000F7862">
        <w:rPr>
          <w:lang w:val="fr-FR"/>
        </w:rPr>
        <w:t> </w:t>
      </w:r>
      <w:r w:rsidR="0086185C" w:rsidRPr="000F7862">
        <w:rPr>
          <w:lang w:val="fr-FR"/>
        </w:rPr>
        <w:t>35 sign</w:t>
      </w:r>
      <w:r w:rsidR="00377823" w:rsidRPr="000F7862">
        <w:rPr>
          <w:lang w:val="fr-FR"/>
        </w:rPr>
        <w:t>é</w:t>
      </w:r>
      <w:r w:rsidR="0086185C" w:rsidRPr="000F7862">
        <w:rPr>
          <w:lang w:val="fr-FR"/>
        </w:rPr>
        <w:t>e</w:t>
      </w:r>
      <w:r w:rsidR="00377823" w:rsidRPr="000F7862">
        <w:rPr>
          <w:lang w:val="fr-FR"/>
        </w:rPr>
        <w:t xml:space="preserve"> par le </w:t>
      </w:r>
      <w:r w:rsidR="0086185C" w:rsidRPr="000F7862">
        <w:rPr>
          <w:lang w:val="fr-FR"/>
        </w:rPr>
        <w:t>Pr</w:t>
      </w:r>
      <w:r w:rsidR="00377823" w:rsidRPr="000F7862">
        <w:rPr>
          <w:lang w:val="fr-FR"/>
        </w:rPr>
        <w:t>é</w:t>
      </w:r>
      <w:r w:rsidR="0086185C" w:rsidRPr="000F7862">
        <w:rPr>
          <w:lang w:val="fr-FR"/>
        </w:rPr>
        <w:t xml:space="preserve">sident </w:t>
      </w:r>
      <w:r w:rsidR="00377823" w:rsidRPr="000F7862">
        <w:rPr>
          <w:lang w:val="fr-FR"/>
        </w:rPr>
        <w:t>et intitulée</w:t>
      </w:r>
      <w:r w:rsidR="0086185C" w:rsidRPr="000F7862">
        <w:rPr>
          <w:lang w:val="fr-FR"/>
        </w:rPr>
        <w:t xml:space="preserve"> </w:t>
      </w:r>
      <w:r w:rsidR="002E7607" w:rsidRPr="000F7862">
        <w:rPr>
          <w:lang w:val="fr-FR"/>
        </w:rPr>
        <w:t>«</w:t>
      </w:r>
      <w:r w:rsidR="0086185C" w:rsidRPr="000F7862">
        <w:rPr>
          <w:lang w:val="fr-FR"/>
        </w:rPr>
        <w:t>Cr</w:t>
      </w:r>
      <w:r w:rsidR="00377823" w:rsidRPr="000F7862">
        <w:rPr>
          <w:lang w:val="fr-FR"/>
        </w:rPr>
        <w:t>é</w:t>
      </w:r>
      <w:r w:rsidR="0086185C" w:rsidRPr="000F7862">
        <w:rPr>
          <w:lang w:val="fr-FR"/>
        </w:rPr>
        <w:t xml:space="preserve">ation </w:t>
      </w:r>
      <w:r w:rsidR="006A4E4B" w:rsidRPr="000F7862">
        <w:rPr>
          <w:lang w:val="fr-FR"/>
        </w:rPr>
        <w:t>d</w:t>
      </w:r>
      <w:r w:rsidR="00120E2E" w:rsidRPr="000F7862">
        <w:rPr>
          <w:lang w:val="fr-FR"/>
        </w:rPr>
        <w:t>’</w:t>
      </w:r>
      <w:r w:rsidR="006A4E4B" w:rsidRPr="000F7862">
        <w:rPr>
          <w:lang w:val="fr-FR"/>
        </w:rPr>
        <w:t>une Commission interinstitutions sur les exécutions extrajudiciaires, les disparitions forcées, la torture et les autres graves violations du droit à la vie, à la liberté et à la sécurité</w:t>
      </w:r>
      <w:r w:rsidR="002E7607" w:rsidRPr="000F7862">
        <w:rPr>
          <w:lang w:val="fr-FR"/>
        </w:rPr>
        <w:t>»</w:t>
      </w:r>
      <w:r w:rsidR="00735504" w:rsidRPr="000F7862">
        <w:rPr>
          <w:lang w:val="fr-FR"/>
        </w:rPr>
        <w:t>.</w:t>
      </w:r>
      <w:r w:rsidR="0086185C" w:rsidRPr="000F7862">
        <w:rPr>
          <w:lang w:val="fr-FR"/>
        </w:rPr>
        <w:t xml:space="preserve"> </w:t>
      </w:r>
      <w:r w:rsidR="006A4E4B" w:rsidRPr="000F7862">
        <w:rPr>
          <w:lang w:val="fr-FR"/>
        </w:rPr>
        <w:t xml:space="preserve">Cette Commission interinstitutions se compose de représentants de haut niveau des différents organismes publics concernés tandis que des organes </w:t>
      </w:r>
      <w:r w:rsidR="0086185C" w:rsidRPr="000F7862">
        <w:rPr>
          <w:lang w:val="fr-FR"/>
        </w:rPr>
        <w:t>constitution</w:t>
      </w:r>
      <w:r w:rsidR="006A4E4B" w:rsidRPr="000F7862">
        <w:rPr>
          <w:lang w:val="fr-FR"/>
        </w:rPr>
        <w:t>nels tels que le Médiateur et la Commission des droits de l</w:t>
      </w:r>
      <w:r w:rsidR="00120E2E" w:rsidRPr="000F7862">
        <w:rPr>
          <w:lang w:val="fr-FR"/>
        </w:rPr>
        <w:t>’</w:t>
      </w:r>
      <w:r w:rsidR="006A4E4B" w:rsidRPr="000F7862">
        <w:rPr>
          <w:lang w:val="fr-FR"/>
        </w:rPr>
        <w:t>homme des Philippines y participent en tant qu</w:t>
      </w:r>
      <w:r w:rsidR="00120E2E" w:rsidRPr="000F7862">
        <w:rPr>
          <w:lang w:val="fr-FR"/>
        </w:rPr>
        <w:t>’</w:t>
      </w:r>
      <w:r w:rsidR="006A4E4B" w:rsidRPr="000F7862">
        <w:rPr>
          <w:lang w:val="fr-FR"/>
        </w:rPr>
        <w:t>observateurs et experts</w:t>
      </w:r>
      <w:r w:rsidR="0086185C" w:rsidRPr="000F7862">
        <w:rPr>
          <w:lang w:val="fr-FR"/>
        </w:rPr>
        <w:t>.</w:t>
      </w:r>
    </w:p>
    <w:p w:rsidR="0086185C" w:rsidRPr="000F7862" w:rsidRDefault="003F7F57" w:rsidP="003F7F57">
      <w:pPr>
        <w:pStyle w:val="SingleTxtG"/>
        <w:rPr>
          <w:b/>
          <w:bCs/>
          <w:lang w:val="fr-FR"/>
        </w:rPr>
      </w:pPr>
      <w:r w:rsidRPr="000F7862">
        <w:rPr>
          <w:bCs/>
          <w:lang w:val="fr-FR"/>
        </w:rPr>
        <w:t>15.</w:t>
      </w:r>
      <w:r w:rsidRPr="000F7862">
        <w:rPr>
          <w:bCs/>
          <w:lang w:val="fr-FR"/>
        </w:rPr>
        <w:tab/>
      </w:r>
      <w:r w:rsidR="006E1835" w:rsidRPr="000F7862">
        <w:rPr>
          <w:lang w:val="fr-FR"/>
        </w:rPr>
        <w:t>Les membres de la C</w:t>
      </w:r>
      <w:r w:rsidR="00FD28CB" w:rsidRPr="000F7862">
        <w:rPr>
          <w:lang w:val="fr-FR"/>
        </w:rPr>
        <w:t>ommission interinstitutions</w:t>
      </w:r>
      <w:r w:rsidR="006E1835" w:rsidRPr="000F7862">
        <w:rPr>
          <w:lang w:val="fr-FR"/>
        </w:rPr>
        <w:t xml:space="preserve"> ont adopté des Directives opérationnelles qui donnent une définition opérationnelle des exécutions extrajudiciaires</w:t>
      </w:r>
      <w:r w:rsidR="0086185C" w:rsidRPr="000F7862">
        <w:rPr>
          <w:lang w:val="fr-FR"/>
        </w:rPr>
        <w:t>.</w:t>
      </w:r>
      <w:r w:rsidR="00446EA5" w:rsidRPr="000F7862">
        <w:rPr>
          <w:lang w:val="fr-FR"/>
        </w:rPr>
        <w:t xml:space="preserve"> </w:t>
      </w:r>
      <w:r w:rsidR="006E1835" w:rsidRPr="000F7862">
        <w:rPr>
          <w:lang w:val="fr-FR"/>
        </w:rPr>
        <w:t xml:space="preserve">Ces directives </w:t>
      </w:r>
      <w:r w:rsidR="008E5257" w:rsidRPr="000F7862">
        <w:rPr>
          <w:lang w:val="fr-FR"/>
        </w:rPr>
        <w:t>ont créé les équipes spéciales d</w:t>
      </w:r>
      <w:r w:rsidR="00120E2E" w:rsidRPr="000F7862">
        <w:rPr>
          <w:lang w:val="fr-FR"/>
        </w:rPr>
        <w:t>’</w:t>
      </w:r>
      <w:r w:rsidR="008E5257" w:rsidRPr="000F7862">
        <w:rPr>
          <w:lang w:val="fr-FR"/>
        </w:rPr>
        <w:t>enquête composées d</w:t>
      </w:r>
      <w:r w:rsidR="00120E2E" w:rsidRPr="000F7862">
        <w:rPr>
          <w:lang w:val="fr-FR"/>
        </w:rPr>
        <w:t>’</w:t>
      </w:r>
      <w:r w:rsidR="008E5257" w:rsidRPr="000F7862">
        <w:rPr>
          <w:lang w:val="fr-FR"/>
        </w:rPr>
        <w:t>enquêteurs et de procureurs qui seront chargées d</w:t>
      </w:r>
      <w:r w:rsidR="00120E2E" w:rsidRPr="000F7862">
        <w:rPr>
          <w:lang w:val="fr-FR"/>
        </w:rPr>
        <w:t>’</w:t>
      </w:r>
      <w:r w:rsidR="008E5257" w:rsidRPr="000F7862">
        <w:rPr>
          <w:lang w:val="fr-FR"/>
        </w:rPr>
        <w:t>établir les dossiers d</w:t>
      </w:r>
      <w:r w:rsidR="00120E2E" w:rsidRPr="000F7862">
        <w:rPr>
          <w:lang w:val="fr-FR"/>
        </w:rPr>
        <w:t>’</w:t>
      </w:r>
      <w:r w:rsidR="008E5257" w:rsidRPr="000F7862">
        <w:rPr>
          <w:lang w:val="fr-FR"/>
        </w:rPr>
        <w:t>accusation dans les affaires de violations des droits de l</w:t>
      </w:r>
      <w:r w:rsidR="00120E2E" w:rsidRPr="000F7862">
        <w:rPr>
          <w:lang w:val="fr-FR"/>
        </w:rPr>
        <w:t>’</w:t>
      </w:r>
      <w:r w:rsidR="008E5257" w:rsidRPr="000F7862">
        <w:rPr>
          <w:lang w:val="fr-FR"/>
        </w:rPr>
        <w:t>homme en application de l</w:t>
      </w:r>
      <w:r w:rsidR="00120E2E" w:rsidRPr="000F7862">
        <w:rPr>
          <w:lang w:val="fr-FR"/>
        </w:rPr>
        <w:t>’</w:t>
      </w:r>
      <w:r w:rsidR="008E5257" w:rsidRPr="000F7862">
        <w:rPr>
          <w:lang w:val="fr-FR"/>
        </w:rPr>
        <w:t xml:space="preserve">ordonnance administrative </w:t>
      </w:r>
      <w:r w:rsidR="00730F8F" w:rsidRPr="000F7862">
        <w:rPr>
          <w:lang w:val="fr-FR"/>
        </w:rPr>
        <w:t>n</w:t>
      </w:r>
      <w:r w:rsidR="00730F8F" w:rsidRPr="000F7862">
        <w:rPr>
          <w:vertAlign w:val="superscript"/>
          <w:lang w:val="fr-FR"/>
        </w:rPr>
        <w:t>o</w:t>
      </w:r>
      <w:r w:rsidR="00730F8F" w:rsidRPr="000F7862">
        <w:rPr>
          <w:lang w:val="fr-FR"/>
        </w:rPr>
        <w:t> </w:t>
      </w:r>
      <w:r w:rsidR="0086185C" w:rsidRPr="000F7862">
        <w:rPr>
          <w:lang w:val="fr-FR"/>
        </w:rPr>
        <w:t xml:space="preserve">35. </w:t>
      </w:r>
      <w:r w:rsidR="008E5257" w:rsidRPr="000F7862">
        <w:rPr>
          <w:lang w:val="fr-FR"/>
        </w:rPr>
        <w:t xml:space="preserve">Seront également constituées des équipes </w:t>
      </w:r>
      <w:r w:rsidR="0086185C" w:rsidRPr="000F7862">
        <w:rPr>
          <w:lang w:val="fr-FR"/>
        </w:rPr>
        <w:t>sp</w:t>
      </w:r>
      <w:r w:rsidR="008E5257" w:rsidRPr="000F7862">
        <w:rPr>
          <w:lang w:val="fr-FR"/>
        </w:rPr>
        <w:t>é</w:t>
      </w:r>
      <w:r w:rsidR="0086185C" w:rsidRPr="000F7862">
        <w:rPr>
          <w:lang w:val="fr-FR"/>
        </w:rPr>
        <w:t>cial</w:t>
      </w:r>
      <w:r w:rsidR="008E5257" w:rsidRPr="000F7862">
        <w:rPr>
          <w:lang w:val="fr-FR"/>
        </w:rPr>
        <w:t>es</w:t>
      </w:r>
      <w:r w:rsidR="0086185C" w:rsidRPr="000F7862">
        <w:rPr>
          <w:lang w:val="fr-FR"/>
        </w:rPr>
        <w:t xml:space="preserve"> </w:t>
      </w:r>
      <w:r w:rsidR="008E5257" w:rsidRPr="000F7862">
        <w:rPr>
          <w:lang w:val="fr-FR"/>
        </w:rPr>
        <w:t>de surveillance qui suivront ces dossiers et des équipes spéciales de traque chargées d</w:t>
      </w:r>
      <w:r w:rsidR="00120E2E" w:rsidRPr="000F7862">
        <w:rPr>
          <w:lang w:val="fr-FR"/>
        </w:rPr>
        <w:t>’</w:t>
      </w:r>
      <w:r w:rsidR="008E5257" w:rsidRPr="000F7862">
        <w:rPr>
          <w:lang w:val="fr-FR"/>
        </w:rPr>
        <w:t>appréhender les auteurs de ces violations et d</w:t>
      </w:r>
      <w:r w:rsidR="00120E2E" w:rsidRPr="000F7862">
        <w:rPr>
          <w:lang w:val="fr-FR"/>
        </w:rPr>
        <w:t>’</w:t>
      </w:r>
      <w:r w:rsidR="008E5257" w:rsidRPr="000F7862">
        <w:rPr>
          <w:lang w:val="fr-FR"/>
        </w:rPr>
        <w:t>exécuter les mandats d</w:t>
      </w:r>
      <w:r w:rsidR="00120E2E" w:rsidRPr="000F7862">
        <w:rPr>
          <w:lang w:val="fr-FR"/>
        </w:rPr>
        <w:t>’</w:t>
      </w:r>
      <w:r w:rsidR="008E5257" w:rsidRPr="000F7862">
        <w:rPr>
          <w:lang w:val="fr-FR"/>
        </w:rPr>
        <w:t>arrêt</w:t>
      </w:r>
      <w:r w:rsidR="0086185C" w:rsidRPr="000F7862">
        <w:rPr>
          <w:lang w:val="fr-FR"/>
        </w:rPr>
        <w:t>.</w:t>
      </w:r>
    </w:p>
    <w:p w:rsidR="0086185C" w:rsidRPr="000F7862" w:rsidRDefault="00502FA7" w:rsidP="00691D59">
      <w:pPr>
        <w:pStyle w:val="HChG"/>
        <w:rPr>
          <w:lang w:val="fr-FR"/>
        </w:rPr>
      </w:pPr>
      <w:r w:rsidRPr="000F7862">
        <w:rPr>
          <w:lang w:val="fr-FR"/>
        </w:rPr>
        <w:tab/>
        <w:t>II.</w:t>
      </w:r>
      <w:r w:rsidRPr="000F7862">
        <w:rPr>
          <w:lang w:val="fr-FR"/>
        </w:rPr>
        <w:tab/>
      </w:r>
      <w:r w:rsidR="003519C1" w:rsidRPr="000F7862">
        <w:rPr>
          <w:lang w:val="fr-FR"/>
        </w:rPr>
        <w:t xml:space="preserve">Renseignements relatifs aux articles </w:t>
      </w:r>
      <w:r w:rsidR="00691D59" w:rsidRPr="000F7862">
        <w:rPr>
          <w:lang w:val="fr-FR"/>
        </w:rPr>
        <w:t>1</w:t>
      </w:r>
      <w:r w:rsidR="00691D59" w:rsidRPr="000F7862">
        <w:rPr>
          <w:vertAlign w:val="superscript"/>
          <w:lang w:val="fr-FR"/>
        </w:rPr>
        <w:t>er</w:t>
      </w:r>
      <w:r w:rsidR="003519C1" w:rsidRPr="000F7862">
        <w:rPr>
          <w:lang w:val="fr-FR"/>
        </w:rPr>
        <w:t>, 11, 12 et 15 du Pacte concernant les peuples autochtones</w:t>
      </w:r>
      <w:r w:rsidR="0005004C" w:rsidRPr="000F7862">
        <w:rPr>
          <w:lang w:val="fr-FR"/>
        </w:rPr>
        <w:t xml:space="preserve"> </w:t>
      </w:r>
    </w:p>
    <w:p w:rsidR="0086185C" w:rsidRPr="000F7862" w:rsidRDefault="003F7F57" w:rsidP="003F7F57">
      <w:pPr>
        <w:pStyle w:val="SingleTxtG"/>
        <w:rPr>
          <w:lang w:val="fr-FR"/>
        </w:rPr>
      </w:pPr>
      <w:r w:rsidRPr="000F7862">
        <w:rPr>
          <w:lang w:val="fr-FR"/>
        </w:rPr>
        <w:t>16.</w:t>
      </w:r>
      <w:r w:rsidRPr="000F7862">
        <w:rPr>
          <w:lang w:val="fr-FR"/>
        </w:rPr>
        <w:tab/>
      </w:r>
      <w:r w:rsidR="003519C1" w:rsidRPr="000F7862">
        <w:rPr>
          <w:lang w:val="fr-FR"/>
        </w:rPr>
        <w:t xml:space="preserve">Le Gouvernement philippin garantit les droits des populations </w:t>
      </w:r>
      <w:r w:rsidR="000E3CF2" w:rsidRPr="000F7862">
        <w:rPr>
          <w:lang w:val="fr-FR"/>
        </w:rPr>
        <w:t xml:space="preserve">autochtones </w:t>
      </w:r>
      <w:r w:rsidR="003519C1" w:rsidRPr="000F7862">
        <w:rPr>
          <w:lang w:val="fr-FR"/>
        </w:rPr>
        <w:t>et</w:t>
      </w:r>
      <w:r w:rsidR="000E3CF2" w:rsidRPr="000F7862">
        <w:rPr>
          <w:lang w:val="fr-FR"/>
        </w:rPr>
        <w:t xml:space="preserve"> les</w:t>
      </w:r>
      <w:r w:rsidR="0005004C" w:rsidRPr="000F7862">
        <w:rPr>
          <w:lang w:val="fr-FR"/>
        </w:rPr>
        <w:t xml:space="preserve"> </w:t>
      </w:r>
      <w:r w:rsidR="003519C1" w:rsidRPr="000F7862">
        <w:rPr>
          <w:lang w:val="fr-FR"/>
        </w:rPr>
        <w:t xml:space="preserve">communautés culturelles autochtones </w:t>
      </w:r>
      <w:r w:rsidR="00691D59" w:rsidRPr="000F7862">
        <w:rPr>
          <w:lang w:val="fr-FR"/>
        </w:rPr>
        <w:t>(IP/ICC</w:t>
      </w:r>
      <w:r w:rsidR="00FF4358" w:rsidRPr="000F7862">
        <w:rPr>
          <w:lang w:val="fr-FR"/>
        </w:rPr>
        <w:t xml:space="preserve">) </w:t>
      </w:r>
      <w:r w:rsidR="003519C1" w:rsidRPr="000F7862">
        <w:rPr>
          <w:lang w:val="fr-FR"/>
        </w:rPr>
        <w:t>s</w:t>
      </w:r>
      <w:r w:rsidR="007E2707" w:rsidRPr="000F7862">
        <w:rPr>
          <w:lang w:val="fr-FR"/>
        </w:rPr>
        <w:t>ur leurs domaines ancestraux</w:t>
      </w:r>
      <w:r w:rsidR="0086185C" w:rsidRPr="000F7862">
        <w:rPr>
          <w:lang w:val="fr-FR"/>
        </w:rPr>
        <w:t xml:space="preserve">. </w:t>
      </w:r>
      <w:r w:rsidR="007E2707" w:rsidRPr="000F7862">
        <w:rPr>
          <w:lang w:val="fr-FR"/>
        </w:rPr>
        <w:t xml:space="preserve">Il a appliqué </w:t>
      </w:r>
      <w:r w:rsidR="00EA5C6D" w:rsidRPr="000F7862">
        <w:rPr>
          <w:lang w:val="fr-FR"/>
        </w:rPr>
        <w:t>sans discontinuer</w:t>
      </w:r>
      <w:r w:rsidR="007E2707" w:rsidRPr="000F7862">
        <w:rPr>
          <w:lang w:val="fr-FR"/>
        </w:rPr>
        <w:t xml:space="preserve"> et strictement les </w:t>
      </w:r>
      <w:r w:rsidR="007E2707" w:rsidRPr="000F7862">
        <w:rPr>
          <w:color w:val="000000"/>
          <w:lang w:val="fr-FR"/>
        </w:rPr>
        <w:t>Directives relatives au consentement préalable, libre et éclairé</w:t>
      </w:r>
      <w:r w:rsidR="007E2707" w:rsidRPr="000F7862">
        <w:rPr>
          <w:lang w:val="fr-FR"/>
        </w:rPr>
        <w:t xml:space="preserve"> </w:t>
      </w:r>
      <w:r w:rsidR="0086185C" w:rsidRPr="000F7862">
        <w:rPr>
          <w:lang w:val="fr-FR"/>
        </w:rPr>
        <w:t>(FPIC)</w:t>
      </w:r>
      <w:r w:rsidR="00A0661A" w:rsidRPr="000F7862">
        <w:rPr>
          <w:lang w:val="fr-FR"/>
        </w:rPr>
        <w:t>, lequel doit être obtenu</w:t>
      </w:r>
      <w:r w:rsidR="007E2707" w:rsidRPr="000F7862">
        <w:rPr>
          <w:lang w:val="fr-FR"/>
        </w:rPr>
        <w:t xml:space="preserve"> avant qu</w:t>
      </w:r>
      <w:r w:rsidR="00120E2E" w:rsidRPr="000F7862">
        <w:rPr>
          <w:lang w:val="fr-FR"/>
        </w:rPr>
        <w:t>’</w:t>
      </w:r>
      <w:r w:rsidR="007E2707" w:rsidRPr="000F7862">
        <w:rPr>
          <w:lang w:val="fr-FR"/>
        </w:rPr>
        <w:t xml:space="preserve">un projet, une activité ou un programme ne puisse </w:t>
      </w:r>
      <w:r w:rsidR="0086185C" w:rsidRPr="000F7862">
        <w:rPr>
          <w:lang w:val="fr-FR"/>
        </w:rPr>
        <w:t>re</w:t>
      </w:r>
      <w:r w:rsidR="007E2707" w:rsidRPr="000F7862">
        <w:rPr>
          <w:lang w:val="fr-FR"/>
        </w:rPr>
        <w:t xml:space="preserve">cevoir un </w:t>
      </w:r>
      <w:r w:rsidR="0086185C" w:rsidRPr="000F7862">
        <w:rPr>
          <w:lang w:val="fr-FR"/>
        </w:rPr>
        <w:t xml:space="preserve">commencement </w:t>
      </w:r>
      <w:r w:rsidR="007E2707" w:rsidRPr="000F7862">
        <w:rPr>
          <w:lang w:val="fr-FR"/>
        </w:rPr>
        <w:t>d</w:t>
      </w:r>
      <w:r w:rsidR="00120E2E" w:rsidRPr="000F7862">
        <w:rPr>
          <w:lang w:val="fr-FR"/>
        </w:rPr>
        <w:t>’</w:t>
      </w:r>
      <w:r w:rsidR="007E2707" w:rsidRPr="000F7862">
        <w:rPr>
          <w:lang w:val="fr-FR"/>
        </w:rPr>
        <w:t>exécution sur ces domaines ancestraux</w:t>
      </w:r>
      <w:r w:rsidR="0086185C" w:rsidRPr="000F7862">
        <w:rPr>
          <w:lang w:val="fr-FR"/>
        </w:rPr>
        <w:t xml:space="preserve">. </w:t>
      </w:r>
      <w:r w:rsidR="00D72270" w:rsidRPr="000F7862">
        <w:rPr>
          <w:lang w:val="fr-FR"/>
        </w:rPr>
        <w:t>Afin de répond</w:t>
      </w:r>
      <w:r w:rsidR="000E3CF2" w:rsidRPr="000F7862">
        <w:rPr>
          <w:lang w:val="fr-FR"/>
        </w:rPr>
        <w:t>re a</w:t>
      </w:r>
      <w:r w:rsidR="00D72270" w:rsidRPr="000F7862">
        <w:rPr>
          <w:lang w:val="fr-FR"/>
        </w:rPr>
        <w:t>u</w:t>
      </w:r>
      <w:r w:rsidR="000E3CF2" w:rsidRPr="000F7862">
        <w:rPr>
          <w:lang w:val="fr-FR"/>
        </w:rPr>
        <w:t xml:space="preserve">x préoccupations liées </w:t>
      </w:r>
      <w:r w:rsidR="004F2C6D" w:rsidRPr="000F7862">
        <w:rPr>
          <w:lang w:val="fr-FR"/>
        </w:rPr>
        <w:t>à</w:t>
      </w:r>
      <w:r w:rsidR="000E3CF2" w:rsidRPr="000F7862">
        <w:rPr>
          <w:lang w:val="fr-FR"/>
        </w:rPr>
        <w:t xml:space="preserve"> </w:t>
      </w:r>
      <w:r w:rsidR="004F2C6D" w:rsidRPr="000F7862">
        <w:rPr>
          <w:lang w:val="fr-FR"/>
        </w:rPr>
        <w:t>l</w:t>
      </w:r>
      <w:r w:rsidR="00120E2E" w:rsidRPr="000F7862">
        <w:rPr>
          <w:lang w:val="fr-FR"/>
        </w:rPr>
        <w:t>’</w:t>
      </w:r>
      <w:r w:rsidR="000E3CF2" w:rsidRPr="000F7862">
        <w:rPr>
          <w:lang w:val="fr-FR"/>
        </w:rPr>
        <w:t>expérience</w:t>
      </w:r>
      <w:r w:rsidR="004F2C6D" w:rsidRPr="000F7862">
        <w:rPr>
          <w:lang w:val="fr-FR"/>
        </w:rPr>
        <w:t xml:space="preserve"> passée</w:t>
      </w:r>
      <w:r w:rsidR="000E3CF2" w:rsidRPr="000F7862">
        <w:rPr>
          <w:lang w:val="fr-FR"/>
        </w:rPr>
        <w:t xml:space="preserve"> et aux lacunes </w:t>
      </w:r>
      <w:r w:rsidR="003B2C42" w:rsidRPr="000F7862">
        <w:rPr>
          <w:lang w:val="fr-FR"/>
        </w:rPr>
        <w:t xml:space="preserve">en matière </w:t>
      </w:r>
      <w:r w:rsidR="00D72270" w:rsidRPr="000F7862">
        <w:rPr>
          <w:lang w:val="fr-FR"/>
        </w:rPr>
        <w:t>de</w:t>
      </w:r>
      <w:r w:rsidR="0005004C" w:rsidRPr="000F7862">
        <w:rPr>
          <w:lang w:val="fr-FR"/>
        </w:rPr>
        <w:t xml:space="preserve"> </w:t>
      </w:r>
      <w:r w:rsidR="00D72270" w:rsidRPr="000F7862">
        <w:rPr>
          <w:lang w:val="fr-FR"/>
        </w:rPr>
        <w:t xml:space="preserve">mise en œuvre des directives relatives au </w:t>
      </w:r>
      <w:r w:rsidR="0086185C" w:rsidRPr="000F7862">
        <w:rPr>
          <w:lang w:val="fr-FR"/>
        </w:rPr>
        <w:t xml:space="preserve">FPIC, </w:t>
      </w:r>
      <w:r w:rsidR="00D72270" w:rsidRPr="000F7862">
        <w:rPr>
          <w:lang w:val="fr-FR"/>
        </w:rPr>
        <w:t>ces directives ont été renforcées et simplifiées par l</w:t>
      </w:r>
      <w:r w:rsidR="00120E2E" w:rsidRPr="000F7862">
        <w:rPr>
          <w:lang w:val="fr-FR"/>
        </w:rPr>
        <w:t>’</w:t>
      </w:r>
      <w:r w:rsidR="00D72270" w:rsidRPr="000F7862">
        <w:rPr>
          <w:lang w:val="fr-FR"/>
        </w:rPr>
        <w:t>ordonnance a</w:t>
      </w:r>
      <w:r w:rsidR="0086185C" w:rsidRPr="000F7862">
        <w:rPr>
          <w:lang w:val="fr-FR"/>
        </w:rPr>
        <w:t xml:space="preserve">dministrative </w:t>
      </w:r>
      <w:r w:rsidR="00730F8F" w:rsidRPr="000F7862">
        <w:rPr>
          <w:lang w:val="fr-FR"/>
        </w:rPr>
        <w:t>n</w:t>
      </w:r>
      <w:r w:rsidR="00730F8F" w:rsidRPr="000F7862">
        <w:rPr>
          <w:vertAlign w:val="superscript"/>
          <w:lang w:val="fr-FR"/>
        </w:rPr>
        <w:t>o</w:t>
      </w:r>
      <w:r w:rsidR="00730F8F" w:rsidRPr="000F7862">
        <w:rPr>
          <w:lang w:val="fr-FR"/>
        </w:rPr>
        <w:t> </w:t>
      </w:r>
      <w:r w:rsidR="0086185C" w:rsidRPr="000F7862">
        <w:rPr>
          <w:lang w:val="fr-FR"/>
        </w:rPr>
        <w:t>3, s</w:t>
      </w:r>
      <w:r w:rsidR="00D72270" w:rsidRPr="000F7862">
        <w:rPr>
          <w:lang w:val="fr-FR"/>
        </w:rPr>
        <w:t>é</w:t>
      </w:r>
      <w:r w:rsidR="0086185C" w:rsidRPr="000F7862">
        <w:rPr>
          <w:lang w:val="fr-FR"/>
        </w:rPr>
        <w:t>rie</w:t>
      </w:r>
      <w:r w:rsidR="00D72270" w:rsidRPr="000F7862">
        <w:rPr>
          <w:lang w:val="fr-FR"/>
        </w:rPr>
        <w:t xml:space="preserve"> de </w:t>
      </w:r>
      <w:r w:rsidR="0086185C" w:rsidRPr="000F7862">
        <w:rPr>
          <w:lang w:val="fr-FR"/>
        </w:rPr>
        <w:t xml:space="preserve">2012. </w:t>
      </w:r>
      <w:r w:rsidR="00D72270" w:rsidRPr="000F7862">
        <w:rPr>
          <w:lang w:val="fr-FR"/>
        </w:rPr>
        <w:t>Il convient de noter que ces amélior</w:t>
      </w:r>
      <w:r w:rsidR="006A2AF3" w:rsidRPr="000F7862">
        <w:rPr>
          <w:lang w:val="fr-FR"/>
        </w:rPr>
        <w:t>ations ont été apportées</w:t>
      </w:r>
      <w:r w:rsidR="00D72270" w:rsidRPr="000F7862">
        <w:rPr>
          <w:lang w:val="fr-FR"/>
        </w:rPr>
        <w:t xml:space="preserve"> avec la </w:t>
      </w:r>
      <w:r w:rsidR="0086185C" w:rsidRPr="000F7862">
        <w:rPr>
          <w:lang w:val="fr-FR"/>
        </w:rPr>
        <w:t xml:space="preserve">participation </w:t>
      </w:r>
      <w:r w:rsidR="00D72270" w:rsidRPr="000F7862">
        <w:rPr>
          <w:lang w:val="fr-FR"/>
        </w:rPr>
        <w:t xml:space="preserve">de la commission </w:t>
      </w:r>
      <w:r w:rsidR="0086185C" w:rsidRPr="000F7862">
        <w:rPr>
          <w:lang w:val="fr-FR"/>
        </w:rPr>
        <w:t>l</w:t>
      </w:r>
      <w:r w:rsidR="00D72270" w:rsidRPr="000F7862">
        <w:rPr>
          <w:lang w:val="fr-FR"/>
        </w:rPr>
        <w:t>é</w:t>
      </w:r>
      <w:r w:rsidR="0086185C" w:rsidRPr="000F7862">
        <w:rPr>
          <w:lang w:val="fr-FR"/>
        </w:rPr>
        <w:t xml:space="preserve">gislative </w:t>
      </w:r>
      <w:r w:rsidR="00D72270" w:rsidRPr="000F7862">
        <w:rPr>
          <w:lang w:val="fr-FR"/>
        </w:rPr>
        <w:t>des communautés culturelles autochtones</w:t>
      </w:r>
      <w:r w:rsidR="0086185C" w:rsidRPr="000F7862">
        <w:rPr>
          <w:lang w:val="fr-FR"/>
        </w:rPr>
        <w:t xml:space="preserve">, </w:t>
      </w:r>
      <w:r w:rsidR="00D72270" w:rsidRPr="000F7862">
        <w:rPr>
          <w:lang w:val="fr-FR"/>
        </w:rPr>
        <w:t xml:space="preserve">la </w:t>
      </w:r>
      <w:r w:rsidR="0086185C" w:rsidRPr="000F7862">
        <w:rPr>
          <w:lang w:val="fr-FR"/>
        </w:rPr>
        <w:t xml:space="preserve">Commission </w:t>
      </w:r>
      <w:r w:rsidR="00D72270" w:rsidRPr="000F7862">
        <w:rPr>
          <w:lang w:val="fr-FR"/>
        </w:rPr>
        <w:t>nationale des populations autochtones</w:t>
      </w:r>
      <w:r w:rsidR="0086185C" w:rsidRPr="000F7862">
        <w:rPr>
          <w:lang w:val="fr-FR"/>
        </w:rPr>
        <w:t xml:space="preserve"> </w:t>
      </w:r>
      <w:r w:rsidR="00D72270" w:rsidRPr="000F7862">
        <w:rPr>
          <w:lang w:val="fr-FR"/>
        </w:rPr>
        <w:t>et les organisations des populations autochtones</w:t>
      </w:r>
      <w:r w:rsidR="0086185C" w:rsidRPr="000F7862">
        <w:rPr>
          <w:lang w:val="fr-FR"/>
        </w:rPr>
        <w:t xml:space="preserve">. </w:t>
      </w:r>
    </w:p>
    <w:p w:rsidR="0086185C" w:rsidRPr="000F7862" w:rsidRDefault="003F7F57" w:rsidP="003F7F57">
      <w:pPr>
        <w:pStyle w:val="SingleTxtG"/>
        <w:rPr>
          <w:lang w:val="fr-FR"/>
        </w:rPr>
      </w:pPr>
      <w:r w:rsidRPr="000F7862">
        <w:rPr>
          <w:lang w:val="fr-FR"/>
        </w:rPr>
        <w:t>17.</w:t>
      </w:r>
      <w:r w:rsidRPr="000F7862">
        <w:rPr>
          <w:lang w:val="fr-FR"/>
        </w:rPr>
        <w:tab/>
      </w:r>
      <w:r w:rsidR="00C75D6A" w:rsidRPr="000F7862">
        <w:rPr>
          <w:lang w:val="fr-FR"/>
        </w:rPr>
        <w:t xml:space="preserve">En conséquence, </w:t>
      </w:r>
      <w:r w:rsidR="001367B2" w:rsidRPr="000F7862">
        <w:rPr>
          <w:lang w:val="fr-FR"/>
        </w:rPr>
        <w:t>l</w:t>
      </w:r>
      <w:r w:rsidR="00120E2E" w:rsidRPr="000F7862">
        <w:rPr>
          <w:lang w:val="fr-FR"/>
        </w:rPr>
        <w:t>’</w:t>
      </w:r>
      <w:r w:rsidR="00C75D6A" w:rsidRPr="000F7862">
        <w:rPr>
          <w:lang w:val="fr-FR"/>
        </w:rPr>
        <w:t xml:space="preserve">ordonnance </w:t>
      </w:r>
      <w:r w:rsidR="001367B2" w:rsidRPr="000F7862">
        <w:rPr>
          <w:lang w:val="fr-FR"/>
        </w:rPr>
        <w:t>d</w:t>
      </w:r>
      <w:r w:rsidR="00120E2E" w:rsidRPr="000F7862">
        <w:rPr>
          <w:lang w:val="fr-FR"/>
        </w:rPr>
        <w:t>’</w:t>
      </w:r>
      <w:r w:rsidR="001367B2" w:rsidRPr="000F7862">
        <w:rPr>
          <w:lang w:val="fr-FR"/>
        </w:rPr>
        <w:t>accord commun</w:t>
      </w:r>
      <w:r w:rsidR="00037741" w:rsidRPr="000F7862">
        <w:rPr>
          <w:lang w:val="fr-FR"/>
        </w:rPr>
        <w:t xml:space="preserve"> </w:t>
      </w:r>
      <w:r w:rsidR="00730F8F" w:rsidRPr="000F7862">
        <w:rPr>
          <w:lang w:val="fr-FR"/>
        </w:rPr>
        <w:t>n</w:t>
      </w:r>
      <w:r w:rsidR="00730F8F" w:rsidRPr="000F7862">
        <w:rPr>
          <w:vertAlign w:val="superscript"/>
          <w:lang w:val="fr-FR"/>
        </w:rPr>
        <w:t>o</w:t>
      </w:r>
      <w:r w:rsidR="00730F8F" w:rsidRPr="000F7862">
        <w:rPr>
          <w:lang w:val="fr-FR"/>
        </w:rPr>
        <w:t> </w:t>
      </w:r>
      <w:r w:rsidR="0086185C" w:rsidRPr="000F7862">
        <w:rPr>
          <w:lang w:val="fr-FR"/>
        </w:rPr>
        <w:t>1, s</w:t>
      </w:r>
      <w:r w:rsidR="00037741" w:rsidRPr="000F7862">
        <w:rPr>
          <w:lang w:val="fr-FR"/>
        </w:rPr>
        <w:t>é</w:t>
      </w:r>
      <w:r w:rsidR="0086185C" w:rsidRPr="000F7862">
        <w:rPr>
          <w:lang w:val="fr-FR"/>
        </w:rPr>
        <w:t>rie</w:t>
      </w:r>
      <w:r w:rsidR="00037741" w:rsidRPr="000F7862">
        <w:rPr>
          <w:lang w:val="fr-FR"/>
        </w:rPr>
        <w:t xml:space="preserve"> de</w:t>
      </w:r>
      <w:r w:rsidR="0086185C" w:rsidRPr="000F7862">
        <w:rPr>
          <w:lang w:val="fr-FR"/>
        </w:rPr>
        <w:t xml:space="preserve"> 2012</w:t>
      </w:r>
      <w:r w:rsidR="005B7FAE" w:rsidRPr="000F7862">
        <w:rPr>
          <w:lang w:val="fr-FR"/>
        </w:rPr>
        <w:t xml:space="preserve">, a été </w:t>
      </w:r>
      <w:r w:rsidR="00037741" w:rsidRPr="000F7862">
        <w:rPr>
          <w:lang w:val="fr-FR"/>
        </w:rPr>
        <w:t xml:space="preserve">prise conjointement par la </w:t>
      </w:r>
      <w:r w:rsidR="00FD28CB" w:rsidRPr="000F7862">
        <w:rPr>
          <w:lang w:val="fr-FR"/>
        </w:rPr>
        <w:t>Commission nationale des populations autochtones</w:t>
      </w:r>
      <w:r w:rsidR="00FF4358" w:rsidRPr="000F7862">
        <w:rPr>
          <w:lang w:val="fr-FR"/>
        </w:rPr>
        <w:t xml:space="preserve"> (NCIP)</w:t>
      </w:r>
      <w:r w:rsidR="0086185C" w:rsidRPr="000F7862">
        <w:rPr>
          <w:lang w:val="fr-FR"/>
        </w:rPr>
        <w:t xml:space="preserve">, </w:t>
      </w:r>
      <w:r w:rsidR="00037741" w:rsidRPr="000F7862">
        <w:rPr>
          <w:lang w:val="fr-FR"/>
        </w:rPr>
        <w:t>le Ministère de l</w:t>
      </w:r>
      <w:r w:rsidR="00120E2E" w:rsidRPr="000F7862">
        <w:rPr>
          <w:lang w:val="fr-FR"/>
        </w:rPr>
        <w:t>’</w:t>
      </w:r>
      <w:r w:rsidR="00037741" w:rsidRPr="000F7862">
        <w:rPr>
          <w:lang w:val="fr-FR"/>
        </w:rPr>
        <w:t>environnement et des ressources naturelles et l</w:t>
      </w:r>
      <w:r w:rsidR="00120E2E" w:rsidRPr="000F7862">
        <w:rPr>
          <w:lang w:val="fr-FR"/>
        </w:rPr>
        <w:t>’</w:t>
      </w:r>
      <w:r w:rsidR="00037741" w:rsidRPr="000F7862">
        <w:rPr>
          <w:lang w:val="fr-FR"/>
        </w:rPr>
        <w:t>Autorité de l</w:t>
      </w:r>
      <w:r w:rsidR="00120E2E" w:rsidRPr="000F7862">
        <w:rPr>
          <w:lang w:val="fr-FR"/>
        </w:rPr>
        <w:t>’</w:t>
      </w:r>
      <w:r w:rsidR="00037741" w:rsidRPr="000F7862">
        <w:rPr>
          <w:lang w:val="fr-FR"/>
        </w:rPr>
        <w:t xml:space="preserve">enregistrement foncier </w:t>
      </w:r>
      <w:r w:rsidR="0086185C" w:rsidRPr="000F7862">
        <w:rPr>
          <w:lang w:val="fr-FR"/>
        </w:rPr>
        <w:t xml:space="preserve">(LRA) </w:t>
      </w:r>
      <w:r w:rsidR="005B7FAE" w:rsidRPr="000F7862">
        <w:rPr>
          <w:lang w:val="fr-FR"/>
        </w:rPr>
        <w:t>afin de répondre aux préoccupations concernant l</w:t>
      </w:r>
      <w:r w:rsidR="00120E2E" w:rsidRPr="000F7862">
        <w:rPr>
          <w:lang w:val="fr-FR"/>
        </w:rPr>
        <w:t>’</w:t>
      </w:r>
      <w:r w:rsidR="005B7FAE" w:rsidRPr="000F7862">
        <w:rPr>
          <w:lang w:val="fr-FR"/>
        </w:rPr>
        <w:t xml:space="preserve">enregistrement auprès de la </w:t>
      </w:r>
      <w:r w:rsidR="0086185C" w:rsidRPr="000F7862">
        <w:rPr>
          <w:lang w:val="fr-FR"/>
        </w:rPr>
        <w:t xml:space="preserve">LRA </w:t>
      </w:r>
      <w:r w:rsidR="005B7FAE" w:rsidRPr="000F7862">
        <w:rPr>
          <w:lang w:val="fr-FR"/>
        </w:rPr>
        <w:t xml:space="preserve">des certificats </w:t>
      </w:r>
      <w:r w:rsidR="00625FF9" w:rsidRPr="000F7862">
        <w:rPr>
          <w:lang w:val="fr-FR"/>
        </w:rPr>
        <w:t xml:space="preserve">fonciers </w:t>
      </w:r>
      <w:r w:rsidR="005B7FAE" w:rsidRPr="000F7862">
        <w:rPr>
          <w:lang w:val="fr-FR"/>
        </w:rPr>
        <w:t xml:space="preserve">reconnaissant des droits sur les domaines ancestraux délivrés par la </w:t>
      </w:r>
      <w:r w:rsidR="0086185C" w:rsidRPr="000F7862">
        <w:rPr>
          <w:lang w:val="fr-FR"/>
        </w:rPr>
        <w:t xml:space="preserve">NCIP. </w:t>
      </w:r>
      <w:r w:rsidR="005B7FAE" w:rsidRPr="000F7862">
        <w:rPr>
          <w:lang w:val="fr-FR"/>
        </w:rPr>
        <w:t xml:space="preserve">Ces certificats sont </w:t>
      </w:r>
      <w:r w:rsidR="005D4E1C" w:rsidRPr="000F7862">
        <w:rPr>
          <w:lang w:val="fr-FR"/>
        </w:rPr>
        <w:t>une</w:t>
      </w:r>
      <w:r w:rsidR="005B7FAE" w:rsidRPr="000F7862">
        <w:rPr>
          <w:lang w:val="fr-FR"/>
        </w:rPr>
        <w:t xml:space="preserve"> reconnaissance des droits inhérents des </w:t>
      </w:r>
      <w:r w:rsidR="0086185C" w:rsidRPr="000F7862">
        <w:rPr>
          <w:lang w:val="fr-FR"/>
        </w:rPr>
        <w:t>IP</w:t>
      </w:r>
      <w:r w:rsidR="005B7FAE" w:rsidRPr="000F7862">
        <w:rPr>
          <w:lang w:val="fr-FR"/>
        </w:rPr>
        <w:t>/ICC</w:t>
      </w:r>
      <w:r w:rsidR="0086185C" w:rsidRPr="000F7862">
        <w:rPr>
          <w:lang w:val="fr-FR"/>
        </w:rPr>
        <w:t xml:space="preserve"> </w:t>
      </w:r>
      <w:r w:rsidR="005B7FAE" w:rsidRPr="000F7862">
        <w:rPr>
          <w:lang w:val="fr-FR"/>
        </w:rPr>
        <w:t xml:space="preserve">sur les domaines ancestraux et représentent </w:t>
      </w:r>
      <w:r w:rsidR="00733831" w:rsidRPr="000F7862">
        <w:rPr>
          <w:lang w:val="fr-FR"/>
        </w:rPr>
        <w:t>leur</w:t>
      </w:r>
      <w:r w:rsidR="00B7587E" w:rsidRPr="000F7862">
        <w:rPr>
          <w:lang w:val="fr-FR"/>
        </w:rPr>
        <w:t>s prétentions</w:t>
      </w:r>
      <w:r w:rsidR="00E002E2" w:rsidRPr="000F7862">
        <w:rPr>
          <w:lang w:val="fr-FR"/>
        </w:rPr>
        <w:t>,</w:t>
      </w:r>
      <w:r w:rsidR="005B7FAE" w:rsidRPr="000F7862">
        <w:rPr>
          <w:lang w:val="fr-FR"/>
        </w:rPr>
        <w:t xml:space="preserve"> </w:t>
      </w:r>
      <w:r w:rsidR="00B7587E" w:rsidRPr="000F7862">
        <w:rPr>
          <w:lang w:val="fr-FR"/>
        </w:rPr>
        <w:t xml:space="preserve">au titre du régime </w:t>
      </w:r>
      <w:r w:rsidR="00E002E2" w:rsidRPr="000F7862">
        <w:rPr>
          <w:lang w:val="fr-FR"/>
        </w:rPr>
        <w:t xml:space="preserve">des titres </w:t>
      </w:r>
      <w:r w:rsidR="00B7587E" w:rsidRPr="000F7862">
        <w:rPr>
          <w:lang w:val="fr-FR"/>
        </w:rPr>
        <w:t>foncier</w:t>
      </w:r>
      <w:r w:rsidR="00E002E2" w:rsidRPr="000F7862">
        <w:rPr>
          <w:lang w:val="fr-FR"/>
        </w:rPr>
        <w:t>s</w:t>
      </w:r>
      <w:r w:rsidR="00B7587E" w:rsidRPr="000F7862">
        <w:rPr>
          <w:lang w:val="fr-FR"/>
        </w:rPr>
        <w:t xml:space="preserve"> autochtone</w:t>
      </w:r>
      <w:r w:rsidR="00E002E2" w:rsidRPr="000F7862">
        <w:rPr>
          <w:lang w:val="fr-FR"/>
        </w:rPr>
        <w:t>s,</w:t>
      </w:r>
      <w:r w:rsidR="00733831" w:rsidRPr="000F7862">
        <w:rPr>
          <w:lang w:val="fr-FR"/>
        </w:rPr>
        <w:t xml:space="preserve"> sur leurs terres et territoires, ainsi que leur existence en tant que populations dotées depuis des temps immémoriaux de leurs propres lois coutumières, systèmes de gouvernance et institutions et </w:t>
      </w:r>
      <w:r w:rsidR="002E4987" w:rsidRPr="000F7862">
        <w:rPr>
          <w:lang w:val="fr-FR"/>
        </w:rPr>
        <w:t>ayant</w:t>
      </w:r>
      <w:r w:rsidR="00733831" w:rsidRPr="000F7862">
        <w:rPr>
          <w:lang w:val="fr-FR"/>
        </w:rPr>
        <w:t xml:space="preserve"> leur propre identité culturelle</w:t>
      </w:r>
      <w:r w:rsidR="0086185C" w:rsidRPr="000F7862">
        <w:rPr>
          <w:lang w:val="fr-FR"/>
        </w:rPr>
        <w:t xml:space="preserve">. </w:t>
      </w:r>
      <w:r w:rsidR="00733831" w:rsidRPr="000F7862">
        <w:rPr>
          <w:lang w:val="fr-FR"/>
        </w:rPr>
        <w:t>Dans le cadre de l</w:t>
      </w:r>
      <w:r w:rsidR="00120E2E" w:rsidRPr="000F7862">
        <w:rPr>
          <w:lang w:val="fr-FR"/>
        </w:rPr>
        <w:t>’</w:t>
      </w:r>
      <w:r w:rsidR="00F03D3A" w:rsidRPr="000F7862">
        <w:rPr>
          <w:lang w:val="fr-FR"/>
        </w:rPr>
        <w:t xml:space="preserve">exécution </w:t>
      </w:r>
      <w:r w:rsidR="00733831" w:rsidRPr="000F7862">
        <w:rPr>
          <w:lang w:val="fr-FR"/>
        </w:rPr>
        <w:t>de l</w:t>
      </w:r>
      <w:r w:rsidR="00120E2E" w:rsidRPr="000F7862">
        <w:rPr>
          <w:lang w:val="fr-FR"/>
        </w:rPr>
        <w:t>’</w:t>
      </w:r>
      <w:r w:rsidR="00733831" w:rsidRPr="000F7862">
        <w:rPr>
          <w:lang w:val="fr-FR"/>
        </w:rPr>
        <w:t xml:space="preserve">ordonnance </w:t>
      </w:r>
      <w:r w:rsidR="00BE36F1" w:rsidRPr="000F7862">
        <w:rPr>
          <w:lang w:val="fr-FR"/>
        </w:rPr>
        <w:t>mentionnée précédemment</w:t>
      </w:r>
      <w:r w:rsidR="00733831" w:rsidRPr="000F7862">
        <w:rPr>
          <w:lang w:val="fr-FR"/>
        </w:rPr>
        <w:t>, les trois entités concernées ont tenu au moins quatre mini-confé</w:t>
      </w:r>
      <w:r w:rsidR="0086185C" w:rsidRPr="000F7862">
        <w:rPr>
          <w:lang w:val="fr-FR"/>
        </w:rPr>
        <w:t xml:space="preserve">rences </w:t>
      </w:r>
      <w:r w:rsidR="00733831" w:rsidRPr="000F7862">
        <w:rPr>
          <w:lang w:val="fr-FR"/>
        </w:rPr>
        <w:t>e</w:t>
      </w:r>
      <w:r w:rsidR="0086185C" w:rsidRPr="000F7862">
        <w:rPr>
          <w:lang w:val="fr-FR"/>
        </w:rPr>
        <w:t xml:space="preserve">n 2013 </w:t>
      </w:r>
      <w:r w:rsidR="00F03D3A" w:rsidRPr="000F7862">
        <w:rPr>
          <w:lang w:val="fr-FR"/>
        </w:rPr>
        <w:t xml:space="preserve">pour </w:t>
      </w:r>
      <w:r w:rsidR="00C73CBA" w:rsidRPr="000F7862">
        <w:rPr>
          <w:lang w:val="fr-FR"/>
        </w:rPr>
        <w:t>présenter l</w:t>
      </w:r>
      <w:r w:rsidR="00120E2E" w:rsidRPr="000F7862">
        <w:rPr>
          <w:lang w:val="fr-FR"/>
        </w:rPr>
        <w:t>’</w:t>
      </w:r>
      <w:r w:rsidR="00C73CBA" w:rsidRPr="000F7862">
        <w:rPr>
          <w:lang w:val="fr-FR"/>
        </w:rPr>
        <w:t>accord à</w:t>
      </w:r>
      <w:r w:rsidR="00F03D3A" w:rsidRPr="000F7862">
        <w:rPr>
          <w:lang w:val="fr-FR"/>
        </w:rPr>
        <w:t xml:space="preserve"> leurs agents de terrain respectifs</w:t>
      </w:r>
      <w:r w:rsidR="0086185C" w:rsidRPr="000F7862">
        <w:rPr>
          <w:lang w:val="fr-FR"/>
        </w:rPr>
        <w:t>.</w:t>
      </w:r>
    </w:p>
    <w:p w:rsidR="0086185C" w:rsidRPr="000F7862" w:rsidRDefault="003F7F57" w:rsidP="003F7F57">
      <w:pPr>
        <w:pStyle w:val="SingleTxtG"/>
        <w:rPr>
          <w:lang w:val="fr-FR"/>
        </w:rPr>
      </w:pPr>
      <w:r w:rsidRPr="000F7862">
        <w:rPr>
          <w:lang w:val="fr-FR"/>
        </w:rPr>
        <w:t>18.</w:t>
      </w:r>
      <w:r w:rsidRPr="000F7862">
        <w:rPr>
          <w:lang w:val="fr-FR"/>
        </w:rPr>
        <w:tab/>
      </w:r>
      <w:r w:rsidR="00F03D3A" w:rsidRPr="000F7862">
        <w:rPr>
          <w:lang w:val="fr-FR"/>
        </w:rPr>
        <w:t xml:space="preserve">Fait significatif, la </w:t>
      </w:r>
      <w:r w:rsidR="0086185C" w:rsidRPr="000F7862">
        <w:rPr>
          <w:lang w:val="fr-FR"/>
        </w:rPr>
        <w:t xml:space="preserve">NCIP </w:t>
      </w:r>
      <w:r w:rsidR="00F03D3A" w:rsidRPr="000F7862">
        <w:rPr>
          <w:lang w:val="fr-FR"/>
        </w:rPr>
        <w:t xml:space="preserve">siège en tant que membre </w:t>
      </w:r>
      <w:r w:rsidR="0086185C" w:rsidRPr="000F7862">
        <w:rPr>
          <w:lang w:val="fr-FR"/>
        </w:rPr>
        <w:t xml:space="preserve">permanent </w:t>
      </w:r>
      <w:r w:rsidR="00F03D3A" w:rsidRPr="000F7862">
        <w:rPr>
          <w:lang w:val="fr-FR"/>
        </w:rPr>
        <w:t>du Comité de coordination de l</w:t>
      </w:r>
      <w:r w:rsidR="00120E2E" w:rsidRPr="000F7862">
        <w:rPr>
          <w:lang w:val="fr-FR"/>
        </w:rPr>
        <w:t>’</w:t>
      </w:r>
      <w:r w:rsidR="00F03D3A" w:rsidRPr="000F7862">
        <w:rPr>
          <w:lang w:val="fr-FR"/>
        </w:rPr>
        <w:t xml:space="preserve">industrie minière et de son Groupe de travail technique </w:t>
      </w:r>
      <w:r w:rsidR="0086185C" w:rsidRPr="000F7862">
        <w:rPr>
          <w:lang w:val="fr-FR"/>
        </w:rPr>
        <w:t>cr</w:t>
      </w:r>
      <w:r w:rsidR="00F03D3A" w:rsidRPr="000F7862">
        <w:rPr>
          <w:lang w:val="fr-FR"/>
        </w:rPr>
        <w:t xml:space="preserve">éé par le décret-loi </w:t>
      </w:r>
      <w:r w:rsidR="00730F8F" w:rsidRPr="000F7862">
        <w:rPr>
          <w:lang w:val="fr-FR"/>
        </w:rPr>
        <w:t>n</w:t>
      </w:r>
      <w:r w:rsidR="00730F8F" w:rsidRPr="000F7862">
        <w:rPr>
          <w:vertAlign w:val="superscript"/>
          <w:lang w:val="fr-FR"/>
        </w:rPr>
        <w:t>o</w:t>
      </w:r>
      <w:r w:rsidR="00730F8F" w:rsidRPr="000F7862">
        <w:rPr>
          <w:lang w:val="fr-FR"/>
        </w:rPr>
        <w:t> </w:t>
      </w:r>
      <w:r w:rsidR="0086185C" w:rsidRPr="000F7862">
        <w:rPr>
          <w:lang w:val="fr-FR"/>
        </w:rPr>
        <w:t xml:space="preserve">79, </w:t>
      </w:r>
      <w:r w:rsidR="000D15BD" w:rsidRPr="000F7862">
        <w:rPr>
          <w:lang w:val="fr-FR"/>
        </w:rPr>
        <w:t>qui énonce les grandes orientations de l</w:t>
      </w:r>
      <w:r w:rsidR="00120E2E" w:rsidRPr="000F7862">
        <w:rPr>
          <w:lang w:val="fr-FR"/>
        </w:rPr>
        <w:t>’</w:t>
      </w:r>
      <w:r w:rsidR="000D15BD" w:rsidRPr="000F7862">
        <w:rPr>
          <w:lang w:val="fr-FR"/>
        </w:rPr>
        <w:t>administration en ce qui concerne l</w:t>
      </w:r>
      <w:r w:rsidR="00120E2E" w:rsidRPr="000F7862">
        <w:rPr>
          <w:lang w:val="fr-FR"/>
        </w:rPr>
        <w:t>’</w:t>
      </w:r>
      <w:r w:rsidR="000D15BD" w:rsidRPr="000F7862">
        <w:rPr>
          <w:lang w:val="fr-FR"/>
        </w:rPr>
        <w:t>industrie minière</w:t>
      </w:r>
      <w:r w:rsidR="0086185C" w:rsidRPr="000F7862">
        <w:rPr>
          <w:lang w:val="fr-FR"/>
        </w:rPr>
        <w:t xml:space="preserve">. </w:t>
      </w:r>
      <w:r w:rsidR="000D15BD" w:rsidRPr="000F7862">
        <w:rPr>
          <w:lang w:val="fr-FR"/>
        </w:rPr>
        <w:t xml:space="preserve">Ce décret-loi reconnaît expressément le droit des </w:t>
      </w:r>
      <w:r w:rsidR="0086185C" w:rsidRPr="000F7862">
        <w:rPr>
          <w:lang w:val="fr-FR"/>
        </w:rPr>
        <w:t xml:space="preserve">IP/ICC </w:t>
      </w:r>
      <w:r w:rsidR="000D15BD" w:rsidRPr="000F7862">
        <w:rPr>
          <w:lang w:val="fr-FR"/>
        </w:rPr>
        <w:t xml:space="preserve">à donner leur </w:t>
      </w:r>
      <w:r w:rsidR="000D15BD" w:rsidRPr="000F7862">
        <w:rPr>
          <w:color w:val="000000"/>
          <w:lang w:val="fr-FR"/>
        </w:rPr>
        <w:t>consentement préalable, libre et éclairé</w:t>
      </w:r>
      <w:r w:rsidR="0086185C" w:rsidRPr="000F7862">
        <w:rPr>
          <w:lang w:val="fr-FR"/>
        </w:rPr>
        <w:t xml:space="preserve"> </w:t>
      </w:r>
      <w:r w:rsidR="000D15BD" w:rsidRPr="000F7862">
        <w:rPr>
          <w:lang w:val="fr-FR"/>
        </w:rPr>
        <w:t>s</w:t>
      </w:r>
      <w:r w:rsidR="00120E2E" w:rsidRPr="000F7862">
        <w:rPr>
          <w:lang w:val="fr-FR"/>
        </w:rPr>
        <w:t>’</w:t>
      </w:r>
      <w:r w:rsidR="000D15BD" w:rsidRPr="000F7862">
        <w:rPr>
          <w:lang w:val="fr-FR"/>
        </w:rPr>
        <w:t>agissant des activités minières de grande ampleur</w:t>
      </w:r>
      <w:r w:rsidR="0086185C" w:rsidRPr="000F7862">
        <w:rPr>
          <w:lang w:val="fr-FR"/>
        </w:rPr>
        <w:t xml:space="preserve">. </w:t>
      </w:r>
      <w:r w:rsidR="000D15BD" w:rsidRPr="000F7862">
        <w:rPr>
          <w:lang w:val="fr-FR"/>
        </w:rPr>
        <w:t>Dans l</w:t>
      </w:r>
      <w:r w:rsidR="00120E2E" w:rsidRPr="000F7862">
        <w:rPr>
          <w:lang w:val="fr-FR"/>
        </w:rPr>
        <w:t>’</w:t>
      </w:r>
      <w:r w:rsidR="000D15BD" w:rsidRPr="000F7862">
        <w:rPr>
          <w:lang w:val="fr-FR"/>
        </w:rPr>
        <w:t xml:space="preserve">optique de ce décret-loi, la </w:t>
      </w:r>
      <w:r w:rsidR="0086185C" w:rsidRPr="000F7862">
        <w:rPr>
          <w:lang w:val="fr-FR"/>
        </w:rPr>
        <w:t xml:space="preserve">NCIP </w:t>
      </w:r>
      <w:r w:rsidR="000D15BD" w:rsidRPr="000F7862">
        <w:rPr>
          <w:lang w:val="fr-FR"/>
        </w:rPr>
        <w:t>a soumis sa contribution au projet de Directives nationales régissant le contrôle du respect des droits de l</w:t>
      </w:r>
      <w:r w:rsidR="00120E2E" w:rsidRPr="000F7862">
        <w:rPr>
          <w:lang w:val="fr-FR"/>
        </w:rPr>
        <w:t>’</w:t>
      </w:r>
      <w:r w:rsidR="000D15BD" w:rsidRPr="000F7862">
        <w:rPr>
          <w:lang w:val="fr-FR"/>
        </w:rPr>
        <w:t>homme dans l</w:t>
      </w:r>
      <w:r w:rsidR="00120E2E" w:rsidRPr="000F7862">
        <w:rPr>
          <w:lang w:val="fr-FR"/>
        </w:rPr>
        <w:t>’</w:t>
      </w:r>
      <w:r w:rsidR="000D15BD" w:rsidRPr="000F7862">
        <w:rPr>
          <w:lang w:val="fr-FR"/>
        </w:rPr>
        <w:t>industrie minière</w:t>
      </w:r>
      <w:r w:rsidR="0086185C" w:rsidRPr="000F7862">
        <w:rPr>
          <w:lang w:val="fr-FR"/>
        </w:rPr>
        <w:t xml:space="preserve">. </w:t>
      </w:r>
    </w:p>
    <w:p w:rsidR="0086185C" w:rsidRPr="000F7862" w:rsidRDefault="003F7F57" w:rsidP="003F7F57">
      <w:pPr>
        <w:pStyle w:val="SingleTxtG"/>
        <w:rPr>
          <w:lang w:val="fr-FR"/>
        </w:rPr>
      </w:pPr>
      <w:r w:rsidRPr="000F7862">
        <w:rPr>
          <w:lang w:val="fr-FR"/>
        </w:rPr>
        <w:t>19.</w:t>
      </w:r>
      <w:r w:rsidRPr="000F7862">
        <w:rPr>
          <w:lang w:val="fr-FR"/>
        </w:rPr>
        <w:tab/>
      </w:r>
      <w:r w:rsidR="00DB4196" w:rsidRPr="000F7862">
        <w:rPr>
          <w:lang w:val="fr-FR"/>
        </w:rPr>
        <w:t>Pour traiter des plaintes pour violation présumée des droits des IP</w:t>
      </w:r>
      <w:r w:rsidR="0005004C" w:rsidRPr="000F7862">
        <w:rPr>
          <w:lang w:val="fr-FR"/>
        </w:rPr>
        <w:t xml:space="preserve"> </w:t>
      </w:r>
      <w:r w:rsidR="00DB4196" w:rsidRPr="000F7862">
        <w:rPr>
          <w:lang w:val="fr-FR"/>
        </w:rPr>
        <w:t xml:space="preserve">sur les domaines ancestraux qui incluent celles liées aux activités minières, la </w:t>
      </w:r>
      <w:r w:rsidR="0086185C" w:rsidRPr="000F7862">
        <w:rPr>
          <w:lang w:val="fr-FR"/>
        </w:rPr>
        <w:t xml:space="preserve">NCIP </w:t>
      </w:r>
      <w:r w:rsidR="00DB4196" w:rsidRPr="000F7862">
        <w:rPr>
          <w:lang w:val="fr-FR"/>
        </w:rPr>
        <w:t>s</w:t>
      </w:r>
      <w:r w:rsidR="00120E2E" w:rsidRPr="000F7862">
        <w:rPr>
          <w:lang w:val="fr-FR"/>
        </w:rPr>
        <w:t>’</w:t>
      </w:r>
      <w:r w:rsidR="00DB4196" w:rsidRPr="000F7862">
        <w:rPr>
          <w:lang w:val="fr-FR"/>
        </w:rPr>
        <w:t xml:space="preserve">est attachée à </w:t>
      </w:r>
      <w:r w:rsidR="0086185C" w:rsidRPr="000F7862">
        <w:rPr>
          <w:lang w:val="fr-FR"/>
        </w:rPr>
        <w:t>institution</w:t>
      </w:r>
      <w:r w:rsidR="00DB4196" w:rsidRPr="000F7862">
        <w:rPr>
          <w:lang w:val="fr-FR"/>
        </w:rPr>
        <w:t>naliser un mécanisme d</w:t>
      </w:r>
      <w:r w:rsidR="00120E2E" w:rsidRPr="000F7862">
        <w:rPr>
          <w:lang w:val="fr-FR"/>
        </w:rPr>
        <w:t>’</w:t>
      </w:r>
      <w:r w:rsidR="00DB4196" w:rsidRPr="000F7862">
        <w:rPr>
          <w:lang w:val="fr-FR"/>
        </w:rPr>
        <w:t>intervention rapide pour aider à atténuer la violence de l</w:t>
      </w:r>
      <w:r w:rsidR="00120E2E" w:rsidRPr="000F7862">
        <w:rPr>
          <w:lang w:val="fr-FR"/>
        </w:rPr>
        <w:t>’</w:t>
      </w:r>
      <w:r w:rsidR="00DB4196" w:rsidRPr="000F7862">
        <w:rPr>
          <w:lang w:val="fr-FR"/>
        </w:rPr>
        <w:t xml:space="preserve">impact de ces violations et pourvoir à la sécurité des </w:t>
      </w:r>
      <w:r w:rsidR="0086185C" w:rsidRPr="000F7862">
        <w:rPr>
          <w:lang w:val="fr-FR"/>
        </w:rPr>
        <w:t>IP</w:t>
      </w:r>
      <w:r w:rsidR="00DB4196" w:rsidRPr="000F7862">
        <w:rPr>
          <w:lang w:val="fr-FR"/>
        </w:rPr>
        <w:t>/ICC</w:t>
      </w:r>
      <w:r w:rsidR="0086185C" w:rsidRPr="000F7862">
        <w:rPr>
          <w:lang w:val="fr-FR"/>
        </w:rPr>
        <w:t xml:space="preserve"> </w:t>
      </w:r>
      <w:r w:rsidR="00DB4196" w:rsidRPr="000F7862">
        <w:rPr>
          <w:lang w:val="fr-FR"/>
        </w:rPr>
        <w:t>dans les cas où leur vie, leurs domaines ancestraux et leurs communautés s</w:t>
      </w:r>
      <w:r w:rsidR="00FF4358" w:rsidRPr="000F7862">
        <w:rPr>
          <w:lang w:val="fr-FR"/>
        </w:rPr>
        <w:t xml:space="preserve">eraient </w:t>
      </w:r>
      <w:r w:rsidR="00DB4196" w:rsidRPr="000F7862">
        <w:rPr>
          <w:lang w:val="fr-FR"/>
        </w:rPr>
        <w:t>menacés par des projets gouvernementaux</w:t>
      </w:r>
      <w:r w:rsidR="0086185C" w:rsidRPr="000F7862">
        <w:rPr>
          <w:lang w:val="fr-FR"/>
        </w:rPr>
        <w:t xml:space="preserve">, </w:t>
      </w:r>
      <w:r w:rsidR="00DB4196" w:rsidRPr="000F7862">
        <w:rPr>
          <w:lang w:val="fr-FR"/>
        </w:rPr>
        <w:t>des opérations de lutte contre l</w:t>
      </w:r>
      <w:r w:rsidR="00120E2E" w:rsidRPr="000F7862">
        <w:rPr>
          <w:lang w:val="fr-FR"/>
        </w:rPr>
        <w:t>’</w:t>
      </w:r>
      <w:r w:rsidR="00DB4196" w:rsidRPr="000F7862">
        <w:rPr>
          <w:lang w:val="fr-FR"/>
        </w:rPr>
        <w:t>insurrection</w:t>
      </w:r>
      <w:r w:rsidR="0086185C" w:rsidRPr="000F7862">
        <w:rPr>
          <w:lang w:val="fr-FR"/>
        </w:rPr>
        <w:t xml:space="preserve">, </w:t>
      </w:r>
      <w:r w:rsidR="00DB4196" w:rsidRPr="000F7862">
        <w:rPr>
          <w:lang w:val="fr-FR"/>
        </w:rPr>
        <w:t xml:space="preserve">la </w:t>
      </w:r>
      <w:r w:rsidR="0086185C" w:rsidRPr="000F7862">
        <w:rPr>
          <w:lang w:val="fr-FR"/>
        </w:rPr>
        <w:t>militari</w:t>
      </w:r>
      <w:r w:rsidR="00DB4196" w:rsidRPr="000F7862">
        <w:rPr>
          <w:lang w:val="fr-FR"/>
        </w:rPr>
        <w:t>s</w:t>
      </w:r>
      <w:r w:rsidR="0086185C" w:rsidRPr="000F7862">
        <w:rPr>
          <w:lang w:val="fr-FR"/>
        </w:rPr>
        <w:t xml:space="preserve">ation </w:t>
      </w:r>
      <w:r w:rsidR="00DB4196" w:rsidRPr="000F7862">
        <w:rPr>
          <w:lang w:val="fr-FR"/>
        </w:rPr>
        <w:t>et les conflits armés</w:t>
      </w:r>
      <w:r w:rsidR="0086185C" w:rsidRPr="000F7862">
        <w:rPr>
          <w:lang w:val="fr-FR"/>
        </w:rPr>
        <w:t xml:space="preserve">. </w:t>
      </w:r>
    </w:p>
    <w:p w:rsidR="0086185C" w:rsidRPr="000F7862" w:rsidRDefault="003F7F57" w:rsidP="003F7F57">
      <w:pPr>
        <w:pStyle w:val="SingleTxtG"/>
        <w:rPr>
          <w:lang w:val="fr-FR"/>
        </w:rPr>
      </w:pPr>
      <w:r w:rsidRPr="000F7862">
        <w:rPr>
          <w:lang w:val="fr-FR"/>
        </w:rPr>
        <w:t>20.</w:t>
      </w:r>
      <w:r w:rsidRPr="000F7862">
        <w:rPr>
          <w:lang w:val="fr-FR"/>
        </w:rPr>
        <w:tab/>
      </w:r>
      <w:r w:rsidR="0038296F" w:rsidRPr="000F7862">
        <w:rPr>
          <w:lang w:val="fr-FR"/>
        </w:rPr>
        <w:t>Le mécanisme susvisé consiste en un partenariat interinstitutionnel ou équipe d</w:t>
      </w:r>
      <w:r w:rsidR="00120E2E" w:rsidRPr="000F7862">
        <w:rPr>
          <w:lang w:val="fr-FR"/>
        </w:rPr>
        <w:t>’</w:t>
      </w:r>
      <w:r w:rsidR="0038296F" w:rsidRPr="000F7862">
        <w:rPr>
          <w:lang w:val="fr-FR"/>
        </w:rPr>
        <w:t>intervention rapide placé sous l</w:t>
      </w:r>
      <w:r w:rsidR="00120E2E" w:rsidRPr="000F7862">
        <w:rPr>
          <w:lang w:val="fr-FR"/>
        </w:rPr>
        <w:t>’</w:t>
      </w:r>
      <w:r w:rsidR="0038296F" w:rsidRPr="000F7862">
        <w:rPr>
          <w:lang w:val="fr-FR"/>
        </w:rPr>
        <w:t xml:space="preserve">autorité de la </w:t>
      </w:r>
      <w:r w:rsidR="0086185C" w:rsidRPr="000F7862">
        <w:rPr>
          <w:lang w:val="fr-FR"/>
        </w:rPr>
        <w:t xml:space="preserve">NCIP </w:t>
      </w:r>
      <w:r w:rsidR="0038296F" w:rsidRPr="000F7862">
        <w:rPr>
          <w:lang w:val="fr-FR"/>
        </w:rPr>
        <w:t>par l</w:t>
      </w:r>
      <w:r w:rsidR="00120E2E" w:rsidRPr="000F7862">
        <w:rPr>
          <w:lang w:val="fr-FR"/>
        </w:rPr>
        <w:t>’</w:t>
      </w:r>
      <w:r w:rsidR="0038296F" w:rsidRPr="000F7862">
        <w:rPr>
          <w:lang w:val="fr-FR"/>
        </w:rPr>
        <w:t>intermédiaire de ses unités d</w:t>
      </w:r>
      <w:r w:rsidR="00120E2E" w:rsidRPr="000F7862">
        <w:rPr>
          <w:lang w:val="fr-FR"/>
        </w:rPr>
        <w:t>’</w:t>
      </w:r>
      <w:r w:rsidR="0038296F" w:rsidRPr="000F7862">
        <w:rPr>
          <w:lang w:val="fr-FR"/>
        </w:rPr>
        <w:t>intervention rapide</w:t>
      </w:r>
      <w:r w:rsidR="0086185C" w:rsidRPr="000F7862">
        <w:rPr>
          <w:lang w:val="fr-FR"/>
        </w:rPr>
        <w:t xml:space="preserve">. </w:t>
      </w:r>
      <w:r w:rsidR="0038296F" w:rsidRPr="000F7862">
        <w:rPr>
          <w:lang w:val="fr-FR"/>
        </w:rPr>
        <w:t>On trouve un mécanisme coiffant ces unités et les équipes interinstitutionnelles d</w:t>
      </w:r>
      <w:r w:rsidR="00120E2E" w:rsidRPr="000F7862">
        <w:rPr>
          <w:lang w:val="fr-FR"/>
        </w:rPr>
        <w:t>’</w:t>
      </w:r>
      <w:r w:rsidR="0038296F" w:rsidRPr="000F7862">
        <w:rPr>
          <w:lang w:val="fr-FR"/>
        </w:rPr>
        <w:t xml:space="preserve">intervention rapide de la </w:t>
      </w:r>
      <w:r w:rsidR="0086185C" w:rsidRPr="000F7862">
        <w:rPr>
          <w:lang w:val="fr-FR"/>
        </w:rPr>
        <w:t xml:space="preserve">NCIP </w:t>
      </w:r>
      <w:r w:rsidR="0038296F" w:rsidRPr="000F7862">
        <w:rPr>
          <w:lang w:val="fr-FR"/>
        </w:rPr>
        <w:t>à chaque niveau (</w:t>
      </w:r>
      <w:r w:rsidR="0086185C" w:rsidRPr="000F7862">
        <w:rPr>
          <w:lang w:val="fr-FR"/>
        </w:rPr>
        <w:t>national/central, r</w:t>
      </w:r>
      <w:r w:rsidR="0038296F" w:rsidRPr="000F7862">
        <w:rPr>
          <w:lang w:val="fr-FR"/>
        </w:rPr>
        <w:t>égional, provincial et local) où ont été déposées des plaintes pour violation des droits des IP</w:t>
      </w:r>
      <w:r w:rsidR="0086185C" w:rsidRPr="000F7862">
        <w:rPr>
          <w:lang w:val="fr-FR"/>
        </w:rPr>
        <w:t xml:space="preserve">. </w:t>
      </w:r>
      <w:r w:rsidR="0038296F" w:rsidRPr="000F7862">
        <w:rPr>
          <w:lang w:val="fr-FR"/>
        </w:rPr>
        <w:t>Les unités d</w:t>
      </w:r>
      <w:r w:rsidR="00120E2E" w:rsidRPr="000F7862">
        <w:rPr>
          <w:lang w:val="fr-FR"/>
        </w:rPr>
        <w:t>’</w:t>
      </w:r>
      <w:r w:rsidR="0038296F" w:rsidRPr="000F7862">
        <w:rPr>
          <w:lang w:val="fr-FR"/>
        </w:rPr>
        <w:t xml:space="preserve">intervention rapide de la </w:t>
      </w:r>
      <w:r w:rsidR="0086185C" w:rsidRPr="000F7862">
        <w:rPr>
          <w:lang w:val="fr-FR"/>
        </w:rPr>
        <w:t xml:space="preserve">NCIP </w:t>
      </w:r>
      <w:r w:rsidR="0038296F" w:rsidRPr="000F7862">
        <w:rPr>
          <w:lang w:val="fr-FR"/>
        </w:rPr>
        <w:t>associent</w:t>
      </w:r>
      <w:r w:rsidR="00F35872" w:rsidRPr="000F7862">
        <w:rPr>
          <w:lang w:val="fr-FR"/>
        </w:rPr>
        <w:t xml:space="preserve"> à leur travail les </w:t>
      </w:r>
      <w:r w:rsidR="0086185C" w:rsidRPr="000F7862">
        <w:rPr>
          <w:lang w:val="fr-FR"/>
        </w:rPr>
        <w:t>IP</w:t>
      </w:r>
      <w:r w:rsidR="00F35872" w:rsidRPr="000F7862">
        <w:rPr>
          <w:lang w:val="fr-FR"/>
        </w:rPr>
        <w:t>/ICC</w:t>
      </w:r>
      <w:r w:rsidR="0086185C" w:rsidRPr="000F7862">
        <w:rPr>
          <w:lang w:val="fr-FR"/>
        </w:rPr>
        <w:t xml:space="preserve"> </w:t>
      </w:r>
      <w:r w:rsidR="00F35872" w:rsidRPr="000F7862">
        <w:rPr>
          <w:lang w:val="fr-FR"/>
        </w:rPr>
        <w:t>vivant sur leurs domaines ancestraux, de sorte que les plaintes peuvent être immédiatement validées, traitées et transmises à l</w:t>
      </w:r>
      <w:r w:rsidR="00120E2E" w:rsidRPr="000F7862">
        <w:rPr>
          <w:lang w:val="fr-FR"/>
        </w:rPr>
        <w:t>’</w:t>
      </w:r>
      <w:r w:rsidR="00F35872" w:rsidRPr="000F7862">
        <w:rPr>
          <w:lang w:val="fr-FR"/>
        </w:rPr>
        <w:t>unité d</w:t>
      </w:r>
      <w:r w:rsidR="00120E2E" w:rsidRPr="000F7862">
        <w:rPr>
          <w:lang w:val="fr-FR"/>
        </w:rPr>
        <w:t>’</w:t>
      </w:r>
      <w:r w:rsidR="00F35872" w:rsidRPr="000F7862">
        <w:rPr>
          <w:lang w:val="fr-FR"/>
        </w:rPr>
        <w:t xml:space="preserve">intervention rapide centrale de la </w:t>
      </w:r>
      <w:r w:rsidR="0086185C" w:rsidRPr="000F7862">
        <w:rPr>
          <w:lang w:val="fr-FR"/>
        </w:rPr>
        <w:t xml:space="preserve">NCIP </w:t>
      </w:r>
      <w:r w:rsidR="00F35872" w:rsidRPr="000F7862">
        <w:rPr>
          <w:lang w:val="fr-FR"/>
        </w:rPr>
        <w:t>aux fins de l</w:t>
      </w:r>
      <w:r w:rsidR="00120E2E" w:rsidRPr="000F7862">
        <w:rPr>
          <w:lang w:val="fr-FR"/>
        </w:rPr>
        <w:t>’</w:t>
      </w:r>
      <w:r w:rsidR="00F35872" w:rsidRPr="000F7862">
        <w:rPr>
          <w:lang w:val="fr-FR"/>
        </w:rPr>
        <w:t>établissement d</w:t>
      </w:r>
      <w:r w:rsidR="00120E2E" w:rsidRPr="000F7862">
        <w:rPr>
          <w:lang w:val="fr-FR"/>
        </w:rPr>
        <w:t>’</w:t>
      </w:r>
      <w:r w:rsidR="00F35872" w:rsidRPr="000F7862">
        <w:rPr>
          <w:lang w:val="fr-FR"/>
        </w:rPr>
        <w:t xml:space="preserve">une banque de données et </w:t>
      </w:r>
      <w:r w:rsidR="006B3031" w:rsidRPr="000F7862">
        <w:rPr>
          <w:lang w:val="fr-FR"/>
        </w:rPr>
        <w:t xml:space="preserve">des mesures </w:t>
      </w:r>
      <w:r w:rsidR="00564D2B" w:rsidRPr="000F7862">
        <w:rPr>
          <w:lang w:val="fr-FR"/>
        </w:rPr>
        <w:t xml:space="preserve">appropriées </w:t>
      </w:r>
      <w:r w:rsidR="006B3031" w:rsidRPr="000F7862">
        <w:rPr>
          <w:lang w:val="fr-FR"/>
        </w:rPr>
        <w:t>à prendre</w:t>
      </w:r>
      <w:r w:rsidR="0086185C" w:rsidRPr="000F7862">
        <w:rPr>
          <w:lang w:val="fr-FR"/>
        </w:rPr>
        <w:t>.</w:t>
      </w:r>
      <w:r w:rsidR="00564D2B" w:rsidRPr="000F7862">
        <w:rPr>
          <w:lang w:val="fr-FR"/>
        </w:rPr>
        <w:t xml:space="preserve"> Le mécanisme d</w:t>
      </w:r>
      <w:r w:rsidR="00120E2E" w:rsidRPr="000F7862">
        <w:rPr>
          <w:lang w:val="fr-FR"/>
        </w:rPr>
        <w:t>’</w:t>
      </w:r>
      <w:r w:rsidR="00564D2B" w:rsidRPr="000F7862">
        <w:rPr>
          <w:lang w:val="fr-FR"/>
        </w:rPr>
        <w:t xml:space="preserve">intervention rapide sert également à améliorer la </w:t>
      </w:r>
      <w:r w:rsidR="0086185C" w:rsidRPr="000F7862">
        <w:rPr>
          <w:lang w:val="fr-FR"/>
        </w:rPr>
        <w:t xml:space="preserve">coordination </w:t>
      </w:r>
      <w:r w:rsidR="00564D2B" w:rsidRPr="000F7862">
        <w:rPr>
          <w:lang w:val="fr-FR"/>
        </w:rPr>
        <w:t>entre les principaux organismes publics afin de pouvoir réagir dans les plus brefs délais possibles aux signalements des violations des droits des IP dans les domaines ancestraux</w:t>
      </w:r>
      <w:r w:rsidR="0086185C" w:rsidRPr="000F7862">
        <w:rPr>
          <w:lang w:val="fr-FR"/>
        </w:rPr>
        <w:t xml:space="preserve">. </w:t>
      </w:r>
    </w:p>
    <w:p w:rsidR="0086185C" w:rsidRPr="000F7862" w:rsidRDefault="003F7F57" w:rsidP="003F7F57">
      <w:pPr>
        <w:pStyle w:val="SingleTxtG"/>
        <w:rPr>
          <w:lang w:val="fr-FR"/>
        </w:rPr>
      </w:pPr>
      <w:r w:rsidRPr="000F7862">
        <w:rPr>
          <w:lang w:val="fr-FR"/>
        </w:rPr>
        <w:t>21.</w:t>
      </w:r>
      <w:r w:rsidRPr="000F7862">
        <w:rPr>
          <w:lang w:val="fr-FR"/>
        </w:rPr>
        <w:tab/>
      </w:r>
      <w:r w:rsidR="00564D2B" w:rsidRPr="000F7862">
        <w:rPr>
          <w:lang w:val="fr-FR"/>
        </w:rPr>
        <w:t xml:space="preserve">En ce qui concerne ces violations, la </w:t>
      </w:r>
      <w:r w:rsidR="0086185C" w:rsidRPr="000F7862">
        <w:rPr>
          <w:lang w:val="fr-FR"/>
        </w:rPr>
        <w:t xml:space="preserve">NCIP </w:t>
      </w:r>
      <w:r w:rsidR="00564D2B" w:rsidRPr="000F7862">
        <w:rPr>
          <w:lang w:val="fr-FR"/>
        </w:rPr>
        <w:t>a signé un mé</w:t>
      </w:r>
      <w:r w:rsidR="0086185C" w:rsidRPr="000F7862">
        <w:rPr>
          <w:lang w:val="fr-FR"/>
        </w:rPr>
        <w:t xml:space="preserve">morandum </w:t>
      </w:r>
      <w:r w:rsidR="00564D2B" w:rsidRPr="000F7862">
        <w:rPr>
          <w:lang w:val="fr-FR"/>
        </w:rPr>
        <w:t>d</w:t>
      </w:r>
      <w:r w:rsidR="00120E2E" w:rsidRPr="000F7862">
        <w:rPr>
          <w:lang w:val="fr-FR"/>
        </w:rPr>
        <w:t>’</w:t>
      </w:r>
      <w:r w:rsidR="00564D2B" w:rsidRPr="000F7862">
        <w:rPr>
          <w:lang w:val="fr-FR"/>
        </w:rPr>
        <w:t xml:space="preserve">accord avec les </w:t>
      </w:r>
      <w:r w:rsidR="0086185C" w:rsidRPr="000F7862">
        <w:rPr>
          <w:lang w:val="fr-FR"/>
        </w:rPr>
        <w:t xml:space="preserve">Forces </w:t>
      </w:r>
      <w:r w:rsidR="00564D2B" w:rsidRPr="000F7862">
        <w:rPr>
          <w:lang w:val="fr-FR"/>
        </w:rPr>
        <w:t xml:space="preserve">armées des </w:t>
      </w:r>
      <w:r w:rsidR="0086185C" w:rsidRPr="000F7862">
        <w:rPr>
          <w:lang w:val="fr-FR"/>
        </w:rPr>
        <w:t xml:space="preserve">Philippines </w:t>
      </w:r>
      <w:r w:rsidR="00564D2B" w:rsidRPr="000F7862">
        <w:rPr>
          <w:lang w:val="fr-FR"/>
        </w:rPr>
        <w:t xml:space="preserve">en vue de la création et </w:t>
      </w:r>
      <w:r w:rsidR="001C46BB" w:rsidRPr="000F7862">
        <w:rPr>
          <w:lang w:val="fr-FR"/>
        </w:rPr>
        <w:t>de la mise en place d</w:t>
      </w:r>
      <w:r w:rsidR="00120E2E" w:rsidRPr="000F7862">
        <w:rPr>
          <w:lang w:val="fr-FR"/>
        </w:rPr>
        <w:t>’</w:t>
      </w:r>
      <w:r w:rsidR="001C46BB" w:rsidRPr="000F7862">
        <w:rPr>
          <w:lang w:val="fr-FR"/>
        </w:rPr>
        <w:t>un bureau chargé des IP à tous les niveaux du commandement, des unités et des opérations des Forces armées</w:t>
      </w:r>
      <w:r w:rsidR="0086185C" w:rsidRPr="000F7862">
        <w:rPr>
          <w:lang w:val="fr-FR"/>
        </w:rPr>
        <w:t xml:space="preserve">. </w:t>
      </w:r>
      <w:r w:rsidR="001C46BB" w:rsidRPr="000F7862">
        <w:rPr>
          <w:lang w:val="fr-FR"/>
        </w:rPr>
        <w:t>Un avant-projet de mémorandum d</w:t>
      </w:r>
      <w:r w:rsidR="00120E2E" w:rsidRPr="000F7862">
        <w:rPr>
          <w:lang w:val="fr-FR"/>
        </w:rPr>
        <w:t>’</w:t>
      </w:r>
      <w:r w:rsidR="001C46BB" w:rsidRPr="000F7862">
        <w:rPr>
          <w:lang w:val="fr-FR"/>
        </w:rPr>
        <w:t>accord avec le Ministère de l</w:t>
      </w:r>
      <w:r w:rsidR="00120E2E" w:rsidRPr="000F7862">
        <w:rPr>
          <w:lang w:val="fr-FR"/>
        </w:rPr>
        <w:t>’</w:t>
      </w:r>
      <w:r w:rsidR="001C46BB" w:rsidRPr="000F7862">
        <w:rPr>
          <w:lang w:val="fr-FR"/>
        </w:rPr>
        <w:t xml:space="preserve">intérieur et des collectivités locales et la Police nationale des </w:t>
      </w:r>
      <w:r w:rsidR="0086185C" w:rsidRPr="000F7862">
        <w:rPr>
          <w:lang w:val="fr-FR"/>
        </w:rPr>
        <w:t>Philippine</w:t>
      </w:r>
      <w:r w:rsidR="001C46BB" w:rsidRPr="000F7862">
        <w:rPr>
          <w:lang w:val="fr-FR"/>
        </w:rPr>
        <w:t>s a fait l</w:t>
      </w:r>
      <w:r w:rsidR="00120E2E" w:rsidRPr="000F7862">
        <w:rPr>
          <w:lang w:val="fr-FR"/>
        </w:rPr>
        <w:t>’</w:t>
      </w:r>
      <w:r w:rsidR="001C46BB" w:rsidRPr="000F7862">
        <w:rPr>
          <w:lang w:val="fr-FR"/>
        </w:rPr>
        <w:t>objet de discussion</w:t>
      </w:r>
      <w:r w:rsidR="005B56A0" w:rsidRPr="000F7862">
        <w:rPr>
          <w:lang w:val="fr-FR"/>
        </w:rPr>
        <w:t>,</w:t>
      </w:r>
      <w:r w:rsidR="001C46BB" w:rsidRPr="000F7862">
        <w:rPr>
          <w:lang w:val="fr-FR"/>
        </w:rPr>
        <w:t xml:space="preserve"> et d</w:t>
      </w:r>
      <w:r w:rsidR="00120E2E" w:rsidRPr="000F7862">
        <w:rPr>
          <w:lang w:val="fr-FR"/>
        </w:rPr>
        <w:t>’</w:t>
      </w:r>
      <w:r w:rsidR="001C46BB" w:rsidRPr="000F7862">
        <w:rPr>
          <w:lang w:val="fr-FR"/>
        </w:rPr>
        <w:t xml:space="preserve">autres initiatives analogues </w:t>
      </w:r>
      <w:r w:rsidR="005B56A0" w:rsidRPr="000F7862">
        <w:rPr>
          <w:lang w:val="fr-FR"/>
        </w:rPr>
        <w:t xml:space="preserve">lancées </w:t>
      </w:r>
      <w:r w:rsidR="001C46BB" w:rsidRPr="000F7862">
        <w:rPr>
          <w:lang w:val="fr-FR"/>
        </w:rPr>
        <w:t>avec d</w:t>
      </w:r>
      <w:r w:rsidR="00120E2E" w:rsidRPr="000F7862">
        <w:rPr>
          <w:lang w:val="fr-FR"/>
        </w:rPr>
        <w:t>’</w:t>
      </w:r>
      <w:r w:rsidR="001C46BB" w:rsidRPr="000F7862">
        <w:rPr>
          <w:lang w:val="fr-FR"/>
        </w:rPr>
        <w:t>autres organismes publics, tels que la Commission des droits de l</w:t>
      </w:r>
      <w:r w:rsidR="00120E2E" w:rsidRPr="000F7862">
        <w:rPr>
          <w:lang w:val="fr-FR"/>
        </w:rPr>
        <w:t>’</w:t>
      </w:r>
      <w:r w:rsidR="001C46BB" w:rsidRPr="000F7862">
        <w:rPr>
          <w:lang w:val="fr-FR"/>
        </w:rPr>
        <w:t xml:space="preserve">homme des Philippines, le Bureau du Conseiller présidentiel chargé du processus de paix </w:t>
      </w:r>
      <w:r w:rsidR="005B56A0" w:rsidRPr="000F7862">
        <w:rPr>
          <w:lang w:val="fr-FR"/>
        </w:rPr>
        <w:t>et</w:t>
      </w:r>
      <w:r w:rsidR="0086185C" w:rsidRPr="000F7862">
        <w:rPr>
          <w:lang w:val="fr-FR"/>
        </w:rPr>
        <w:t xml:space="preserve"> </w:t>
      </w:r>
      <w:r w:rsidR="001C46BB" w:rsidRPr="000F7862">
        <w:rPr>
          <w:lang w:val="fr-FR"/>
        </w:rPr>
        <w:t>le Ministère de la j</w:t>
      </w:r>
      <w:r w:rsidR="0086185C" w:rsidRPr="000F7862">
        <w:rPr>
          <w:lang w:val="fr-FR"/>
        </w:rPr>
        <w:t xml:space="preserve">ustice, </w:t>
      </w:r>
      <w:r w:rsidR="005B56A0" w:rsidRPr="000F7862">
        <w:rPr>
          <w:lang w:val="fr-FR"/>
        </w:rPr>
        <w:t>font leur chemin</w:t>
      </w:r>
      <w:r w:rsidR="0086185C" w:rsidRPr="000F7862">
        <w:rPr>
          <w:lang w:val="fr-FR"/>
        </w:rPr>
        <w:t xml:space="preserve">. </w:t>
      </w:r>
    </w:p>
    <w:p w:rsidR="0086185C" w:rsidRPr="000F7862" w:rsidRDefault="003F7F57" w:rsidP="003F7F57">
      <w:pPr>
        <w:pStyle w:val="SingleTxtG"/>
        <w:rPr>
          <w:lang w:val="fr-FR"/>
        </w:rPr>
      </w:pPr>
      <w:r w:rsidRPr="000F7862">
        <w:rPr>
          <w:lang w:val="fr-FR"/>
        </w:rPr>
        <w:t>22.</w:t>
      </w:r>
      <w:r w:rsidRPr="000F7862">
        <w:rPr>
          <w:lang w:val="fr-FR"/>
        </w:rPr>
        <w:tab/>
      </w:r>
      <w:r w:rsidR="005B56A0" w:rsidRPr="000F7862">
        <w:rPr>
          <w:lang w:val="fr-FR"/>
        </w:rPr>
        <w:t xml:space="preserve">Afin de garantir les droits des </w:t>
      </w:r>
      <w:r w:rsidR="0086185C" w:rsidRPr="000F7862">
        <w:rPr>
          <w:lang w:val="fr-FR"/>
        </w:rPr>
        <w:t>IP</w:t>
      </w:r>
      <w:r w:rsidR="005B56A0" w:rsidRPr="000F7862">
        <w:rPr>
          <w:lang w:val="fr-FR"/>
        </w:rPr>
        <w:t>/ICC</w:t>
      </w:r>
      <w:r w:rsidR="0086185C" w:rsidRPr="000F7862">
        <w:rPr>
          <w:lang w:val="fr-FR"/>
        </w:rPr>
        <w:t xml:space="preserve"> </w:t>
      </w:r>
      <w:r w:rsidR="005B56A0" w:rsidRPr="000F7862">
        <w:rPr>
          <w:lang w:val="fr-FR"/>
        </w:rPr>
        <w:t xml:space="preserve">à la justice </w:t>
      </w:r>
      <w:r w:rsidR="0086185C" w:rsidRPr="000F7862">
        <w:rPr>
          <w:lang w:val="fr-FR"/>
        </w:rPr>
        <w:t>social</w:t>
      </w:r>
      <w:r w:rsidR="005B56A0" w:rsidRPr="000F7862">
        <w:rPr>
          <w:lang w:val="fr-FR"/>
        </w:rPr>
        <w:t>e</w:t>
      </w:r>
      <w:r w:rsidR="0086185C" w:rsidRPr="000F7862">
        <w:rPr>
          <w:lang w:val="fr-FR"/>
        </w:rPr>
        <w:t xml:space="preserve">, </w:t>
      </w:r>
      <w:r w:rsidR="005B56A0" w:rsidRPr="000F7862">
        <w:rPr>
          <w:lang w:val="fr-FR"/>
        </w:rPr>
        <w:t>le Pr</w:t>
      </w:r>
      <w:r w:rsidR="00FF4358" w:rsidRPr="000F7862">
        <w:rPr>
          <w:lang w:val="fr-FR"/>
        </w:rPr>
        <w:t>ogramme d</w:t>
      </w:r>
      <w:r w:rsidR="00120E2E" w:rsidRPr="000F7862">
        <w:rPr>
          <w:lang w:val="fr-FR"/>
        </w:rPr>
        <w:t>’</w:t>
      </w:r>
      <w:r w:rsidR="00FF4358" w:rsidRPr="000F7862">
        <w:rPr>
          <w:lang w:val="fr-FR"/>
        </w:rPr>
        <w:t xml:space="preserve">assistance éducative </w:t>
      </w:r>
      <w:r w:rsidR="005B56A0" w:rsidRPr="000F7862">
        <w:rPr>
          <w:lang w:val="fr-FR"/>
        </w:rPr>
        <w:t xml:space="preserve">de la NCIP a fourni une </w:t>
      </w:r>
      <w:r w:rsidR="0086185C" w:rsidRPr="000F7862">
        <w:rPr>
          <w:lang w:val="fr-FR"/>
        </w:rPr>
        <w:t xml:space="preserve">assistance </w:t>
      </w:r>
      <w:r w:rsidR="005B56A0" w:rsidRPr="000F7862">
        <w:rPr>
          <w:lang w:val="fr-FR"/>
        </w:rPr>
        <w:t xml:space="preserve">à </w:t>
      </w:r>
      <w:r w:rsidR="0086185C" w:rsidRPr="000F7862">
        <w:rPr>
          <w:lang w:val="fr-FR"/>
        </w:rPr>
        <w:t>12</w:t>
      </w:r>
      <w:r w:rsidR="00691D59" w:rsidRPr="000F7862">
        <w:rPr>
          <w:lang w:val="fr-FR"/>
        </w:rPr>
        <w:t> </w:t>
      </w:r>
      <w:r w:rsidR="0086185C" w:rsidRPr="000F7862">
        <w:rPr>
          <w:lang w:val="fr-FR"/>
        </w:rPr>
        <w:t xml:space="preserve">427 </w:t>
      </w:r>
      <w:r w:rsidR="005B56A0" w:rsidRPr="000F7862">
        <w:rPr>
          <w:lang w:val="fr-FR"/>
        </w:rPr>
        <w:t>boursiers de l</w:t>
      </w:r>
      <w:r w:rsidR="00120E2E" w:rsidRPr="000F7862">
        <w:rPr>
          <w:lang w:val="fr-FR"/>
        </w:rPr>
        <w:t>’</w:t>
      </w:r>
      <w:r w:rsidR="005B56A0" w:rsidRPr="000F7862">
        <w:rPr>
          <w:lang w:val="fr-FR"/>
        </w:rPr>
        <w:t>enseignement é</w:t>
      </w:r>
      <w:r w:rsidR="0086185C" w:rsidRPr="000F7862">
        <w:rPr>
          <w:lang w:val="fr-FR"/>
        </w:rPr>
        <w:t>l</w:t>
      </w:r>
      <w:r w:rsidR="005B56A0" w:rsidRPr="000F7862">
        <w:rPr>
          <w:lang w:val="fr-FR"/>
        </w:rPr>
        <w:t>é</w:t>
      </w:r>
      <w:r w:rsidR="0086185C" w:rsidRPr="000F7862">
        <w:rPr>
          <w:lang w:val="fr-FR"/>
        </w:rPr>
        <w:t>menta</w:t>
      </w:r>
      <w:r w:rsidR="005B56A0" w:rsidRPr="000F7862">
        <w:rPr>
          <w:lang w:val="fr-FR"/>
        </w:rPr>
        <w:t>ire</w:t>
      </w:r>
      <w:r w:rsidR="0086185C" w:rsidRPr="000F7862">
        <w:rPr>
          <w:lang w:val="fr-FR"/>
        </w:rPr>
        <w:t xml:space="preserve">, </w:t>
      </w:r>
      <w:r w:rsidR="005B56A0" w:rsidRPr="000F7862">
        <w:rPr>
          <w:lang w:val="fr-FR"/>
        </w:rPr>
        <w:t>secondaire et universitaire po</w:t>
      </w:r>
      <w:r w:rsidR="00032525" w:rsidRPr="000F7862">
        <w:rPr>
          <w:lang w:val="fr-FR"/>
        </w:rPr>
        <w:t>u</w:t>
      </w:r>
      <w:r w:rsidR="005B56A0" w:rsidRPr="000F7862">
        <w:rPr>
          <w:lang w:val="fr-FR"/>
        </w:rPr>
        <w:t>r l</w:t>
      </w:r>
      <w:r w:rsidR="00120E2E" w:rsidRPr="000F7862">
        <w:rPr>
          <w:lang w:val="fr-FR"/>
        </w:rPr>
        <w:t>’</w:t>
      </w:r>
      <w:r w:rsidR="005B56A0" w:rsidRPr="000F7862">
        <w:rPr>
          <w:lang w:val="fr-FR"/>
        </w:rPr>
        <w:t xml:space="preserve">année scolaire/universitaire </w:t>
      </w:r>
      <w:r w:rsidR="0086185C" w:rsidRPr="000F7862">
        <w:rPr>
          <w:lang w:val="fr-FR"/>
        </w:rPr>
        <w:t>2012</w:t>
      </w:r>
      <w:r w:rsidR="005B56A0" w:rsidRPr="000F7862">
        <w:rPr>
          <w:lang w:val="fr-FR"/>
        </w:rPr>
        <w:t>-</w:t>
      </w:r>
      <w:r w:rsidR="0086185C" w:rsidRPr="000F7862">
        <w:rPr>
          <w:lang w:val="fr-FR"/>
        </w:rPr>
        <w:t xml:space="preserve">2013. </w:t>
      </w:r>
      <w:r w:rsidR="005B56A0" w:rsidRPr="000F7862">
        <w:rPr>
          <w:lang w:val="fr-FR"/>
        </w:rPr>
        <w:t xml:space="preserve">Ce Programme a par ailleurs été renforcé et restructuré pour devenir un programme de bourses </w:t>
      </w:r>
      <w:r w:rsidR="00F43DF3" w:rsidRPr="000F7862">
        <w:rPr>
          <w:lang w:val="fr-FR"/>
        </w:rPr>
        <w:t>fondées sur le mérite</w:t>
      </w:r>
      <w:r w:rsidR="0086185C" w:rsidRPr="000F7862">
        <w:rPr>
          <w:lang w:val="fr-FR"/>
        </w:rPr>
        <w:t xml:space="preserve">. </w:t>
      </w:r>
      <w:r w:rsidR="00F43DF3" w:rsidRPr="000F7862">
        <w:rPr>
          <w:lang w:val="fr-FR"/>
        </w:rPr>
        <w:t>Il vise à octroyer des bourses importantes à des jeunes issus des IP qualifiés et méritants qui, une fois diplômés, se mettront au service de leurs communautés</w:t>
      </w:r>
      <w:r w:rsidR="0086185C" w:rsidRPr="000F7862">
        <w:rPr>
          <w:lang w:val="fr-FR"/>
        </w:rPr>
        <w:t xml:space="preserve">. </w:t>
      </w:r>
    </w:p>
    <w:p w:rsidR="0086185C" w:rsidRPr="000F7862" w:rsidRDefault="003F7F57" w:rsidP="003F7F57">
      <w:pPr>
        <w:pStyle w:val="SingleTxtG"/>
        <w:rPr>
          <w:lang w:val="fr-FR"/>
        </w:rPr>
      </w:pPr>
      <w:r w:rsidRPr="000F7862">
        <w:rPr>
          <w:lang w:val="fr-FR"/>
        </w:rPr>
        <w:t>23.</w:t>
      </w:r>
      <w:r w:rsidRPr="000F7862">
        <w:rPr>
          <w:lang w:val="fr-FR"/>
        </w:rPr>
        <w:tab/>
      </w:r>
      <w:r w:rsidR="00032525" w:rsidRPr="000F7862">
        <w:rPr>
          <w:lang w:val="fr-FR"/>
        </w:rPr>
        <w:t>S</w:t>
      </w:r>
      <w:r w:rsidR="00120E2E" w:rsidRPr="000F7862">
        <w:rPr>
          <w:lang w:val="fr-FR"/>
        </w:rPr>
        <w:t>’</w:t>
      </w:r>
      <w:r w:rsidR="00032525" w:rsidRPr="000F7862">
        <w:rPr>
          <w:lang w:val="fr-FR"/>
        </w:rPr>
        <w:t>agissant d</w:t>
      </w:r>
      <w:r w:rsidR="00120E2E" w:rsidRPr="000F7862">
        <w:rPr>
          <w:lang w:val="fr-FR"/>
        </w:rPr>
        <w:t>’</w:t>
      </w:r>
      <w:r w:rsidR="00032525" w:rsidRPr="000F7862">
        <w:rPr>
          <w:lang w:val="fr-FR"/>
        </w:rPr>
        <w:t xml:space="preserve">élargir le programme de </w:t>
      </w:r>
      <w:r w:rsidR="00DC1196" w:rsidRPr="000F7862">
        <w:rPr>
          <w:lang w:val="fr-FR"/>
        </w:rPr>
        <w:t>développement</w:t>
      </w:r>
      <w:r w:rsidR="00032525" w:rsidRPr="000F7862">
        <w:rPr>
          <w:lang w:val="fr-FR"/>
        </w:rPr>
        <w:t xml:space="preserve"> social et de réduction de la pauvreté du Gouvernement, le Ministère de la protection s</w:t>
      </w:r>
      <w:r w:rsidR="0086185C" w:rsidRPr="000F7862">
        <w:rPr>
          <w:lang w:val="fr-FR"/>
        </w:rPr>
        <w:t>ocial</w:t>
      </w:r>
      <w:r w:rsidR="00032525" w:rsidRPr="000F7862">
        <w:rPr>
          <w:lang w:val="fr-FR"/>
        </w:rPr>
        <w:t>e et du développement</w:t>
      </w:r>
      <w:r w:rsidR="0086185C" w:rsidRPr="000F7862">
        <w:rPr>
          <w:lang w:val="fr-FR"/>
        </w:rPr>
        <w:t xml:space="preserve"> </w:t>
      </w:r>
      <w:r w:rsidR="00032525" w:rsidRPr="000F7862">
        <w:rPr>
          <w:lang w:val="fr-FR"/>
        </w:rPr>
        <w:t>s</w:t>
      </w:r>
      <w:r w:rsidR="00120E2E" w:rsidRPr="000F7862">
        <w:rPr>
          <w:lang w:val="fr-FR"/>
        </w:rPr>
        <w:t>’</w:t>
      </w:r>
      <w:r w:rsidR="00032525" w:rsidRPr="000F7862">
        <w:rPr>
          <w:lang w:val="fr-FR"/>
        </w:rPr>
        <w:t xml:space="preserve">est délibérément employé à faire participer les </w:t>
      </w:r>
      <w:r w:rsidR="0086185C" w:rsidRPr="000F7862">
        <w:rPr>
          <w:lang w:val="fr-FR"/>
        </w:rPr>
        <w:t>IP</w:t>
      </w:r>
      <w:r w:rsidR="00032525" w:rsidRPr="000F7862">
        <w:rPr>
          <w:lang w:val="fr-FR"/>
        </w:rPr>
        <w:t xml:space="preserve">/ICC à ses </w:t>
      </w:r>
      <w:r w:rsidR="00867E43" w:rsidRPr="000F7862">
        <w:rPr>
          <w:lang w:val="fr-FR"/>
        </w:rPr>
        <w:t>programmes</w:t>
      </w:r>
      <w:r w:rsidR="00032525" w:rsidRPr="000F7862">
        <w:rPr>
          <w:lang w:val="fr-FR"/>
        </w:rPr>
        <w:t>, tels que le Plan n</w:t>
      </w:r>
      <w:r w:rsidR="0086185C" w:rsidRPr="000F7862">
        <w:rPr>
          <w:lang w:val="fr-FR"/>
        </w:rPr>
        <w:t xml:space="preserve">ational </w:t>
      </w:r>
      <w:r w:rsidR="00032525" w:rsidRPr="000F7862">
        <w:rPr>
          <w:lang w:val="fr-FR"/>
        </w:rPr>
        <w:t>de développement piloté par les communautés</w:t>
      </w:r>
      <w:r w:rsidR="0086185C" w:rsidRPr="000F7862">
        <w:rPr>
          <w:lang w:val="fr-FR"/>
        </w:rPr>
        <w:t>. I</w:t>
      </w:r>
      <w:r w:rsidR="00032525" w:rsidRPr="000F7862">
        <w:rPr>
          <w:lang w:val="fr-FR"/>
        </w:rPr>
        <w:t>l a organisé des sessions d</w:t>
      </w:r>
      <w:r w:rsidR="00120E2E" w:rsidRPr="000F7862">
        <w:rPr>
          <w:lang w:val="fr-FR"/>
        </w:rPr>
        <w:t>’</w:t>
      </w:r>
      <w:r w:rsidR="0086185C" w:rsidRPr="000F7862">
        <w:rPr>
          <w:lang w:val="fr-FR"/>
        </w:rPr>
        <w:t xml:space="preserve">orientation </w:t>
      </w:r>
      <w:r w:rsidR="00032525" w:rsidRPr="000F7862">
        <w:rPr>
          <w:lang w:val="fr-FR"/>
        </w:rPr>
        <w:t>sur ce Plan à l</w:t>
      </w:r>
      <w:r w:rsidR="00120E2E" w:rsidRPr="000F7862">
        <w:rPr>
          <w:lang w:val="fr-FR"/>
        </w:rPr>
        <w:t>’</w:t>
      </w:r>
      <w:r w:rsidR="00032525" w:rsidRPr="000F7862">
        <w:rPr>
          <w:lang w:val="fr-FR"/>
        </w:rPr>
        <w:t xml:space="preserve">intention du personnel essentiel de la </w:t>
      </w:r>
      <w:r w:rsidR="0086185C" w:rsidRPr="000F7862">
        <w:rPr>
          <w:lang w:val="fr-FR"/>
        </w:rPr>
        <w:t xml:space="preserve">NCIP </w:t>
      </w:r>
      <w:r w:rsidR="00565828" w:rsidRPr="000F7862">
        <w:rPr>
          <w:lang w:val="fr-FR"/>
        </w:rPr>
        <w:t>pour faire mieux comprendre le programme du Gouvernement et promouvoir une culture de réduction de la pauvreté axé sur les besoins des IP</w:t>
      </w:r>
      <w:r w:rsidR="0086185C" w:rsidRPr="000F7862">
        <w:rPr>
          <w:lang w:val="fr-FR"/>
        </w:rPr>
        <w:t xml:space="preserve">. </w:t>
      </w:r>
    </w:p>
    <w:p w:rsidR="0086185C" w:rsidRPr="000F7862" w:rsidRDefault="00664AF8" w:rsidP="001C088C">
      <w:pPr>
        <w:pStyle w:val="HChG"/>
        <w:rPr>
          <w:lang w:val="fr-FR"/>
        </w:rPr>
      </w:pPr>
      <w:r w:rsidRPr="000F7862">
        <w:rPr>
          <w:lang w:val="fr-FR"/>
        </w:rPr>
        <w:tab/>
      </w:r>
      <w:r w:rsidR="00AB3AD7" w:rsidRPr="000F7862">
        <w:rPr>
          <w:lang w:val="fr-FR"/>
        </w:rPr>
        <w:t>II</w:t>
      </w:r>
      <w:r w:rsidR="00B53507" w:rsidRPr="000F7862">
        <w:rPr>
          <w:lang w:val="fr-FR"/>
        </w:rPr>
        <w:t>I.</w:t>
      </w:r>
      <w:r w:rsidR="00836881" w:rsidRPr="000F7862">
        <w:rPr>
          <w:lang w:val="fr-FR"/>
        </w:rPr>
        <w:tab/>
      </w:r>
      <w:r w:rsidR="00565828" w:rsidRPr="000F7862">
        <w:rPr>
          <w:lang w:val="fr-FR"/>
        </w:rPr>
        <w:t>Renseignements relatifs à l</w:t>
      </w:r>
      <w:r w:rsidR="00120E2E" w:rsidRPr="000F7862">
        <w:rPr>
          <w:lang w:val="fr-FR"/>
        </w:rPr>
        <w:t>’</w:t>
      </w:r>
      <w:r w:rsidR="00565828" w:rsidRPr="000F7862">
        <w:rPr>
          <w:lang w:val="fr-FR"/>
        </w:rPr>
        <w:t>article 2 du Pacte</w:t>
      </w:r>
    </w:p>
    <w:p w:rsidR="0086185C" w:rsidRPr="000F7862" w:rsidRDefault="003F7F57" w:rsidP="003F7F57">
      <w:pPr>
        <w:pStyle w:val="SingleTxtG"/>
        <w:rPr>
          <w:b/>
          <w:bCs/>
          <w:lang w:val="fr-FR"/>
        </w:rPr>
      </w:pPr>
      <w:r w:rsidRPr="000F7862">
        <w:rPr>
          <w:bCs/>
          <w:lang w:val="fr-FR"/>
        </w:rPr>
        <w:t>24.</w:t>
      </w:r>
      <w:r w:rsidRPr="000F7862">
        <w:rPr>
          <w:bCs/>
          <w:lang w:val="fr-FR"/>
        </w:rPr>
        <w:tab/>
      </w:r>
      <w:r w:rsidR="00CC185A" w:rsidRPr="000F7862">
        <w:rPr>
          <w:lang w:val="fr-FR"/>
        </w:rPr>
        <w:t>Compte tenu de la priorité du Gouvernement d</w:t>
      </w:r>
      <w:r w:rsidR="00120E2E" w:rsidRPr="000F7862">
        <w:rPr>
          <w:lang w:val="fr-FR"/>
        </w:rPr>
        <w:t>’</w:t>
      </w:r>
      <w:r w:rsidR="0086185C" w:rsidRPr="000F7862">
        <w:rPr>
          <w:lang w:val="fr-FR"/>
        </w:rPr>
        <w:t>invest</w:t>
      </w:r>
      <w:r w:rsidR="00CC185A" w:rsidRPr="000F7862">
        <w:rPr>
          <w:lang w:val="fr-FR"/>
        </w:rPr>
        <w:t xml:space="preserve">ir dans le capital humain, le budget de </w:t>
      </w:r>
      <w:r w:rsidR="0086185C" w:rsidRPr="000F7862">
        <w:rPr>
          <w:lang w:val="fr-FR"/>
        </w:rPr>
        <w:t xml:space="preserve">2013 </w:t>
      </w:r>
      <w:r w:rsidR="00CC185A" w:rsidRPr="000F7862">
        <w:rPr>
          <w:lang w:val="fr-FR"/>
        </w:rPr>
        <w:t>continue d</w:t>
      </w:r>
      <w:r w:rsidR="00120E2E" w:rsidRPr="000F7862">
        <w:rPr>
          <w:lang w:val="fr-FR"/>
        </w:rPr>
        <w:t>’</w:t>
      </w:r>
      <w:r w:rsidR="00CC185A" w:rsidRPr="000F7862">
        <w:rPr>
          <w:lang w:val="fr-FR"/>
        </w:rPr>
        <w:t>allouer l</w:t>
      </w:r>
      <w:r w:rsidR="00120E2E" w:rsidRPr="000F7862">
        <w:rPr>
          <w:lang w:val="fr-FR"/>
        </w:rPr>
        <w:t>’</w:t>
      </w:r>
      <w:r w:rsidR="00CC185A" w:rsidRPr="000F7862">
        <w:rPr>
          <w:lang w:val="fr-FR"/>
        </w:rPr>
        <w:t xml:space="preserve">essentiel de ses </w:t>
      </w:r>
      <w:r w:rsidR="0086185C" w:rsidRPr="000F7862">
        <w:rPr>
          <w:lang w:val="fr-FR"/>
        </w:rPr>
        <w:t>re</w:t>
      </w:r>
      <w:r w:rsidR="00CC185A" w:rsidRPr="000F7862">
        <w:rPr>
          <w:lang w:val="fr-FR"/>
        </w:rPr>
        <w:t>s</w:t>
      </w:r>
      <w:r w:rsidR="0086185C" w:rsidRPr="000F7862">
        <w:rPr>
          <w:lang w:val="fr-FR"/>
        </w:rPr>
        <w:t xml:space="preserve">sources </w:t>
      </w:r>
      <w:r w:rsidR="00CC185A" w:rsidRPr="000F7862">
        <w:rPr>
          <w:lang w:val="fr-FR"/>
        </w:rPr>
        <w:t>aux services sociaux</w:t>
      </w:r>
      <w:r w:rsidR="0086185C" w:rsidRPr="000F7862">
        <w:rPr>
          <w:lang w:val="fr-FR"/>
        </w:rPr>
        <w:t>.</w:t>
      </w:r>
      <w:r w:rsidR="00446EA5" w:rsidRPr="000F7862">
        <w:rPr>
          <w:lang w:val="fr-FR"/>
        </w:rPr>
        <w:t xml:space="preserve"> </w:t>
      </w:r>
      <w:r w:rsidR="00CC185A" w:rsidRPr="000F7862">
        <w:rPr>
          <w:lang w:val="fr-FR"/>
        </w:rPr>
        <w:t>Les dépenses afférentes à ce</w:t>
      </w:r>
      <w:r w:rsidR="0091140D" w:rsidRPr="000F7862">
        <w:rPr>
          <w:lang w:val="fr-FR"/>
        </w:rPr>
        <w:t>s</w:t>
      </w:r>
      <w:r w:rsidR="00CC185A" w:rsidRPr="000F7862">
        <w:rPr>
          <w:lang w:val="fr-FR"/>
        </w:rPr>
        <w:t xml:space="preserve"> services sont axées sur la réduction de la pauvreté et la réalisation des objectifs du Millénaire pour le développement </w:t>
      </w:r>
      <w:r w:rsidR="0086185C" w:rsidRPr="000F7862">
        <w:rPr>
          <w:lang w:val="fr-FR"/>
        </w:rPr>
        <w:t>(</w:t>
      </w:r>
      <w:r w:rsidR="00CC185A" w:rsidRPr="000F7862">
        <w:rPr>
          <w:lang w:val="fr-FR"/>
        </w:rPr>
        <w:t>OMD</w:t>
      </w:r>
      <w:r w:rsidR="0086185C" w:rsidRPr="000F7862">
        <w:rPr>
          <w:lang w:val="fr-FR"/>
        </w:rPr>
        <w:t xml:space="preserve">) </w:t>
      </w:r>
      <w:r w:rsidR="00CC185A" w:rsidRPr="000F7862">
        <w:rPr>
          <w:lang w:val="fr-FR"/>
        </w:rPr>
        <w:t>d</w:t>
      </w:r>
      <w:r w:rsidR="00120E2E" w:rsidRPr="000F7862">
        <w:rPr>
          <w:lang w:val="fr-FR"/>
        </w:rPr>
        <w:t>’</w:t>
      </w:r>
      <w:r w:rsidR="00CC185A" w:rsidRPr="000F7862">
        <w:rPr>
          <w:lang w:val="fr-FR"/>
        </w:rPr>
        <w:t xml:space="preserve">ici à </w:t>
      </w:r>
      <w:r w:rsidR="0086185C" w:rsidRPr="000F7862">
        <w:rPr>
          <w:lang w:val="fr-FR"/>
        </w:rPr>
        <w:t>2015.</w:t>
      </w:r>
      <w:r w:rsidR="00446EA5" w:rsidRPr="000F7862">
        <w:rPr>
          <w:lang w:val="fr-FR"/>
        </w:rPr>
        <w:t xml:space="preserve"> </w:t>
      </w:r>
      <w:r w:rsidR="00CC185A" w:rsidRPr="000F7862">
        <w:rPr>
          <w:lang w:val="fr-FR"/>
        </w:rPr>
        <w:t xml:space="preserve">De plus, comme indiqué dans le Plan de développement des Philippines pour </w:t>
      </w:r>
      <w:r w:rsidR="0086185C" w:rsidRPr="000F7862">
        <w:rPr>
          <w:lang w:val="fr-FR"/>
        </w:rPr>
        <w:t>2011</w:t>
      </w:r>
      <w:r w:rsidR="00CC185A" w:rsidRPr="000F7862">
        <w:rPr>
          <w:lang w:val="fr-FR"/>
        </w:rPr>
        <w:t>-</w:t>
      </w:r>
      <w:r w:rsidR="0086185C" w:rsidRPr="000F7862">
        <w:rPr>
          <w:lang w:val="fr-FR"/>
        </w:rPr>
        <w:t xml:space="preserve">2016, </w:t>
      </w:r>
      <w:r w:rsidR="00CC185A" w:rsidRPr="000F7862">
        <w:rPr>
          <w:lang w:val="fr-FR"/>
        </w:rPr>
        <w:t>l</w:t>
      </w:r>
      <w:r w:rsidR="00120E2E" w:rsidRPr="000F7862">
        <w:rPr>
          <w:lang w:val="fr-FR"/>
        </w:rPr>
        <w:t>’</w:t>
      </w:r>
      <w:r w:rsidR="0086185C" w:rsidRPr="000F7862">
        <w:rPr>
          <w:lang w:val="fr-FR"/>
        </w:rPr>
        <w:t xml:space="preserve">administration </w:t>
      </w:r>
      <w:r w:rsidR="00CC185A" w:rsidRPr="000F7862">
        <w:rPr>
          <w:lang w:val="fr-FR"/>
        </w:rPr>
        <w:t>veille au respect de l</w:t>
      </w:r>
      <w:r w:rsidR="00120E2E" w:rsidRPr="000F7862">
        <w:rPr>
          <w:lang w:val="fr-FR"/>
        </w:rPr>
        <w:t>’</w:t>
      </w:r>
      <w:r w:rsidR="00CC185A" w:rsidRPr="000F7862">
        <w:rPr>
          <w:lang w:val="fr-FR"/>
        </w:rPr>
        <w:t xml:space="preserve">engagement pris par le pays de réaliser une croissance </w:t>
      </w:r>
      <w:r w:rsidR="0086185C" w:rsidRPr="000F7862">
        <w:rPr>
          <w:lang w:val="fr-FR"/>
        </w:rPr>
        <w:t xml:space="preserve">inclusive, </w:t>
      </w:r>
      <w:r w:rsidR="00CC185A" w:rsidRPr="000F7862">
        <w:rPr>
          <w:lang w:val="fr-FR"/>
        </w:rPr>
        <w:t>autrement dit une croissance partagée par tous</w:t>
      </w:r>
      <w:r w:rsidR="0086185C" w:rsidRPr="000F7862">
        <w:rPr>
          <w:lang w:val="fr-FR"/>
        </w:rPr>
        <w:t>.</w:t>
      </w:r>
      <w:r w:rsidR="00446EA5" w:rsidRPr="000F7862">
        <w:rPr>
          <w:lang w:val="fr-FR"/>
        </w:rPr>
        <w:t xml:space="preserve"> </w:t>
      </w:r>
      <w:r w:rsidR="00CC185A" w:rsidRPr="000F7862">
        <w:rPr>
          <w:lang w:val="fr-FR"/>
        </w:rPr>
        <w:t xml:space="preserve">Aussi le Gouvernement a-t-il </w:t>
      </w:r>
      <w:r w:rsidR="0091140D" w:rsidRPr="000F7862">
        <w:rPr>
          <w:lang w:val="fr-FR"/>
        </w:rPr>
        <w:t xml:space="preserve">activement financé des </w:t>
      </w:r>
      <w:r w:rsidR="00867E43" w:rsidRPr="000F7862">
        <w:rPr>
          <w:lang w:val="fr-FR"/>
        </w:rPr>
        <w:t>programmes</w:t>
      </w:r>
      <w:r w:rsidR="0086185C" w:rsidRPr="000F7862">
        <w:rPr>
          <w:lang w:val="fr-FR"/>
        </w:rPr>
        <w:t xml:space="preserve"> </w:t>
      </w:r>
      <w:r w:rsidR="002733B1" w:rsidRPr="000F7862">
        <w:rPr>
          <w:lang w:val="fr-FR"/>
        </w:rPr>
        <w:t>qui profiteront d</w:t>
      </w:r>
      <w:r w:rsidR="0091140D" w:rsidRPr="000F7862">
        <w:rPr>
          <w:lang w:val="fr-FR"/>
        </w:rPr>
        <w:t>i</w:t>
      </w:r>
      <w:r w:rsidR="002733B1" w:rsidRPr="000F7862">
        <w:rPr>
          <w:lang w:val="fr-FR"/>
        </w:rPr>
        <w:t>r</w:t>
      </w:r>
      <w:r w:rsidR="0091140D" w:rsidRPr="000F7862">
        <w:rPr>
          <w:lang w:val="fr-FR"/>
        </w:rPr>
        <w:t xml:space="preserve">ectement aux </w:t>
      </w:r>
      <w:r w:rsidR="00FD28CB" w:rsidRPr="000F7862">
        <w:rPr>
          <w:lang w:val="fr-FR"/>
        </w:rPr>
        <w:t>personnes démunies</w:t>
      </w:r>
      <w:r w:rsidR="0091140D" w:rsidRPr="000F7862">
        <w:rPr>
          <w:lang w:val="fr-FR"/>
        </w:rPr>
        <w:t xml:space="preserve"> et aux personnes </w:t>
      </w:r>
      <w:r w:rsidR="0086185C" w:rsidRPr="000F7862">
        <w:rPr>
          <w:lang w:val="fr-FR"/>
        </w:rPr>
        <w:t>vuln</w:t>
      </w:r>
      <w:r w:rsidR="0091140D" w:rsidRPr="000F7862">
        <w:rPr>
          <w:lang w:val="fr-FR"/>
        </w:rPr>
        <w:t>é</w:t>
      </w:r>
      <w:r w:rsidR="0086185C" w:rsidRPr="000F7862">
        <w:rPr>
          <w:lang w:val="fr-FR"/>
        </w:rPr>
        <w:t>rable</w:t>
      </w:r>
      <w:r w:rsidR="0091140D" w:rsidRPr="000F7862">
        <w:rPr>
          <w:lang w:val="fr-FR"/>
        </w:rPr>
        <w:t>s</w:t>
      </w:r>
      <w:r w:rsidR="0086185C" w:rsidRPr="000F7862">
        <w:rPr>
          <w:lang w:val="fr-FR"/>
        </w:rPr>
        <w:t xml:space="preserve">. </w:t>
      </w:r>
    </w:p>
    <w:p w:rsidR="0086185C" w:rsidRPr="000F7862" w:rsidRDefault="003F7F57" w:rsidP="003F7F57">
      <w:pPr>
        <w:pStyle w:val="SingleTxtG"/>
        <w:rPr>
          <w:lang w:val="fr-FR"/>
        </w:rPr>
      </w:pPr>
      <w:r w:rsidRPr="000F7862">
        <w:rPr>
          <w:lang w:val="fr-FR"/>
        </w:rPr>
        <w:t>25.</w:t>
      </w:r>
      <w:r w:rsidRPr="000F7862">
        <w:rPr>
          <w:lang w:val="fr-FR"/>
        </w:rPr>
        <w:tab/>
      </w:r>
      <w:r w:rsidR="0091140D" w:rsidRPr="000F7862">
        <w:rPr>
          <w:lang w:val="fr-FR"/>
        </w:rPr>
        <w:t xml:space="preserve">Pour la période </w:t>
      </w:r>
      <w:r w:rsidR="0086185C" w:rsidRPr="000F7862">
        <w:rPr>
          <w:lang w:val="fr-FR"/>
        </w:rPr>
        <w:t>2009</w:t>
      </w:r>
      <w:r w:rsidR="0091140D" w:rsidRPr="000F7862">
        <w:rPr>
          <w:lang w:val="fr-FR"/>
        </w:rPr>
        <w:t>-</w:t>
      </w:r>
      <w:r w:rsidR="0086185C" w:rsidRPr="000F7862">
        <w:rPr>
          <w:lang w:val="fr-FR"/>
        </w:rPr>
        <w:t xml:space="preserve">2013, </w:t>
      </w:r>
      <w:r w:rsidR="0091140D" w:rsidRPr="000F7862">
        <w:rPr>
          <w:lang w:val="fr-FR"/>
        </w:rPr>
        <w:t xml:space="preserve">la part des services sociaux dans le budget </w:t>
      </w:r>
      <w:r w:rsidR="0086185C" w:rsidRPr="000F7862">
        <w:rPr>
          <w:lang w:val="fr-FR"/>
        </w:rPr>
        <w:t xml:space="preserve">total </w:t>
      </w:r>
      <w:r w:rsidR="0091140D" w:rsidRPr="000F7862">
        <w:rPr>
          <w:lang w:val="fr-FR"/>
        </w:rPr>
        <w:t xml:space="preserve">est passée de </w:t>
      </w:r>
      <w:r w:rsidR="0086185C" w:rsidRPr="000F7862">
        <w:rPr>
          <w:lang w:val="fr-FR"/>
        </w:rPr>
        <w:t>28</w:t>
      </w:r>
      <w:r w:rsidR="0091140D" w:rsidRPr="000F7862">
        <w:rPr>
          <w:lang w:val="fr-FR"/>
        </w:rPr>
        <w:t>,</w:t>
      </w:r>
      <w:r w:rsidR="0086185C" w:rsidRPr="000F7862">
        <w:rPr>
          <w:lang w:val="fr-FR"/>
        </w:rPr>
        <w:t>7</w:t>
      </w:r>
      <w:r w:rsidR="00DC1196" w:rsidRPr="000F7862">
        <w:rPr>
          <w:lang w:val="fr-FR"/>
        </w:rPr>
        <w:t> %</w:t>
      </w:r>
      <w:r w:rsidR="0086185C" w:rsidRPr="000F7862">
        <w:rPr>
          <w:lang w:val="fr-FR"/>
        </w:rPr>
        <w:t xml:space="preserve"> </w:t>
      </w:r>
      <w:r w:rsidR="0091140D" w:rsidRPr="000F7862">
        <w:rPr>
          <w:lang w:val="fr-FR"/>
        </w:rPr>
        <w:t>e</w:t>
      </w:r>
      <w:r w:rsidR="0086185C" w:rsidRPr="000F7862">
        <w:rPr>
          <w:lang w:val="fr-FR"/>
        </w:rPr>
        <w:t xml:space="preserve">n 2009 </w:t>
      </w:r>
      <w:r w:rsidR="0091140D" w:rsidRPr="000F7862">
        <w:rPr>
          <w:lang w:val="fr-FR"/>
        </w:rPr>
        <w:t>à</w:t>
      </w:r>
      <w:r w:rsidR="0086185C" w:rsidRPr="000F7862">
        <w:rPr>
          <w:lang w:val="fr-FR"/>
        </w:rPr>
        <w:t xml:space="preserve"> 34</w:t>
      </w:r>
      <w:r w:rsidR="0091140D" w:rsidRPr="000F7862">
        <w:rPr>
          <w:lang w:val="fr-FR"/>
        </w:rPr>
        <w:t>,</w:t>
      </w:r>
      <w:r w:rsidR="0086185C" w:rsidRPr="000F7862">
        <w:rPr>
          <w:lang w:val="fr-FR"/>
        </w:rPr>
        <w:t>9</w:t>
      </w:r>
      <w:r w:rsidR="00DC1196" w:rsidRPr="000F7862">
        <w:rPr>
          <w:lang w:val="fr-FR"/>
        </w:rPr>
        <w:t> %</w:t>
      </w:r>
      <w:r w:rsidR="0086185C" w:rsidRPr="000F7862">
        <w:rPr>
          <w:lang w:val="fr-FR"/>
        </w:rPr>
        <w:t xml:space="preserve"> </w:t>
      </w:r>
      <w:r w:rsidR="0091140D" w:rsidRPr="000F7862">
        <w:rPr>
          <w:lang w:val="fr-FR"/>
        </w:rPr>
        <w:t>e</w:t>
      </w:r>
      <w:r w:rsidR="0086185C" w:rsidRPr="000F7862">
        <w:rPr>
          <w:lang w:val="fr-FR"/>
        </w:rPr>
        <w:t>n 2013.</w:t>
      </w:r>
      <w:r w:rsidR="00446EA5" w:rsidRPr="000F7862">
        <w:rPr>
          <w:lang w:val="fr-FR"/>
        </w:rPr>
        <w:t xml:space="preserve"> </w:t>
      </w:r>
      <w:r w:rsidR="0091140D" w:rsidRPr="000F7862">
        <w:rPr>
          <w:lang w:val="fr-FR"/>
        </w:rPr>
        <w:t>De même, ce secteu</w:t>
      </w:r>
      <w:r w:rsidR="0086185C" w:rsidRPr="000F7862">
        <w:rPr>
          <w:lang w:val="fr-FR"/>
        </w:rPr>
        <w:t xml:space="preserve">r </w:t>
      </w:r>
      <w:r w:rsidR="0091140D" w:rsidRPr="000F7862">
        <w:rPr>
          <w:lang w:val="fr-FR"/>
        </w:rPr>
        <w:t xml:space="preserve">représente une part du budget supérieure à celle du service de la dette, qui a été de </w:t>
      </w:r>
      <w:r w:rsidR="0086185C" w:rsidRPr="000F7862">
        <w:rPr>
          <w:lang w:val="fr-FR"/>
        </w:rPr>
        <w:t>19</w:t>
      </w:r>
      <w:r w:rsidR="0091140D" w:rsidRPr="000F7862">
        <w:rPr>
          <w:lang w:val="fr-FR"/>
        </w:rPr>
        <w:t>,</w:t>
      </w:r>
      <w:r w:rsidR="0086185C" w:rsidRPr="000F7862">
        <w:rPr>
          <w:lang w:val="fr-FR"/>
        </w:rPr>
        <w:t>4</w:t>
      </w:r>
      <w:r w:rsidR="00DC1196" w:rsidRPr="000F7862">
        <w:rPr>
          <w:lang w:val="fr-FR"/>
        </w:rPr>
        <w:t> %</w:t>
      </w:r>
      <w:r w:rsidR="0086185C" w:rsidRPr="000F7862">
        <w:rPr>
          <w:lang w:val="fr-FR"/>
        </w:rPr>
        <w:t xml:space="preserve"> </w:t>
      </w:r>
      <w:r w:rsidR="0091140D" w:rsidRPr="000F7862">
        <w:rPr>
          <w:lang w:val="fr-FR"/>
        </w:rPr>
        <w:t xml:space="preserve">en </w:t>
      </w:r>
      <w:r w:rsidR="0086185C" w:rsidRPr="000F7862">
        <w:rPr>
          <w:lang w:val="fr-FR"/>
        </w:rPr>
        <w:t xml:space="preserve">2009 </w:t>
      </w:r>
      <w:r w:rsidR="0091140D" w:rsidRPr="000F7862">
        <w:rPr>
          <w:lang w:val="fr-FR"/>
        </w:rPr>
        <w:t xml:space="preserve">et de </w:t>
      </w:r>
      <w:r w:rsidR="0086185C" w:rsidRPr="000F7862">
        <w:rPr>
          <w:lang w:val="fr-FR"/>
        </w:rPr>
        <w:t>16</w:t>
      </w:r>
      <w:r w:rsidR="0091140D" w:rsidRPr="000F7862">
        <w:rPr>
          <w:lang w:val="fr-FR"/>
        </w:rPr>
        <w:t>,</w:t>
      </w:r>
      <w:r w:rsidR="0086185C" w:rsidRPr="000F7862">
        <w:rPr>
          <w:lang w:val="fr-FR"/>
        </w:rPr>
        <w:t>6</w:t>
      </w:r>
      <w:r w:rsidR="00DC1196" w:rsidRPr="000F7862">
        <w:rPr>
          <w:lang w:val="fr-FR"/>
        </w:rPr>
        <w:t> %</w:t>
      </w:r>
      <w:r w:rsidR="0086185C" w:rsidRPr="000F7862">
        <w:rPr>
          <w:lang w:val="fr-FR"/>
        </w:rPr>
        <w:t xml:space="preserve"> </w:t>
      </w:r>
      <w:r w:rsidR="0091140D" w:rsidRPr="000F7862">
        <w:rPr>
          <w:lang w:val="fr-FR"/>
        </w:rPr>
        <w:t>e</w:t>
      </w:r>
      <w:r w:rsidR="0086185C" w:rsidRPr="000F7862">
        <w:rPr>
          <w:lang w:val="fr-FR"/>
        </w:rPr>
        <w:t>n 2013 (</w:t>
      </w:r>
      <w:r w:rsidR="0091140D" w:rsidRPr="000F7862">
        <w:rPr>
          <w:lang w:val="fr-FR"/>
        </w:rPr>
        <w:t>t</w:t>
      </w:r>
      <w:r w:rsidR="0086185C" w:rsidRPr="000F7862">
        <w:rPr>
          <w:lang w:val="fr-FR"/>
        </w:rPr>
        <w:t>able</w:t>
      </w:r>
      <w:r w:rsidR="0091140D" w:rsidRPr="000F7862">
        <w:rPr>
          <w:lang w:val="fr-FR"/>
        </w:rPr>
        <w:t>au</w:t>
      </w:r>
      <w:r w:rsidR="004B3B1E" w:rsidRPr="000F7862">
        <w:rPr>
          <w:lang w:val="fr-FR"/>
        </w:rPr>
        <w:t> </w:t>
      </w:r>
      <w:r w:rsidR="0086185C" w:rsidRPr="000F7862">
        <w:rPr>
          <w:lang w:val="fr-FR"/>
        </w:rPr>
        <w:t>1).</w:t>
      </w:r>
    </w:p>
    <w:p w:rsidR="00502FA7" w:rsidRPr="000F7862" w:rsidRDefault="00500150" w:rsidP="00500150">
      <w:pPr>
        <w:pStyle w:val="H23G"/>
        <w:rPr>
          <w:bCs/>
          <w:sz w:val="16"/>
          <w:szCs w:val="16"/>
          <w:lang w:val="fr-FR"/>
        </w:rPr>
      </w:pPr>
      <w:r w:rsidRPr="000F7862">
        <w:rPr>
          <w:b w:val="0"/>
          <w:lang w:val="fr-FR"/>
        </w:rPr>
        <w:tab/>
      </w:r>
      <w:r w:rsidRPr="000F7862">
        <w:rPr>
          <w:b w:val="0"/>
          <w:lang w:val="fr-FR"/>
        </w:rPr>
        <w:tab/>
      </w:r>
      <w:r w:rsidR="00502FA7" w:rsidRPr="000F7862">
        <w:rPr>
          <w:b w:val="0"/>
          <w:lang w:val="fr-FR"/>
        </w:rPr>
        <w:t>Table</w:t>
      </w:r>
      <w:r w:rsidR="0091140D" w:rsidRPr="000F7862">
        <w:rPr>
          <w:b w:val="0"/>
          <w:lang w:val="fr-FR"/>
        </w:rPr>
        <w:t>au</w:t>
      </w:r>
      <w:r w:rsidR="00397090" w:rsidRPr="000F7862">
        <w:rPr>
          <w:b w:val="0"/>
          <w:lang w:val="fr-FR"/>
        </w:rPr>
        <w:t xml:space="preserve"> </w:t>
      </w:r>
      <w:r w:rsidR="00502FA7" w:rsidRPr="000F7862">
        <w:rPr>
          <w:b w:val="0"/>
          <w:lang w:val="fr-FR"/>
        </w:rPr>
        <w:t>1</w:t>
      </w:r>
      <w:r w:rsidR="007E27A6" w:rsidRPr="000F7862">
        <w:rPr>
          <w:bCs/>
          <w:lang w:val="fr-FR"/>
        </w:rPr>
        <w:br/>
      </w:r>
      <w:r w:rsidR="0091140D" w:rsidRPr="000F7862">
        <w:rPr>
          <w:lang w:val="fr-FR"/>
        </w:rPr>
        <w:t>Dépenses publiques</w:t>
      </w:r>
      <w:r w:rsidR="00502FA7" w:rsidRPr="000F7862">
        <w:rPr>
          <w:lang w:val="fr-FR"/>
        </w:rPr>
        <w:t xml:space="preserve">, </w:t>
      </w:r>
      <w:r w:rsidR="00A53954" w:rsidRPr="000F7862">
        <w:rPr>
          <w:lang w:val="fr-FR"/>
        </w:rPr>
        <w:t>sur la base des dépenses engagées</w:t>
      </w:r>
      <w:r w:rsidR="00502FA7" w:rsidRPr="000F7862">
        <w:rPr>
          <w:lang w:val="fr-FR"/>
        </w:rPr>
        <w:t xml:space="preserve">, </w:t>
      </w:r>
      <w:r w:rsidR="00A53954" w:rsidRPr="000F7862">
        <w:rPr>
          <w:lang w:val="fr-FR"/>
        </w:rPr>
        <w:t>par secteur</w:t>
      </w:r>
      <w:r w:rsidR="00CA416E" w:rsidRPr="000F7862">
        <w:rPr>
          <w:lang w:val="fr-FR"/>
        </w:rPr>
        <w:t xml:space="preserve">, </w:t>
      </w:r>
      <w:r w:rsidR="00A53954" w:rsidRPr="000F7862">
        <w:rPr>
          <w:lang w:val="fr-FR"/>
        </w:rPr>
        <w:t>d</w:t>
      </w:r>
      <w:r w:rsidR="00502FA7" w:rsidRPr="000F7862">
        <w:rPr>
          <w:lang w:val="fr-FR"/>
        </w:rPr>
        <w:t>istribution</w:t>
      </w:r>
      <w:r w:rsidR="00A53954" w:rsidRPr="000F7862">
        <w:rPr>
          <w:lang w:val="fr-FR"/>
        </w:rPr>
        <w:t xml:space="preserve"> en pourcentage</w:t>
      </w:r>
      <w:r w:rsidR="00502FA7" w:rsidRPr="000F7862">
        <w:rPr>
          <w:lang w:val="fr-FR"/>
        </w:rPr>
        <w:t xml:space="preserve">, </w:t>
      </w:r>
      <w:r w:rsidR="00A53954" w:rsidRPr="000F7862">
        <w:rPr>
          <w:lang w:val="fr-FR"/>
        </w:rPr>
        <w:t xml:space="preserve">exercices </w:t>
      </w:r>
      <w:r w:rsidR="00502FA7" w:rsidRPr="000F7862">
        <w:rPr>
          <w:lang w:val="fr-FR"/>
        </w:rPr>
        <w:t>2009</w:t>
      </w:r>
      <w:r w:rsidR="00A53954" w:rsidRPr="000F7862">
        <w:rPr>
          <w:lang w:val="fr-FR"/>
        </w:rPr>
        <w:t>-</w:t>
      </w:r>
      <w:r w:rsidR="00502FA7" w:rsidRPr="000F7862">
        <w:rPr>
          <w:lang w:val="fr-FR"/>
        </w:rPr>
        <w:t>2013</w:t>
      </w:r>
      <w:r w:rsidR="007E27A6" w:rsidRPr="000F7862">
        <w:rPr>
          <w:lang w:val="fr-FR"/>
        </w:rPr>
        <w:br/>
      </w:r>
      <w:r w:rsidR="00502FA7" w:rsidRPr="000F7862">
        <w:rPr>
          <w:bCs/>
          <w:sz w:val="16"/>
          <w:szCs w:val="16"/>
          <w:lang w:val="fr-FR"/>
        </w:rPr>
        <w:t>(</w:t>
      </w:r>
      <w:r w:rsidR="009E7915" w:rsidRPr="000F7862">
        <w:rPr>
          <w:b w:val="0"/>
          <w:sz w:val="16"/>
          <w:szCs w:val="16"/>
          <w:lang w:val="fr-FR"/>
        </w:rPr>
        <w:t xml:space="preserve">En </w:t>
      </w:r>
      <w:r w:rsidR="00A53954" w:rsidRPr="000F7862">
        <w:rPr>
          <w:b w:val="0"/>
          <w:sz w:val="16"/>
          <w:szCs w:val="16"/>
          <w:lang w:val="fr-FR"/>
        </w:rPr>
        <w:t>pourcentage</w:t>
      </w:r>
      <w:r w:rsidR="00502FA7" w:rsidRPr="000F7862">
        <w:rPr>
          <w:bCs/>
          <w:sz w:val="16"/>
          <w:szCs w:val="16"/>
          <w:lang w:val="fr-FR"/>
        </w:rPr>
        <w:t>)</w:t>
      </w:r>
    </w:p>
    <w:tbl>
      <w:tblPr>
        <w:tblW w:w="7371" w:type="dxa"/>
        <w:tblInd w:w="1134" w:type="dxa"/>
        <w:tblBorders>
          <w:top w:val="single" w:sz="4" w:space="0" w:color="auto"/>
        </w:tblBorders>
        <w:tblLayout w:type="fixed"/>
        <w:tblCellMar>
          <w:left w:w="0" w:type="dxa"/>
          <w:right w:w="29" w:type="dxa"/>
        </w:tblCellMar>
        <w:tblLook w:val="04A0"/>
      </w:tblPr>
      <w:tblGrid>
        <w:gridCol w:w="2127"/>
        <w:gridCol w:w="921"/>
        <w:gridCol w:w="921"/>
        <w:gridCol w:w="921"/>
        <w:gridCol w:w="922"/>
        <w:gridCol w:w="1559"/>
      </w:tblGrid>
      <w:tr w:rsidR="00083E1C" w:rsidRPr="000F7862" w:rsidTr="00487C03">
        <w:trPr>
          <w:tblHeader/>
        </w:trPr>
        <w:tc>
          <w:tcPr>
            <w:tcW w:w="2127" w:type="dxa"/>
            <w:tcBorders>
              <w:top w:val="single" w:sz="4" w:space="0" w:color="auto"/>
              <w:bottom w:val="single" w:sz="12" w:space="0" w:color="auto"/>
            </w:tcBorders>
            <w:shd w:val="clear" w:color="auto" w:fill="auto"/>
            <w:vAlign w:val="bottom"/>
          </w:tcPr>
          <w:p w:rsidR="00083E1C" w:rsidRPr="000F7862" w:rsidRDefault="00083E1C" w:rsidP="00083E1C">
            <w:pPr>
              <w:pStyle w:val="SingleTxtG"/>
              <w:suppressAutoHyphens w:val="0"/>
              <w:spacing w:before="80" w:after="80" w:line="200" w:lineRule="exact"/>
              <w:ind w:left="0" w:right="0"/>
              <w:jc w:val="left"/>
              <w:rPr>
                <w:i/>
                <w:sz w:val="16"/>
                <w:lang w:val="fr-FR"/>
              </w:rPr>
            </w:pPr>
            <w:r w:rsidRPr="000F7862">
              <w:rPr>
                <w:i/>
                <w:sz w:val="16"/>
                <w:lang w:val="fr-FR"/>
              </w:rPr>
              <w:t>Postes de dépenses</w:t>
            </w:r>
          </w:p>
        </w:tc>
        <w:tc>
          <w:tcPr>
            <w:tcW w:w="921" w:type="dxa"/>
            <w:tcBorders>
              <w:top w:val="single" w:sz="4" w:space="0" w:color="auto"/>
              <w:bottom w:val="single" w:sz="12" w:space="0" w:color="auto"/>
            </w:tcBorders>
            <w:shd w:val="clear" w:color="auto" w:fill="auto"/>
            <w:vAlign w:val="bottom"/>
          </w:tcPr>
          <w:p w:rsidR="00083E1C" w:rsidRPr="000F7862" w:rsidRDefault="00015D35" w:rsidP="00083E1C">
            <w:pPr>
              <w:pStyle w:val="SingleTxtG"/>
              <w:suppressAutoHyphens w:val="0"/>
              <w:spacing w:before="80" w:after="80" w:line="200" w:lineRule="exact"/>
              <w:ind w:left="0" w:right="0"/>
              <w:jc w:val="right"/>
              <w:rPr>
                <w:i/>
                <w:sz w:val="16"/>
                <w:lang w:val="fr-FR"/>
              </w:rPr>
            </w:pPr>
            <w:r w:rsidRPr="000F7862">
              <w:rPr>
                <w:i/>
                <w:sz w:val="16"/>
                <w:lang w:val="fr-FR"/>
              </w:rPr>
              <w:t>2009</w:t>
            </w:r>
          </w:p>
        </w:tc>
        <w:tc>
          <w:tcPr>
            <w:tcW w:w="921" w:type="dxa"/>
            <w:tcBorders>
              <w:top w:val="single" w:sz="4" w:space="0" w:color="auto"/>
              <w:bottom w:val="single" w:sz="12" w:space="0" w:color="auto"/>
            </w:tcBorders>
            <w:shd w:val="clear" w:color="auto" w:fill="auto"/>
            <w:vAlign w:val="bottom"/>
          </w:tcPr>
          <w:p w:rsidR="00083E1C" w:rsidRPr="000F7862" w:rsidRDefault="00015D35" w:rsidP="00083E1C">
            <w:pPr>
              <w:pStyle w:val="SingleTxtG"/>
              <w:suppressAutoHyphens w:val="0"/>
              <w:spacing w:before="80" w:after="80" w:line="200" w:lineRule="exact"/>
              <w:ind w:left="0" w:right="0"/>
              <w:jc w:val="right"/>
              <w:rPr>
                <w:i/>
                <w:sz w:val="16"/>
                <w:lang w:val="fr-FR"/>
              </w:rPr>
            </w:pPr>
            <w:r w:rsidRPr="000F7862">
              <w:rPr>
                <w:i/>
                <w:sz w:val="16"/>
                <w:lang w:val="fr-FR"/>
              </w:rPr>
              <w:t>2010</w:t>
            </w:r>
          </w:p>
        </w:tc>
        <w:tc>
          <w:tcPr>
            <w:tcW w:w="921" w:type="dxa"/>
            <w:tcBorders>
              <w:top w:val="single" w:sz="4" w:space="0" w:color="auto"/>
              <w:bottom w:val="single" w:sz="12" w:space="0" w:color="auto"/>
            </w:tcBorders>
            <w:shd w:val="clear" w:color="auto" w:fill="auto"/>
            <w:vAlign w:val="bottom"/>
          </w:tcPr>
          <w:p w:rsidR="00083E1C" w:rsidRPr="000F7862" w:rsidRDefault="00015D35" w:rsidP="00083E1C">
            <w:pPr>
              <w:pStyle w:val="SingleTxtG"/>
              <w:suppressAutoHyphens w:val="0"/>
              <w:spacing w:before="80" w:after="80" w:line="200" w:lineRule="exact"/>
              <w:ind w:left="0" w:right="0"/>
              <w:jc w:val="right"/>
              <w:rPr>
                <w:i/>
                <w:sz w:val="16"/>
                <w:lang w:val="fr-FR"/>
              </w:rPr>
            </w:pPr>
            <w:r w:rsidRPr="000F7862">
              <w:rPr>
                <w:i/>
                <w:sz w:val="16"/>
                <w:lang w:val="fr-FR"/>
              </w:rPr>
              <w:t>2011</w:t>
            </w:r>
          </w:p>
        </w:tc>
        <w:tc>
          <w:tcPr>
            <w:tcW w:w="922" w:type="dxa"/>
            <w:tcBorders>
              <w:top w:val="single" w:sz="4" w:space="0" w:color="auto"/>
              <w:bottom w:val="single" w:sz="12" w:space="0" w:color="auto"/>
            </w:tcBorders>
            <w:shd w:val="clear" w:color="auto" w:fill="auto"/>
            <w:vAlign w:val="bottom"/>
          </w:tcPr>
          <w:p w:rsidR="00083E1C" w:rsidRPr="000F7862" w:rsidRDefault="00015D35" w:rsidP="00083E1C">
            <w:pPr>
              <w:pStyle w:val="SingleTxtG"/>
              <w:suppressAutoHyphens w:val="0"/>
              <w:spacing w:before="80" w:after="80" w:line="200" w:lineRule="exact"/>
              <w:ind w:left="0" w:right="0"/>
              <w:jc w:val="right"/>
              <w:rPr>
                <w:i/>
                <w:sz w:val="16"/>
                <w:lang w:val="fr-FR"/>
              </w:rPr>
            </w:pPr>
            <w:r w:rsidRPr="000F7862">
              <w:rPr>
                <w:i/>
                <w:sz w:val="16"/>
                <w:lang w:val="fr-FR"/>
              </w:rPr>
              <w:t>2012</w:t>
            </w:r>
          </w:p>
        </w:tc>
        <w:tc>
          <w:tcPr>
            <w:tcW w:w="1559" w:type="dxa"/>
            <w:tcBorders>
              <w:top w:val="single" w:sz="4" w:space="0" w:color="auto"/>
              <w:bottom w:val="single" w:sz="12" w:space="0" w:color="auto"/>
            </w:tcBorders>
            <w:shd w:val="clear" w:color="auto" w:fill="auto"/>
            <w:vAlign w:val="bottom"/>
          </w:tcPr>
          <w:p w:rsidR="00083E1C" w:rsidRPr="000F7862" w:rsidRDefault="001A6325" w:rsidP="00083E1C">
            <w:pPr>
              <w:pStyle w:val="SingleTxtG"/>
              <w:suppressAutoHyphens w:val="0"/>
              <w:spacing w:before="80" w:after="80" w:line="200" w:lineRule="exact"/>
              <w:ind w:left="0" w:right="0"/>
              <w:jc w:val="right"/>
              <w:rPr>
                <w:i/>
                <w:sz w:val="16"/>
                <w:lang w:val="fr-FR"/>
              </w:rPr>
            </w:pPr>
            <w:r w:rsidRPr="000F7862">
              <w:rPr>
                <w:i/>
                <w:sz w:val="16"/>
                <w:lang w:val="fr-FR"/>
              </w:rPr>
              <w:t xml:space="preserve">Loi </w:t>
            </w:r>
            <w:r w:rsidR="00083E1C" w:rsidRPr="000F7862">
              <w:rPr>
                <w:i/>
                <w:sz w:val="16"/>
                <w:lang w:val="fr-FR"/>
              </w:rPr>
              <w:t>générale sur les crédits budgétaires 2013</w:t>
            </w:r>
          </w:p>
        </w:tc>
      </w:tr>
      <w:tr w:rsidR="00083E1C" w:rsidRPr="000F7862" w:rsidTr="00487C03">
        <w:tc>
          <w:tcPr>
            <w:tcW w:w="2127" w:type="dxa"/>
            <w:tcBorders>
              <w:top w:val="single" w:sz="12" w:space="0" w:color="auto"/>
            </w:tcBorders>
            <w:shd w:val="clear" w:color="auto" w:fill="auto"/>
            <w:vAlign w:val="bottom"/>
          </w:tcPr>
          <w:p w:rsidR="00083E1C" w:rsidRPr="000F7862" w:rsidRDefault="00083E1C" w:rsidP="00083E1C">
            <w:pPr>
              <w:pStyle w:val="SingleTxtG"/>
              <w:suppressAutoHyphens w:val="0"/>
              <w:spacing w:before="40" w:after="40" w:line="220" w:lineRule="exact"/>
              <w:ind w:left="0" w:right="0"/>
              <w:jc w:val="left"/>
              <w:rPr>
                <w:sz w:val="18"/>
                <w:lang w:val="fr-FR"/>
              </w:rPr>
            </w:pPr>
            <w:r w:rsidRPr="000F7862">
              <w:rPr>
                <w:sz w:val="18"/>
                <w:lang w:val="fr-FR"/>
              </w:rPr>
              <w:t>Services économiques</w:t>
            </w:r>
          </w:p>
        </w:tc>
        <w:tc>
          <w:tcPr>
            <w:tcW w:w="921" w:type="dxa"/>
            <w:tcBorders>
              <w:top w:val="single" w:sz="12" w:space="0" w:color="auto"/>
            </w:tcBorders>
            <w:shd w:val="clear" w:color="auto" w:fill="auto"/>
            <w:vAlign w:val="bottom"/>
          </w:tcPr>
          <w:p w:rsidR="00083E1C" w:rsidRPr="000F7862" w:rsidRDefault="00015D35" w:rsidP="00083E1C">
            <w:pPr>
              <w:suppressAutoHyphens w:val="0"/>
              <w:spacing w:before="40" w:after="40" w:line="220" w:lineRule="exact"/>
              <w:jc w:val="right"/>
              <w:rPr>
                <w:sz w:val="18"/>
                <w:lang w:val="fr-FR"/>
              </w:rPr>
            </w:pPr>
            <w:r w:rsidRPr="000F7862">
              <w:rPr>
                <w:sz w:val="18"/>
                <w:lang w:val="fr-FR"/>
              </w:rPr>
              <w:t>28,07</w:t>
            </w:r>
          </w:p>
        </w:tc>
        <w:tc>
          <w:tcPr>
            <w:tcW w:w="921" w:type="dxa"/>
            <w:tcBorders>
              <w:top w:val="single" w:sz="12" w:space="0" w:color="auto"/>
            </w:tcBorders>
            <w:shd w:val="clear" w:color="auto" w:fill="auto"/>
            <w:vAlign w:val="bottom"/>
          </w:tcPr>
          <w:p w:rsidR="00083E1C" w:rsidRPr="000F7862" w:rsidRDefault="00015D35" w:rsidP="00083E1C">
            <w:pPr>
              <w:suppressAutoHyphens w:val="0"/>
              <w:spacing w:before="40" w:after="40" w:line="220" w:lineRule="exact"/>
              <w:jc w:val="right"/>
              <w:rPr>
                <w:sz w:val="18"/>
                <w:lang w:val="fr-FR"/>
              </w:rPr>
            </w:pPr>
            <w:r w:rsidRPr="000F7862">
              <w:rPr>
                <w:sz w:val="18"/>
                <w:lang w:val="fr-FR"/>
              </w:rPr>
              <w:t>25,88</w:t>
            </w:r>
          </w:p>
        </w:tc>
        <w:tc>
          <w:tcPr>
            <w:tcW w:w="921" w:type="dxa"/>
            <w:tcBorders>
              <w:top w:val="single" w:sz="12" w:space="0" w:color="auto"/>
            </w:tcBorders>
            <w:shd w:val="clear" w:color="auto" w:fill="auto"/>
            <w:vAlign w:val="bottom"/>
          </w:tcPr>
          <w:p w:rsidR="00083E1C" w:rsidRPr="000F7862" w:rsidRDefault="00015D35" w:rsidP="00083E1C">
            <w:pPr>
              <w:suppressAutoHyphens w:val="0"/>
              <w:spacing w:before="40" w:after="40" w:line="220" w:lineRule="exact"/>
              <w:jc w:val="right"/>
              <w:rPr>
                <w:sz w:val="18"/>
                <w:lang w:val="fr-FR"/>
              </w:rPr>
            </w:pPr>
            <w:r w:rsidRPr="000F7862">
              <w:rPr>
                <w:sz w:val="18"/>
                <w:lang w:val="fr-FR"/>
              </w:rPr>
              <w:t>23,17</w:t>
            </w:r>
          </w:p>
        </w:tc>
        <w:tc>
          <w:tcPr>
            <w:tcW w:w="922" w:type="dxa"/>
            <w:tcBorders>
              <w:top w:val="single" w:sz="12" w:space="0" w:color="auto"/>
            </w:tcBorders>
            <w:shd w:val="clear" w:color="auto" w:fill="auto"/>
            <w:vAlign w:val="bottom"/>
          </w:tcPr>
          <w:p w:rsidR="00083E1C" w:rsidRPr="000F7862" w:rsidRDefault="00015D35" w:rsidP="00083E1C">
            <w:pPr>
              <w:suppressAutoHyphens w:val="0"/>
              <w:spacing w:before="40" w:after="40" w:line="220" w:lineRule="exact"/>
              <w:jc w:val="right"/>
              <w:rPr>
                <w:sz w:val="18"/>
                <w:lang w:val="fr-FR"/>
              </w:rPr>
            </w:pPr>
            <w:r w:rsidRPr="000F7862">
              <w:rPr>
                <w:sz w:val="18"/>
                <w:lang w:val="fr-FR"/>
              </w:rPr>
              <w:t>23,68</w:t>
            </w:r>
          </w:p>
        </w:tc>
        <w:tc>
          <w:tcPr>
            <w:tcW w:w="1559" w:type="dxa"/>
            <w:tcBorders>
              <w:top w:val="single" w:sz="12" w:space="0" w:color="auto"/>
            </w:tcBorders>
            <w:shd w:val="clear" w:color="auto" w:fill="auto"/>
            <w:vAlign w:val="bottom"/>
          </w:tcPr>
          <w:p w:rsidR="00083E1C" w:rsidRPr="000F7862" w:rsidRDefault="00015D35" w:rsidP="00083E1C">
            <w:pPr>
              <w:suppressAutoHyphens w:val="0"/>
              <w:spacing w:before="40" w:after="40" w:line="220" w:lineRule="exact"/>
              <w:jc w:val="right"/>
              <w:rPr>
                <w:sz w:val="18"/>
                <w:lang w:val="fr-FR"/>
              </w:rPr>
            </w:pPr>
            <w:r w:rsidRPr="000F7862">
              <w:rPr>
                <w:sz w:val="18"/>
                <w:lang w:val="fr-FR"/>
              </w:rPr>
              <w:t>25.38</w:t>
            </w:r>
          </w:p>
        </w:tc>
      </w:tr>
      <w:tr w:rsidR="00083E1C" w:rsidRPr="000F7862" w:rsidTr="00487C03">
        <w:tc>
          <w:tcPr>
            <w:tcW w:w="2127" w:type="dxa"/>
            <w:shd w:val="clear" w:color="auto" w:fill="auto"/>
            <w:vAlign w:val="bottom"/>
          </w:tcPr>
          <w:p w:rsidR="00083E1C" w:rsidRPr="000F7862" w:rsidRDefault="00083E1C" w:rsidP="00083E1C">
            <w:pPr>
              <w:pStyle w:val="SingleTxtG"/>
              <w:suppressAutoHyphens w:val="0"/>
              <w:spacing w:before="40" w:after="40" w:line="220" w:lineRule="exact"/>
              <w:ind w:left="0" w:right="0"/>
              <w:jc w:val="left"/>
              <w:rPr>
                <w:sz w:val="18"/>
                <w:lang w:val="fr-FR"/>
              </w:rPr>
            </w:pPr>
            <w:r w:rsidRPr="000F7862">
              <w:rPr>
                <w:sz w:val="18"/>
                <w:lang w:val="fr-FR"/>
              </w:rPr>
              <w:t>Services sociaux</w:t>
            </w:r>
          </w:p>
        </w:tc>
        <w:tc>
          <w:tcPr>
            <w:tcW w:w="921" w:type="dxa"/>
            <w:shd w:val="clear" w:color="auto" w:fill="auto"/>
            <w:vAlign w:val="bottom"/>
          </w:tcPr>
          <w:p w:rsidR="00083E1C" w:rsidRPr="000F7862" w:rsidRDefault="00015D35" w:rsidP="00083E1C">
            <w:pPr>
              <w:suppressAutoHyphens w:val="0"/>
              <w:spacing w:before="40" w:after="40" w:line="220" w:lineRule="exact"/>
              <w:jc w:val="right"/>
              <w:rPr>
                <w:sz w:val="18"/>
                <w:lang w:val="fr-FR"/>
              </w:rPr>
            </w:pPr>
            <w:r w:rsidRPr="000F7862">
              <w:rPr>
                <w:sz w:val="18"/>
                <w:lang w:val="fr-FR"/>
              </w:rPr>
              <w:t>28,71</w:t>
            </w:r>
          </w:p>
        </w:tc>
        <w:tc>
          <w:tcPr>
            <w:tcW w:w="921" w:type="dxa"/>
            <w:shd w:val="clear" w:color="auto" w:fill="auto"/>
            <w:vAlign w:val="bottom"/>
          </w:tcPr>
          <w:p w:rsidR="00083E1C" w:rsidRPr="000F7862" w:rsidRDefault="00015D35" w:rsidP="00083E1C">
            <w:pPr>
              <w:suppressAutoHyphens w:val="0"/>
              <w:spacing w:before="40" w:after="40" w:line="220" w:lineRule="exact"/>
              <w:jc w:val="right"/>
              <w:rPr>
                <w:sz w:val="18"/>
                <w:lang w:val="fr-FR"/>
              </w:rPr>
            </w:pPr>
            <w:r w:rsidRPr="000F7862">
              <w:rPr>
                <w:sz w:val="18"/>
                <w:lang w:val="fr-FR"/>
              </w:rPr>
              <w:t>28,23</w:t>
            </w:r>
          </w:p>
        </w:tc>
        <w:tc>
          <w:tcPr>
            <w:tcW w:w="921" w:type="dxa"/>
            <w:shd w:val="clear" w:color="auto" w:fill="auto"/>
            <w:vAlign w:val="bottom"/>
          </w:tcPr>
          <w:p w:rsidR="00083E1C" w:rsidRPr="000F7862" w:rsidRDefault="00015D35" w:rsidP="00083E1C">
            <w:pPr>
              <w:suppressAutoHyphens w:val="0"/>
              <w:spacing w:before="40" w:after="40" w:line="220" w:lineRule="exact"/>
              <w:jc w:val="right"/>
              <w:rPr>
                <w:sz w:val="18"/>
                <w:lang w:val="fr-FR"/>
              </w:rPr>
            </w:pPr>
            <w:r w:rsidRPr="000F7862">
              <w:rPr>
                <w:sz w:val="18"/>
                <w:lang w:val="fr-FR"/>
              </w:rPr>
              <w:t>34,48</w:t>
            </w:r>
          </w:p>
        </w:tc>
        <w:tc>
          <w:tcPr>
            <w:tcW w:w="922" w:type="dxa"/>
            <w:shd w:val="clear" w:color="auto" w:fill="auto"/>
            <w:vAlign w:val="bottom"/>
          </w:tcPr>
          <w:p w:rsidR="00083E1C" w:rsidRPr="000F7862" w:rsidRDefault="00015D35" w:rsidP="00083E1C">
            <w:pPr>
              <w:suppressAutoHyphens w:val="0"/>
              <w:spacing w:before="40" w:after="40" w:line="220" w:lineRule="exact"/>
              <w:jc w:val="right"/>
              <w:rPr>
                <w:sz w:val="18"/>
                <w:lang w:val="fr-FR"/>
              </w:rPr>
            </w:pPr>
            <w:r w:rsidRPr="000F7862">
              <w:rPr>
                <w:sz w:val="18"/>
                <w:lang w:val="fr-FR"/>
              </w:rPr>
              <w:t>33,69</w:t>
            </w:r>
          </w:p>
        </w:tc>
        <w:tc>
          <w:tcPr>
            <w:tcW w:w="1559" w:type="dxa"/>
            <w:shd w:val="clear" w:color="auto" w:fill="auto"/>
            <w:vAlign w:val="bottom"/>
          </w:tcPr>
          <w:p w:rsidR="00083E1C" w:rsidRPr="000F7862" w:rsidRDefault="00015D35" w:rsidP="00083E1C">
            <w:pPr>
              <w:suppressAutoHyphens w:val="0"/>
              <w:spacing w:before="40" w:after="40" w:line="220" w:lineRule="exact"/>
              <w:jc w:val="right"/>
              <w:rPr>
                <w:sz w:val="18"/>
                <w:lang w:val="fr-FR"/>
              </w:rPr>
            </w:pPr>
            <w:r w:rsidRPr="000F7862">
              <w:rPr>
                <w:sz w:val="18"/>
                <w:lang w:val="fr-FR"/>
              </w:rPr>
              <w:t>34,87</w:t>
            </w:r>
          </w:p>
        </w:tc>
      </w:tr>
      <w:tr w:rsidR="00083E1C" w:rsidRPr="000F7862" w:rsidTr="00487C03">
        <w:tc>
          <w:tcPr>
            <w:tcW w:w="2127" w:type="dxa"/>
            <w:shd w:val="clear" w:color="auto" w:fill="auto"/>
            <w:vAlign w:val="bottom"/>
          </w:tcPr>
          <w:p w:rsidR="00083E1C" w:rsidRPr="000F7862" w:rsidRDefault="00083E1C" w:rsidP="00083E1C">
            <w:pPr>
              <w:pStyle w:val="SingleTxtG"/>
              <w:suppressAutoHyphens w:val="0"/>
              <w:spacing w:before="40" w:after="40" w:line="220" w:lineRule="exact"/>
              <w:ind w:left="0" w:right="0"/>
              <w:jc w:val="left"/>
              <w:rPr>
                <w:sz w:val="18"/>
                <w:lang w:val="fr-FR"/>
              </w:rPr>
            </w:pPr>
            <w:r w:rsidRPr="000F7862">
              <w:rPr>
                <w:sz w:val="18"/>
                <w:lang w:val="fr-FR"/>
              </w:rPr>
              <w:t>Défense</w:t>
            </w:r>
          </w:p>
        </w:tc>
        <w:tc>
          <w:tcPr>
            <w:tcW w:w="921" w:type="dxa"/>
            <w:shd w:val="clear" w:color="auto" w:fill="auto"/>
            <w:vAlign w:val="bottom"/>
          </w:tcPr>
          <w:p w:rsidR="00083E1C" w:rsidRPr="000F7862" w:rsidRDefault="00015D35" w:rsidP="00083E1C">
            <w:pPr>
              <w:suppressAutoHyphens w:val="0"/>
              <w:spacing w:before="40" w:after="40" w:line="220" w:lineRule="exact"/>
              <w:jc w:val="right"/>
              <w:rPr>
                <w:sz w:val="18"/>
                <w:lang w:val="fr-FR"/>
              </w:rPr>
            </w:pPr>
            <w:r w:rsidRPr="000F7862">
              <w:rPr>
                <w:sz w:val="18"/>
                <w:lang w:val="fr-FR"/>
              </w:rPr>
              <w:t>4,39</w:t>
            </w:r>
          </w:p>
        </w:tc>
        <w:tc>
          <w:tcPr>
            <w:tcW w:w="921" w:type="dxa"/>
            <w:shd w:val="clear" w:color="auto" w:fill="auto"/>
            <w:vAlign w:val="bottom"/>
          </w:tcPr>
          <w:p w:rsidR="00083E1C" w:rsidRPr="000F7862" w:rsidRDefault="00015D35" w:rsidP="00083E1C">
            <w:pPr>
              <w:suppressAutoHyphens w:val="0"/>
              <w:spacing w:before="40" w:after="40" w:line="220" w:lineRule="exact"/>
              <w:jc w:val="right"/>
              <w:rPr>
                <w:sz w:val="18"/>
                <w:lang w:val="fr-FR"/>
              </w:rPr>
            </w:pPr>
            <w:r w:rsidRPr="000F7862">
              <w:rPr>
                <w:sz w:val="18"/>
                <w:lang w:val="fr-FR"/>
              </w:rPr>
              <w:t>6,22</w:t>
            </w:r>
          </w:p>
        </w:tc>
        <w:tc>
          <w:tcPr>
            <w:tcW w:w="921" w:type="dxa"/>
            <w:shd w:val="clear" w:color="auto" w:fill="auto"/>
            <w:vAlign w:val="bottom"/>
          </w:tcPr>
          <w:p w:rsidR="00083E1C" w:rsidRPr="000F7862" w:rsidRDefault="00015D35" w:rsidP="00083E1C">
            <w:pPr>
              <w:suppressAutoHyphens w:val="0"/>
              <w:spacing w:before="40" w:after="40" w:line="220" w:lineRule="exact"/>
              <w:jc w:val="right"/>
              <w:rPr>
                <w:sz w:val="18"/>
                <w:lang w:val="fr-FR"/>
              </w:rPr>
            </w:pPr>
            <w:r w:rsidRPr="000F7862">
              <w:rPr>
                <w:sz w:val="18"/>
                <w:lang w:val="fr-FR"/>
              </w:rPr>
              <w:t>4,49</w:t>
            </w:r>
          </w:p>
        </w:tc>
        <w:tc>
          <w:tcPr>
            <w:tcW w:w="922" w:type="dxa"/>
            <w:shd w:val="clear" w:color="auto" w:fill="auto"/>
            <w:vAlign w:val="bottom"/>
          </w:tcPr>
          <w:p w:rsidR="00083E1C" w:rsidRPr="000F7862" w:rsidRDefault="00015D35" w:rsidP="00083E1C">
            <w:pPr>
              <w:suppressAutoHyphens w:val="0"/>
              <w:spacing w:before="40" w:after="40" w:line="220" w:lineRule="exact"/>
              <w:jc w:val="right"/>
              <w:rPr>
                <w:sz w:val="18"/>
                <w:lang w:val="fr-FR"/>
              </w:rPr>
            </w:pPr>
            <w:r w:rsidRPr="000F7862">
              <w:rPr>
                <w:sz w:val="18"/>
                <w:lang w:val="fr-FR"/>
              </w:rPr>
              <w:t>4,23</w:t>
            </w:r>
          </w:p>
        </w:tc>
        <w:tc>
          <w:tcPr>
            <w:tcW w:w="1559" w:type="dxa"/>
            <w:shd w:val="clear" w:color="auto" w:fill="auto"/>
            <w:vAlign w:val="bottom"/>
          </w:tcPr>
          <w:p w:rsidR="00083E1C" w:rsidRPr="000F7862" w:rsidRDefault="00015D35" w:rsidP="00083E1C">
            <w:pPr>
              <w:suppressAutoHyphens w:val="0"/>
              <w:spacing w:before="40" w:after="40" w:line="220" w:lineRule="exact"/>
              <w:jc w:val="right"/>
              <w:rPr>
                <w:sz w:val="18"/>
                <w:lang w:val="fr-FR"/>
              </w:rPr>
            </w:pPr>
            <w:r w:rsidRPr="000F7862">
              <w:rPr>
                <w:sz w:val="18"/>
                <w:lang w:val="fr-FR"/>
              </w:rPr>
              <w:t>4,46</w:t>
            </w:r>
          </w:p>
        </w:tc>
      </w:tr>
      <w:tr w:rsidR="00083E1C" w:rsidRPr="000F7862" w:rsidTr="00487C03">
        <w:tc>
          <w:tcPr>
            <w:tcW w:w="2127" w:type="dxa"/>
            <w:shd w:val="clear" w:color="auto" w:fill="auto"/>
            <w:vAlign w:val="bottom"/>
          </w:tcPr>
          <w:p w:rsidR="00083E1C" w:rsidRPr="000F7862" w:rsidRDefault="00083E1C" w:rsidP="00083E1C">
            <w:pPr>
              <w:pStyle w:val="SingleTxtG"/>
              <w:suppressAutoHyphens w:val="0"/>
              <w:spacing w:before="40" w:after="40" w:line="220" w:lineRule="exact"/>
              <w:ind w:left="0" w:right="0"/>
              <w:jc w:val="left"/>
              <w:rPr>
                <w:sz w:val="18"/>
                <w:lang w:val="fr-FR"/>
              </w:rPr>
            </w:pPr>
            <w:r w:rsidRPr="000F7862">
              <w:rPr>
                <w:sz w:val="18"/>
                <w:lang w:val="fr-FR"/>
              </w:rPr>
              <w:t>Services publics généraux</w:t>
            </w:r>
          </w:p>
        </w:tc>
        <w:tc>
          <w:tcPr>
            <w:tcW w:w="921" w:type="dxa"/>
            <w:shd w:val="clear" w:color="auto" w:fill="auto"/>
            <w:vAlign w:val="bottom"/>
          </w:tcPr>
          <w:p w:rsidR="00083E1C" w:rsidRPr="000F7862" w:rsidRDefault="00015D35" w:rsidP="00083E1C">
            <w:pPr>
              <w:suppressAutoHyphens w:val="0"/>
              <w:spacing w:before="40" w:after="40" w:line="220" w:lineRule="exact"/>
              <w:jc w:val="right"/>
              <w:rPr>
                <w:sz w:val="18"/>
                <w:lang w:val="fr-FR"/>
              </w:rPr>
            </w:pPr>
            <w:r w:rsidRPr="000F7862">
              <w:rPr>
                <w:sz w:val="18"/>
                <w:lang w:val="fr-FR"/>
              </w:rPr>
              <w:t>19,03</w:t>
            </w:r>
          </w:p>
        </w:tc>
        <w:tc>
          <w:tcPr>
            <w:tcW w:w="921" w:type="dxa"/>
            <w:shd w:val="clear" w:color="auto" w:fill="auto"/>
            <w:vAlign w:val="bottom"/>
          </w:tcPr>
          <w:p w:rsidR="00083E1C" w:rsidRPr="000F7862" w:rsidRDefault="00015D35" w:rsidP="00083E1C">
            <w:pPr>
              <w:suppressAutoHyphens w:val="0"/>
              <w:spacing w:before="40" w:after="40" w:line="220" w:lineRule="exact"/>
              <w:jc w:val="right"/>
              <w:rPr>
                <w:sz w:val="18"/>
                <w:lang w:val="fr-FR"/>
              </w:rPr>
            </w:pPr>
            <w:r w:rsidRPr="000F7862">
              <w:rPr>
                <w:sz w:val="18"/>
                <w:lang w:val="fr-FR"/>
              </w:rPr>
              <w:t>19,06</w:t>
            </w:r>
          </w:p>
        </w:tc>
        <w:tc>
          <w:tcPr>
            <w:tcW w:w="921" w:type="dxa"/>
            <w:shd w:val="clear" w:color="auto" w:fill="auto"/>
            <w:vAlign w:val="bottom"/>
          </w:tcPr>
          <w:p w:rsidR="00083E1C" w:rsidRPr="000F7862" w:rsidRDefault="00015D35" w:rsidP="00083E1C">
            <w:pPr>
              <w:suppressAutoHyphens w:val="0"/>
              <w:spacing w:before="40" w:after="40" w:line="220" w:lineRule="exact"/>
              <w:jc w:val="right"/>
              <w:rPr>
                <w:sz w:val="18"/>
                <w:lang w:val="fr-FR"/>
              </w:rPr>
            </w:pPr>
            <w:r w:rsidRPr="000F7862">
              <w:rPr>
                <w:sz w:val="18"/>
                <w:lang w:val="fr-FR"/>
              </w:rPr>
              <w:t>19,05</w:t>
            </w:r>
          </w:p>
        </w:tc>
        <w:tc>
          <w:tcPr>
            <w:tcW w:w="922" w:type="dxa"/>
            <w:shd w:val="clear" w:color="auto" w:fill="auto"/>
            <w:vAlign w:val="bottom"/>
          </w:tcPr>
          <w:p w:rsidR="00083E1C" w:rsidRPr="000F7862" w:rsidRDefault="00015D35" w:rsidP="00083E1C">
            <w:pPr>
              <w:suppressAutoHyphens w:val="0"/>
              <w:spacing w:before="40" w:after="40" w:line="220" w:lineRule="exact"/>
              <w:jc w:val="right"/>
              <w:rPr>
                <w:sz w:val="18"/>
                <w:lang w:val="fr-FR"/>
              </w:rPr>
            </w:pPr>
            <w:r w:rsidRPr="000F7862">
              <w:rPr>
                <w:sz w:val="18"/>
                <w:lang w:val="fr-FR"/>
              </w:rPr>
              <w:t>18,14</w:t>
            </w:r>
          </w:p>
        </w:tc>
        <w:tc>
          <w:tcPr>
            <w:tcW w:w="1559" w:type="dxa"/>
            <w:shd w:val="clear" w:color="auto" w:fill="auto"/>
            <w:vAlign w:val="bottom"/>
          </w:tcPr>
          <w:p w:rsidR="00083E1C" w:rsidRPr="000F7862" w:rsidRDefault="00015D35" w:rsidP="00083E1C">
            <w:pPr>
              <w:suppressAutoHyphens w:val="0"/>
              <w:spacing w:before="40" w:after="40" w:line="220" w:lineRule="exact"/>
              <w:jc w:val="right"/>
              <w:rPr>
                <w:sz w:val="18"/>
                <w:lang w:val="fr-FR"/>
              </w:rPr>
            </w:pPr>
            <w:r w:rsidRPr="000F7862">
              <w:rPr>
                <w:sz w:val="18"/>
                <w:lang w:val="fr-FR"/>
              </w:rPr>
              <w:t>17,32</w:t>
            </w:r>
          </w:p>
        </w:tc>
      </w:tr>
      <w:tr w:rsidR="00083E1C" w:rsidRPr="000F7862" w:rsidTr="00487C03">
        <w:tc>
          <w:tcPr>
            <w:tcW w:w="2127" w:type="dxa"/>
            <w:shd w:val="clear" w:color="auto" w:fill="auto"/>
            <w:vAlign w:val="bottom"/>
          </w:tcPr>
          <w:p w:rsidR="00083E1C" w:rsidRPr="000F7862" w:rsidRDefault="00083E1C" w:rsidP="00083E1C">
            <w:pPr>
              <w:pStyle w:val="SingleTxtG"/>
              <w:suppressAutoHyphens w:val="0"/>
              <w:spacing w:before="40" w:after="40" w:line="220" w:lineRule="exact"/>
              <w:ind w:left="0" w:right="0"/>
              <w:jc w:val="left"/>
              <w:rPr>
                <w:sz w:val="18"/>
                <w:szCs w:val="18"/>
                <w:lang w:val="fr-FR"/>
              </w:rPr>
            </w:pPr>
            <w:r w:rsidRPr="000F7862">
              <w:rPr>
                <w:sz w:val="18"/>
                <w:lang w:val="fr-FR"/>
              </w:rPr>
              <w:t>Prêts nets</w:t>
            </w:r>
          </w:p>
        </w:tc>
        <w:tc>
          <w:tcPr>
            <w:tcW w:w="921" w:type="dxa"/>
            <w:shd w:val="clear" w:color="auto" w:fill="auto"/>
            <w:vAlign w:val="bottom"/>
          </w:tcPr>
          <w:p w:rsidR="00083E1C" w:rsidRPr="000F7862" w:rsidRDefault="00015D35" w:rsidP="00083E1C">
            <w:pPr>
              <w:suppressAutoHyphens w:val="0"/>
              <w:spacing w:before="40" w:after="40" w:line="220" w:lineRule="exact"/>
              <w:jc w:val="right"/>
              <w:rPr>
                <w:sz w:val="18"/>
                <w:lang w:val="fr-FR"/>
              </w:rPr>
            </w:pPr>
            <w:r w:rsidRPr="000F7862">
              <w:rPr>
                <w:sz w:val="18"/>
                <w:lang w:val="fr-FR"/>
              </w:rPr>
              <w:t>0,35</w:t>
            </w:r>
          </w:p>
        </w:tc>
        <w:tc>
          <w:tcPr>
            <w:tcW w:w="921" w:type="dxa"/>
            <w:shd w:val="clear" w:color="auto" w:fill="auto"/>
            <w:vAlign w:val="bottom"/>
          </w:tcPr>
          <w:p w:rsidR="00083E1C" w:rsidRPr="000F7862" w:rsidRDefault="00015D35" w:rsidP="00083E1C">
            <w:pPr>
              <w:suppressAutoHyphens w:val="0"/>
              <w:spacing w:before="40" w:after="40" w:line="220" w:lineRule="exact"/>
              <w:jc w:val="right"/>
              <w:rPr>
                <w:sz w:val="18"/>
                <w:lang w:val="fr-FR"/>
              </w:rPr>
            </w:pPr>
            <w:r w:rsidRPr="000F7862">
              <w:rPr>
                <w:sz w:val="18"/>
                <w:lang w:val="fr-FR"/>
              </w:rPr>
              <w:t>0,63</w:t>
            </w:r>
          </w:p>
        </w:tc>
        <w:tc>
          <w:tcPr>
            <w:tcW w:w="921" w:type="dxa"/>
            <w:shd w:val="clear" w:color="auto" w:fill="auto"/>
            <w:vAlign w:val="bottom"/>
          </w:tcPr>
          <w:p w:rsidR="00083E1C" w:rsidRPr="000F7862" w:rsidRDefault="00015D35" w:rsidP="00083E1C">
            <w:pPr>
              <w:suppressAutoHyphens w:val="0"/>
              <w:spacing w:before="40" w:after="40" w:line="220" w:lineRule="exact"/>
              <w:jc w:val="right"/>
              <w:rPr>
                <w:sz w:val="18"/>
                <w:lang w:val="fr-FR"/>
              </w:rPr>
            </w:pPr>
            <w:r w:rsidRPr="000F7862">
              <w:rPr>
                <w:sz w:val="18"/>
                <w:lang w:val="fr-FR"/>
              </w:rPr>
              <w:t>1,14</w:t>
            </w:r>
          </w:p>
        </w:tc>
        <w:tc>
          <w:tcPr>
            <w:tcW w:w="922" w:type="dxa"/>
            <w:shd w:val="clear" w:color="auto" w:fill="auto"/>
            <w:vAlign w:val="bottom"/>
          </w:tcPr>
          <w:p w:rsidR="00083E1C" w:rsidRPr="000F7862" w:rsidRDefault="00015D35" w:rsidP="00083E1C">
            <w:pPr>
              <w:suppressAutoHyphens w:val="0"/>
              <w:spacing w:before="40" w:after="40" w:line="220" w:lineRule="exact"/>
              <w:jc w:val="right"/>
              <w:rPr>
                <w:sz w:val="18"/>
                <w:lang w:val="fr-FR"/>
              </w:rPr>
            </w:pPr>
            <w:r w:rsidRPr="000F7862">
              <w:rPr>
                <w:sz w:val="18"/>
                <w:lang w:val="fr-FR"/>
              </w:rPr>
              <w:t>1,31</w:t>
            </w:r>
          </w:p>
        </w:tc>
        <w:tc>
          <w:tcPr>
            <w:tcW w:w="1559" w:type="dxa"/>
            <w:shd w:val="clear" w:color="auto" w:fill="auto"/>
            <w:vAlign w:val="bottom"/>
          </w:tcPr>
          <w:p w:rsidR="00083E1C" w:rsidRPr="000F7862" w:rsidRDefault="00015D35" w:rsidP="00083E1C">
            <w:pPr>
              <w:suppressAutoHyphens w:val="0"/>
              <w:spacing w:before="40" w:after="40" w:line="220" w:lineRule="exact"/>
              <w:jc w:val="right"/>
              <w:rPr>
                <w:sz w:val="18"/>
                <w:lang w:val="fr-FR"/>
              </w:rPr>
            </w:pPr>
            <w:r w:rsidRPr="000F7862">
              <w:rPr>
                <w:sz w:val="18"/>
                <w:lang w:val="fr-FR"/>
              </w:rPr>
              <w:t>1,32</w:t>
            </w:r>
          </w:p>
        </w:tc>
      </w:tr>
      <w:tr w:rsidR="00083E1C" w:rsidRPr="000F7862" w:rsidTr="00487C03">
        <w:tc>
          <w:tcPr>
            <w:tcW w:w="2127" w:type="dxa"/>
            <w:tcBorders>
              <w:bottom w:val="single" w:sz="4" w:space="0" w:color="auto"/>
            </w:tcBorders>
            <w:shd w:val="clear" w:color="auto" w:fill="auto"/>
            <w:vAlign w:val="bottom"/>
          </w:tcPr>
          <w:p w:rsidR="00083E1C" w:rsidRPr="000F7862" w:rsidRDefault="0056259E" w:rsidP="00083E1C">
            <w:pPr>
              <w:pStyle w:val="SingleTxtG"/>
              <w:suppressAutoHyphens w:val="0"/>
              <w:spacing w:before="40" w:after="40" w:line="220" w:lineRule="exact"/>
              <w:ind w:left="0" w:right="0"/>
              <w:jc w:val="left"/>
              <w:rPr>
                <w:sz w:val="18"/>
                <w:lang w:val="fr-FR"/>
              </w:rPr>
            </w:pPr>
            <w:r w:rsidRPr="000F7862">
              <w:rPr>
                <w:sz w:val="18"/>
                <w:lang w:val="fr-FR"/>
              </w:rPr>
              <w:t>Service de la dette</w:t>
            </w:r>
          </w:p>
        </w:tc>
        <w:tc>
          <w:tcPr>
            <w:tcW w:w="921" w:type="dxa"/>
            <w:tcBorders>
              <w:bottom w:val="single" w:sz="4" w:space="0" w:color="auto"/>
            </w:tcBorders>
            <w:shd w:val="clear" w:color="auto" w:fill="auto"/>
            <w:vAlign w:val="bottom"/>
          </w:tcPr>
          <w:p w:rsidR="00083E1C" w:rsidRPr="000F7862" w:rsidRDefault="00015D35" w:rsidP="00083E1C">
            <w:pPr>
              <w:suppressAutoHyphens w:val="0"/>
              <w:spacing w:before="40" w:after="40" w:line="220" w:lineRule="exact"/>
              <w:jc w:val="right"/>
              <w:rPr>
                <w:sz w:val="18"/>
                <w:lang w:val="fr-FR"/>
              </w:rPr>
            </w:pPr>
            <w:r w:rsidRPr="000F7862">
              <w:rPr>
                <w:sz w:val="18"/>
                <w:lang w:val="fr-FR"/>
              </w:rPr>
              <w:t>19,44</w:t>
            </w:r>
          </w:p>
        </w:tc>
        <w:tc>
          <w:tcPr>
            <w:tcW w:w="921" w:type="dxa"/>
            <w:tcBorders>
              <w:bottom w:val="single" w:sz="4" w:space="0" w:color="auto"/>
            </w:tcBorders>
            <w:shd w:val="clear" w:color="auto" w:fill="auto"/>
            <w:vAlign w:val="bottom"/>
          </w:tcPr>
          <w:p w:rsidR="00083E1C" w:rsidRPr="000F7862" w:rsidRDefault="00487C03" w:rsidP="00083E1C">
            <w:pPr>
              <w:suppressAutoHyphens w:val="0"/>
              <w:spacing w:before="40" w:after="40" w:line="220" w:lineRule="exact"/>
              <w:jc w:val="right"/>
              <w:rPr>
                <w:sz w:val="18"/>
                <w:lang w:val="fr-FR"/>
              </w:rPr>
            </w:pPr>
            <w:r w:rsidRPr="000F7862">
              <w:rPr>
                <w:sz w:val="18"/>
                <w:lang w:val="fr-FR"/>
              </w:rPr>
              <w:t>19,98</w:t>
            </w:r>
          </w:p>
        </w:tc>
        <w:tc>
          <w:tcPr>
            <w:tcW w:w="921" w:type="dxa"/>
            <w:tcBorders>
              <w:bottom w:val="single" w:sz="4" w:space="0" w:color="auto"/>
            </w:tcBorders>
            <w:shd w:val="clear" w:color="auto" w:fill="auto"/>
            <w:vAlign w:val="bottom"/>
          </w:tcPr>
          <w:p w:rsidR="00083E1C" w:rsidRPr="000F7862" w:rsidRDefault="00487C03" w:rsidP="00083E1C">
            <w:pPr>
              <w:suppressAutoHyphens w:val="0"/>
              <w:spacing w:before="40" w:after="40" w:line="220" w:lineRule="exact"/>
              <w:jc w:val="right"/>
              <w:rPr>
                <w:sz w:val="18"/>
                <w:lang w:val="fr-FR"/>
              </w:rPr>
            </w:pPr>
            <w:r w:rsidRPr="000F7862">
              <w:rPr>
                <w:sz w:val="18"/>
                <w:lang w:val="fr-FR"/>
              </w:rPr>
              <w:t>17,66</w:t>
            </w:r>
          </w:p>
        </w:tc>
        <w:tc>
          <w:tcPr>
            <w:tcW w:w="922" w:type="dxa"/>
            <w:tcBorders>
              <w:bottom w:val="single" w:sz="4" w:space="0" w:color="auto"/>
            </w:tcBorders>
            <w:shd w:val="clear" w:color="auto" w:fill="auto"/>
            <w:vAlign w:val="bottom"/>
          </w:tcPr>
          <w:p w:rsidR="00083E1C" w:rsidRPr="000F7862" w:rsidRDefault="00487C03" w:rsidP="00083E1C">
            <w:pPr>
              <w:suppressAutoHyphens w:val="0"/>
              <w:spacing w:before="40" w:after="40" w:line="220" w:lineRule="exact"/>
              <w:jc w:val="right"/>
              <w:rPr>
                <w:sz w:val="18"/>
                <w:lang w:val="fr-FR"/>
              </w:rPr>
            </w:pPr>
            <w:r w:rsidRPr="000F7862">
              <w:rPr>
                <w:sz w:val="18"/>
                <w:lang w:val="fr-FR"/>
              </w:rPr>
              <w:t>18,95</w:t>
            </w:r>
          </w:p>
        </w:tc>
        <w:tc>
          <w:tcPr>
            <w:tcW w:w="1559" w:type="dxa"/>
            <w:tcBorders>
              <w:bottom w:val="single" w:sz="4" w:space="0" w:color="auto"/>
            </w:tcBorders>
            <w:shd w:val="clear" w:color="auto" w:fill="auto"/>
            <w:vAlign w:val="bottom"/>
          </w:tcPr>
          <w:p w:rsidR="00083E1C" w:rsidRPr="000F7862" w:rsidRDefault="001A6325" w:rsidP="00083E1C">
            <w:pPr>
              <w:suppressAutoHyphens w:val="0"/>
              <w:spacing w:before="40" w:after="40" w:line="220" w:lineRule="exact"/>
              <w:jc w:val="right"/>
              <w:rPr>
                <w:sz w:val="18"/>
                <w:lang w:val="fr-FR"/>
              </w:rPr>
            </w:pPr>
            <w:r w:rsidRPr="000F7862">
              <w:rPr>
                <w:sz w:val="18"/>
                <w:lang w:val="fr-FR"/>
              </w:rPr>
              <w:t>16,6</w:t>
            </w:r>
            <w:r w:rsidR="00487C03" w:rsidRPr="000F7862">
              <w:rPr>
                <w:sz w:val="18"/>
                <w:lang w:val="fr-FR"/>
              </w:rPr>
              <w:t>5</w:t>
            </w:r>
          </w:p>
        </w:tc>
      </w:tr>
      <w:tr w:rsidR="00083E1C" w:rsidRPr="000F7862" w:rsidTr="00487C03">
        <w:tc>
          <w:tcPr>
            <w:tcW w:w="2127" w:type="dxa"/>
            <w:tcBorders>
              <w:top w:val="single" w:sz="4" w:space="0" w:color="auto"/>
              <w:bottom w:val="single" w:sz="12" w:space="0" w:color="auto"/>
            </w:tcBorders>
            <w:shd w:val="clear" w:color="auto" w:fill="auto"/>
          </w:tcPr>
          <w:p w:rsidR="00083E1C" w:rsidRPr="000F7862" w:rsidRDefault="00083E1C" w:rsidP="00083E1C">
            <w:pPr>
              <w:pStyle w:val="SingleTxtG"/>
              <w:tabs>
                <w:tab w:val="left" w:pos="284"/>
              </w:tabs>
              <w:suppressAutoHyphens w:val="0"/>
              <w:spacing w:before="80" w:after="80" w:line="220" w:lineRule="exact"/>
              <w:ind w:left="0" w:right="0"/>
              <w:jc w:val="left"/>
              <w:rPr>
                <w:b/>
                <w:sz w:val="18"/>
                <w:lang w:val="fr-FR"/>
              </w:rPr>
            </w:pPr>
            <w:r w:rsidRPr="000F7862">
              <w:rPr>
                <w:b/>
                <w:sz w:val="18"/>
                <w:lang w:val="fr-FR"/>
              </w:rPr>
              <w:tab/>
              <w:t>Total</w:t>
            </w:r>
          </w:p>
        </w:tc>
        <w:tc>
          <w:tcPr>
            <w:tcW w:w="921" w:type="dxa"/>
            <w:tcBorders>
              <w:top w:val="single" w:sz="4" w:space="0" w:color="auto"/>
              <w:bottom w:val="single" w:sz="12" w:space="0" w:color="auto"/>
            </w:tcBorders>
            <w:shd w:val="clear" w:color="auto" w:fill="auto"/>
            <w:vAlign w:val="bottom"/>
          </w:tcPr>
          <w:p w:rsidR="00083E1C" w:rsidRPr="000F7862" w:rsidRDefault="00487C03" w:rsidP="00083E1C">
            <w:pPr>
              <w:suppressAutoHyphens w:val="0"/>
              <w:spacing w:before="80" w:after="80" w:line="220" w:lineRule="exact"/>
              <w:jc w:val="right"/>
              <w:rPr>
                <w:b/>
                <w:sz w:val="18"/>
                <w:lang w:val="fr-FR"/>
              </w:rPr>
            </w:pPr>
            <w:r w:rsidRPr="000F7862">
              <w:rPr>
                <w:b/>
                <w:sz w:val="18"/>
                <w:lang w:val="fr-FR"/>
              </w:rPr>
              <w:t>100</w:t>
            </w:r>
          </w:p>
        </w:tc>
        <w:tc>
          <w:tcPr>
            <w:tcW w:w="921" w:type="dxa"/>
            <w:tcBorders>
              <w:top w:val="single" w:sz="4" w:space="0" w:color="auto"/>
              <w:bottom w:val="single" w:sz="12" w:space="0" w:color="auto"/>
            </w:tcBorders>
            <w:shd w:val="clear" w:color="auto" w:fill="auto"/>
            <w:vAlign w:val="bottom"/>
          </w:tcPr>
          <w:p w:rsidR="00083E1C" w:rsidRPr="000F7862" w:rsidRDefault="00487C03" w:rsidP="00083E1C">
            <w:pPr>
              <w:suppressAutoHyphens w:val="0"/>
              <w:spacing w:before="80" w:after="80" w:line="220" w:lineRule="exact"/>
              <w:jc w:val="right"/>
              <w:rPr>
                <w:b/>
                <w:sz w:val="18"/>
                <w:lang w:val="fr-FR"/>
              </w:rPr>
            </w:pPr>
            <w:r w:rsidRPr="000F7862">
              <w:rPr>
                <w:b/>
                <w:sz w:val="18"/>
                <w:lang w:val="fr-FR"/>
              </w:rPr>
              <w:t>100</w:t>
            </w:r>
          </w:p>
        </w:tc>
        <w:tc>
          <w:tcPr>
            <w:tcW w:w="921" w:type="dxa"/>
            <w:tcBorders>
              <w:top w:val="single" w:sz="4" w:space="0" w:color="auto"/>
              <w:bottom w:val="single" w:sz="12" w:space="0" w:color="auto"/>
            </w:tcBorders>
            <w:shd w:val="clear" w:color="auto" w:fill="auto"/>
            <w:vAlign w:val="bottom"/>
          </w:tcPr>
          <w:p w:rsidR="00083E1C" w:rsidRPr="000F7862" w:rsidRDefault="00487C03" w:rsidP="00083E1C">
            <w:pPr>
              <w:suppressAutoHyphens w:val="0"/>
              <w:spacing w:before="80" w:after="80" w:line="220" w:lineRule="exact"/>
              <w:jc w:val="right"/>
              <w:rPr>
                <w:b/>
                <w:sz w:val="18"/>
                <w:lang w:val="fr-FR"/>
              </w:rPr>
            </w:pPr>
            <w:r w:rsidRPr="000F7862">
              <w:rPr>
                <w:b/>
                <w:sz w:val="18"/>
                <w:lang w:val="fr-FR"/>
              </w:rPr>
              <w:t>100</w:t>
            </w:r>
          </w:p>
        </w:tc>
        <w:tc>
          <w:tcPr>
            <w:tcW w:w="922" w:type="dxa"/>
            <w:tcBorders>
              <w:top w:val="single" w:sz="4" w:space="0" w:color="auto"/>
              <w:bottom w:val="single" w:sz="12" w:space="0" w:color="auto"/>
            </w:tcBorders>
            <w:shd w:val="clear" w:color="auto" w:fill="auto"/>
            <w:vAlign w:val="bottom"/>
          </w:tcPr>
          <w:p w:rsidR="00083E1C" w:rsidRPr="000F7862" w:rsidRDefault="00487C03" w:rsidP="00083E1C">
            <w:pPr>
              <w:suppressAutoHyphens w:val="0"/>
              <w:spacing w:before="80" w:after="80" w:line="220" w:lineRule="exact"/>
              <w:jc w:val="right"/>
              <w:rPr>
                <w:b/>
                <w:sz w:val="18"/>
                <w:lang w:val="fr-FR"/>
              </w:rPr>
            </w:pPr>
            <w:r w:rsidRPr="000F7862">
              <w:rPr>
                <w:b/>
                <w:sz w:val="18"/>
                <w:lang w:val="fr-FR"/>
              </w:rPr>
              <w:t>100</w:t>
            </w:r>
          </w:p>
        </w:tc>
        <w:tc>
          <w:tcPr>
            <w:tcW w:w="1559" w:type="dxa"/>
            <w:tcBorders>
              <w:top w:val="single" w:sz="4" w:space="0" w:color="auto"/>
              <w:bottom w:val="single" w:sz="12" w:space="0" w:color="auto"/>
            </w:tcBorders>
            <w:shd w:val="clear" w:color="auto" w:fill="auto"/>
            <w:vAlign w:val="bottom"/>
          </w:tcPr>
          <w:p w:rsidR="00083E1C" w:rsidRPr="000F7862" w:rsidRDefault="00487C03" w:rsidP="00083E1C">
            <w:pPr>
              <w:suppressAutoHyphens w:val="0"/>
              <w:spacing w:before="80" w:after="80" w:line="220" w:lineRule="exact"/>
              <w:jc w:val="right"/>
              <w:rPr>
                <w:b/>
                <w:sz w:val="18"/>
                <w:lang w:val="fr-FR"/>
              </w:rPr>
            </w:pPr>
            <w:r w:rsidRPr="000F7862">
              <w:rPr>
                <w:b/>
                <w:sz w:val="18"/>
                <w:lang w:val="fr-FR"/>
              </w:rPr>
              <w:t>100</w:t>
            </w:r>
          </w:p>
        </w:tc>
      </w:tr>
    </w:tbl>
    <w:p w:rsidR="0086185C" w:rsidRPr="000F7862" w:rsidRDefault="003F7F57" w:rsidP="003F7F57">
      <w:pPr>
        <w:pStyle w:val="SingleTxtG"/>
        <w:spacing w:before="240"/>
        <w:rPr>
          <w:lang w:val="fr-FR"/>
        </w:rPr>
      </w:pPr>
      <w:r w:rsidRPr="000F7862">
        <w:rPr>
          <w:lang w:val="fr-FR"/>
        </w:rPr>
        <w:t>26.</w:t>
      </w:r>
      <w:r w:rsidRPr="000F7862">
        <w:rPr>
          <w:lang w:val="fr-FR"/>
        </w:rPr>
        <w:tab/>
      </w:r>
      <w:r w:rsidR="008A3D19" w:rsidRPr="000F7862">
        <w:rPr>
          <w:lang w:val="fr-FR"/>
        </w:rPr>
        <w:t>Parmi les sous-secteurs sociaux</w:t>
      </w:r>
      <w:r w:rsidR="0086185C" w:rsidRPr="000F7862">
        <w:rPr>
          <w:lang w:val="fr-FR"/>
        </w:rPr>
        <w:t xml:space="preserve">, </w:t>
      </w:r>
      <w:r w:rsidR="008A3D19" w:rsidRPr="000F7862">
        <w:rPr>
          <w:lang w:val="fr-FR"/>
        </w:rPr>
        <w:t>le sous-secteur de l</w:t>
      </w:r>
      <w:r w:rsidR="00120E2E" w:rsidRPr="000F7862">
        <w:rPr>
          <w:lang w:val="fr-FR"/>
        </w:rPr>
        <w:t>’</w:t>
      </w:r>
      <w:r w:rsidR="008A3D19" w:rsidRPr="000F7862">
        <w:rPr>
          <w:lang w:val="fr-FR"/>
        </w:rPr>
        <w:t>é</w:t>
      </w:r>
      <w:r w:rsidR="0086185C" w:rsidRPr="000F7862">
        <w:rPr>
          <w:lang w:val="fr-FR"/>
        </w:rPr>
        <w:t xml:space="preserve">ducation, </w:t>
      </w:r>
      <w:r w:rsidR="008A3D19" w:rsidRPr="000F7862">
        <w:rPr>
          <w:lang w:val="fr-FR"/>
        </w:rPr>
        <w:t xml:space="preserve">de la </w:t>
      </w:r>
      <w:r w:rsidR="0086185C" w:rsidRPr="000F7862">
        <w:rPr>
          <w:lang w:val="fr-FR"/>
        </w:rPr>
        <w:t>culture</w:t>
      </w:r>
      <w:r w:rsidR="008A3D19" w:rsidRPr="000F7862">
        <w:rPr>
          <w:lang w:val="fr-FR"/>
        </w:rPr>
        <w:t xml:space="preserve"> et du</w:t>
      </w:r>
      <w:r w:rsidR="0005004C" w:rsidRPr="000F7862">
        <w:rPr>
          <w:lang w:val="fr-FR"/>
        </w:rPr>
        <w:t xml:space="preserve"> </w:t>
      </w:r>
      <w:r w:rsidR="008A3D19" w:rsidRPr="000F7862">
        <w:rPr>
          <w:lang w:val="fr-FR"/>
        </w:rPr>
        <w:t>perfectionnement de la main-d</w:t>
      </w:r>
      <w:r w:rsidR="00120E2E" w:rsidRPr="000F7862">
        <w:rPr>
          <w:lang w:val="fr-FR"/>
        </w:rPr>
        <w:t>’</w:t>
      </w:r>
      <w:r w:rsidR="008A3D19" w:rsidRPr="000F7862">
        <w:rPr>
          <w:lang w:val="fr-FR"/>
        </w:rPr>
        <w:t>œuvre</w:t>
      </w:r>
      <w:r w:rsidR="00B22CF3" w:rsidRPr="000F7862">
        <w:rPr>
          <w:lang w:val="fr-FR"/>
        </w:rPr>
        <w:t xml:space="preserve"> a obtenu la part la plus importante du budget </w:t>
      </w:r>
      <w:r w:rsidR="0086185C" w:rsidRPr="000F7862">
        <w:rPr>
          <w:lang w:val="fr-FR"/>
        </w:rPr>
        <w:t>national</w:t>
      </w:r>
      <w:r w:rsidR="00B22CF3" w:rsidRPr="000F7862">
        <w:rPr>
          <w:lang w:val="fr-FR"/>
        </w:rPr>
        <w:t>, qui a été d</w:t>
      </w:r>
      <w:r w:rsidR="00120E2E" w:rsidRPr="000F7862">
        <w:rPr>
          <w:lang w:val="fr-FR"/>
        </w:rPr>
        <w:t>’</w:t>
      </w:r>
      <w:r w:rsidR="00B22CF3" w:rsidRPr="000F7862">
        <w:rPr>
          <w:lang w:val="fr-FR"/>
        </w:rPr>
        <w:t xml:space="preserve">environ </w:t>
      </w:r>
      <w:r w:rsidR="0086185C" w:rsidRPr="000F7862">
        <w:rPr>
          <w:lang w:val="fr-FR"/>
        </w:rPr>
        <w:t>14</w:t>
      </w:r>
      <w:r w:rsidR="00B22CF3" w:rsidRPr="000F7862">
        <w:rPr>
          <w:lang w:val="fr-FR"/>
        </w:rPr>
        <w:t>,</w:t>
      </w:r>
      <w:r w:rsidR="0086185C" w:rsidRPr="000F7862">
        <w:rPr>
          <w:lang w:val="fr-FR"/>
        </w:rPr>
        <w:t>6</w:t>
      </w:r>
      <w:r w:rsidR="00DC1196" w:rsidRPr="000F7862">
        <w:rPr>
          <w:lang w:val="fr-FR"/>
        </w:rPr>
        <w:t> %</w:t>
      </w:r>
      <w:r w:rsidR="0086185C" w:rsidRPr="000F7862">
        <w:rPr>
          <w:lang w:val="fr-FR"/>
        </w:rPr>
        <w:t xml:space="preserve"> </w:t>
      </w:r>
      <w:r w:rsidR="00B22CF3" w:rsidRPr="000F7862">
        <w:rPr>
          <w:lang w:val="fr-FR"/>
        </w:rPr>
        <w:t>e</w:t>
      </w:r>
      <w:r w:rsidR="0086185C" w:rsidRPr="000F7862">
        <w:rPr>
          <w:lang w:val="fr-FR"/>
        </w:rPr>
        <w:t xml:space="preserve">n 2009 </w:t>
      </w:r>
      <w:r w:rsidR="00B22CF3" w:rsidRPr="000F7862">
        <w:rPr>
          <w:lang w:val="fr-FR"/>
        </w:rPr>
        <w:t xml:space="preserve">à environ </w:t>
      </w:r>
      <w:r w:rsidR="0086185C" w:rsidRPr="000F7862">
        <w:rPr>
          <w:lang w:val="fr-FR"/>
        </w:rPr>
        <w:t>16</w:t>
      </w:r>
      <w:r w:rsidR="00B22CF3" w:rsidRPr="000F7862">
        <w:rPr>
          <w:lang w:val="fr-FR"/>
        </w:rPr>
        <w:t>,</w:t>
      </w:r>
      <w:r w:rsidR="0086185C" w:rsidRPr="000F7862">
        <w:rPr>
          <w:lang w:val="fr-FR"/>
        </w:rPr>
        <w:t>5</w:t>
      </w:r>
      <w:r w:rsidR="00DC1196" w:rsidRPr="000F7862">
        <w:rPr>
          <w:lang w:val="fr-FR"/>
        </w:rPr>
        <w:t> %</w:t>
      </w:r>
      <w:r w:rsidR="0086185C" w:rsidRPr="000F7862">
        <w:rPr>
          <w:lang w:val="fr-FR"/>
        </w:rPr>
        <w:t xml:space="preserve"> </w:t>
      </w:r>
      <w:r w:rsidR="00B22CF3" w:rsidRPr="000F7862">
        <w:rPr>
          <w:lang w:val="fr-FR"/>
        </w:rPr>
        <w:t>e</w:t>
      </w:r>
      <w:r w:rsidR="0086185C" w:rsidRPr="000F7862">
        <w:rPr>
          <w:lang w:val="fr-FR"/>
        </w:rPr>
        <w:t>n 2013.</w:t>
      </w:r>
      <w:r w:rsidR="00B22CF3" w:rsidRPr="000F7862">
        <w:rPr>
          <w:lang w:val="fr-FR"/>
        </w:rPr>
        <w:t xml:space="preserve"> Venaient ensuite le sous-secteur de la sécurité </w:t>
      </w:r>
      <w:r w:rsidR="0086185C" w:rsidRPr="000F7862">
        <w:rPr>
          <w:lang w:val="fr-FR"/>
        </w:rPr>
        <w:t>social</w:t>
      </w:r>
      <w:r w:rsidR="00B22CF3" w:rsidRPr="000F7862">
        <w:rPr>
          <w:lang w:val="fr-FR"/>
        </w:rPr>
        <w:t>e</w:t>
      </w:r>
      <w:r w:rsidR="0086185C" w:rsidRPr="000F7862">
        <w:rPr>
          <w:lang w:val="fr-FR"/>
        </w:rPr>
        <w:t xml:space="preserve">, </w:t>
      </w:r>
      <w:r w:rsidR="00B22CF3" w:rsidRPr="000F7862">
        <w:rPr>
          <w:lang w:val="fr-FR"/>
        </w:rPr>
        <w:t>de la protection sociale et de l</w:t>
      </w:r>
      <w:r w:rsidR="00120E2E" w:rsidRPr="000F7862">
        <w:rPr>
          <w:lang w:val="fr-FR"/>
        </w:rPr>
        <w:t>’</w:t>
      </w:r>
      <w:r w:rsidR="00B22CF3" w:rsidRPr="000F7862">
        <w:rPr>
          <w:lang w:val="fr-FR"/>
        </w:rPr>
        <w:t xml:space="preserve">emploi, dont la part a augmenté, passant de </w:t>
      </w:r>
      <w:r w:rsidR="0086185C" w:rsidRPr="000F7862">
        <w:rPr>
          <w:lang w:val="fr-FR"/>
        </w:rPr>
        <w:t>5</w:t>
      </w:r>
      <w:r w:rsidR="00B22CF3" w:rsidRPr="000F7862">
        <w:rPr>
          <w:lang w:val="fr-FR"/>
        </w:rPr>
        <w:t>,</w:t>
      </w:r>
      <w:r w:rsidR="0086185C" w:rsidRPr="000F7862">
        <w:rPr>
          <w:lang w:val="fr-FR"/>
        </w:rPr>
        <w:t>3</w:t>
      </w:r>
      <w:r w:rsidR="00DC1196" w:rsidRPr="000F7862">
        <w:rPr>
          <w:lang w:val="fr-FR"/>
        </w:rPr>
        <w:t> %</w:t>
      </w:r>
      <w:r w:rsidR="0086185C" w:rsidRPr="000F7862">
        <w:rPr>
          <w:lang w:val="fr-FR"/>
        </w:rPr>
        <w:t xml:space="preserve"> </w:t>
      </w:r>
      <w:r w:rsidR="00B22CF3" w:rsidRPr="000F7862">
        <w:rPr>
          <w:lang w:val="fr-FR"/>
        </w:rPr>
        <w:t>e</w:t>
      </w:r>
      <w:r w:rsidR="0086185C" w:rsidRPr="000F7862">
        <w:rPr>
          <w:lang w:val="fr-FR"/>
        </w:rPr>
        <w:t xml:space="preserve">n 2009 </w:t>
      </w:r>
      <w:r w:rsidR="00B22CF3" w:rsidRPr="000F7862">
        <w:rPr>
          <w:lang w:val="fr-FR"/>
        </w:rPr>
        <w:t>à</w:t>
      </w:r>
      <w:r w:rsidR="0086185C" w:rsidRPr="000F7862">
        <w:rPr>
          <w:lang w:val="fr-FR"/>
        </w:rPr>
        <w:t xml:space="preserve"> 8</w:t>
      </w:r>
      <w:r w:rsidR="00B22CF3" w:rsidRPr="000F7862">
        <w:rPr>
          <w:lang w:val="fr-FR"/>
        </w:rPr>
        <w:t>,</w:t>
      </w:r>
      <w:r w:rsidR="0086185C" w:rsidRPr="000F7862">
        <w:rPr>
          <w:lang w:val="fr-FR"/>
        </w:rPr>
        <w:t>5</w:t>
      </w:r>
      <w:r w:rsidR="00DC1196" w:rsidRPr="000F7862">
        <w:rPr>
          <w:lang w:val="fr-FR"/>
        </w:rPr>
        <w:t> %</w:t>
      </w:r>
      <w:r w:rsidR="0086185C" w:rsidRPr="000F7862">
        <w:rPr>
          <w:lang w:val="fr-FR"/>
        </w:rPr>
        <w:t xml:space="preserve"> </w:t>
      </w:r>
      <w:r w:rsidR="00B22CF3" w:rsidRPr="000F7862">
        <w:rPr>
          <w:lang w:val="fr-FR"/>
        </w:rPr>
        <w:t>e</w:t>
      </w:r>
      <w:r w:rsidR="0086185C" w:rsidRPr="000F7862">
        <w:rPr>
          <w:lang w:val="fr-FR"/>
        </w:rPr>
        <w:t>n 2013</w:t>
      </w:r>
      <w:r w:rsidR="00B22CF3" w:rsidRPr="000F7862">
        <w:rPr>
          <w:lang w:val="fr-FR"/>
        </w:rPr>
        <w:t xml:space="preserve">, et celui des services de santé, passé de </w:t>
      </w:r>
      <w:r w:rsidR="0086185C" w:rsidRPr="000F7862">
        <w:rPr>
          <w:lang w:val="fr-FR"/>
        </w:rPr>
        <w:t>1</w:t>
      </w:r>
      <w:r w:rsidR="00B22CF3" w:rsidRPr="000F7862">
        <w:rPr>
          <w:lang w:val="fr-FR"/>
        </w:rPr>
        <w:t>,</w:t>
      </w:r>
      <w:r w:rsidR="0086185C" w:rsidRPr="000F7862">
        <w:rPr>
          <w:lang w:val="fr-FR"/>
        </w:rPr>
        <w:t>6</w:t>
      </w:r>
      <w:r w:rsidR="00DC1196" w:rsidRPr="000F7862">
        <w:rPr>
          <w:lang w:val="fr-FR"/>
        </w:rPr>
        <w:t> %</w:t>
      </w:r>
      <w:r w:rsidR="0086185C" w:rsidRPr="000F7862">
        <w:rPr>
          <w:lang w:val="fr-FR"/>
        </w:rPr>
        <w:t xml:space="preserve"> </w:t>
      </w:r>
      <w:r w:rsidR="00B22CF3" w:rsidRPr="000F7862">
        <w:rPr>
          <w:lang w:val="fr-FR"/>
        </w:rPr>
        <w:t>e</w:t>
      </w:r>
      <w:r w:rsidR="0086185C" w:rsidRPr="000F7862">
        <w:rPr>
          <w:lang w:val="fr-FR"/>
        </w:rPr>
        <w:t xml:space="preserve">n 2009 </w:t>
      </w:r>
      <w:r w:rsidR="00B22CF3" w:rsidRPr="000F7862">
        <w:rPr>
          <w:lang w:val="fr-FR"/>
        </w:rPr>
        <w:t>à</w:t>
      </w:r>
      <w:r w:rsidR="0086185C" w:rsidRPr="000F7862">
        <w:rPr>
          <w:lang w:val="fr-FR"/>
        </w:rPr>
        <w:t xml:space="preserve"> 2</w:t>
      </w:r>
      <w:r w:rsidR="00B22CF3" w:rsidRPr="000F7862">
        <w:rPr>
          <w:lang w:val="fr-FR"/>
        </w:rPr>
        <w:t>,</w:t>
      </w:r>
      <w:r w:rsidR="0086185C" w:rsidRPr="000F7862">
        <w:rPr>
          <w:lang w:val="fr-FR"/>
        </w:rPr>
        <w:t>9</w:t>
      </w:r>
      <w:r w:rsidR="00DC1196" w:rsidRPr="000F7862">
        <w:rPr>
          <w:lang w:val="fr-FR"/>
        </w:rPr>
        <w:t> %</w:t>
      </w:r>
      <w:r w:rsidR="00B22CF3" w:rsidRPr="000F7862">
        <w:rPr>
          <w:lang w:val="fr-FR"/>
        </w:rPr>
        <w:t xml:space="preserve"> e</w:t>
      </w:r>
      <w:r w:rsidR="0086185C" w:rsidRPr="000F7862">
        <w:rPr>
          <w:lang w:val="fr-FR"/>
        </w:rPr>
        <w:t>n 2013 (</w:t>
      </w:r>
      <w:r w:rsidR="00B22CF3" w:rsidRPr="000F7862">
        <w:rPr>
          <w:lang w:val="fr-FR"/>
        </w:rPr>
        <w:t>t</w:t>
      </w:r>
      <w:r w:rsidR="0086185C" w:rsidRPr="000F7862">
        <w:rPr>
          <w:lang w:val="fr-FR"/>
        </w:rPr>
        <w:t>able</w:t>
      </w:r>
      <w:r w:rsidR="00B22CF3" w:rsidRPr="000F7862">
        <w:rPr>
          <w:lang w:val="fr-FR"/>
        </w:rPr>
        <w:t>au</w:t>
      </w:r>
      <w:r w:rsidR="007E27A6" w:rsidRPr="000F7862">
        <w:rPr>
          <w:lang w:val="fr-FR"/>
        </w:rPr>
        <w:t> </w:t>
      </w:r>
      <w:r w:rsidR="0086185C" w:rsidRPr="000F7862">
        <w:rPr>
          <w:lang w:val="fr-FR"/>
        </w:rPr>
        <w:t>2).</w:t>
      </w:r>
    </w:p>
    <w:p w:rsidR="00487C03" w:rsidRPr="000F7862" w:rsidRDefault="00397090" w:rsidP="004E0996">
      <w:pPr>
        <w:pStyle w:val="H23G"/>
        <w:rPr>
          <w:b w:val="0"/>
          <w:bCs/>
          <w:sz w:val="16"/>
          <w:szCs w:val="16"/>
          <w:lang w:val="fr-FR"/>
        </w:rPr>
      </w:pPr>
      <w:r w:rsidRPr="000F7862">
        <w:rPr>
          <w:lang w:val="fr-FR"/>
        </w:rPr>
        <w:tab/>
      </w:r>
      <w:r w:rsidRPr="000F7862">
        <w:rPr>
          <w:lang w:val="fr-FR"/>
        </w:rPr>
        <w:tab/>
      </w:r>
      <w:r w:rsidR="0086185C" w:rsidRPr="000F7862">
        <w:rPr>
          <w:b w:val="0"/>
          <w:bCs/>
          <w:lang w:val="fr-FR"/>
        </w:rPr>
        <w:t>Table</w:t>
      </w:r>
      <w:r w:rsidR="00B22CF3" w:rsidRPr="000F7862">
        <w:rPr>
          <w:b w:val="0"/>
          <w:bCs/>
          <w:lang w:val="fr-FR"/>
        </w:rPr>
        <w:t>au</w:t>
      </w:r>
      <w:r w:rsidR="00502FA7" w:rsidRPr="000F7862">
        <w:rPr>
          <w:b w:val="0"/>
          <w:bCs/>
          <w:lang w:val="fr-FR"/>
        </w:rPr>
        <w:t xml:space="preserve"> </w:t>
      </w:r>
      <w:r w:rsidR="0086185C" w:rsidRPr="000F7862">
        <w:rPr>
          <w:b w:val="0"/>
          <w:bCs/>
          <w:lang w:val="fr-FR"/>
        </w:rPr>
        <w:t>2</w:t>
      </w:r>
      <w:r w:rsidR="007E27A6" w:rsidRPr="000F7862">
        <w:rPr>
          <w:b w:val="0"/>
          <w:bCs/>
          <w:lang w:val="fr-FR"/>
        </w:rPr>
        <w:br/>
      </w:r>
      <w:r w:rsidR="00B22CF3" w:rsidRPr="000F7862">
        <w:rPr>
          <w:lang w:val="fr-FR"/>
        </w:rPr>
        <w:t>Dépenses publiques consacrées aux services sociaux, sur la base des dépenses engagées, distribution en pourcentage, exercices 2009-2013</w:t>
      </w:r>
      <w:r w:rsidR="00B22CF3" w:rsidRPr="000F7862">
        <w:rPr>
          <w:lang w:val="fr-FR"/>
        </w:rPr>
        <w:br/>
      </w:r>
      <w:r w:rsidR="00B22CF3" w:rsidRPr="000F7862">
        <w:rPr>
          <w:b w:val="0"/>
          <w:bCs/>
          <w:sz w:val="16"/>
          <w:szCs w:val="16"/>
          <w:lang w:val="fr-FR"/>
        </w:rPr>
        <w:t>(</w:t>
      </w:r>
      <w:r w:rsidR="009E7915" w:rsidRPr="000F7862">
        <w:rPr>
          <w:b w:val="0"/>
          <w:bCs/>
          <w:sz w:val="16"/>
          <w:szCs w:val="16"/>
          <w:lang w:val="fr-FR"/>
        </w:rPr>
        <w:t xml:space="preserve">En </w:t>
      </w:r>
      <w:r w:rsidR="00B22CF3" w:rsidRPr="000F7862">
        <w:rPr>
          <w:b w:val="0"/>
          <w:bCs/>
          <w:sz w:val="16"/>
          <w:szCs w:val="16"/>
          <w:lang w:val="fr-FR"/>
        </w:rPr>
        <w:t>pourcentage)</w:t>
      </w:r>
    </w:p>
    <w:tbl>
      <w:tblPr>
        <w:tblW w:w="8505" w:type="dxa"/>
        <w:tblInd w:w="1134" w:type="dxa"/>
        <w:tblBorders>
          <w:top w:val="single" w:sz="4" w:space="0" w:color="auto"/>
        </w:tblBorders>
        <w:tblLayout w:type="fixed"/>
        <w:tblCellMar>
          <w:left w:w="0" w:type="dxa"/>
          <w:right w:w="29" w:type="dxa"/>
        </w:tblCellMar>
        <w:tblLook w:val="04A0"/>
      </w:tblPr>
      <w:tblGrid>
        <w:gridCol w:w="3027"/>
        <w:gridCol w:w="696"/>
        <w:gridCol w:w="696"/>
        <w:gridCol w:w="696"/>
        <w:gridCol w:w="697"/>
        <w:gridCol w:w="1859"/>
        <w:gridCol w:w="834"/>
      </w:tblGrid>
      <w:tr w:rsidR="00654130" w:rsidRPr="000F7862" w:rsidTr="009346D3">
        <w:trPr>
          <w:tblHeader/>
        </w:trPr>
        <w:tc>
          <w:tcPr>
            <w:tcW w:w="3027" w:type="dxa"/>
            <w:tcBorders>
              <w:top w:val="single" w:sz="4" w:space="0" w:color="auto"/>
              <w:bottom w:val="single" w:sz="12" w:space="0" w:color="auto"/>
            </w:tcBorders>
            <w:shd w:val="clear" w:color="auto" w:fill="auto"/>
            <w:vAlign w:val="bottom"/>
          </w:tcPr>
          <w:p w:rsidR="00654130" w:rsidRPr="000F7862" w:rsidRDefault="00654130" w:rsidP="00487C03">
            <w:pPr>
              <w:pStyle w:val="SingleTxtG"/>
              <w:suppressAutoHyphens w:val="0"/>
              <w:spacing w:before="80" w:after="80" w:line="200" w:lineRule="exact"/>
              <w:ind w:left="0" w:right="0"/>
              <w:jc w:val="left"/>
              <w:rPr>
                <w:i/>
                <w:sz w:val="16"/>
                <w:lang w:val="fr-FR"/>
              </w:rPr>
            </w:pPr>
            <w:r w:rsidRPr="000F7862">
              <w:rPr>
                <w:i/>
                <w:sz w:val="16"/>
                <w:lang w:val="fr-FR"/>
              </w:rPr>
              <w:t>Postes de dépenses</w:t>
            </w:r>
          </w:p>
        </w:tc>
        <w:tc>
          <w:tcPr>
            <w:tcW w:w="696" w:type="dxa"/>
            <w:tcBorders>
              <w:top w:val="single" w:sz="4" w:space="0" w:color="auto"/>
              <w:bottom w:val="single" w:sz="12" w:space="0" w:color="auto"/>
            </w:tcBorders>
            <w:shd w:val="clear" w:color="auto" w:fill="auto"/>
            <w:vAlign w:val="bottom"/>
          </w:tcPr>
          <w:p w:rsidR="00654130" w:rsidRPr="000F7862" w:rsidRDefault="00654130" w:rsidP="00487C03">
            <w:pPr>
              <w:pStyle w:val="SingleTxtG"/>
              <w:suppressAutoHyphens w:val="0"/>
              <w:spacing w:before="80" w:after="80" w:line="200" w:lineRule="exact"/>
              <w:ind w:left="0" w:right="0"/>
              <w:jc w:val="right"/>
              <w:rPr>
                <w:i/>
                <w:sz w:val="16"/>
                <w:lang w:val="fr-FR"/>
              </w:rPr>
            </w:pPr>
            <w:r w:rsidRPr="000F7862">
              <w:rPr>
                <w:i/>
                <w:sz w:val="16"/>
                <w:lang w:val="fr-FR"/>
              </w:rPr>
              <w:t>2009</w:t>
            </w:r>
          </w:p>
        </w:tc>
        <w:tc>
          <w:tcPr>
            <w:tcW w:w="696" w:type="dxa"/>
            <w:tcBorders>
              <w:top w:val="single" w:sz="4" w:space="0" w:color="auto"/>
              <w:bottom w:val="single" w:sz="12" w:space="0" w:color="auto"/>
            </w:tcBorders>
            <w:shd w:val="clear" w:color="auto" w:fill="auto"/>
            <w:vAlign w:val="bottom"/>
          </w:tcPr>
          <w:p w:rsidR="00654130" w:rsidRPr="000F7862" w:rsidRDefault="00654130" w:rsidP="00487C03">
            <w:pPr>
              <w:pStyle w:val="SingleTxtG"/>
              <w:suppressAutoHyphens w:val="0"/>
              <w:spacing w:before="80" w:after="80" w:line="200" w:lineRule="exact"/>
              <w:ind w:left="0" w:right="0"/>
              <w:jc w:val="right"/>
              <w:rPr>
                <w:i/>
                <w:sz w:val="16"/>
                <w:lang w:val="fr-FR"/>
              </w:rPr>
            </w:pPr>
            <w:r w:rsidRPr="000F7862">
              <w:rPr>
                <w:i/>
                <w:sz w:val="16"/>
                <w:lang w:val="fr-FR"/>
              </w:rPr>
              <w:t>2010</w:t>
            </w:r>
          </w:p>
        </w:tc>
        <w:tc>
          <w:tcPr>
            <w:tcW w:w="696" w:type="dxa"/>
            <w:tcBorders>
              <w:top w:val="single" w:sz="4" w:space="0" w:color="auto"/>
              <w:bottom w:val="single" w:sz="12" w:space="0" w:color="auto"/>
            </w:tcBorders>
            <w:shd w:val="clear" w:color="auto" w:fill="auto"/>
            <w:vAlign w:val="bottom"/>
          </w:tcPr>
          <w:p w:rsidR="00654130" w:rsidRPr="000F7862" w:rsidRDefault="00654130" w:rsidP="00487C03">
            <w:pPr>
              <w:pStyle w:val="SingleTxtG"/>
              <w:suppressAutoHyphens w:val="0"/>
              <w:spacing w:before="80" w:after="80" w:line="200" w:lineRule="exact"/>
              <w:ind w:left="0" w:right="0"/>
              <w:jc w:val="right"/>
              <w:rPr>
                <w:i/>
                <w:sz w:val="16"/>
                <w:lang w:val="fr-FR"/>
              </w:rPr>
            </w:pPr>
            <w:r w:rsidRPr="000F7862">
              <w:rPr>
                <w:i/>
                <w:sz w:val="16"/>
                <w:lang w:val="fr-FR"/>
              </w:rPr>
              <w:t>2011</w:t>
            </w:r>
          </w:p>
        </w:tc>
        <w:tc>
          <w:tcPr>
            <w:tcW w:w="697" w:type="dxa"/>
            <w:tcBorders>
              <w:top w:val="single" w:sz="4" w:space="0" w:color="auto"/>
              <w:bottom w:val="single" w:sz="12" w:space="0" w:color="auto"/>
            </w:tcBorders>
            <w:shd w:val="clear" w:color="auto" w:fill="auto"/>
            <w:vAlign w:val="bottom"/>
          </w:tcPr>
          <w:p w:rsidR="00654130" w:rsidRPr="000F7862" w:rsidRDefault="00654130" w:rsidP="00487C03">
            <w:pPr>
              <w:pStyle w:val="SingleTxtG"/>
              <w:suppressAutoHyphens w:val="0"/>
              <w:spacing w:before="80" w:after="80" w:line="200" w:lineRule="exact"/>
              <w:ind w:left="0" w:right="0"/>
              <w:jc w:val="right"/>
              <w:rPr>
                <w:i/>
                <w:sz w:val="16"/>
                <w:lang w:val="fr-FR"/>
              </w:rPr>
            </w:pPr>
            <w:r w:rsidRPr="000F7862">
              <w:rPr>
                <w:i/>
                <w:sz w:val="16"/>
                <w:lang w:val="fr-FR"/>
              </w:rPr>
              <w:t>2012</w:t>
            </w:r>
          </w:p>
        </w:tc>
        <w:tc>
          <w:tcPr>
            <w:tcW w:w="1859" w:type="dxa"/>
            <w:tcBorders>
              <w:top w:val="single" w:sz="4" w:space="0" w:color="auto"/>
              <w:bottom w:val="single" w:sz="12" w:space="0" w:color="auto"/>
            </w:tcBorders>
            <w:shd w:val="clear" w:color="auto" w:fill="auto"/>
            <w:vAlign w:val="bottom"/>
          </w:tcPr>
          <w:p w:rsidR="00654130" w:rsidRPr="000F7862" w:rsidRDefault="00654130" w:rsidP="00487C03">
            <w:pPr>
              <w:pStyle w:val="SingleTxtG"/>
              <w:suppressAutoHyphens w:val="0"/>
              <w:spacing w:before="80" w:after="80" w:line="200" w:lineRule="exact"/>
              <w:ind w:left="0" w:right="0"/>
              <w:jc w:val="right"/>
              <w:rPr>
                <w:i/>
                <w:sz w:val="16"/>
                <w:lang w:val="fr-FR"/>
              </w:rPr>
            </w:pPr>
            <w:r w:rsidRPr="000F7862">
              <w:rPr>
                <w:i/>
                <w:sz w:val="16"/>
                <w:lang w:val="fr-FR"/>
              </w:rPr>
              <w:t xml:space="preserve">loi générale sur les </w:t>
            </w:r>
            <w:r w:rsidR="009346D3" w:rsidRPr="000F7862">
              <w:rPr>
                <w:i/>
                <w:sz w:val="16"/>
                <w:lang w:val="fr-FR"/>
              </w:rPr>
              <w:br/>
            </w:r>
            <w:r w:rsidRPr="000F7862">
              <w:rPr>
                <w:i/>
                <w:sz w:val="16"/>
                <w:lang w:val="fr-FR"/>
              </w:rPr>
              <w:t>crédits budgétaires 2013</w:t>
            </w:r>
          </w:p>
        </w:tc>
        <w:tc>
          <w:tcPr>
            <w:tcW w:w="834" w:type="dxa"/>
            <w:tcBorders>
              <w:top w:val="single" w:sz="4" w:space="0" w:color="auto"/>
              <w:bottom w:val="single" w:sz="12" w:space="0" w:color="auto"/>
            </w:tcBorders>
            <w:vAlign w:val="bottom"/>
          </w:tcPr>
          <w:p w:rsidR="00654130" w:rsidRPr="000F7862" w:rsidRDefault="005A0A3B" w:rsidP="00654130">
            <w:pPr>
              <w:pStyle w:val="SingleTxtG"/>
              <w:suppressAutoHyphens w:val="0"/>
              <w:spacing w:before="80" w:after="80" w:line="200" w:lineRule="exact"/>
              <w:ind w:left="0" w:right="0"/>
              <w:jc w:val="right"/>
              <w:rPr>
                <w:i/>
                <w:sz w:val="16"/>
                <w:lang w:val="fr-FR"/>
              </w:rPr>
            </w:pPr>
            <w:r w:rsidRPr="000F7862">
              <w:rPr>
                <w:i/>
                <w:sz w:val="16"/>
                <w:lang w:val="fr-FR"/>
              </w:rPr>
              <w:t>Moyenne</w:t>
            </w:r>
          </w:p>
        </w:tc>
      </w:tr>
      <w:tr w:rsidR="00654130" w:rsidRPr="000F7862" w:rsidTr="009346D3">
        <w:tc>
          <w:tcPr>
            <w:tcW w:w="3027" w:type="dxa"/>
            <w:tcBorders>
              <w:top w:val="single" w:sz="12" w:space="0" w:color="auto"/>
            </w:tcBorders>
            <w:shd w:val="clear" w:color="auto" w:fill="auto"/>
            <w:vAlign w:val="bottom"/>
          </w:tcPr>
          <w:p w:rsidR="00654130" w:rsidRPr="000F7862" w:rsidRDefault="00C066F2" w:rsidP="00487C03">
            <w:pPr>
              <w:pStyle w:val="SingleTxtG"/>
              <w:suppressAutoHyphens w:val="0"/>
              <w:spacing w:before="40" w:after="40" w:line="220" w:lineRule="exact"/>
              <w:ind w:left="0" w:right="0"/>
              <w:jc w:val="left"/>
              <w:rPr>
                <w:sz w:val="18"/>
                <w:lang w:val="fr-FR"/>
              </w:rPr>
            </w:pPr>
            <w:r w:rsidRPr="000F7862">
              <w:rPr>
                <w:sz w:val="18"/>
                <w:lang w:val="fr-FR"/>
              </w:rPr>
              <w:t>Services sociaux</w:t>
            </w:r>
          </w:p>
        </w:tc>
        <w:tc>
          <w:tcPr>
            <w:tcW w:w="696" w:type="dxa"/>
            <w:tcBorders>
              <w:top w:val="single" w:sz="12" w:space="0" w:color="auto"/>
            </w:tcBorders>
            <w:shd w:val="clear" w:color="auto" w:fill="auto"/>
            <w:vAlign w:val="bottom"/>
          </w:tcPr>
          <w:p w:rsidR="00654130" w:rsidRPr="000F7862" w:rsidRDefault="00450A3F" w:rsidP="00487C03">
            <w:pPr>
              <w:suppressAutoHyphens w:val="0"/>
              <w:spacing w:before="40" w:after="40" w:line="220" w:lineRule="exact"/>
              <w:jc w:val="right"/>
              <w:rPr>
                <w:sz w:val="18"/>
                <w:lang w:val="fr-FR"/>
              </w:rPr>
            </w:pPr>
            <w:r w:rsidRPr="000F7862">
              <w:rPr>
                <w:sz w:val="18"/>
                <w:lang w:val="fr-FR"/>
              </w:rPr>
              <w:t>28,71</w:t>
            </w:r>
          </w:p>
        </w:tc>
        <w:tc>
          <w:tcPr>
            <w:tcW w:w="696" w:type="dxa"/>
            <w:tcBorders>
              <w:top w:val="single" w:sz="12" w:space="0" w:color="auto"/>
            </w:tcBorders>
            <w:shd w:val="clear" w:color="auto" w:fill="auto"/>
            <w:vAlign w:val="bottom"/>
          </w:tcPr>
          <w:p w:rsidR="00654130" w:rsidRPr="000F7862" w:rsidRDefault="00450A3F" w:rsidP="00487C03">
            <w:pPr>
              <w:suppressAutoHyphens w:val="0"/>
              <w:spacing w:before="40" w:after="40" w:line="220" w:lineRule="exact"/>
              <w:jc w:val="right"/>
              <w:rPr>
                <w:sz w:val="18"/>
                <w:lang w:val="fr-FR"/>
              </w:rPr>
            </w:pPr>
            <w:r w:rsidRPr="000F7862">
              <w:rPr>
                <w:sz w:val="18"/>
                <w:lang w:val="fr-FR"/>
              </w:rPr>
              <w:t>28,23</w:t>
            </w:r>
          </w:p>
        </w:tc>
        <w:tc>
          <w:tcPr>
            <w:tcW w:w="696" w:type="dxa"/>
            <w:tcBorders>
              <w:top w:val="single" w:sz="12" w:space="0" w:color="auto"/>
            </w:tcBorders>
            <w:shd w:val="clear" w:color="auto" w:fill="auto"/>
            <w:vAlign w:val="bottom"/>
          </w:tcPr>
          <w:p w:rsidR="00654130" w:rsidRPr="000F7862" w:rsidRDefault="00450A3F" w:rsidP="00487C03">
            <w:pPr>
              <w:suppressAutoHyphens w:val="0"/>
              <w:spacing w:before="40" w:after="40" w:line="220" w:lineRule="exact"/>
              <w:jc w:val="right"/>
              <w:rPr>
                <w:sz w:val="18"/>
                <w:lang w:val="fr-FR"/>
              </w:rPr>
            </w:pPr>
            <w:r w:rsidRPr="000F7862">
              <w:rPr>
                <w:sz w:val="18"/>
                <w:lang w:val="fr-FR"/>
              </w:rPr>
              <w:t>34,48</w:t>
            </w:r>
          </w:p>
        </w:tc>
        <w:tc>
          <w:tcPr>
            <w:tcW w:w="697" w:type="dxa"/>
            <w:tcBorders>
              <w:top w:val="single" w:sz="12" w:space="0" w:color="auto"/>
            </w:tcBorders>
            <w:shd w:val="clear" w:color="auto" w:fill="auto"/>
            <w:vAlign w:val="bottom"/>
          </w:tcPr>
          <w:p w:rsidR="00654130" w:rsidRPr="000F7862" w:rsidRDefault="0038372B" w:rsidP="00487C03">
            <w:pPr>
              <w:suppressAutoHyphens w:val="0"/>
              <w:spacing w:before="40" w:after="40" w:line="220" w:lineRule="exact"/>
              <w:jc w:val="right"/>
              <w:rPr>
                <w:sz w:val="18"/>
                <w:lang w:val="fr-FR"/>
              </w:rPr>
            </w:pPr>
            <w:r w:rsidRPr="000F7862">
              <w:rPr>
                <w:sz w:val="18"/>
                <w:lang w:val="fr-FR"/>
              </w:rPr>
              <w:t>33,69</w:t>
            </w:r>
          </w:p>
        </w:tc>
        <w:tc>
          <w:tcPr>
            <w:tcW w:w="1859" w:type="dxa"/>
            <w:tcBorders>
              <w:top w:val="single" w:sz="12" w:space="0" w:color="auto"/>
            </w:tcBorders>
            <w:shd w:val="clear" w:color="auto" w:fill="auto"/>
            <w:vAlign w:val="bottom"/>
          </w:tcPr>
          <w:p w:rsidR="00654130" w:rsidRPr="000F7862" w:rsidRDefault="0038372B" w:rsidP="00487C03">
            <w:pPr>
              <w:suppressAutoHyphens w:val="0"/>
              <w:spacing w:before="40" w:after="40" w:line="220" w:lineRule="exact"/>
              <w:jc w:val="right"/>
              <w:rPr>
                <w:sz w:val="18"/>
                <w:lang w:val="fr-FR"/>
              </w:rPr>
            </w:pPr>
            <w:r w:rsidRPr="000F7862">
              <w:rPr>
                <w:sz w:val="18"/>
                <w:lang w:val="fr-FR"/>
              </w:rPr>
              <w:t>34,87</w:t>
            </w:r>
          </w:p>
        </w:tc>
        <w:tc>
          <w:tcPr>
            <w:tcW w:w="834" w:type="dxa"/>
            <w:tcBorders>
              <w:top w:val="single" w:sz="12" w:space="0" w:color="auto"/>
            </w:tcBorders>
            <w:vAlign w:val="bottom"/>
          </w:tcPr>
          <w:p w:rsidR="00654130" w:rsidRPr="000F7862" w:rsidRDefault="0038372B" w:rsidP="0038372B">
            <w:pPr>
              <w:suppressAutoHyphens w:val="0"/>
              <w:spacing w:before="40" w:after="40" w:line="220" w:lineRule="exact"/>
              <w:jc w:val="right"/>
              <w:rPr>
                <w:sz w:val="18"/>
                <w:lang w:val="fr-FR"/>
              </w:rPr>
            </w:pPr>
            <w:r w:rsidRPr="000F7862">
              <w:rPr>
                <w:sz w:val="18"/>
                <w:lang w:val="fr-FR"/>
              </w:rPr>
              <w:t>32</w:t>
            </w:r>
            <w:r w:rsidR="005A0A3B" w:rsidRPr="000F7862">
              <w:rPr>
                <w:sz w:val="18"/>
                <w:lang w:val="fr-FR"/>
              </w:rPr>
              <w:t>,00</w:t>
            </w:r>
          </w:p>
        </w:tc>
      </w:tr>
      <w:tr w:rsidR="00654130" w:rsidRPr="000F7862" w:rsidTr="009346D3">
        <w:tc>
          <w:tcPr>
            <w:tcW w:w="3027" w:type="dxa"/>
            <w:shd w:val="clear" w:color="auto" w:fill="auto"/>
            <w:vAlign w:val="bottom"/>
          </w:tcPr>
          <w:p w:rsidR="00654130" w:rsidRPr="000F7862" w:rsidRDefault="00C066F2" w:rsidP="001F5390">
            <w:pPr>
              <w:pStyle w:val="SingleTxtG"/>
              <w:suppressAutoHyphens w:val="0"/>
              <w:spacing w:before="40" w:after="40" w:line="220" w:lineRule="exact"/>
              <w:ind w:left="170" w:right="0"/>
              <w:jc w:val="left"/>
              <w:rPr>
                <w:sz w:val="18"/>
                <w:lang w:val="fr-FR"/>
              </w:rPr>
            </w:pPr>
            <w:r w:rsidRPr="000F7862">
              <w:rPr>
                <w:sz w:val="18"/>
                <w:lang w:val="fr-FR"/>
              </w:rPr>
              <w:t>Éducation, culture et perfectionnement de la main-d</w:t>
            </w:r>
            <w:r w:rsidR="00120E2E" w:rsidRPr="000F7862">
              <w:rPr>
                <w:sz w:val="18"/>
                <w:lang w:val="fr-FR"/>
              </w:rPr>
              <w:t>’</w:t>
            </w:r>
            <w:r w:rsidRPr="000F7862">
              <w:rPr>
                <w:sz w:val="18"/>
                <w:lang w:val="fr-FR"/>
              </w:rPr>
              <w:t>œuvre</w:t>
            </w:r>
          </w:p>
        </w:tc>
        <w:tc>
          <w:tcPr>
            <w:tcW w:w="696" w:type="dxa"/>
            <w:shd w:val="clear" w:color="auto" w:fill="auto"/>
            <w:vAlign w:val="bottom"/>
          </w:tcPr>
          <w:p w:rsidR="00654130" w:rsidRPr="000F7862" w:rsidRDefault="0038372B" w:rsidP="00487C03">
            <w:pPr>
              <w:suppressAutoHyphens w:val="0"/>
              <w:spacing w:before="40" w:after="40" w:line="220" w:lineRule="exact"/>
              <w:jc w:val="right"/>
              <w:rPr>
                <w:sz w:val="18"/>
                <w:lang w:val="fr-FR"/>
              </w:rPr>
            </w:pPr>
            <w:r w:rsidRPr="000F7862">
              <w:rPr>
                <w:sz w:val="18"/>
                <w:lang w:val="fr-FR"/>
              </w:rPr>
              <w:t>14,55</w:t>
            </w:r>
          </w:p>
        </w:tc>
        <w:tc>
          <w:tcPr>
            <w:tcW w:w="696" w:type="dxa"/>
            <w:shd w:val="clear" w:color="auto" w:fill="auto"/>
            <w:vAlign w:val="bottom"/>
          </w:tcPr>
          <w:p w:rsidR="00654130" w:rsidRPr="000F7862" w:rsidRDefault="0038372B" w:rsidP="00487C03">
            <w:pPr>
              <w:suppressAutoHyphens w:val="0"/>
              <w:spacing w:before="40" w:after="40" w:line="220" w:lineRule="exact"/>
              <w:jc w:val="right"/>
              <w:rPr>
                <w:sz w:val="18"/>
                <w:lang w:val="fr-FR"/>
              </w:rPr>
            </w:pPr>
            <w:r w:rsidRPr="000F7862">
              <w:rPr>
                <w:sz w:val="18"/>
                <w:lang w:val="fr-FR"/>
              </w:rPr>
              <w:t>15,28</w:t>
            </w:r>
          </w:p>
        </w:tc>
        <w:tc>
          <w:tcPr>
            <w:tcW w:w="696" w:type="dxa"/>
            <w:shd w:val="clear" w:color="auto" w:fill="auto"/>
            <w:vAlign w:val="bottom"/>
          </w:tcPr>
          <w:p w:rsidR="00654130" w:rsidRPr="000F7862" w:rsidRDefault="0038372B" w:rsidP="00487C03">
            <w:pPr>
              <w:suppressAutoHyphens w:val="0"/>
              <w:spacing w:before="40" w:after="40" w:line="220" w:lineRule="exact"/>
              <w:jc w:val="right"/>
              <w:rPr>
                <w:sz w:val="18"/>
                <w:lang w:val="fr-FR"/>
              </w:rPr>
            </w:pPr>
            <w:r w:rsidRPr="000F7862">
              <w:rPr>
                <w:sz w:val="18"/>
                <w:lang w:val="fr-FR"/>
              </w:rPr>
              <w:t>16,10</w:t>
            </w:r>
          </w:p>
        </w:tc>
        <w:tc>
          <w:tcPr>
            <w:tcW w:w="697" w:type="dxa"/>
            <w:shd w:val="clear" w:color="auto" w:fill="auto"/>
            <w:vAlign w:val="bottom"/>
          </w:tcPr>
          <w:p w:rsidR="00654130" w:rsidRPr="000F7862" w:rsidRDefault="0038372B" w:rsidP="00487C03">
            <w:pPr>
              <w:suppressAutoHyphens w:val="0"/>
              <w:spacing w:before="40" w:after="40" w:line="220" w:lineRule="exact"/>
              <w:jc w:val="right"/>
              <w:rPr>
                <w:sz w:val="18"/>
                <w:lang w:val="fr-FR"/>
              </w:rPr>
            </w:pPr>
            <w:r w:rsidRPr="000F7862">
              <w:rPr>
                <w:sz w:val="18"/>
                <w:lang w:val="fr-FR"/>
              </w:rPr>
              <w:t>15,89</w:t>
            </w:r>
          </w:p>
        </w:tc>
        <w:tc>
          <w:tcPr>
            <w:tcW w:w="1859" w:type="dxa"/>
            <w:shd w:val="clear" w:color="auto" w:fill="auto"/>
            <w:vAlign w:val="bottom"/>
          </w:tcPr>
          <w:p w:rsidR="00654130" w:rsidRPr="000F7862" w:rsidRDefault="0038372B" w:rsidP="00487C03">
            <w:pPr>
              <w:suppressAutoHyphens w:val="0"/>
              <w:spacing w:before="40" w:after="40" w:line="220" w:lineRule="exact"/>
              <w:jc w:val="right"/>
              <w:rPr>
                <w:sz w:val="18"/>
                <w:lang w:val="fr-FR"/>
              </w:rPr>
            </w:pPr>
            <w:r w:rsidRPr="000F7862">
              <w:rPr>
                <w:sz w:val="18"/>
                <w:lang w:val="fr-FR"/>
              </w:rPr>
              <w:t>16,46</w:t>
            </w:r>
          </w:p>
        </w:tc>
        <w:tc>
          <w:tcPr>
            <w:tcW w:w="834" w:type="dxa"/>
            <w:vAlign w:val="bottom"/>
          </w:tcPr>
          <w:p w:rsidR="00654130" w:rsidRPr="000F7862" w:rsidRDefault="0038372B" w:rsidP="0038372B">
            <w:pPr>
              <w:suppressAutoHyphens w:val="0"/>
              <w:spacing w:before="40" w:after="40" w:line="220" w:lineRule="exact"/>
              <w:jc w:val="right"/>
              <w:rPr>
                <w:sz w:val="18"/>
                <w:lang w:val="fr-FR"/>
              </w:rPr>
            </w:pPr>
            <w:r w:rsidRPr="000F7862">
              <w:rPr>
                <w:sz w:val="18"/>
                <w:lang w:val="fr-FR"/>
              </w:rPr>
              <w:t>15,66</w:t>
            </w:r>
          </w:p>
        </w:tc>
      </w:tr>
      <w:tr w:rsidR="00654130" w:rsidRPr="000F7862" w:rsidTr="009346D3">
        <w:tc>
          <w:tcPr>
            <w:tcW w:w="3027" w:type="dxa"/>
            <w:shd w:val="clear" w:color="auto" w:fill="auto"/>
            <w:vAlign w:val="bottom"/>
          </w:tcPr>
          <w:p w:rsidR="00654130" w:rsidRPr="000F7862" w:rsidRDefault="00C066F2" w:rsidP="001F5390">
            <w:pPr>
              <w:pStyle w:val="SingleTxtG"/>
              <w:suppressAutoHyphens w:val="0"/>
              <w:spacing w:before="40" w:after="40" w:line="220" w:lineRule="exact"/>
              <w:ind w:left="170" w:right="0"/>
              <w:jc w:val="left"/>
              <w:rPr>
                <w:sz w:val="18"/>
                <w:lang w:val="fr-FR"/>
              </w:rPr>
            </w:pPr>
            <w:r w:rsidRPr="000F7862">
              <w:rPr>
                <w:sz w:val="18"/>
                <w:lang w:val="fr-FR"/>
              </w:rPr>
              <w:t>Santé</w:t>
            </w:r>
          </w:p>
        </w:tc>
        <w:tc>
          <w:tcPr>
            <w:tcW w:w="696" w:type="dxa"/>
            <w:shd w:val="clear" w:color="auto" w:fill="auto"/>
            <w:vAlign w:val="bottom"/>
          </w:tcPr>
          <w:p w:rsidR="00654130" w:rsidRPr="000F7862" w:rsidRDefault="0038372B" w:rsidP="00487C03">
            <w:pPr>
              <w:suppressAutoHyphens w:val="0"/>
              <w:spacing w:before="40" w:after="40" w:line="220" w:lineRule="exact"/>
              <w:jc w:val="right"/>
              <w:rPr>
                <w:sz w:val="18"/>
                <w:lang w:val="fr-FR"/>
              </w:rPr>
            </w:pPr>
            <w:r w:rsidRPr="000F7862">
              <w:rPr>
                <w:sz w:val="18"/>
                <w:lang w:val="fr-FR"/>
              </w:rPr>
              <w:t>1,63</w:t>
            </w:r>
          </w:p>
        </w:tc>
        <w:tc>
          <w:tcPr>
            <w:tcW w:w="696" w:type="dxa"/>
            <w:shd w:val="clear" w:color="auto" w:fill="auto"/>
            <w:vAlign w:val="bottom"/>
          </w:tcPr>
          <w:p w:rsidR="00654130" w:rsidRPr="000F7862" w:rsidRDefault="0038372B" w:rsidP="00487C03">
            <w:pPr>
              <w:suppressAutoHyphens w:val="0"/>
              <w:spacing w:before="40" w:after="40" w:line="220" w:lineRule="exact"/>
              <w:jc w:val="right"/>
              <w:rPr>
                <w:sz w:val="18"/>
                <w:lang w:val="fr-FR"/>
              </w:rPr>
            </w:pPr>
            <w:r w:rsidRPr="000F7862">
              <w:rPr>
                <w:sz w:val="18"/>
                <w:lang w:val="fr-FR"/>
              </w:rPr>
              <w:t>2,10</w:t>
            </w:r>
          </w:p>
        </w:tc>
        <w:tc>
          <w:tcPr>
            <w:tcW w:w="696" w:type="dxa"/>
            <w:shd w:val="clear" w:color="auto" w:fill="auto"/>
            <w:vAlign w:val="bottom"/>
          </w:tcPr>
          <w:p w:rsidR="00654130" w:rsidRPr="000F7862" w:rsidRDefault="0038372B" w:rsidP="00487C03">
            <w:pPr>
              <w:suppressAutoHyphens w:val="0"/>
              <w:spacing w:before="40" w:after="40" w:line="220" w:lineRule="exact"/>
              <w:jc w:val="right"/>
              <w:rPr>
                <w:sz w:val="18"/>
                <w:lang w:val="fr-FR"/>
              </w:rPr>
            </w:pPr>
            <w:r w:rsidRPr="000F7862">
              <w:rPr>
                <w:sz w:val="18"/>
                <w:lang w:val="fr-FR"/>
              </w:rPr>
              <w:t>2,56</w:t>
            </w:r>
          </w:p>
        </w:tc>
        <w:tc>
          <w:tcPr>
            <w:tcW w:w="697" w:type="dxa"/>
            <w:shd w:val="clear" w:color="auto" w:fill="auto"/>
            <w:vAlign w:val="bottom"/>
          </w:tcPr>
          <w:p w:rsidR="00654130" w:rsidRPr="000F7862" w:rsidRDefault="0038372B" w:rsidP="00487C03">
            <w:pPr>
              <w:suppressAutoHyphens w:val="0"/>
              <w:spacing w:before="40" w:after="40" w:line="220" w:lineRule="exact"/>
              <w:jc w:val="right"/>
              <w:rPr>
                <w:sz w:val="18"/>
                <w:lang w:val="fr-FR"/>
              </w:rPr>
            </w:pPr>
            <w:r w:rsidRPr="000F7862">
              <w:rPr>
                <w:sz w:val="18"/>
                <w:lang w:val="fr-FR"/>
              </w:rPr>
              <w:t>2,98</w:t>
            </w:r>
          </w:p>
        </w:tc>
        <w:tc>
          <w:tcPr>
            <w:tcW w:w="1859" w:type="dxa"/>
            <w:shd w:val="clear" w:color="auto" w:fill="auto"/>
            <w:vAlign w:val="bottom"/>
          </w:tcPr>
          <w:p w:rsidR="00654130" w:rsidRPr="000F7862" w:rsidRDefault="0038372B" w:rsidP="00487C03">
            <w:pPr>
              <w:suppressAutoHyphens w:val="0"/>
              <w:spacing w:before="40" w:after="40" w:line="220" w:lineRule="exact"/>
              <w:jc w:val="right"/>
              <w:rPr>
                <w:sz w:val="18"/>
                <w:lang w:val="fr-FR"/>
              </w:rPr>
            </w:pPr>
            <w:r w:rsidRPr="000F7862">
              <w:rPr>
                <w:sz w:val="18"/>
                <w:lang w:val="fr-FR"/>
              </w:rPr>
              <w:t>2,88</w:t>
            </w:r>
          </w:p>
        </w:tc>
        <w:tc>
          <w:tcPr>
            <w:tcW w:w="834" w:type="dxa"/>
            <w:vAlign w:val="bottom"/>
          </w:tcPr>
          <w:p w:rsidR="00654130" w:rsidRPr="000F7862" w:rsidRDefault="0038372B" w:rsidP="0038372B">
            <w:pPr>
              <w:suppressAutoHyphens w:val="0"/>
              <w:spacing w:before="40" w:after="40" w:line="220" w:lineRule="exact"/>
              <w:jc w:val="right"/>
              <w:rPr>
                <w:sz w:val="18"/>
                <w:lang w:val="fr-FR"/>
              </w:rPr>
            </w:pPr>
            <w:r w:rsidRPr="000F7862">
              <w:rPr>
                <w:sz w:val="18"/>
                <w:lang w:val="fr-FR"/>
              </w:rPr>
              <w:t>2,43</w:t>
            </w:r>
          </w:p>
        </w:tc>
      </w:tr>
      <w:tr w:rsidR="00C066F2" w:rsidRPr="000F7862" w:rsidTr="009346D3">
        <w:tc>
          <w:tcPr>
            <w:tcW w:w="3027" w:type="dxa"/>
            <w:shd w:val="clear" w:color="auto" w:fill="auto"/>
            <w:vAlign w:val="bottom"/>
          </w:tcPr>
          <w:p w:rsidR="00C066F2" w:rsidRPr="000F7862" w:rsidRDefault="00C066F2" w:rsidP="001F5390">
            <w:pPr>
              <w:pStyle w:val="SingleTxtG"/>
              <w:suppressAutoHyphens w:val="0"/>
              <w:spacing w:before="40" w:after="40" w:line="220" w:lineRule="exact"/>
              <w:ind w:left="170" w:right="0"/>
              <w:jc w:val="left"/>
              <w:rPr>
                <w:sz w:val="18"/>
                <w:lang w:val="fr-FR"/>
              </w:rPr>
            </w:pPr>
            <w:r w:rsidRPr="000F7862">
              <w:rPr>
                <w:sz w:val="18"/>
                <w:lang w:val="fr-FR"/>
              </w:rPr>
              <w:t>Sécurité sociale, protection sociale et emploi</w:t>
            </w:r>
          </w:p>
        </w:tc>
        <w:tc>
          <w:tcPr>
            <w:tcW w:w="696" w:type="dxa"/>
            <w:shd w:val="clear" w:color="auto" w:fill="auto"/>
            <w:vAlign w:val="bottom"/>
          </w:tcPr>
          <w:p w:rsidR="00C066F2" w:rsidRPr="000F7862" w:rsidRDefault="000E3FDB" w:rsidP="00487C03">
            <w:pPr>
              <w:suppressAutoHyphens w:val="0"/>
              <w:spacing w:before="40" w:after="40" w:line="220" w:lineRule="exact"/>
              <w:jc w:val="right"/>
              <w:rPr>
                <w:sz w:val="18"/>
                <w:lang w:val="fr-FR"/>
              </w:rPr>
            </w:pPr>
            <w:r w:rsidRPr="000F7862">
              <w:rPr>
                <w:sz w:val="18"/>
                <w:lang w:val="fr-FR"/>
              </w:rPr>
              <w:t>5,27</w:t>
            </w:r>
          </w:p>
        </w:tc>
        <w:tc>
          <w:tcPr>
            <w:tcW w:w="696" w:type="dxa"/>
            <w:shd w:val="clear" w:color="auto" w:fill="auto"/>
            <w:vAlign w:val="bottom"/>
          </w:tcPr>
          <w:p w:rsidR="00C066F2" w:rsidRPr="000F7862" w:rsidRDefault="000E3FDB" w:rsidP="00487C03">
            <w:pPr>
              <w:suppressAutoHyphens w:val="0"/>
              <w:spacing w:before="40" w:after="40" w:line="220" w:lineRule="exact"/>
              <w:jc w:val="right"/>
              <w:rPr>
                <w:sz w:val="18"/>
                <w:lang w:val="fr-FR"/>
              </w:rPr>
            </w:pPr>
            <w:r w:rsidRPr="000F7862">
              <w:rPr>
                <w:sz w:val="18"/>
                <w:lang w:val="fr-FR"/>
              </w:rPr>
              <w:t>3,31</w:t>
            </w:r>
          </w:p>
        </w:tc>
        <w:tc>
          <w:tcPr>
            <w:tcW w:w="696" w:type="dxa"/>
            <w:shd w:val="clear" w:color="auto" w:fill="auto"/>
            <w:vAlign w:val="bottom"/>
          </w:tcPr>
          <w:p w:rsidR="00C066F2" w:rsidRPr="000F7862" w:rsidRDefault="000E3FDB" w:rsidP="00487C03">
            <w:pPr>
              <w:suppressAutoHyphens w:val="0"/>
              <w:spacing w:before="40" w:after="40" w:line="220" w:lineRule="exact"/>
              <w:jc w:val="right"/>
              <w:rPr>
                <w:sz w:val="18"/>
                <w:lang w:val="fr-FR"/>
              </w:rPr>
            </w:pPr>
            <w:r w:rsidRPr="000F7862">
              <w:rPr>
                <w:sz w:val="18"/>
                <w:lang w:val="fr-FR"/>
              </w:rPr>
              <w:t>7,33</w:t>
            </w:r>
          </w:p>
        </w:tc>
        <w:tc>
          <w:tcPr>
            <w:tcW w:w="697" w:type="dxa"/>
            <w:shd w:val="clear" w:color="auto" w:fill="auto"/>
            <w:vAlign w:val="bottom"/>
          </w:tcPr>
          <w:p w:rsidR="00C066F2" w:rsidRPr="000F7862" w:rsidRDefault="000E3FDB" w:rsidP="00487C03">
            <w:pPr>
              <w:suppressAutoHyphens w:val="0"/>
              <w:spacing w:before="40" w:after="40" w:line="220" w:lineRule="exact"/>
              <w:jc w:val="right"/>
              <w:rPr>
                <w:sz w:val="18"/>
                <w:lang w:val="fr-FR"/>
              </w:rPr>
            </w:pPr>
            <w:r w:rsidRPr="000F7862">
              <w:rPr>
                <w:sz w:val="18"/>
                <w:lang w:val="fr-FR"/>
              </w:rPr>
              <w:t>8,26</w:t>
            </w:r>
          </w:p>
        </w:tc>
        <w:tc>
          <w:tcPr>
            <w:tcW w:w="1859" w:type="dxa"/>
            <w:shd w:val="clear" w:color="auto" w:fill="auto"/>
            <w:vAlign w:val="bottom"/>
          </w:tcPr>
          <w:p w:rsidR="00C066F2" w:rsidRPr="000F7862" w:rsidRDefault="000E3FDB" w:rsidP="00487C03">
            <w:pPr>
              <w:suppressAutoHyphens w:val="0"/>
              <w:spacing w:before="40" w:after="40" w:line="220" w:lineRule="exact"/>
              <w:jc w:val="right"/>
              <w:rPr>
                <w:sz w:val="18"/>
                <w:lang w:val="fr-FR"/>
              </w:rPr>
            </w:pPr>
            <w:r w:rsidRPr="000F7862">
              <w:rPr>
                <w:sz w:val="18"/>
                <w:lang w:val="fr-FR"/>
              </w:rPr>
              <w:t>8,45</w:t>
            </w:r>
          </w:p>
        </w:tc>
        <w:tc>
          <w:tcPr>
            <w:tcW w:w="834" w:type="dxa"/>
            <w:vAlign w:val="bottom"/>
          </w:tcPr>
          <w:p w:rsidR="00C066F2" w:rsidRPr="000F7862" w:rsidRDefault="000E3FDB" w:rsidP="0038372B">
            <w:pPr>
              <w:suppressAutoHyphens w:val="0"/>
              <w:spacing w:before="40" w:after="40" w:line="220" w:lineRule="exact"/>
              <w:jc w:val="right"/>
              <w:rPr>
                <w:sz w:val="18"/>
                <w:lang w:val="fr-FR"/>
              </w:rPr>
            </w:pPr>
            <w:r w:rsidRPr="000F7862">
              <w:rPr>
                <w:sz w:val="18"/>
                <w:lang w:val="fr-FR"/>
              </w:rPr>
              <w:t>6,52</w:t>
            </w:r>
          </w:p>
        </w:tc>
      </w:tr>
      <w:tr w:rsidR="00C066F2" w:rsidRPr="000F7862" w:rsidTr="009346D3">
        <w:tc>
          <w:tcPr>
            <w:tcW w:w="3027" w:type="dxa"/>
            <w:shd w:val="clear" w:color="auto" w:fill="auto"/>
            <w:vAlign w:val="bottom"/>
          </w:tcPr>
          <w:p w:rsidR="00C066F2" w:rsidRPr="000F7862" w:rsidRDefault="00C066F2" w:rsidP="001F5390">
            <w:pPr>
              <w:pStyle w:val="SingleTxtG"/>
              <w:suppressAutoHyphens w:val="0"/>
              <w:spacing w:before="40" w:after="40" w:line="220" w:lineRule="exact"/>
              <w:ind w:left="170" w:right="0"/>
              <w:jc w:val="left"/>
              <w:rPr>
                <w:sz w:val="18"/>
                <w:lang w:val="fr-FR"/>
              </w:rPr>
            </w:pPr>
            <w:r w:rsidRPr="000F7862">
              <w:rPr>
                <w:sz w:val="18"/>
                <w:lang w:val="fr-FR"/>
              </w:rPr>
              <w:t>Redistribution des terres (Programme de réforme agraire d</w:t>
            </w:r>
            <w:r w:rsidR="00120E2E" w:rsidRPr="000F7862">
              <w:rPr>
                <w:sz w:val="18"/>
                <w:lang w:val="fr-FR"/>
              </w:rPr>
              <w:t>’</w:t>
            </w:r>
            <w:r w:rsidRPr="000F7862">
              <w:rPr>
                <w:sz w:val="18"/>
                <w:lang w:val="fr-FR"/>
              </w:rPr>
              <w:t>ensemble)</w:t>
            </w:r>
          </w:p>
        </w:tc>
        <w:tc>
          <w:tcPr>
            <w:tcW w:w="696" w:type="dxa"/>
            <w:shd w:val="clear" w:color="auto" w:fill="auto"/>
            <w:vAlign w:val="bottom"/>
          </w:tcPr>
          <w:p w:rsidR="00C066F2" w:rsidRPr="000F7862" w:rsidRDefault="000E3FDB" w:rsidP="00487C03">
            <w:pPr>
              <w:suppressAutoHyphens w:val="0"/>
              <w:spacing w:before="40" w:after="40" w:line="220" w:lineRule="exact"/>
              <w:jc w:val="right"/>
              <w:rPr>
                <w:sz w:val="18"/>
                <w:lang w:val="fr-FR"/>
              </w:rPr>
            </w:pPr>
            <w:r w:rsidRPr="000F7862">
              <w:rPr>
                <w:sz w:val="18"/>
                <w:lang w:val="fr-FR"/>
              </w:rPr>
              <w:t>0,09</w:t>
            </w:r>
          </w:p>
        </w:tc>
        <w:tc>
          <w:tcPr>
            <w:tcW w:w="696" w:type="dxa"/>
            <w:shd w:val="clear" w:color="auto" w:fill="auto"/>
            <w:vAlign w:val="bottom"/>
          </w:tcPr>
          <w:p w:rsidR="00C066F2" w:rsidRPr="000F7862" w:rsidRDefault="000E3FDB" w:rsidP="00487C03">
            <w:pPr>
              <w:suppressAutoHyphens w:val="0"/>
              <w:spacing w:before="40" w:after="40" w:line="220" w:lineRule="exact"/>
              <w:jc w:val="right"/>
              <w:rPr>
                <w:sz w:val="18"/>
                <w:lang w:val="fr-FR"/>
              </w:rPr>
            </w:pPr>
            <w:r w:rsidRPr="000F7862">
              <w:rPr>
                <w:sz w:val="18"/>
                <w:lang w:val="fr-FR"/>
              </w:rPr>
              <w:t>0,27</w:t>
            </w:r>
          </w:p>
        </w:tc>
        <w:tc>
          <w:tcPr>
            <w:tcW w:w="696" w:type="dxa"/>
            <w:shd w:val="clear" w:color="auto" w:fill="auto"/>
            <w:vAlign w:val="bottom"/>
          </w:tcPr>
          <w:p w:rsidR="00C066F2" w:rsidRPr="000F7862" w:rsidRDefault="000E3FDB" w:rsidP="00487C03">
            <w:pPr>
              <w:suppressAutoHyphens w:val="0"/>
              <w:spacing w:before="40" w:after="40" w:line="220" w:lineRule="exact"/>
              <w:jc w:val="right"/>
              <w:rPr>
                <w:sz w:val="18"/>
                <w:lang w:val="fr-FR"/>
              </w:rPr>
            </w:pPr>
            <w:r w:rsidRPr="000F7862">
              <w:rPr>
                <w:sz w:val="18"/>
                <w:lang w:val="fr-FR"/>
              </w:rPr>
              <w:t>0,25</w:t>
            </w:r>
          </w:p>
        </w:tc>
        <w:tc>
          <w:tcPr>
            <w:tcW w:w="697" w:type="dxa"/>
            <w:shd w:val="clear" w:color="auto" w:fill="auto"/>
            <w:vAlign w:val="bottom"/>
          </w:tcPr>
          <w:p w:rsidR="00C066F2" w:rsidRPr="000F7862" w:rsidRDefault="000E3FDB" w:rsidP="00487C03">
            <w:pPr>
              <w:suppressAutoHyphens w:val="0"/>
              <w:spacing w:before="40" w:after="40" w:line="220" w:lineRule="exact"/>
              <w:jc w:val="right"/>
              <w:rPr>
                <w:sz w:val="18"/>
                <w:lang w:val="fr-FR"/>
              </w:rPr>
            </w:pPr>
            <w:r w:rsidRPr="000F7862">
              <w:rPr>
                <w:sz w:val="18"/>
                <w:lang w:val="fr-FR"/>
              </w:rPr>
              <w:t>0,00</w:t>
            </w:r>
          </w:p>
        </w:tc>
        <w:tc>
          <w:tcPr>
            <w:tcW w:w="1859" w:type="dxa"/>
            <w:shd w:val="clear" w:color="auto" w:fill="auto"/>
            <w:vAlign w:val="bottom"/>
          </w:tcPr>
          <w:p w:rsidR="00C066F2" w:rsidRPr="000F7862" w:rsidRDefault="000E3FDB" w:rsidP="00487C03">
            <w:pPr>
              <w:suppressAutoHyphens w:val="0"/>
              <w:spacing w:before="40" w:after="40" w:line="220" w:lineRule="exact"/>
              <w:jc w:val="right"/>
              <w:rPr>
                <w:sz w:val="18"/>
                <w:lang w:val="fr-FR"/>
              </w:rPr>
            </w:pPr>
            <w:r w:rsidRPr="000F7862">
              <w:rPr>
                <w:sz w:val="18"/>
                <w:lang w:val="fr-FR"/>
              </w:rPr>
              <w:t>0,25</w:t>
            </w:r>
          </w:p>
        </w:tc>
        <w:tc>
          <w:tcPr>
            <w:tcW w:w="834" w:type="dxa"/>
            <w:vAlign w:val="bottom"/>
          </w:tcPr>
          <w:p w:rsidR="00C066F2" w:rsidRPr="000F7862" w:rsidRDefault="000E3FDB" w:rsidP="0038372B">
            <w:pPr>
              <w:suppressAutoHyphens w:val="0"/>
              <w:spacing w:before="40" w:after="40" w:line="220" w:lineRule="exact"/>
              <w:jc w:val="right"/>
              <w:rPr>
                <w:sz w:val="18"/>
                <w:lang w:val="fr-FR"/>
              </w:rPr>
            </w:pPr>
            <w:r w:rsidRPr="000F7862">
              <w:rPr>
                <w:sz w:val="18"/>
                <w:lang w:val="fr-FR"/>
              </w:rPr>
              <w:t>0,17</w:t>
            </w:r>
          </w:p>
        </w:tc>
      </w:tr>
      <w:tr w:rsidR="00654130" w:rsidRPr="000F7862" w:rsidTr="009346D3">
        <w:tc>
          <w:tcPr>
            <w:tcW w:w="3027" w:type="dxa"/>
            <w:shd w:val="clear" w:color="auto" w:fill="auto"/>
            <w:vAlign w:val="bottom"/>
          </w:tcPr>
          <w:p w:rsidR="00654130" w:rsidRPr="000F7862" w:rsidRDefault="00C066F2" w:rsidP="001F5390">
            <w:pPr>
              <w:pStyle w:val="SingleTxtG"/>
              <w:suppressAutoHyphens w:val="0"/>
              <w:spacing w:before="40" w:after="40" w:line="220" w:lineRule="exact"/>
              <w:ind w:left="170" w:right="0"/>
              <w:jc w:val="left"/>
              <w:rPr>
                <w:sz w:val="18"/>
                <w:szCs w:val="18"/>
                <w:lang w:val="fr-FR"/>
              </w:rPr>
            </w:pPr>
            <w:r w:rsidRPr="000F7862">
              <w:rPr>
                <w:sz w:val="18"/>
                <w:lang w:val="fr-FR"/>
              </w:rPr>
              <w:t>Logement et développement communautaire</w:t>
            </w:r>
          </w:p>
        </w:tc>
        <w:tc>
          <w:tcPr>
            <w:tcW w:w="696" w:type="dxa"/>
            <w:shd w:val="clear" w:color="auto" w:fill="auto"/>
            <w:vAlign w:val="bottom"/>
          </w:tcPr>
          <w:p w:rsidR="00654130" w:rsidRPr="000F7862" w:rsidRDefault="00216885" w:rsidP="00487C03">
            <w:pPr>
              <w:suppressAutoHyphens w:val="0"/>
              <w:spacing w:before="40" w:after="40" w:line="220" w:lineRule="exact"/>
              <w:jc w:val="right"/>
              <w:rPr>
                <w:sz w:val="18"/>
                <w:lang w:val="fr-FR"/>
              </w:rPr>
            </w:pPr>
            <w:r w:rsidRPr="000F7862">
              <w:rPr>
                <w:sz w:val="18"/>
                <w:lang w:val="fr-FR"/>
              </w:rPr>
              <w:t>0,59</w:t>
            </w:r>
          </w:p>
        </w:tc>
        <w:tc>
          <w:tcPr>
            <w:tcW w:w="696" w:type="dxa"/>
            <w:shd w:val="clear" w:color="auto" w:fill="auto"/>
            <w:vAlign w:val="bottom"/>
          </w:tcPr>
          <w:p w:rsidR="00654130" w:rsidRPr="000F7862" w:rsidRDefault="00216885" w:rsidP="00487C03">
            <w:pPr>
              <w:suppressAutoHyphens w:val="0"/>
              <w:spacing w:before="40" w:after="40" w:line="220" w:lineRule="exact"/>
              <w:jc w:val="right"/>
              <w:rPr>
                <w:sz w:val="18"/>
                <w:lang w:val="fr-FR"/>
              </w:rPr>
            </w:pPr>
            <w:r w:rsidRPr="000F7862">
              <w:rPr>
                <w:sz w:val="18"/>
                <w:lang w:val="fr-FR"/>
              </w:rPr>
              <w:t>0,49</w:t>
            </w:r>
          </w:p>
        </w:tc>
        <w:tc>
          <w:tcPr>
            <w:tcW w:w="696" w:type="dxa"/>
            <w:shd w:val="clear" w:color="auto" w:fill="auto"/>
            <w:vAlign w:val="bottom"/>
          </w:tcPr>
          <w:p w:rsidR="00654130" w:rsidRPr="000F7862" w:rsidRDefault="00216885" w:rsidP="00487C03">
            <w:pPr>
              <w:suppressAutoHyphens w:val="0"/>
              <w:spacing w:before="40" w:after="40" w:line="220" w:lineRule="exact"/>
              <w:jc w:val="right"/>
              <w:rPr>
                <w:sz w:val="18"/>
                <w:lang w:val="fr-FR"/>
              </w:rPr>
            </w:pPr>
            <w:r w:rsidRPr="000F7862">
              <w:rPr>
                <w:sz w:val="18"/>
                <w:lang w:val="fr-FR"/>
              </w:rPr>
              <w:t>1,41</w:t>
            </w:r>
          </w:p>
        </w:tc>
        <w:tc>
          <w:tcPr>
            <w:tcW w:w="697" w:type="dxa"/>
            <w:shd w:val="clear" w:color="auto" w:fill="auto"/>
            <w:vAlign w:val="bottom"/>
          </w:tcPr>
          <w:p w:rsidR="00654130" w:rsidRPr="000F7862" w:rsidRDefault="00216885" w:rsidP="00487C03">
            <w:pPr>
              <w:suppressAutoHyphens w:val="0"/>
              <w:spacing w:before="40" w:after="40" w:line="220" w:lineRule="exact"/>
              <w:jc w:val="right"/>
              <w:rPr>
                <w:sz w:val="18"/>
                <w:lang w:val="fr-FR"/>
              </w:rPr>
            </w:pPr>
            <w:r w:rsidRPr="000F7862">
              <w:rPr>
                <w:sz w:val="18"/>
                <w:lang w:val="fr-FR"/>
              </w:rPr>
              <w:t>0,68</w:t>
            </w:r>
          </w:p>
        </w:tc>
        <w:tc>
          <w:tcPr>
            <w:tcW w:w="1859" w:type="dxa"/>
            <w:shd w:val="clear" w:color="auto" w:fill="auto"/>
            <w:vAlign w:val="bottom"/>
          </w:tcPr>
          <w:p w:rsidR="00654130" w:rsidRPr="000F7862" w:rsidRDefault="00216885" w:rsidP="00487C03">
            <w:pPr>
              <w:suppressAutoHyphens w:val="0"/>
              <w:spacing w:before="40" w:after="40" w:line="220" w:lineRule="exact"/>
              <w:jc w:val="right"/>
              <w:rPr>
                <w:sz w:val="18"/>
                <w:lang w:val="fr-FR"/>
              </w:rPr>
            </w:pPr>
            <w:r w:rsidRPr="000F7862">
              <w:rPr>
                <w:sz w:val="18"/>
                <w:lang w:val="fr-FR"/>
              </w:rPr>
              <w:t>1,16</w:t>
            </w:r>
          </w:p>
        </w:tc>
        <w:tc>
          <w:tcPr>
            <w:tcW w:w="834" w:type="dxa"/>
            <w:vAlign w:val="bottom"/>
          </w:tcPr>
          <w:p w:rsidR="00654130" w:rsidRPr="000F7862" w:rsidRDefault="00216885" w:rsidP="0038372B">
            <w:pPr>
              <w:suppressAutoHyphens w:val="0"/>
              <w:spacing w:before="40" w:after="40" w:line="220" w:lineRule="exact"/>
              <w:jc w:val="right"/>
              <w:rPr>
                <w:sz w:val="18"/>
                <w:lang w:val="fr-FR"/>
              </w:rPr>
            </w:pPr>
            <w:r w:rsidRPr="000F7862">
              <w:rPr>
                <w:sz w:val="18"/>
                <w:lang w:val="fr-FR"/>
              </w:rPr>
              <w:t>0,87</w:t>
            </w:r>
          </w:p>
        </w:tc>
      </w:tr>
      <w:tr w:rsidR="00450A3F" w:rsidRPr="000F7862" w:rsidTr="009346D3">
        <w:tc>
          <w:tcPr>
            <w:tcW w:w="3027" w:type="dxa"/>
            <w:shd w:val="clear" w:color="auto" w:fill="auto"/>
            <w:vAlign w:val="bottom"/>
          </w:tcPr>
          <w:p w:rsidR="00450A3F" w:rsidRPr="000F7862" w:rsidRDefault="00450A3F" w:rsidP="001F5390">
            <w:pPr>
              <w:pStyle w:val="SingleTxtG"/>
              <w:suppressAutoHyphens w:val="0"/>
              <w:spacing w:before="40" w:after="40" w:line="220" w:lineRule="exact"/>
              <w:ind w:left="170" w:right="0"/>
              <w:jc w:val="left"/>
              <w:rPr>
                <w:sz w:val="18"/>
                <w:lang w:val="fr-FR"/>
              </w:rPr>
            </w:pPr>
            <w:r w:rsidRPr="000F7862">
              <w:rPr>
                <w:sz w:val="18"/>
                <w:lang w:val="fr-FR"/>
              </w:rPr>
              <w:t>Autres dépenses sociales</w:t>
            </w:r>
          </w:p>
        </w:tc>
        <w:tc>
          <w:tcPr>
            <w:tcW w:w="696" w:type="dxa"/>
            <w:shd w:val="clear" w:color="auto" w:fill="auto"/>
            <w:vAlign w:val="bottom"/>
          </w:tcPr>
          <w:p w:rsidR="00450A3F" w:rsidRPr="000F7862" w:rsidRDefault="00216885" w:rsidP="00487C03">
            <w:pPr>
              <w:suppressAutoHyphens w:val="0"/>
              <w:spacing w:before="40" w:after="40" w:line="220" w:lineRule="exact"/>
              <w:jc w:val="right"/>
              <w:rPr>
                <w:sz w:val="18"/>
                <w:lang w:val="fr-FR"/>
              </w:rPr>
            </w:pPr>
            <w:r w:rsidRPr="000F7862">
              <w:rPr>
                <w:sz w:val="18"/>
                <w:lang w:val="fr-FR"/>
              </w:rPr>
              <w:t>0,13</w:t>
            </w:r>
          </w:p>
        </w:tc>
        <w:tc>
          <w:tcPr>
            <w:tcW w:w="696" w:type="dxa"/>
            <w:shd w:val="clear" w:color="auto" w:fill="auto"/>
            <w:vAlign w:val="bottom"/>
          </w:tcPr>
          <w:p w:rsidR="00450A3F" w:rsidRPr="000F7862" w:rsidRDefault="00216885" w:rsidP="00487C03">
            <w:pPr>
              <w:suppressAutoHyphens w:val="0"/>
              <w:spacing w:before="40" w:after="40" w:line="220" w:lineRule="exact"/>
              <w:jc w:val="right"/>
              <w:rPr>
                <w:sz w:val="18"/>
                <w:lang w:val="fr-FR"/>
              </w:rPr>
            </w:pPr>
            <w:r w:rsidRPr="000F7862">
              <w:rPr>
                <w:sz w:val="18"/>
                <w:lang w:val="fr-FR"/>
              </w:rPr>
              <w:t>0,10</w:t>
            </w:r>
          </w:p>
        </w:tc>
        <w:tc>
          <w:tcPr>
            <w:tcW w:w="696" w:type="dxa"/>
            <w:shd w:val="clear" w:color="auto" w:fill="auto"/>
            <w:vAlign w:val="bottom"/>
          </w:tcPr>
          <w:p w:rsidR="00450A3F" w:rsidRPr="000F7862" w:rsidRDefault="00216885" w:rsidP="00487C03">
            <w:pPr>
              <w:suppressAutoHyphens w:val="0"/>
              <w:spacing w:before="40" w:after="40" w:line="220" w:lineRule="exact"/>
              <w:jc w:val="right"/>
              <w:rPr>
                <w:sz w:val="18"/>
                <w:lang w:val="fr-FR"/>
              </w:rPr>
            </w:pPr>
            <w:r w:rsidRPr="000F7862">
              <w:rPr>
                <w:sz w:val="18"/>
                <w:lang w:val="fr-FR"/>
              </w:rPr>
              <w:t>0,10</w:t>
            </w:r>
          </w:p>
        </w:tc>
        <w:tc>
          <w:tcPr>
            <w:tcW w:w="697" w:type="dxa"/>
            <w:shd w:val="clear" w:color="auto" w:fill="auto"/>
            <w:vAlign w:val="bottom"/>
          </w:tcPr>
          <w:p w:rsidR="00450A3F" w:rsidRPr="000F7862" w:rsidRDefault="00216885" w:rsidP="00487C03">
            <w:pPr>
              <w:suppressAutoHyphens w:val="0"/>
              <w:spacing w:before="40" w:after="40" w:line="220" w:lineRule="exact"/>
              <w:jc w:val="right"/>
              <w:rPr>
                <w:sz w:val="18"/>
                <w:lang w:val="fr-FR"/>
              </w:rPr>
            </w:pPr>
            <w:r w:rsidRPr="000F7862">
              <w:rPr>
                <w:sz w:val="18"/>
                <w:lang w:val="fr-FR"/>
              </w:rPr>
              <w:t>0,12</w:t>
            </w:r>
          </w:p>
        </w:tc>
        <w:tc>
          <w:tcPr>
            <w:tcW w:w="1859" w:type="dxa"/>
            <w:shd w:val="clear" w:color="auto" w:fill="auto"/>
            <w:vAlign w:val="bottom"/>
          </w:tcPr>
          <w:p w:rsidR="00450A3F" w:rsidRPr="000F7862" w:rsidRDefault="00216885" w:rsidP="00487C03">
            <w:pPr>
              <w:suppressAutoHyphens w:val="0"/>
              <w:spacing w:before="40" w:after="40" w:line="220" w:lineRule="exact"/>
              <w:jc w:val="right"/>
              <w:rPr>
                <w:sz w:val="18"/>
                <w:lang w:val="fr-FR"/>
              </w:rPr>
            </w:pPr>
            <w:r w:rsidRPr="000F7862">
              <w:rPr>
                <w:sz w:val="18"/>
                <w:lang w:val="fr-FR"/>
              </w:rPr>
              <w:t>0,09</w:t>
            </w:r>
          </w:p>
        </w:tc>
        <w:tc>
          <w:tcPr>
            <w:tcW w:w="834" w:type="dxa"/>
            <w:vAlign w:val="bottom"/>
          </w:tcPr>
          <w:p w:rsidR="00450A3F" w:rsidRPr="000F7862" w:rsidRDefault="00216885" w:rsidP="0038372B">
            <w:pPr>
              <w:suppressAutoHyphens w:val="0"/>
              <w:spacing w:before="40" w:after="40" w:line="220" w:lineRule="exact"/>
              <w:jc w:val="right"/>
              <w:rPr>
                <w:sz w:val="18"/>
                <w:lang w:val="fr-FR"/>
              </w:rPr>
            </w:pPr>
            <w:r w:rsidRPr="000F7862">
              <w:rPr>
                <w:sz w:val="18"/>
                <w:lang w:val="fr-FR"/>
              </w:rPr>
              <w:t>0,11</w:t>
            </w:r>
          </w:p>
        </w:tc>
      </w:tr>
      <w:tr w:rsidR="00654130" w:rsidRPr="000F7862" w:rsidTr="009346D3">
        <w:tc>
          <w:tcPr>
            <w:tcW w:w="3027" w:type="dxa"/>
            <w:tcBorders>
              <w:bottom w:val="single" w:sz="4" w:space="0" w:color="auto"/>
            </w:tcBorders>
            <w:shd w:val="clear" w:color="auto" w:fill="auto"/>
            <w:vAlign w:val="bottom"/>
          </w:tcPr>
          <w:p w:rsidR="00654130" w:rsidRPr="000F7862" w:rsidRDefault="00450A3F" w:rsidP="001F5390">
            <w:pPr>
              <w:pStyle w:val="SingleTxtG"/>
              <w:suppressAutoHyphens w:val="0"/>
              <w:spacing w:before="40" w:after="40" w:line="220" w:lineRule="exact"/>
              <w:ind w:left="170" w:right="0"/>
              <w:jc w:val="left"/>
              <w:rPr>
                <w:sz w:val="18"/>
                <w:lang w:val="fr-FR"/>
              </w:rPr>
            </w:pPr>
            <w:r w:rsidRPr="000F7862">
              <w:rPr>
                <w:sz w:val="18"/>
                <w:lang w:val="fr-FR"/>
              </w:rPr>
              <w:t>Subventions aux organes administratifs locaux</w:t>
            </w:r>
          </w:p>
        </w:tc>
        <w:tc>
          <w:tcPr>
            <w:tcW w:w="696" w:type="dxa"/>
            <w:tcBorders>
              <w:bottom w:val="single" w:sz="4" w:space="0" w:color="auto"/>
            </w:tcBorders>
            <w:shd w:val="clear" w:color="auto" w:fill="auto"/>
            <w:vAlign w:val="bottom"/>
          </w:tcPr>
          <w:p w:rsidR="00654130" w:rsidRPr="000F7862" w:rsidRDefault="00216885" w:rsidP="00487C03">
            <w:pPr>
              <w:suppressAutoHyphens w:val="0"/>
              <w:spacing w:before="40" w:after="40" w:line="220" w:lineRule="exact"/>
              <w:jc w:val="right"/>
              <w:rPr>
                <w:sz w:val="18"/>
                <w:lang w:val="fr-FR"/>
              </w:rPr>
            </w:pPr>
            <w:r w:rsidRPr="000F7862">
              <w:rPr>
                <w:sz w:val="18"/>
                <w:lang w:val="fr-FR"/>
              </w:rPr>
              <w:t>6,45</w:t>
            </w:r>
          </w:p>
        </w:tc>
        <w:tc>
          <w:tcPr>
            <w:tcW w:w="696" w:type="dxa"/>
            <w:tcBorders>
              <w:bottom w:val="single" w:sz="4" w:space="0" w:color="auto"/>
            </w:tcBorders>
            <w:shd w:val="clear" w:color="auto" w:fill="auto"/>
            <w:vAlign w:val="bottom"/>
          </w:tcPr>
          <w:p w:rsidR="00654130" w:rsidRPr="000F7862" w:rsidRDefault="00216885" w:rsidP="00487C03">
            <w:pPr>
              <w:suppressAutoHyphens w:val="0"/>
              <w:spacing w:before="40" w:after="40" w:line="220" w:lineRule="exact"/>
              <w:jc w:val="right"/>
              <w:rPr>
                <w:sz w:val="18"/>
                <w:lang w:val="fr-FR"/>
              </w:rPr>
            </w:pPr>
            <w:r w:rsidRPr="000F7862">
              <w:rPr>
                <w:sz w:val="18"/>
                <w:lang w:val="fr-FR"/>
              </w:rPr>
              <w:t>6,68</w:t>
            </w:r>
          </w:p>
        </w:tc>
        <w:tc>
          <w:tcPr>
            <w:tcW w:w="696" w:type="dxa"/>
            <w:tcBorders>
              <w:bottom w:val="single" w:sz="4" w:space="0" w:color="auto"/>
            </w:tcBorders>
            <w:shd w:val="clear" w:color="auto" w:fill="auto"/>
            <w:vAlign w:val="bottom"/>
          </w:tcPr>
          <w:p w:rsidR="00654130" w:rsidRPr="000F7862" w:rsidRDefault="00216885" w:rsidP="00487C03">
            <w:pPr>
              <w:suppressAutoHyphens w:val="0"/>
              <w:spacing w:before="40" w:after="40" w:line="220" w:lineRule="exact"/>
              <w:jc w:val="right"/>
              <w:rPr>
                <w:sz w:val="18"/>
                <w:lang w:val="fr-FR"/>
              </w:rPr>
            </w:pPr>
            <w:r w:rsidRPr="000F7862">
              <w:rPr>
                <w:sz w:val="18"/>
                <w:lang w:val="fr-FR"/>
              </w:rPr>
              <w:t>6,72</w:t>
            </w:r>
          </w:p>
        </w:tc>
        <w:tc>
          <w:tcPr>
            <w:tcW w:w="697" w:type="dxa"/>
            <w:tcBorders>
              <w:bottom w:val="single" w:sz="4" w:space="0" w:color="auto"/>
            </w:tcBorders>
            <w:shd w:val="clear" w:color="auto" w:fill="auto"/>
            <w:vAlign w:val="bottom"/>
          </w:tcPr>
          <w:p w:rsidR="00654130" w:rsidRPr="000F7862" w:rsidRDefault="00216885" w:rsidP="00487C03">
            <w:pPr>
              <w:suppressAutoHyphens w:val="0"/>
              <w:spacing w:before="40" w:after="40" w:line="220" w:lineRule="exact"/>
              <w:jc w:val="right"/>
              <w:rPr>
                <w:sz w:val="18"/>
                <w:lang w:val="fr-FR"/>
              </w:rPr>
            </w:pPr>
            <w:r w:rsidRPr="000F7862">
              <w:rPr>
                <w:sz w:val="18"/>
                <w:lang w:val="fr-FR"/>
              </w:rPr>
              <w:t>5,75</w:t>
            </w:r>
          </w:p>
        </w:tc>
        <w:tc>
          <w:tcPr>
            <w:tcW w:w="1859" w:type="dxa"/>
            <w:tcBorders>
              <w:bottom w:val="single" w:sz="4" w:space="0" w:color="auto"/>
            </w:tcBorders>
            <w:shd w:val="clear" w:color="auto" w:fill="auto"/>
            <w:vAlign w:val="bottom"/>
          </w:tcPr>
          <w:p w:rsidR="00654130" w:rsidRPr="000F7862" w:rsidRDefault="00216885" w:rsidP="00487C03">
            <w:pPr>
              <w:suppressAutoHyphens w:val="0"/>
              <w:spacing w:before="40" w:after="40" w:line="220" w:lineRule="exact"/>
              <w:jc w:val="right"/>
              <w:rPr>
                <w:sz w:val="18"/>
                <w:lang w:val="fr-FR"/>
              </w:rPr>
            </w:pPr>
            <w:r w:rsidRPr="000F7862">
              <w:rPr>
                <w:sz w:val="18"/>
                <w:lang w:val="fr-FR"/>
              </w:rPr>
              <w:t>5,58</w:t>
            </w:r>
          </w:p>
        </w:tc>
        <w:tc>
          <w:tcPr>
            <w:tcW w:w="834" w:type="dxa"/>
            <w:tcBorders>
              <w:bottom w:val="single" w:sz="4" w:space="0" w:color="auto"/>
            </w:tcBorders>
            <w:vAlign w:val="bottom"/>
          </w:tcPr>
          <w:p w:rsidR="00654130" w:rsidRPr="000F7862" w:rsidRDefault="00216885" w:rsidP="0038372B">
            <w:pPr>
              <w:suppressAutoHyphens w:val="0"/>
              <w:spacing w:before="40" w:after="40" w:line="220" w:lineRule="exact"/>
              <w:jc w:val="right"/>
              <w:rPr>
                <w:sz w:val="18"/>
                <w:lang w:val="fr-FR"/>
              </w:rPr>
            </w:pPr>
            <w:r w:rsidRPr="000F7862">
              <w:rPr>
                <w:sz w:val="18"/>
                <w:lang w:val="fr-FR"/>
              </w:rPr>
              <w:t>6,23</w:t>
            </w:r>
          </w:p>
        </w:tc>
      </w:tr>
      <w:tr w:rsidR="00654130" w:rsidRPr="000F7862" w:rsidTr="009346D3">
        <w:tc>
          <w:tcPr>
            <w:tcW w:w="3027" w:type="dxa"/>
            <w:tcBorders>
              <w:top w:val="single" w:sz="4" w:space="0" w:color="auto"/>
              <w:bottom w:val="single" w:sz="12" w:space="0" w:color="auto"/>
            </w:tcBorders>
            <w:shd w:val="clear" w:color="auto" w:fill="auto"/>
          </w:tcPr>
          <w:p w:rsidR="00654130" w:rsidRPr="000F7862" w:rsidRDefault="00450A3F" w:rsidP="00450A3F">
            <w:pPr>
              <w:pStyle w:val="SingleTxtG"/>
              <w:tabs>
                <w:tab w:val="left" w:pos="284"/>
              </w:tabs>
              <w:suppressAutoHyphens w:val="0"/>
              <w:spacing w:before="80" w:after="80" w:line="220" w:lineRule="exact"/>
              <w:ind w:left="283" w:right="0"/>
              <w:jc w:val="left"/>
              <w:rPr>
                <w:b/>
                <w:sz w:val="18"/>
                <w:lang w:val="fr-FR"/>
              </w:rPr>
            </w:pPr>
            <w:r w:rsidRPr="000F7862">
              <w:rPr>
                <w:b/>
                <w:sz w:val="18"/>
                <w:lang w:val="fr-FR"/>
              </w:rPr>
              <w:t xml:space="preserve">Poste pour mémoire: </w:t>
            </w:r>
            <w:r w:rsidR="009346D3" w:rsidRPr="000F7862">
              <w:rPr>
                <w:b/>
                <w:sz w:val="18"/>
                <w:lang w:val="fr-FR"/>
              </w:rPr>
              <w:br/>
            </w:r>
            <w:r w:rsidRPr="000F7862">
              <w:rPr>
                <w:b/>
                <w:sz w:val="18"/>
                <w:lang w:val="fr-FR"/>
              </w:rPr>
              <w:t>Dépenses publiques totales</w:t>
            </w:r>
          </w:p>
        </w:tc>
        <w:tc>
          <w:tcPr>
            <w:tcW w:w="696" w:type="dxa"/>
            <w:tcBorders>
              <w:top w:val="single" w:sz="4" w:space="0" w:color="auto"/>
              <w:bottom w:val="single" w:sz="12" w:space="0" w:color="auto"/>
            </w:tcBorders>
            <w:shd w:val="clear" w:color="auto" w:fill="auto"/>
            <w:vAlign w:val="bottom"/>
          </w:tcPr>
          <w:p w:rsidR="00654130" w:rsidRPr="000F7862" w:rsidRDefault="00216885" w:rsidP="00487C03">
            <w:pPr>
              <w:suppressAutoHyphens w:val="0"/>
              <w:spacing w:before="80" w:after="80" w:line="220" w:lineRule="exact"/>
              <w:jc w:val="right"/>
              <w:rPr>
                <w:b/>
                <w:sz w:val="18"/>
                <w:lang w:val="fr-FR"/>
              </w:rPr>
            </w:pPr>
            <w:r w:rsidRPr="000F7862">
              <w:rPr>
                <w:b/>
                <w:sz w:val="18"/>
                <w:lang w:val="fr-FR"/>
              </w:rPr>
              <w:t>1,434</w:t>
            </w:r>
          </w:p>
        </w:tc>
        <w:tc>
          <w:tcPr>
            <w:tcW w:w="696" w:type="dxa"/>
            <w:tcBorders>
              <w:top w:val="single" w:sz="4" w:space="0" w:color="auto"/>
              <w:bottom w:val="single" w:sz="12" w:space="0" w:color="auto"/>
            </w:tcBorders>
            <w:shd w:val="clear" w:color="auto" w:fill="auto"/>
            <w:vAlign w:val="bottom"/>
          </w:tcPr>
          <w:p w:rsidR="00654130" w:rsidRPr="000F7862" w:rsidRDefault="00216885" w:rsidP="00487C03">
            <w:pPr>
              <w:suppressAutoHyphens w:val="0"/>
              <w:spacing w:before="80" w:after="80" w:line="220" w:lineRule="exact"/>
              <w:jc w:val="right"/>
              <w:rPr>
                <w:b/>
                <w:sz w:val="18"/>
                <w:lang w:val="fr-FR"/>
              </w:rPr>
            </w:pPr>
            <w:r w:rsidRPr="000F7862">
              <w:rPr>
                <w:b/>
                <w:sz w:val="18"/>
                <w:lang w:val="fr-FR"/>
              </w:rPr>
              <w:t>1,473</w:t>
            </w:r>
          </w:p>
        </w:tc>
        <w:tc>
          <w:tcPr>
            <w:tcW w:w="696" w:type="dxa"/>
            <w:tcBorders>
              <w:top w:val="single" w:sz="4" w:space="0" w:color="auto"/>
              <w:bottom w:val="single" w:sz="12" w:space="0" w:color="auto"/>
            </w:tcBorders>
            <w:shd w:val="clear" w:color="auto" w:fill="auto"/>
            <w:vAlign w:val="bottom"/>
          </w:tcPr>
          <w:p w:rsidR="00654130" w:rsidRPr="000F7862" w:rsidRDefault="00216885" w:rsidP="00487C03">
            <w:pPr>
              <w:suppressAutoHyphens w:val="0"/>
              <w:spacing w:before="80" w:after="80" w:line="220" w:lineRule="exact"/>
              <w:jc w:val="right"/>
              <w:rPr>
                <w:b/>
                <w:sz w:val="18"/>
                <w:lang w:val="fr-FR"/>
              </w:rPr>
            </w:pPr>
            <w:r w:rsidRPr="000F7862">
              <w:rPr>
                <w:b/>
                <w:sz w:val="18"/>
                <w:lang w:val="fr-FR"/>
              </w:rPr>
              <w:t>1,580</w:t>
            </w:r>
          </w:p>
        </w:tc>
        <w:tc>
          <w:tcPr>
            <w:tcW w:w="697" w:type="dxa"/>
            <w:tcBorders>
              <w:top w:val="single" w:sz="4" w:space="0" w:color="auto"/>
              <w:bottom w:val="single" w:sz="12" w:space="0" w:color="auto"/>
            </w:tcBorders>
            <w:shd w:val="clear" w:color="auto" w:fill="auto"/>
            <w:vAlign w:val="bottom"/>
          </w:tcPr>
          <w:p w:rsidR="00654130" w:rsidRPr="000F7862" w:rsidRDefault="00216885" w:rsidP="00487C03">
            <w:pPr>
              <w:suppressAutoHyphens w:val="0"/>
              <w:spacing w:before="80" w:after="80" w:line="220" w:lineRule="exact"/>
              <w:jc w:val="right"/>
              <w:rPr>
                <w:b/>
                <w:sz w:val="18"/>
                <w:lang w:val="fr-FR"/>
              </w:rPr>
            </w:pPr>
            <w:r w:rsidRPr="000F7862">
              <w:rPr>
                <w:b/>
                <w:sz w:val="18"/>
                <w:lang w:val="fr-FR"/>
              </w:rPr>
              <w:t>1,758</w:t>
            </w:r>
          </w:p>
        </w:tc>
        <w:tc>
          <w:tcPr>
            <w:tcW w:w="1859" w:type="dxa"/>
            <w:tcBorders>
              <w:top w:val="single" w:sz="4" w:space="0" w:color="auto"/>
              <w:bottom w:val="single" w:sz="12" w:space="0" w:color="auto"/>
            </w:tcBorders>
            <w:shd w:val="clear" w:color="auto" w:fill="auto"/>
            <w:vAlign w:val="bottom"/>
          </w:tcPr>
          <w:p w:rsidR="00654130" w:rsidRPr="000F7862" w:rsidRDefault="00216885" w:rsidP="00487C03">
            <w:pPr>
              <w:suppressAutoHyphens w:val="0"/>
              <w:spacing w:before="80" w:after="80" w:line="220" w:lineRule="exact"/>
              <w:jc w:val="right"/>
              <w:rPr>
                <w:b/>
                <w:sz w:val="18"/>
                <w:lang w:val="fr-FR"/>
              </w:rPr>
            </w:pPr>
            <w:r w:rsidRPr="000F7862">
              <w:rPr>
                <w:b/>
                <w:sz w:val="18"/>
                <w:lang w:val="fr-FR"/>
              </w:rPr>
              <w:t>2,006</w:t>
            </w:r>
          </w:p>
        </w:tc>
        <w:tc>
          <w:tcPr>
            <w:tcW w:w="834" w:type="dxa"/>
            <w:tcBorders>
              <w:top w:val="single" w:sz="4" w:space="0" w:color="auto"/>
              <w:bottom w:val="single" w:sz="12" w:space="0" w:color="auto"/>
            </w:tcBorders>
            <w:vAlign w:val="bottom"/>
          </w:tcPr>
          <w:p w:rsidR="00654130" w:rsidRPr="000F7862" w:rsidRDefault="00654130" w:rsidP="0038372B">
            <w:pPr>
              <w:suppressAutoHyphens w:val="0"/>
              <w:spacing w:before="80" w:after="80" w:line="220" w:lineRule="exact"/>
              <w:jc w:val="right"/>
              <w:rPr>
                <w:b/>
                <w:sz w:val="18"/>
                <w:lang w:val="fr-FR"/>
              </w:rPr>
            </w:pPr>
          </w:p>
        </w:tc>
      </w:tr>
    </w:tbl>
    <w:p w:rsidR="0086185C" w:rsidRPr="000F7862" w:rsidRDefault="003F7F57" w:rsidP="007259BE">
      <w:pPr>
        <w:pStyle w:val="SingleTxtG"/>
        <w:spacing w:before="240"/>
        <w:rPr>
          <w:lang w:val="fr-FR"/>
        </w:rPr>
      </w:pPr>
      <w:r w:rsidRPr="000F7862">
        <w:rPr>
          <w:lang w:val="fr-FR"/>
        </w:rPr>
        <w:t>27.</w:t>
      </w:r>
      <w:r w:rsidRPr="000F7862">
        <w:rPr>
          <w:lang w:val="fr-FR"/>
        </w:rPr>
        <w:tab/>
      </w:r>
      <w:r w:rsidR="00CA0C1E" w:rsidRPr="000F7862">
        <w:rPr>
          <w:lang w:val="fr-FR"/>
        </w:rPr>
        <w:t xml:space="preserve">Pour la période </w:t>
      </w:r>
      <w:r w:rsidR="0086185C" w:rsidRPr="000F7862">
        <w:rPr>
          <w:lang w:val="fr-FR"/>
        </w:rPr>
        <w:t>2009</w:t>
      </w:r>
      <w:r w:rsidR="00CA0C1E" w:rsidRPr="000F7862">
        <w:rPr>
          <w:lang w:val="fr-FR"/>
        </w:rPr>
        <w:t>-</w:t>
      </w:r>
      <w:r w:rsidR="0086185C" w:rsidRPr="000F7862">
        <w:rPr>
          <w:lang w:val="fr-FR"/>
        </w:rPr>
        <w:t xml:space="preserve">2013, </w:t>
      </w:r>
      <w:r w:rsidR="008B4F72" w:rsidRPr="000F7862">
        <w:rPr>
          <w:lang w:val="fr-FR"/>
        </w:rPr>
        <w:t>les dépenses consacrées aux services sociaux n</w:t>
      </w:r>
      <w:r w:rsidR="00120E2E" w:rsidRPr="000F7862">
        <w:rPr>
          <w:lang w:val="fr-FR"/>
        </w:rPr>
        <w:t>’</w:t>
      </w:r>
      <w:r w:rsidR="008B4F72" w:rsidRPr="000F7862">
        <w:rPr>
          <w:lang w:val="fr-FR"/>
        </w:rPr>
        <w:t>ont fait qu</w:t>
      </w:r>
      <w:r w:rsidR="00120E2E" w:rsidRPr="000F7862">
        <w:rPr>
          <w:lang w:val="fr-FR"/>
        </w:rPr>
        <w:t>’</w:t>
      </w:r>
      <w:r w:rsidR="008B4F72" w:rsidRPr="000F7862">
        <w:rPr>
          <w:lang w:val="fr-FR"/>
        </w:rPr>
        <w:t xml:space="preserve">augmenter, le taux </w:t>
      </w:r>
      <w:r w:rsidR="001607F5" w:rsidRPr="000F7862">
        <w:rPr>
          <w:lang w:val="fr-FR"/>
        </w:rPr>
        <w:t xml:space="preserve">de croissance </w:t>
      </w:r>
      <w:r w:rsidR="008B4F72" w:rsidRPr="000F7862">
        <w:rPr>
          <w:lang w:val="fr-FR"/>
        </w:rPr>
        <w:t>le plus rapide – 31</w:t>
      </w:r>
      <w:r w:rsidR="00DC1196" w:rsidRPr="000F7862">
        <w:rPr>
          <w:lang w:val="fr-FR"/>
        </w:rPr>
        <w:t> %</w:t>
      </w:r>
      <w:r w:rsidR="009346D3" w:rsidRPr="000F7862">
        <w:rPr>
          <w:lang w:val="fr-FR"/>
        </w:rPr>
        <w:t xml:space="preserve"> – </w:t>
      </w:r>
      <w:r w:rsidR="008B4F72" w:rsidRPr="000F7862">
        <w:rPr>
          <w:lang w:val="fr-FR"/>
        </w:rPr>
        <w:t xml:space="preserve">ayant été enregistré en </w:t>
      </w:r>
      <w:r w:rsidR="0086185C" w:rsidRPr="000F7862">
        <w:rPr>
          <w:lang w:val="fr-FR"/>
        </w:rPr>
        <w:t>2011.</w:t>
      </w:r>
      <w:r w:rsidR="00446EA5" w:rsidRPr="000F7862">
        <w:rPr>
          <w:lang w:val="fr-FR"/>
        </w:rPr>
        <w:t xml:space="preserve"> </w:t>
      </w:r>
      <w:r w:rsidR="008B4F72" w:rsidRPr="000F7862">
        <w:rPr>
          <w:lang w:val="fr-FR"/>
        </w:rPr>
        <w:t>En ce qui concerne les sous-secteurs</w:t>
      </w:r>
      <w:r w:rsidR="0086185C" w:rsidRPr="000F7862">
        <w:rPr>
          <w:lang w:val="fr-FR"/>
        </w:rPr>
        <w:t xml:space="preserve">, </w:t>
      </w:r>
      <w:r w:rsidR="008B4F72" w:rsidRPr="000F7862">
        <w:rPr>
          <w:lang w:val="fr-FR"/>
        </w:rPr>
        <w:t>l</w:t>
      </w:r>
      <w:r w:rsidR="001607F5" w:rsidRPr="000F7862">
        <w:rPr>
          <w:lang w:val="fr-FR"/>
        </w:rPr>
        <w:t xml:space="preserve">a croissance </w:t>
      </w:r>
      <w:r w:rsidR="008B4F72" w:rsidRPr="000F7862">
        <w:rPr>
          <w:lang w:val="fr-FR"/>
        </w:rPr>
        <w:t>annuel</w:t>
      </w:r>
      <w:r w:rsidR="001607F5" w:rsidRPr="000F7862">
        <w:rPr>
          <w:lang w:val="fr-FR"/>
        </w:rPr>
        <w:t>le</w:t>
      </w:r>
      <w:r w:rsidR="008B4F72" w:rsidRPr="000F7862">
        <w:rPr>
          <w:lang w:val="fr-FR"/>
        </w:rPr>
        <w:t xml:space="preserve"> de celui de l</w:t>
      </w:r>
      <w:r w:rsidR="00120E2E" w:rsidRPr="000F7862">
        <w:rPr>
          <w:lang w:val="fr-FR"/>
        </w:rPr>
        <w:t>’</w:t>
      </w:r>
      <w:r w:rsidR="008B4F72" w:rsidRPr="000F7862">
        <w:rPr>
          <w:lang w:val="fr-FR"/>
        </w:rPr>
        <w:t>éducation, de la culture et du perfectionnement de la main-d</w:t>
      </w:r>
      <w:r w:rsidR="00120E2E" w:rsidRPr="000F7862">
        <w:rPr>
          <w:lang w:val="fr-FR"/>
        </w:rPr>
        <w:t>’</w:t>
      </w:r>
      <w:r w:rsidR="008B4F72" w:rsidRPr="000F7862">
        <w:rPr>
          <w:lang w:val="fr-FR"/>
        </w:rPr>
        <w:t xml:space="preserve">œuvre </w:t>
      </w:r>
      <w:r w:rsidR="001607F5" w:rsidRPr="000F7862">
        <w:rPr>
          <w:lang w:val="fr-FR"/>
        </w:rPr>
        <w:t xml:space="preserve">a été de </w:t>
      </w:r>
      <w:r w:rsidR="0086185C" w:rsidRPr="000F7862">
        <w:rPr>
          <w:lang w:val="fr-FR"/>
        </w:rPr>
        <w:t>12</w:t>
      </w:r>
      <w:r w:rsidR="001607F5" w:rsidRPr="000F7862">
        <w:rPr>
          <w:lang w:val="fr-FR"/>
        </w:rPr>
        <w:t>,</w:t>
      </w:r>
      <w:r w:rsidR="0086185C" w:rsidRPr="000F7862">
        <w:rPr>
          <w:lang w:val="fr-FR"/>
        </w:rPr>
        <w:t>1</w:t>
      </w:r>
      <w:r w:rsidR="00DC1196" w:rsidRPr="000F7862">
        <w:rPr>
          <w:lang w:val="fr-FR"/>
        </w:rPr>
        <w:t> %</w:t>
      </w:r>
      <w:r w:rsidR="0086185C" w:rsidRPr="000F7862">
        <w:rPr>
          <w:lang w:val="fr-FR"/>
        </w:rPr>
        <w:t xml:space="preserve">; </w:t>
      </w:r>
      <w:r w:rsidR="001607F5" w:rsidRPr="000F7862">
        <w:rPr>
          <w:lang w:val="fr-FR"/>
        </w:rPr>
        <w:t>le plus fort taux de croissance – 18,2</w:t>
      </w:r>
      <w:r w:rsidR="00DC1196" w:rsidRPr="000F7862">
        <w:rPr>
          <w:lang w:val="fr-FR"/>
        </w:rPr>
        <w:t> %</w:t>
      </w:r>
      <w:r w:rsidR="001607F5" w:rsidRPr="000F7862">
        <w:rPr>
          <w:lang w:val="fr-FR"/>
        </w:rPr>
        <w:t xml:space="preserve"> </w:t>
      </w:r>
      <w:r w:rsidR="007259BE" w:rsidRPr="000F7862">
        <w:rPr>
          <w:lang w:val="fr-FR"/>
        </w:rPr>
        <w:t>–</w:t>
      </w:r>
      <w:r w:rsidR="001607F5" w:rsidRPr="000F7862">
        <w:rPr>
          <w:lang w:val="fr-FR"/>
        </w:rPr>
        <w:t xml:space="preserve"> a été enregistré en 2013. Quant au sous-secteur de la sécurité sociale, de la protection sociale et de l</w:t>
      </w:r>
      <w:r w:rsidR="00120E2E" w:rsidRPr="000F7862">
        <w:rPr>
          <w:lang w:val="fr-FR"/>
        </w:rPr>
        <w:t>’</w:t>
      </w:r>
      <w:r w:rsidR="001607F5" w:rsidRPr="000F7862">
        <w:rPr>
          <w:lang w:val="fr-FR"/>
        </w:rPr>
        <w:t>emploi</w:t>
      </w:r>
      <w:r w:rsidR="0086185C" w:rsidRPr="000F7862">
        <w:rPr>
          <w:lang w:val="fr-FR"/>
        </w:rPr>
        <w:t xml:space="preserve">, </w:t>
      </w:r>
      <w:r w:rsidR="001607F5" w:rsidRPr="000F7862">
        <w:rPr>
          <w:lang w:val="fr-FR"/>
        </w:rPr>
        <w:t xml:space="preserve">il a enregistré une croissance moyenne de </w:t>
      </w:r>
      <w:r w:rsidR="0086185C" w:rsidRPr="000F7862">
        <w:rPr>
          <w:lang w:val="fr-FR"/>
        </w:rPr>
        <w:t>30</w:t>
      </w:r>
      <w:r w:rsidR="001607F5" w:rsidRPr="000F7862">
        <w:rPr>
          <w:lang w:val="fr-FR"/>
        </w:rPr>
        <w:t>,</w:t>
      </w:r>
      <w:r w:rsidR="0086185C" w:rsidRPr="000F7862">
        <w:rPr>
          <w:lang w:val="fr-FR"/>
        </w:rPr>
        <w:t>4</w:t>
      </w:r>
      <w:r w:rsidR="00DC1196" w:rsidRPr="000F7862">
        <w:rPr>
          <w:lang w:val="fr-FR"/>
        </w:rPr>
        <w:t> %</w:t>
      </w:r>
      <w:r w:rsidR="0086185C" w:rsidRPr="000F7862">
        <w:rPr>
          <w:lang w:val="fr-FR"/>
        </w:rPr>
        <w:t xml:space="preserve"> </w:t>
      </w:r>
      <w:r w:rsidR="001607F5" w:rsidRPr="000F7862">
        <w:rPr>
          <w:lang w:val="fr-FR"/>
        </w:rPr>
        <w:t>au cours des cinq dernières années</w:t>
      </w:r>
      <w:r w:rsidR="0086185C" w:rsidRPr="000F7862">
        <w:rPr>
          <w:lang w:val="fr-FR"/>
        </w:rPr>
        <w:t>.</w:t>
      </w:r>
      <w:r w:rsidR="00446EA5" w:rsidRPr="000F7862">
        <w:rPr>
          <w:lang w:val="fr-FR"/>
        </w:rPr>
        <w:t xml:space="preserve"> </w:t>
      </w:r>
      <w:r w:rsidR="001607F5" w:rsidRPr="000F7862">
        <w:rPr>
          <w:lang w:val="fr-FR"/>
        </w:rPr>
        <w:t>La plus forte augmentation – 137,7</w:t>
      </w:r>
      <w:r w:rsidR="00DC1196" w:rsidRPr="000F7862">
        <w:rPr>
          <w:lang w:val="fr-FR"/>
        </w:rPr>
        <w:t> %</w:t>
      </w:r>
      <w:r w:rsidR="009346D3" w:rsidRPr="000F7862">
        <w:rPr>
          <w:lang w:val="fr-FR"/>
        </w:rPr>
        <w:t xml:space="preserve"> – </w:t>
      </w:r>
      <w:r w:rsidR="001607F5" w:rsidRPr="000F7862">
        <w:rPr>
          <w:lang w:val="fr-FR"/>
        </w:rPr>
        <w:t xml:space="preserve">a été enregistrée en </w:t>
      </w:r>
      <w:r w:rsidR="0086185C" w:rsidRPr="000F7862">
        <w:rPr>
          <w:lang w:val="fr-FR"/>
        </w:rPr>
        <w:t>2011</w:t>
      </w:r>
      <w:r w:rsidR="001607F5" w:rsidRPr="000F7862">
        <w:rPr>
          <w:lang w:val="fr-FR"/>
        </w:rPr>
        <w:t xml:space="preserve"> après un recul en </w:t>
      </w:r>
      <w:r w:rsidR="0086185C" w:rsidRPr="000F7862">
        <w:rPr>
          <w:lang w:val="fr-FR"/>
        </w:rPr>
        <w:t>2010.</w:t>
      </w:r>
      <w:r w:rsidR="00446EA5" w:rsidRPr="000F7862">
        <w:rPr>
          <w:lang w:val="fr-FR"/>
        </w:rPr>
        <w:t xml:space="preserve"> </w:t>
      </w:r>
      <w:r w:rsidR="001607F5" w:rsidRPr="000F7862">
        <w:rPr>
          <w:lang w:val="fr-FR"/>
        </w:rPr>
        <w:t xml:space="preserve">Le </w:t>
      </w:r>
      <w:r w:rsidR="0086185C" w:rsidRPr="000F7862">
        <w:rPr>
          <w:lang w:val="fr-FR"/>
        </w:rPr>
        <w:t xml:space="preserve">budget </w:t>
      </w:r>
      <w:r w:rsidR="001607F5" w:rsidRPr="000F7862">
        <w:rPr>
          <w:lang w:val="fr-FR"/>
        </w:rPr>
        <w:t>du logement et du développement communautaire a affiché un taux de croissance moyen d</w:t>
      </w:r>
      <w:r w:rsidR="00120E2E" w:rsidRPr="000F7862">
        <w:rPr>
          <w:lang w:val="fr-FR"/>
        </w:rPr>
        <w:t>’</w:t>
      </w:r>
      <w:r w:rsidR="001607F5" w:rsidRPr="000F7862">
        <w:rPr>
          <w:lang w:val="fr-FR"/>
        </w:rPr>
        <w:t xml:space="preserve">environ </w:t>
      </w:r>
      <w:r w:rsidR="0086185C" w:rsidRPr="000F7862">
        <w:rPr>
          <w:lang w:val="fr-FR"/>
        </w:rPr>
        <w:t>47</w:t>
      </w:r>
      <w:r w:rsidR="001607F5" w:rsidRPr="000F7862">
        <w:rPr>
          <w:lang w:val="fr-FR"/>
        </w:rPr>
        <w:t>,</w:t>
      </w:r>
      <w:r w:rsidR="0086185C" w:rsidRPr="000F7862">
        <w:rPr>
          <w:lang w:val="fr-FR"/>
        </w:rPr>
        <w:t>1</w:t>
      </w:r>
      <w:r w:rsidR="00DC1196" w:rsidRPr="000F7862">
        <w:rPr>
          <w:lang w:val="fr-FR"/>
        </w:rPr>
        <w:t> %</w:t>
      </w:r>
      <w:r w:rsidR="0086185C" w:rsidRPr="000F7862">
        <w:rPr>
          <w:lang w:val="fr-FR"/>
        </w:rPr>
        <w:t xml:space="preserve">; </w:t>
      </w:r>
      <w:r w:rsidR="001607F5" w:rsidRPr="000F7862">
        <w:rPr>
          <w:lang w:val="fr-FR"/>
        </w:rPr>
        <w:t xml:space="preserve">ce budget </w:t>
      </w:r>
      <w:r w:rsidR="00F26EE3" w:rsidRPr="000F7862">
        <w:rPr>
          <w:lang w:val="fr-FR"/>
        </w:rPr>
        <w:t>a connu son plus fort taux de</w:t>
      </w:r>
      <w:r w:rsidR="00DC51F2" w:rsidRPr="000F7862">
        <w:rPr>
          <w:lang w:val="fr-FR"/>
        </w:rPr>
        <w:t xml:space="preserve"> croissance e</w:t>
      </w:r>
      <w:r w:rsidR="0086185C" w:rsidRPr="000F7862">
        <w:rPr>
          <w:lang w:val="fr-FR"/>
        </w:rPr>
        <w:t xml:space="preserve">n 2013 </w:t>
      </w:r>
      <w:r w:rsidR="00DC51F2" w:rsidRPr="000F7862">
        <w:rPr>
          <w:lang w:val="fr-FR"/>
        </w:rPr>
        <w:t xml:space="preserve">après une baisse sensible en </w:t>
      </w:r>
      <w:r w:rsidR="0086185C" w:rsidRPr="000F7862">
        <w:rPr>
          <w:lang w:val="fr-FR"/>
        </w:rPr>
        <w:t>2012 (</w:t>
      </w:r>
      <w:r w:rsidR="001607F5" w:rsidRPr="000F7862">
        <w:rPr>
          <w:lang w:val="fr-FR"/>
        </w:rPr>
        <w:t xml:space="preserve">tableau </w:t>
      </w:r>
      <w:r w:rsidR="0086185C" w:rsidRPr="000F7862">
        <w:rPr>
          <w:lang w:val="fr-FR"/>
        </w:rPr>
        <w:t>3).</w:t>
      </w:r>
    </w:p>
    <w:p w:rsidR="0086185C" w:rsidRPr="000F7862" w:rsidRDefault="00397090" w:rsidP="004E0996">
      <w:pPr>
        <w:pStyle w:val="H23G"/>
        <w:rPr>
          <w:b w:val="0"/>
          <w:bCs/>
          <w:sz w:val="16"/>
          <w:szCs w:val="16"/>
          <w:lang w:val="fr-FR"/>
        </w:rPr>
      </w:pPr>
      <w:r w:rsidRPr="000F7862">
        <w:rPr>
          <w:lang w:val="fr-FR"/>
        </w:rPr>
        <w:tab/>
      </w:r>
      <w:r w:rsidRPr="000F7862">
        <w:rPr>
          <w:lang w:val="fr-FR"/>
        </w:rPr>
        <w:tab/>
      </w:r>
      <w:r w:rsidR="0086185C" w:rsidRPr="000F7862">
        <w:rPr>
          <w:b w:val="0"/>
          <w:bCs/>
          <w:lang w:val="fr-FR"/>
        </w:rPr>
        <w:t>Table</w:t>
      </w:r>
      <w:r w:rsidR="009537C4" w:rsidRPr="000F7862">
        <w:rPr>
          <w:b w:val="0"/>
          <w:bCs/>
          <w:lang w:val="fr-FR"/>
        </w:rPr>
        <w:t>au</w:t>
      </w:r>
      <w:r w:rsidR="0086185C" w:rsidRPr="000F7862">
        <w:rPr>
          <w:b w:val="0"/>
          <w:bCs/>
          <w:lang w:val="fr-FR"/>
        </w:rPr>
        <w:t xml:space="preserve"> 3</w:t>
      </w:r>
      <w:r w:rsidR="00686296" w:rsidRPr="000F7862">
        <w:rPr>
          <w:b w:val="0"/>
          <w:bCs/>
          <w:lang w:val="fr-FR"/>
        </w:rPr>
        <w:br/>
      </w:r>
      <w:r w:rsidR="009537C4" w:rsidRPr="000F7862">
        <w:rPr>
          <w:lang w:val="fr-FR"/>
        </w:rPr>
        <w:t>Dépenses publiques consacrées aux services sociaux, sur la base des dépenses engagées, taux de croissance, exercices 2009-2013</w:t>
      </w:r>
      <w:r w:rsidR="009537C4" w:rsidRPr="000F7862">
        <w:rPr>
          <w:lang w:val="fr-FR"/>
        </w:rPr>
        <w:br/>
      </w:r>
      <w:r w:rsidR="009537C4" w:rsidRPr="000F7862">
        <w:rPr>
          <w:b w:val="0"/>
          <w:bCs/>
          <w:sz w:val="16"/>
          <w:szCs w:val="16"/>
          <w:lang w:val="fr-FR"/>
        </w:rPr>
        <w:t>(</w:t>
      </w:r>
      <w:r w:rsidR="009E7915" w:rsidRPr="000F7862">
        <w:rPr>
          <w:b w:val="0"/>
          <w:bCs/>
          <w:sz w:val="16"/>
          <w:szCs w:val="16"/>
          <w:lang w:val="fr-FR"/>
        </w:rPr>
        <w:t xml:space="preserve">En </w:t>
      </w:r>
      <w:r w:rsidR="009537C4" w:rsidRPr="000F7862">
        <w:rPr>
          <w:b w:val="0"/>
          <w:bCs/>
          <w:sz w:val="16"/>
          <w:szCs w:val="16"/>
          <w:lang w:val="fr-FR"/>
        </w:rPr>
        <w:t>pourcentage)</w:t>
      </w:r>
    </w:p>
    <w:tbl>
      <w:tblPr>
        <w:tblW w:w="8505" w:type="dxa"/>
        <w:tblInd w:w="1134" w:type="dxa"/>
        <w:tblLayout w:type="fixed"/>
        <w:tblCellMar>
          <w:left w:w="0" w:type="dxa"/>
          <w:right w:w="0" w:type="dxa"/>
        </w:tblCellMar>
        <w:tblLook w:val="01E0"/>
      </w:tblPr>
      <w:tblGrid>
        <w:gridCol w:w="3052"/>
        <w:gridCol w:w="915"/>
        <w:gridCol w:w="915"/>
        <w:gridCol w:w="916"/>
        <w:gridCol w:w="915"/>
        <w:gridCol w:w="916"/>
        <w:gridCol w:w="876"/>
      </w:tblGrid>
      <w:tr w:rsidR="001415F8" w:rsidRPr="000F7862" w:rsidTr="009E7915">
        <w:tc>
          <w:tcPr>
            <w:tcW w:w="3052" w:type="dxa"/>
            <w:tcBorders>
              <w:top w:val="single" w:sz="4" w:space="0" w:color="auto"/>
              <w:bottom w:val="single" w:sz="12" w:space="0" w:color="auto"/>
            </w:tcBorders>
            <w:shd w:val="clear" w:color="auto" w:fill="auto"/>
            <w:vAlign w:val="bottom"/>
          </w:tcPr>
          <w:p w:rsidR="001415F8" w:rsidRPr="000F7862" w:rsidRDefault="001415F8" w:rsidP="001415F8">
            <w:pPr>
              <w:spacing w:before="80" w:after="80" w:line="200" w:lineRule="exact"/>
              <w:rPr>
                <w:i/>
                <w:sz w:val="16"/>
                <w:lang w:val="fr-FR"/>
              </w:rPr>
            </w:pPr>
            <w:r w:rsidRPr="000F7862">
              <w:rPr>
                <w:i/>
                <w:sz w:val="16"/>
                <w:lang w:val="fr-FR"/>
              </w:rPr>
              <w:t>Postes de dépenses</w:t>
            </w:r>
          </w:p>
        </w:tc>
        <w:tc>
          <w:tcPr>
            <w:tcW w:w="915" w:type="dxa"/>
            <w:tcBorders>
              <w:top w:val="single" w:sz="4" w:space="0" w:color="auto"/>
              <w:bottom w:val="single" w:sz="12" w:space="0" w:color="auto"/>
            </w:tcBorders>
            <w:shd w:val="clear" w:color="auto" w:fill="auto"/>
            <w:vAlign w:val="bottom"/>
          </w:tcPr>
          <w:p w:rsidR="001415F8" w:rsidRPr="000F7862" w:rsidRDefault="009E7915" w:rsidP="001415F8">
            <w:pPr>
              <w:spacing w:before="80" w:after="80" w:line="200" w:lineRule="exact"/>
              <w:jc w:val="right"/>
              <w:rPr>
                <w:i/>
                <w:sz w:val="16"/>
                <w:lang w:val="fr-FR"/>
              </w:rPr>
            </w:pPr>
            <w:r w:rsidRPr="000F7862">
              <w:rPr>
                <w:i/>
                <w:sz w:val="16"/>
                <w:lang w:val="fr-FR"/>
              </w:rPr>
              <w:t>2008-20</w:t>
            </w:r>
            <w:r w:rsidR="001415F8" w:rsidRPr="000F7862">
              <w:rPr>
                <w:i/>
                <w:sz w:val="16"/>
                <w:lang w:val="fr-FR"/>
              </w:rPr>
              <w:t>09</w:t>
            </w:r>
          </w:p>
        </w:tc>
        <w:tc>
          <w:tcPr>
            <w:tcW w:w="915" w:type="dxa"/>
            <w:tcBorders>
              <w:top w:val="single" w:sz="4" w:space="0" w:color="auto"/>
              <w:bottom w:val="single" w:sz="12" w:space="0" w:color="auto"/>
            </w:tcBorders>
            <w:shd w:val="clear" w:color="auto" w:fill="auto"/>
            <w:vAlign w:val="bottom"/>
          </w:tcPr>
          <w:p w:rsidR="001415F8" w:rsidRPr="000F7862" w:rsidRDefault="009E7915" w:rsidP="001415F8">
            <w:pPr>
              <w:spacing w:before="80" w:after="80" w:line="200" w:lineRule="exact"/>
              <w:jc w:val="right"/>
              <w:rPr>
                <w:i/>
                <w:sz w:val="16"/>
                <w:lang w:val="fr-FR"/>
              </w:rPr>
            </w:pPr>
            <w:r w:rsidRPr="000F7862">
              <w:rPr>
                <w:i/>
                <w:sz w:val="16"/>
                <w:lang w:val="fr-FR"/>
              </w:rPr>
              <w:t>2009-20</w:t>
            </w:r>
            <w:r w:rsidR="001415F8" w:rsidRPr="000F7862">
              <w:rPr>
                <w:i/>
                <w:sz w:val="16"/>
                <w:lang w:val="fr-FR"/>
              </w:rPr>
              <w:t>10</w:t>
            </w:r>
          </w:p>
        </w:tc>
        <w:tc>
          <w:tcPr>
            <w:tcW w:w="916" w:type="dxa"/>
            <w:tcBorders>
              <w:top w:val="single" w:sz="4" w:space="0" w:color="auto"/>
              <w:bottom w:val="single" w:sz="12" w:space="0" w:color="auto"/>
            </w:tcBorders>
            <w:shd w:val="clear" w:color="auto" w:fill="auto"/>
            <w:vAlign w:val="bottom"/>
          </w:tcPr>
          <w:p w:rsidR="001415F8" w:rsidRPr="000F7862" w:rsidRDefault="009E7915" w:rsidP="001415F8">
            <w:pPr>
              <w:spacing w:before="80" w:after="80" w:line="200" w:lineRule="exact"/>
              <w:jc w:val="right"/>
              <w:rPr>
                <w:i/>
                <w:sz w:val="16"/>
                <w:lang w:val="fr-FR"/>
              </w:rPr>
            </w:pPr>
            <w:r w:rsidRPr="000F7862">
              <w:rPr>
                <w:i/>
                <w:sz w:val="16"/>
                <w:lang w:val="fr-FR"/>
              </w:rPr>
              <w:t>2010-20</w:t>
            </w:r>
            <w:r w:rsidR="001415F8" w:rsidRPr="000F7862">
              <w:rPr>
                <w:i/>
                <w:sz w:val="16"/>
                <w:lang w:val="fr-FR"/>
              </w:rPr>
              <w:t>11</w:t>
            </w:r>
          </w:p>
        </w:tc>
        <w:tc>
          <w:tcPr>
            <w:tcW w:w="915" w:type="dxa"/>
            <w:tcBorders>
              <w:top w:val="single" w:sz="4" w:space="0" w:color="auto"/>
              <w:bottom w:val="single" w:sz="12" w:space="0" w:color="auto"/>
            </w:tcBorders>
            <w:shd w:val="clear" w:color="auto" w:fill="auto"/>
            <w:vAlign w:val="bottom"/>
          </w:tcPr>
          <w:p w:rsidR="001415F8" w:rsidRPr="000F7862" w:rsidRDefault="009E7915" w:rsidP="001415F8">
            <w:pPr>
              <w:spacing w:before="80" w:after="80" w:line="200" w:lineRule="exact"/>
              <w:jc w:val="right"/>
              <w:rPr>
                <w:i/>
                <w:sz w:val="16"/>
                <w:lang w:val="fr-FR"/>
              </w:rPr>
            </w:pPr>
            <w:r w:rsidRPr="000F7862">
              <w:rPr>
                <w:i/>
                <w:sz w:val="16"/>
                <w:lang w:val="fr-FR"/>
              </w:rPr>
              <w:t>2011-20</w:t>
            </w:r>
            <w:r w:rsidR="001415F8" w:rsidRPr="000F7862">
              <w:rPr>
                <w:i/>
                <w:sz w:val="16"/>
                <w:lang w:val="fr-FR"/>
              </w:rPr>
              <w:t>12</w:t>
            </w:r>
          </w:p>
        </w:tc>
        <w:tc>
          <w:tcPr>
            <w:tcW w:w="916" w:type="dxa"/>
            <w:tcBorders>
              <w:top w:val="single" w:sz="4" w:space="0" w:color="auto"/>
              <w:bottom w:val="single" w:sz="12" w:space="0" w:color="auto"/>
            </w:tcBorders>
            <w:shd w:val="clear" w:color="auto" w:fill="auto"/>
            <w:vAlign w:val="bottom"/>
          </w:tcPr>
          <w:p w:rsidR="001415F8" w:rsidRPr="000F7862" w:rsidRDefault="009E7915" w:rsidP="001415F8">
            <w:pPr>
              <w:spacing w:before="80" w:after="80" w:line="200" w:lineRule="exact"/>
              <w:jc w:val="right"/>
              <w:rPr>
                <w:lang w:val="fr-FR"/>
              </w:rPr>
            </w:pPr>
            <w:r w:rsidRPr="000F7862">
              <w:rPr>
                <w:i/>
                <w:sz w:val="16"/>
                <w:lang w:val="fr-FR"/>
              </w:rPr>
              <w:t>2012-20</w:t>
            </w:r>
            <w:r w:rsidR="001415F8" w:rsidRPr="000F7862">
              <w:rPr>
                <w:i/>
                <w:sz w:val="16"/>
                <w:lang w:val="fr-FR"/>
              </w:rPr>
              <w:t>13</w:t>
            </w:r>
            <w:r w:rsidR="001415F8" w:rsidRPr="000F7862">
              <w:rPr>
                <w:lang w:val="fr-FR"/>
              </w:rPr>
              <w:t>*</w:t>
            </w:r>
          </w:p>
        </w:tc>
        <w:tc>
          <w:tcPr>
            <w:tcW w:w="876" w:type="dxa"/>
            <w:tcBorders>
              <w:top w:val="single" w:sz="4" w:space="0" w:color="auto"/>
              <w:bottom w:val="single" w:sz="12" w:space="0" w:color="auto"/>
            </w:tcBorders>
            <w:shd w:val="clear" w:color="auto" w:fill="auto"/>
            <w:vAlign w:val="bottom"/>
          </w:tcPr>
          <w:p w:rsidR="001415F8" w:rsidRPr="000F7862" w:rsidRDefault="001415F8" w:rsidP="001415F8">
            <w:pPr>
              <w:spacing w:before="80" w:after="80" w:line="200" w:lineRule="exact"/>
              <w:jc w:val="right"/>
              <w:rPr>
                <w:i/>
                <w:sz w:val="16"/>
                <w:lang w:val="fr-FR"/>
              </w:rPr>
            </w:pPr>
            <w:r w:rsidRPr="000F7862">
              <w:rPr>
                <w:i/>
                <w:sz w:val="16"/>
                <w:lang w:val="fr-FR"/>
              </w:rPr>
              <w:t>Croissance moyenne</w:t>
            </w:r>
          </w:p>
        </w:tc>
      </w:tr>
      <w:tr w:rsidR="001415F8" w:rsidRPr="000F7862" w:rsidTr="009E7915">
        <w:tc>
          <w:tcPr>
            <w:tcW w:w="3052" w:type="dxa"/>
            <w:tcBorders>
              <w:top w:val="single" w:sz="12" w:space="0" w:color="auto"/>
            </w:tcBorders>
            <w:shd w:val="clear" w:color="auto" w:fill="auto"/>
            <w:vAlign w:val="bottom"/>
          </w:tcPr>
          <w:p w:rsidR="001415F8" w:rsidRPr="000F7862" w:rsidRDefault="001415F8" w:rsidP="001415F8">
            <w:pPr>
              <w:spacing w:before="40" w:after="40" w:line="220" w:lineRule="exact"/>
              <w:rPr>
                <w:sz w:val="18"/>
                <w:lang w:val="fr-FR"/>
              </w:rPr>
            </w:pPr>
            <w:r w:rsidRPr="000F7862">
              <w:rPr>
                <w:sz w:val="18"/>
                <w:lang w:val="fr-FR"/>
              </w:rPr>
              <w:t>Services sociaux</w:t>
            </w:r>
          </w:p>
        </w:tc>
        <w:tc>
          <w:tcPr>
            <w:tcW w:w="915" w:type="dxa"/>
            <w:tcBorders>
              <w:top w:val="single" w:sz="12" w:space="0" w:color="auto"/>
            </w:tcBorders>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11,8</w:t>
            </w:r>
          </w:p>
        </w:tc>
        <w:tc>
          <w:tcPr>
            <w:tcW w:w="915" w:type="dxa"/>
            <w:tcBorders>
              <w:top w:val="single" w:sz="12" w:space="0" w:color="auto"/>
            </w:tcBorders>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1,0</w:t>
            </w:r>
          </w:p>
        </w:tc>
        <w:tc>
          <w:tcPr>
            <w:tcW w:w="916" w:type="dxa"/>
            <w:tcBorders>
              <w:top w:val="single" w:sz="12" w:space="0" w:color="auto"/>
            </w:tcBorders>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31,0</w:t>
            </w:r>
          </w:p>
        </w:tc>
        <w:tc>
          <w:tcPr>
            <w:tcW w:w="915" w:type="dxa"/>
            <w:tcBorders>
              <w:top w:val="single" w:sz="12" w:space="0" w:color="auto"/>
            </w:tcBorders>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8,7</w:t>
            </w:r>
          </w:p>
        </w:tc>
        <w:tc>
          <w:tcPr>
            <w:tcW w:w="916" w:type="dxa"/>
            <w:tcBorders>
              <w:top w:val="single" w:sz="12" w:space="0" w:color="auto"/>
            </w:tcBorders>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18,1</w:t>
            </w:r>
          </w:p>
        </w:tc>
        <w:tc>
          <w:tcPr>
            <w:tcW w:w="876" w:type="dxa"/>
            <w:tcBorders>
              <w:top w:val="single" w:sz="12" w:space="0" w:color="auto"/>
            </w:tcBorders>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14,1</w:t>
            </w:r>
          </w:p>
        </w:tc>
      </w:tr>
      <w:tr w:rsidR="001415F8" w:rsidRPr="000F7862" w:rsidTr="009E7915">
        <w:tc>
          <w:tcPr>
            <w:tcW w:w="3052" w:type="dxa"/>
            <w:shd w:val="clear" w:color="auto" w:fill="auto"/>
            <w:vAlign w:val="bottom"/>
          </w:tcPr>
          <w:p w:rsidR="001415F8" w:rsidRPr="000F7862" w:rsidRDefault="001415F8" w:rsidP="001415F8">
            <w:pPr>
              <w:spacing w:before="40" w:after="40" w:line="220" w:lineRule="exact"/>
              <w:ind w:left="170"/>
              <w:rPr>
                <w:sz w:val="18"/>
                <w:lang w:val="fr-FR"/>
              </w:rPr>
            </w:pPr>
            <w:r w:rsidRPr="000F7862">
              <w:rPr>
                <w:sz w:val="18"/>
                <w:lang w:val="fr-FR"/>
              </w:rPr>
              <w:t>Éducation, culture et perfectionnement de la main-d</w:t>
            </w:r>
            <w:r w:rsidR="00120E2E" w:rsidRPr="000F7862">
              <w:rPr>
                <w:sz w:val="18"/>
                <w:lang w:val="fr-FR"/>
              </w:rPr>
              <w:t>’</w:t>
            </w:r>
            <w:r w:rsidRPr="000F7862">
              <w:rPr>
                <w:sz w:val="18"/>
                <w:lang w:val="fr-FR"/>
              </w:rPr>
              <w:t>œuvre</w:t>
            </w:r>
          </w:p>
        </w:tc>
        <w:tc>
          <w:tcPr>
            <w:tcW w:w="915" w:type="dxa"/>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11,8</w:t>
            </w:r>
          </w:p>
        </w:tc>
        <w:tc>
          <w:tcPr>
            <w:tcW w:w="915" w:type="dxa"/>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7,9</w:t>
            </w:r>
          </w:p>
        </w:tc>
        <w:tc>
          <w:tcPr>
            <w:tcW w:w="916" w:type="dxa"/>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13,0</w:t>
            </w:r>
          </w:p>
        </w:tc>
        <w:tc>
          <w:tcPr>
            <w:tcW w:w="915" w:type="dxa"/>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9,8</w:t>
            </w:r>
          </w:p>
        </w:tc>
        <w:tc>
          <w:tcPr>
            <w:tcW w:w="916" w:type="dxa"/>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18,2</w:t>
            </w:r>
          </w:p>
        </w:tc>
        <w:tc>
          <w:tcPr>
            <w:tcW w:w="876" w:type="dxa"/>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12,1</w:t>
            </w:r>
          </w:p>
        </w:tc>
      </w:tr>
      <w:tr w:rsidR="001415F8" w:rsidRPr="000F7862" w:rsidTr="009E7915">
        <w:tc>
          <w:tcPr>
            <w:tcW w:w="3052" w:type="dxa"/>
            <w:shd w:val="clear" w:color="auto" w:fill="auto"/>
            <w:vAlign w:val="bottom"/>
          </w:tcPr>
          <w:p w:rsidR="001415F8" w:rsidRPr="000F7862" w:rsidRDefault="001415F8" w:rsidP="001415F8">
            <w:pPr>
              <w:spacing w:before="40" w:after="40" w:line="220" w:lineRule="exact"/>
              <w:ind w:left="170"/>
              <w:rPr>
                <w:sz w:val="18"/>
                <w:lang w:val="fr-FR"/>
              </w:rPr>
            </w:pPr>
            <w:r w:rsidRPr="000F7862">
              <w:rPr>
                <w:sz w:val="18"/>
                <w:lang w:val="fr-FR"/>
              </w:rPr>
              <w:t>Santé</w:t>
            </w:r>
          </w:p>
        </w:tc>
        <w:tc>
          <w:tcPr>
            <w:tcW w:w="915" w:type="dxa"/>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25,6</w:t>
            </w:r>
          </w:p>
        </w:tc>
        <w:tc>
          <w:tcPr>
            <w:tcW w:w="915" w:type="dxa"/>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32,4</w:t>
            </w:r>
          </w:p>
        </w:tc>
        <w:tc>
          <w:tcPr>
            <w:tcW w:w="916" w:type="dxa"/>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30,7</w:t>
            </w:r>
          </w:p>
        </w:tc>
        <w:tc>
          <w:tcPr>
            <w:tcW w:w="915" w:type="dxa"/>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29,4</w:t>
            </w:r>
          </w:p>
        </w:tc>
        <w:tc>
          <w:tcPr>
            <w:tcW w:w="916" w:type="dxa"/>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10,2</w:t>
            </w:r>
          </w:p>
        </w:tc>
        <w:tc>
          <w:tcPr>
            <w:tcW w:w="876" w:type="dxa"/>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25,6</w:t>
            </w:r>
          </w:p>
        </w:tc>
      </w:tr>
      <w:tr w:rsidR="001415F8" w:rsidRPr="000F7862" w:rsidTr="009E7915">
        <w:tc>
          <w:tcPr>
            <w:tcW w:w="3052" w:type="dxa"/>
            <w:shd w:val="clear" w:color="auto" w:fill="auto"/>
            <w:vAlign w:val="bottom"/>
          </w:tcPr>
          <w:p w:rsidR="001415F8" w:rsidRPr="000F7862" w:rsidRDefault="001415F8" w:rsidP="001415F8">
            <w:pPr>
              <w:spacing w:before="40" w:after="40" w:line="220" w:lineRule="exact"/>
              <w:ind w:left="170"/>
              <w:rPr>
                <w:sz w:val="18"/>
                <w:lang w:val="fr-FR"/>
              </w:rPr>
            </w:pPr>
            <w:r w:rsidRPr="000F7862">
              <w:rPr>
                <w:sz w:val="18"/>
                <w:lang w:val="fr-FR"/>
              </w:rPr>
              <w:t>Sécurité sociale, protection sociale et emploi</w:t>
            </w:r>
          </w:p>
        </w:tc>
        <w:tc>
          <w:tcPr>
            <w:tcW w:w="915" w:type="dxa"/>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7,6</w:t>
            </w:r>
          </w:p>
        </w:tc>
        <w:tc>
          <w:tcPr>
            <w:tcW w:w="915" w:type="dxa"/>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(35,5)</w:t>
            </w:r>
          </w:p>
        </w:tc>
        <w:tc>
          <w:tcPr>
            <w:tcW w:w="916" w:type="dxa"/>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137,7</w:t>
            </w:r>
          </w:p>
        </w:tc>
        <w:tc>
          <w:tcPr>
            <w:tcW w:w="915" w:type="dxa"/>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25,3</w:t>
            </w:r>
          </w:p>
        </w:tc>
        <w:tc>
          <w:tcPr>
            <w:tcW w:w="916" w:type="dxa"/>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16,7</w:t>
            </w:r>
          </w:p>
        </w:tc>
        <w:tc>
          <w:tcPr>
            <w:tcW w:w="876" w:type="dxa"/>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30,4</w:t>
            </w:r>
          </w:p>
        </w:tc>
      </w:tr>
      <w:tr w:rsidR="001415F8" w:rsidRPr="000F7862" w:rsidTr="009E7915">
        <w:tc>
          <w:tcPr>
            <w:tcW w:w="3052" w:type="dxa"/>
            <w:shd w:val="clear" w:color="auto" w:fill="auto"/>
            <w:vAlign w:val="bottom"/>
          </w:tcPr>
          <w:p w:rsidR="001415F8" w:rsidRPr="000F7862" w:rsidRDefault="001415F8" w:rsidP="001415F8">
            <w:pPr>
              <w:spacing w:before="40" w:after="40" w:line="220" w:lineRule="exact"/>
              <w:ind w:left="170"/>
              <w:rPr>
                <w:sz w:val="18"/>
                <w:lang w:val="fr-FR"/>
              </w:rPr>
            </w:pPr>
            <w:r w:rsidRPr="000F7862">
              <w:rPr>
                <w:sz w:val="18"/>
                <w:lang w:val="fr-FR"/>
              </w:rPr>
              <w:t>Redistribution des terres (Programme de réforme agraire d</w:t>
            </w:r>
            <w:r w:rsidR="00120E2E" w:rsidRPr="000F7862">
              <w:rPr>
                <w:sz w:val="18"/>
                <w:lang w:val="fr-FR"/>
              </w:rPr>
              <w:t>’</w:t>
            </w:r>
            <w:r w:rsidRPr="000F7862">
              <w:rPr>
                <w:sz w:val="18"/>
                <w:lang w:val="fr-FR"/>
              </w:rPr>
              <w:t>ensemble)</w:t>
            </w:r>
          </w:p>
        </w:tc>
        <w:tc>
          <w:tcPr>
            <w:tcW w:w="915" w:type="dxa"/>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(69,1)</w:t>
            </w:r>
          </w:p>
        </w:tc>
        <w:tc>
          <w:tcPr>
            <w:tcW w:w="915" w:type="dxa"/>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213,2</w:t>
            </w:r>
          </w:p>
        </w:tc>
        <w:tc>
          <w:tcPr>
            <w:tcW w:w="916" w:type="dxa"/>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(0,3)</w:t>
            </w:r>
          </w:p>
        </w:tc>
        <w:tc>
          <w:tcPr>
            <w:tcW w:w="915" w:type="dxa"/>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(99,4)</w:t>
            </w:r>
          </w:p>
        </w:tc>
        <w:tc>
          <w:tcPr>
            <w:tcW w:w="916" w:type="dxa"/>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21 639,1</w:t>
            </w:r>
          </w:p>
        </w:tc>
        <w:tc>
          <w:tcPr>
            <w:tcW w:w="876" w:type="dxa"/>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4 336,7</w:t>
            </w:r>
          </w:p>
        </w:tc>
      </w:tr>
      <w:tr w:rsidR="001415F8" w:rsidRPr="000F7862" w:rsidTr="009E7915">
        <w:tc>
          <w:tcPr>
            <w:tcW w:w="3052" w:type="dxa"/>
            <w:shd w:val="clear" w:color="auto" w:fill="auto"/>
            <w:vAlign w:val="bottom"/>
          </w:tcPr>
          <w:p w:rsidR="001415F8" w:rsidRPr="000F7862" w:rsidRDefault="001415F8" w:rsidP="001415F8">
            <w:pPr>
              <w:spacing w:before="40" w:after="40" w:line="220" w:lineRule="exact"/>
              <w:ind w:left="170"/>
              <w:rPr>
                <w:sz w:val="18"/>
                <w:lang w:val="fr-FR"/>
              </w:rPr>
            </w:pPr>
            <w:r w:rsidRPr="000F7862">
              <w:rPr>
                <w:sz w:val="18"/>
                <w:lang w:val="fr-FR"/>
              </w:rPr>
              <w:t>Logement et développement communautaire</w:t>
            </w:r>
          </w:p>
        </w:tc>
        <w:tc>
          <w:tcPr>
            <w:tcW w:w="915" w:type="dxa"/>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(10,8)</w:t>
            </w:r>
          </w:p>
        </w:tc>
        <w:tc>
          <w:tcPr>
            <w:tcW w:w="915" w:type="dxa"/>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(15,0)</w:t>
            </w:r>
          </w:p>
        </w:tc>
        <w:tc>
          <w:tcPr>
            <w:tcW w:w="916" w:type="dxa"/>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212,6</w:t>
            </w:r>
          </w:p>
        </w:tc>
        <w:tc>
          <w:tcPr>
            <w:tcW w:w="915" w:type="dxa"/>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(46,5)</w:t>
            </w:r>
          </w:p>
        </w:tc>
        <w:tc>
          <w:tcPr>
            <w:tcW w:w="916" w:type="dxa"/>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95,2</w:t>
            </w:r>
          </w:p>
        </w:tc>
        <w:tc>
          <w:tcPr>
            <w:tcW w:w="876" w:type="dxa"/>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47,1</w:t>
            </w:r>
          </w:p>
        </w:tc>
      </w:tr>
      <w:tr w:rsidR="001415F8" w:rsidRPr="000F7862" w:rsidTr="009E7915">
        <w:tc>
          <w:tcPr>
            <w:tcW w:w="3052" w:type="dxa"/>
            <w:shd w:val="clear" w:color="auto" w:fill="auto"/>
            <w:vAlign w:val="bottom"/>
          </w:tcPr>
          <w:p w:rsidR="001415F8" w:rsidRPr="000F7862" w:rsidRDefault="001415F8" w:rsidP="001415F8">
            <w:pPr>
              <w:spacing w:before="40" w:after="40" w:line="220" w:lineRule="exact"/>
              <w:ind w:left="170"/>
              <w:rPr>
                <w:sz w:val="18"/>
                <w:lang w:val="fr-FR"/>
              </w:rPr>
            </w:pPr>
            <w:r w:rsidRPr="000F7862">
              <w:rPr>
                <w:sz w:val="18"/>
                <w:lang w:val="fr-FR"/>
              </w:rPr>
              <w:t>Autres dépenses sociales</w:t>
            </w:r>
          </w:p>
        </w:tc>
        <w:tc>
          <w:tcPr>
            <w:tcW w:w="915" w:type="dxa"/>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50,8</w:t>
            </w:r>
          </w:p>
        </w:tc>
        <w:tc>
          <w:tcPr>
            <w:tcW w:w="915" w:type="dxa"/>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(22,4)</w:t>
            </w:r>
          </w:p>
        </w:tc>
        <w:tc>
          <w:tcPr>
            <w:tcW w:w="916" w:type="dxa"/>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10,4</w:t>
            </w:r>
          </w:p>
        </w:tc>
        <w:tc>
          <w:tcPr>
            <w:tcW w:w="915" w:type="dxa"/>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32,3</w:t>
            </w:r>
          </w:p>
        </w:tc>
        <w:tc>
          <w:tcPr>
            <w:tcW w:w="916" w:type="dxa"/>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(10,7)</w:t>
            </w:r>
          </w:p>
        </w:tc>
        <w:tc>
          <w:tcPr>
            <w:tcW w:w="876" w:type="dxa"/>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12,1</w:t>
            </w:r>
          </w:p>
        </w:tc>
      </w:tr>
      <w:tr w:rsidR="001415F8" w:rsidRPr="000F7862" w:rsidTr="009E7915">
        <w:tc>
          <w:tcPr>
            <w:tcW w:w="3052" w:type="dxa"/>
            <w:tcBorders>
              <w:bottom w:val="single" w:sz="12" w:space="0" w:color="auto"/>
            </w:tcBorders>
            <w:shd w:val="clear" w:color="auto" w:fill="auto"/>
            <w:vAlign w:val="bottom"/>
          </w:tcPr>
          <w:p w:rsidR="001415F8" w:rsidRPr="000F7862" w:rsidRDefault="001415F8" w:rsidP="001415F8">
            <w:pPr>
              <w:spacing w:before="40" w:after="40" w:line="220" w:lineRule="exact"/>
              <w:ind w:left="170"/>
              <w:rPr>
                <w:sz w:val="18"/>
                <w:lang w:val="fr-FR"/>
              </w:rPr>
            </w:pPr>
            <w:r w:rsidRPr="000F7862">
              <w:rPr>
                <w:sz w:val="18"/>
                <w:lang w:val="fr-FR"/>
              </w:rPr>
              <w:t>Subventions aux organes administratifs locaux</w:t>
            </w:r>
          </w:p>
        </w:tc>
        <w:tc>
          <w:tcPr>
            <w:tcW w:w="915" w:type="dxa"/>
            <w:tcBorders>
              <w:bottom w:val="single" w:sz="12" w:space="0" w:color="auto"/>
            </w:tcBorders>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18,6</w:t>
            </w:r>
          </w:p>
        </w:tc>
        <w:tc>
          <w:tcPr>
            <w:tcW w:w="915" w:type="dxa"/>
            <w:tcBorders>
              <w:bottom w:val="single" w:sz="12" w:space="0" w:color="auto"/>
            </w:tcBorders>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6,3</w:t>
            </w:r>
          </w:p>
        </w:tc>
        <w:tc>
          <w:tcPr>
            <w:tcW w:w="916" w:type="dxa"/>
            <w:tcBorders>
              <w:bottom w:val="single" w:sz="12" w:space="0" w:color="auto"/>
            </w:tcBorders>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8,0</w:t>
            </w:r>
          </w:p>
        </w:tc>
        <w:tc>
          <w:tcPr>
            <w:tcW w:w="915" w:type="dxa"/>
            <w:tcBorders>
              <w:bottom w:val="single" w:sz="12" w:space="0" w:color="auto"/>
            </w:tcBorders>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(4,8)</w:t>
            </w:r>
          </w:p>
        </w:tc>
        <w:tc>
          <w:tcPr>
            <w:tcW w:w="916" w:type="dxa"/>
            <w:tcBorders>
              <w:bottom w:val="single" w:sz="12" w:space="0" w:color="auto"/>
            </w:tcBorders>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10,6</w:t>
            </w:r>
          </w:p>
        </w:tc>
        <w:tc>
          <w:tcPr>
            <w:tcW w:w="876" w:type="dxa"/>
            <w:tcBorders>
              <w:bottom w:val="single" w:sz="12" w:space="0" w:color="auto"/>
            </w:tcBorders>
            <w:shd w:val="clear" w:color="auto" w:fill="auto"/>
            <w:vAlign w:val="bottom"/>
          </w:tcPr>
          <w:p w:rsidR="001415F8" w:rsidRPr="000F7862" w:rsidRDefault="001415F8" w:rsidP="001415F8">
            <w:pPr>
              <w:spacing w:before="40" w:after="40" w:line="220" w:lineRule="exact"/>
              <w:jc w:val="right"/>
              <w:rPr>
                <w:sz w:val="18"/>
                <w:lang w:val="fr-FR"/>
              </w:rPr>
            </w:pPr>
            <w:r w:rsidRPr="000F7862">
              <w:rPr>
                <w:sz w:val="18"/>
                <w:lang w:val="fr-FR"/>
              </w:rPr>
              <w:t>7,8</w:t>
            </w:r>
          </w:p>
        </w:tc>
      </w:tr>
    </w:tbl>
    <w:p w:rsidR="0086185C" w:rsidRPr="000F7862" w:rsidRDefault="003F7F57" w:rsidP="003F7F57">
      <w:pPr>
        <w:pStyle w:val="SingleTxtG"/>
        <w:spacing w:before="240"/>
        <w:rPr>
          <w:lang w:val="fr-FR"/>
        </w:rPr>
      </w:pPr>
      <w:r w:rsidRPr="000F7862">
        <w:rPr>
          <w:lang w:val="fr-FR"/>
        </w:rPr>
        <w:t>28.</w:t>
      </w:r>
      <w:r w:rsidRPr="000F7862">
        <w:rPr>
          <w:lang w:val="fr-FR"/>
        </w:rPr>
        <w:tab/>
      </w:r>
      <w:r w:rsidR="009D3A2E" w:rsidRPr="000F7862">
        <w:rPr>
          <w:lang w:val="fr-FR"/>
        </w:rPr>
        <w:t>Entre 2</w:t>
      </w:r>
      <w:r w:rsidR="00E90FD4" w:rsidRPr="000F7862">
        <w:rPr>
          <w:lang w:val="fr-FR"/>
        </w:rPr>
        <w:t>009 e</w:t>
      </w:r>
      <w:r w:rsidR="009D3A2E" w:rsidRPr="000F7862">
        <w:rPr>
          <w:lang w:val="fr-FR"/>
        </w:rPr>
        <w:t xml:space="preserve">t 2013, les dépenses publiques totales consacrées aux services sociaux ont représenté en moyenne </w:t>
      </w:r>
      <w:r w:rsidR="0086185C" w:rsidRPr="000F7862">
        <w:rPr>
          <w:lang w:val="fr-FR"/>
        </w:rPr>
        <w:t>5</w:t>
      </w:r>
      <w:r w:rsidR="009D3A2E" w:rsidRPr="000F7862">
        <w:rPr>
          <w:lang w:val="fr-FR"/>
        </w:rPr>
        <w:t>,</w:t>
      </w:r>
      <w:r w:rsidR="0086185C" w:rsidRPr="000F7862">
        <w:rPr>
          <w:lang w:val="fr-FR"/>
        </w:rPr>
        <w:t>4</w:t>
      </w:r>
      <w:r w:rsidR="00DC1196" w:rsidRPr="000F7862">
        <w:rPr>
          <w:lang w:val="fr-FR"/>
        </w:rPr>
        <w:t> %</w:t>
      </w:r>
      <w:r w:rsidR="0086185C" w:rsidRPr="000F7862">
        <w:rPr>
          <w:lang w:val="fr-FR"/>
        </w:rPr>
        <w:t xml:space="preserve"> </w:t>
      </w:r>
      <w:r w:rsidR="009D3A2E" w:rsidRPr="000F7862">
        <w:rPr>
          <w:lang w:val="fr-FR"/>
        </w:rPr>
        <w:t>du PIB</w:t>
      </w:r>
      <w:r w:rsidR="0086185C" w:rsidRPr="000F7862">
        <w:rPr>
          <w:lang w:val="fr-FR"/>
        </w:rPr>
        <w:t>.</w:t>
      </w:r>
      <w:r w:rsidR="00446EA5" w:rsidRPr="000F7862">
        <w:rPr>
          <w:lang w:val="fr-FR"/>
        </w:rPr>
        <w:t xml:space="preserve"> </w:t>
      </w:r>
      <w:r w:rsidR="009D3A2E" w:rsidRPr="000F7862">
        <w:rPr>
          <w:lang w:val="fr-FR"/>
        </w:rPr>
        <w:t xml:space="preserve">En ce qui concerne les sous-secteurs, le </w:t>
      </w:r>
      <w:r w:rsidR="0086185C" w:rsidRPr="000F7862">
        <w:rPr>
          <w:lang w:val="fr-FR"/>
        </w:rPr>
        <w:t xml:space="preserve">budget </w:t>
      </w:r>
      <w:r w:rsidR="009D3A2E" w:rsidRPr="000F7862">
        <w:rPr>
          <w:lang w:val="fr-FR"/>
        </w:rPr>
        <w:t>de l</w:t>
      </w:r>
      <w:r w:rsidR="00120E2E" w:rsidRPr="000F7862">
        <w:rPr>
          <w:lang w:val="fr-FR"/>
        </w:rPr>
        <w:t>’</w:t>
      </w:r>
      <w:r w:rsidR="009D3A2E" w:rsidRPr="000F7862">
        <w:rPr>
          <w:lang w:val="fr-FR"/>
        </w:rPr>
        <w:t>éducation, de la culture et du perfectionnement de la main-d</w:t>
      </w:r>
      <w:r w:rsidR="00120E2E" w:rsidRPr="000F7862">
        <w:rPr>
          <w:lang w:val="fr-FR"/>
        </w:rPr>
        <w:t>’</w:t>
      </w:r>
      <w:r w:rsidR="009D3A2E" w:rsidRPr="000F7862">
        <w:rPr>
          <w:lang w:val="fr-FR"/>
        </w:rPr>
        <w:t xml:space="preserve">œuvre </w:t>
      </w:r>
      <w:r w:rsidR="00E90FD4" w:rsidRPr="000F7862">
        <w:rPr>
          <w:lang w:val="fr-FR"/>
        </w:rPr>
        <w:t>s</w:t>
      </w:r>
      <w:r w:rsidR="00120E2E" w:rsidRPr="000F7862">
        <w:rPr>
          <w:lang w:val="fr-FR"/>
        </w:rPr>
        <w:t>’</w:t>
      </w:r>
      <w:r w:rsidR="00E90FD4" w:rsidRPr="000F7862">
        <w:rPr>
          <w:lang w:val="fr-FR"/>
        </w:rPr>
        <w:t>est établi en moyenne à 2,6</w:t>
      </w:r>
      <w:r w:rsidR="00DC1196" w:rsidRPr="000F7862">
        <w:rPr>
          <w:lang w:val="fr-FR"/>
        </w:rPr>
        <w:t> %</w:t>
      </w:r>
      <w:r w:rsidR="00E90FD4" w:rsidRPr="000F7862">
        <w:rPr>
          <w:lang w:val="fr-FR"/>
        </w:rPr>
        <w:t xml:space="preserve"> du PIB, contre 0,4</w:t>
      </w:r>
      <w:r w:rsidR="00DC1196" w:rsidRPr="000F7862">
        <w:rPr>
          <w:lang w:val="fr-FR"/>
        </w:rPr>
        <w:t> %</w:t>
      </w:r>
      <w:r w:rsidR="00E90FD4" w:rsidRPr="000F7862">
        <w:rPr>
          <w:lang w:val="fr-FR"/>
        </w:rPr>
        <w:t xml:space="preserve"> en moyenne pour celui du sous-secteur de la santé</w:t>
      </w:r>
      <w:r w:rsidR="0086185C" w:rsidRPr="000F7862">
        <w:rPr>
          <w:lang w:val="fr-FR"/>
        </w:rPr>
        <w:t>.</w:t>
      </w:r>
      <w:r w:rsidR="00446EA5" w:rsidRPr="000F7862">
        <w:rPr>
          <w:lang w:val="fr-FR"/>
        </w:rPr>
        <w:t xml:space="preserve"> </w:t>
      </w:r>
      <w:r w:rsidR="00E90FD4" w:rsidRPr="000F7862">
        <w:rPr>
          <w:lang w:val="fr-FR"/>
        </w:rPr>
        <w:t xml:space="preserve">Le </w:t>
      </w:r>
      <w:r w:rsidR="0086185C" w:rsidRPr="000F7862">
        <w:rPr>
          <w:lang w:val="fr-FR"/>
        </w:rPr>
        <w:t xml:space="preserve">budget </w:t>
      </w:r>
      <w:r w:rsidR="00326A9C" w:rsidRPr="000F7862">
        <w:rPr>
          <w:lang w:val="fr-FR"/>
        </w:rPr>
        <w:t>du sous-secteur de la sécurité sociale, de la protection sociale et de l</w:t>
      </w:r>
      <w:r w:rsidR="00120E2E" w:rsidRPr="000F7862">
        <w:rPr>
          <w:lang w:val="fr-FR"/>
        </w:rPr>
        <w:t>’</w:t>
      </w:r>
      <w:r w:rsidR="00326A9C" w:rsidRPr="000F7862">
        <w:rPr>
          <w:lang w:val="fr-FR"/>
        </w:rPr>
        <w:t>emploi a représenté en moyenne 1,1</w:t>
      </w:r>
      <w:r w:rsidR="00DC1196" w:rsidRPr="000F7862">
        <w:rPr>
          <w:lang w:val="fr-FR"/>
        </w:rPr>
        <w:t> %</w:t>
      </w:r>
      <w:r w:rsidR="00326A9C" w:rsidRPr="000F7862">
        <w:rPr>
          <w:lang w:val="fr-FR"/>
        </w:rPr>
        <w:t xml:space="preserve"> du PIB pendant la période considérée, tandis que la part du budget du sous-secteur du logement n</w:t>
      </w:r>
      <w:r w:rsidR="00120E2E" w:rsidRPr="000F7862">
        <w:rPr>
          <w:lang w:val="fr-FR"/>
        </w:rPr>
        <w:t>’</w:t>
      </w:r>
      <w:r w:rsidR="00326A9C" w:rsidRPr="000F7862">
        <w:rPr>
          <w:lang w:val="fr-FR"/>
        </w:rPr>
        <w:t>a été que d</w:t>
      </w:r>
      <w:r w:rsidR="00120E2E" w:rsidRPr="000F7862">
        <w:rPr>
          <w:lang w:val="fr-FR"/>
        </w:rPr>
        <w:t>’</w:t>
      </w:r>
      <w:r w:rsidR="00326A9C" w:rsidRPr="000F7862">
        <w:rPr>
          <w:lang w:val="fr-FR"/>
        </w:rPr>
        <w:t>environ 0,1</w:t>
      </w:r>
      <w:r w:rsidR="00DC1196" w:rsidRPr="000F7862">
        <w:rPr>
          <w:lang w:val="fr-FR"/>
        </w:rPr>
        <w:t> %</w:t>
      </w:r>
      <w:r w:rsidR="00326A9C" w:rsidRPr="000F7862">
        <w:rPr>
          <w:lang w:val="fr-FR"/>
        </w:rPr>
        <w:t xml:space="preserve"> du PIB au cours de la même période </w:t>
      </w:r>
      <w:r w:rsidR="0086185C" w:rsidRPr="000F7862">
        <w:rPr>
          <w:lang w:val="fr-FR"/>
        </w:rPr>
        <w:t>(</w:t>
      </w:r>
      <w:r w:rsidR="009D3A2E" w:rsidRPr="000F7862">
        <w:rPr>
          <w:lang w:val="fr-FR"/>
        </w:rPr>
        <w:t>t</w:t>
      </w:r>
      <w:r w:rsidR="0086185C" w:rsidRPr="000F7862">
        <w:rPr>
          <w:lang w:val="fr-FR"/>
        </w:rPr>
        <w:t>able</w:t>
      </w:r>
      <w:r w:rsidR="009D3A2E" w:rsidRPr="000F7862">
        <w:rPr>
          <w:lang w:val="fr-FR"/>
        </w:rPr>
        <w:t>au</w:t>
      </w:r>
      <w:r w:rsidR="004B3B1E" w:rsidRPr="000F7862">
        <w:rPr>
          <w:lang w:val="fr-FR"/>
        </w:rPr>
        <w:t> </w:t>
      </w:r>
      <w:r w:rsidR="0086185C" w:rsidRPr="000F7862">
        <w:rPr>
          <w:lang w:val="fr-FR"/>
        </w:rPr>
        <w:t>4).</w:t>
      </w:r>
    </w:p>
    <w:p w:rsidR="0086185C" w:rsidRPr="000F7862" w:rsidRDefault="00397090" w:rsidP="004E0996">
      <w:pPr>
        <w:pStyle w:val="H23G"/>
        <w:rPr>
          <w:b w:val="0"/>
          <w:bCs/>
          <w:sz w:val="16"/>
          <w:szCs w:val="16"/>
          <w:lang w:val="fr-FR"/>
        </w:rPr>
      </w:pPr>
      <w:r w:rsidRPr="000F7862">
        <w:rPr>
          <w:lang w:val="fr-FR"/>
        </w:rPr>
        <w:tab/>
      </w:r>
      <w:r w:rsidRPr="000F7862">
        <w:rPr>
          <w:lang w:val="fr-FR"/>
        </w:rPr>
        <w:tab/>
      </w:r>
      <w:r w:rsidR="006E1489" w:rsidRPr="000F7862">
        <w:rPr>
          <w:b w:val="0"/>
          <w:bCs/>
          <w:lang w:val="fr-FR"/>
        </w:rPr>
        <w:t>Table</w:t>
      </w:r>
      <w:r w:rsidR="00F26EE3" w:rsidRPr="000F7862">
        <w:rPr>
          <w:b w:val="0"/>
          <w:bCs/>
          <w:lang w:val="fr-FR"/>
        </w:rPr>
        <w:t>au</w:t>
      </w:r>
      <w:r w:rsidR="006E1489" w:rsidRPr="000F7862">
        <w:rPr>
          <w:b w:val="0"/>
          <w:bCs/>
          <w:lang w:val="fr-FR"/>
        </w:rPr>
        <w:t xml:space="preserve"> </w:t>
      </w:r>
      <w:r w:rsidR="0086185C" w:rsidRPr="000F7862">
        <w:rPr>
          <w:b w:val="0"/>
          <w:bCs/>
          <w:lang w:val="fr-FR"/>
        </w:rPr>
        <w:t>4</w:t>
      </w:r>
      <w:r w:rsidR="00686296" w:rsidRPr="000F7862">
        <w:rPr>
          <w:b w:val="0"/>
          <w:bCs/>
          <w:lang w:val="fr-FR"/>
        </w:rPr>
        <w:br/>
      </w:r>
      <w:r w:rsidR="00326A9C" w:rsidRPr="000F7862">
        <w:rPr>
          <w:lang w:val="fr-FR"/>
        </w:rPr>
        <w:t>Dépenses publiques consacrées aux services sociaux, sur la base des dépenses engagées, en pourcentage du PIB, exercices 2009-2013</w:t>
      </w:r>
      <w:r w:rsidR="00326A9C" w:rsidRPr="000F7862">
        <w:rPr>
          <w:lang w:val="fr-FR"/>
        </w:rPr>
        <w:br/>
      </w:r>
      <w:r w:rsidR="00326A9C" w:rsidRPr="000F7862">
        <w:rPr>
          <w:b w:val="0"/>
          <w:bCs/>
          <w:sz w:val="16"/>
          <w:szCs w:val="16"/>
          <w:lang w:val="fr-FR"/>
        </w:rPr>
        <w:t>(</w:t>
      </w:r>
      <w:r w:rsidR="009E7915" w:rsidRPr="000F7862">
        <w:rPr>
          <w:b w:val="0"/>
          <w:bCs/>
          <w:sz w:val="16"/>
          <w:szCs w:val="16"/>
          <w:lang w:val="fr-FR"/>
        </w:rPr>
        <w:t xml:space="preserve">En </w:t>
      </w:r>
      <w:r w:rsidR="00326A9C" w:rsidRPr="000F7862">
        <w:rPr>
          <w:b w:val="0"/>
          <w:bCs/>
          <w:sz w:val="16"/>
          <w:szCs w:val="16"/>
          <w:lang w:val="fr-FR"/>
        </w:rPr>
        <w:t>pourcentage)</w:t>
      </w:r>
    </w:p>
    <w:tbl>
      <w:tblPr>
        <w:tblW w:w="8505" w:type="dxa"/>
        <w:tblInd w:w="1134" w:type="dxa"/>
        <w:tblLayout w:type="fixed"/>
        <w:tblCellMar>
          <w:left w:w="0" w:type="dxa"/>
          <w:right w:w="0" w:type="dxa"/>
        </w:tblCellMar>
        <w:tblLook w:val="01E0"/>
      </w:tblPr>
      <w:tblGrid>
        <w:gridCol w:w="3423"/>
        <w:gridCol w:w="659"/>
        <w:gridCol w:w="660"/>
        <w:gridCol w:w="659"/>
        <w:gridCol w:w="660"/>
        <w:gridCol w:w="1708"/>
        <w:gridCol w:w="736"/>
      </w:tblGrid>
      <w:tr w:rsidR="009E7915" w:rsidRPr="000F7862" w:rsidTr="009346D3">
        <w:trPr>
          <w:tblHeader/>
        </w:trPr>
        <w:tc>
          <w:tcPr>
            <w:tcW w:w="3423" w:type="dxa"/>
            <w:tcBorders>
              <w:top w:val="single" w:sz="4" w:space="0" w:color="auto"/>
              <w:bottom w:val="single" w:sz="12" w:space="0" w:color="auto"/>
            </w:tcBorders>
            <w:shd w:val="clear" w:color="auto" w:fill="auto"/>
            <w:vAlign w:val="bottom"/>
          </w:tcPr>
          <w:p w:rsidR="009E7915" w:rsidRPr="000F7862" w:rsidRDefault="00051268" w:rsidP="009E7915">
            <w:pPr>
              <w:spacing w:before="80" w:after="80" w:line="200" w:lineRule="exact"/>
              <w:rPr>
                <w:i/>
                <w:sz w:val="16"/>
                <w:lang w:val="fr-FR"/>
              </w:rPr>
            </w:pPr>
            <w:r w:rsidRPr="000F7862">
              <w:rPr>
                <w:i/>
                <w:sz w:val="16"/>
                <w:lang w:val="fr-FR"/>
              </w:rPr>
              <w:t>Postes de dépenses</w:t>
            </w:r>
          </w:p>
        </w:tc>
        <w:tc>
          <w:tcPr>
            <w:tcW w:w="659" w:type="dxa"/>
            <w:tcBorders>
              <w:top w:val="single" w:sz="4" w:space="0" w:color="auto"/>
              <w:bottom w:val="single" w:sz="12" w:space="0" w:color="auto"/>
            </w:tcBorders>
            <w:shd w:val="clear" w:color="auto" w:fill="auto"/>
            <w:vAlign w:val="bottom"/>
          </w:tcPr>
          <w:p w:rsidR="009E7915" w:rsidRPr="000F7862" w:rsidRDefault="009E7915" w:rsidP="009E7915">
            <w:pPr>
              <w:spacing w:before="80" w:after="80" w:line="200" w:lineRule="exact"/>
              <w:jc w:val="right"/>
              <w:rPr>
                <w:i/>
                <w:sz w:val="16"/>
                <w:lang w:val="fr-FR"/>
              </w:rPr>
            </w:pPr>
            <w:r w:rsidRPr="000F7862">
              <w:rPr>
                <w:i/>
                <w:sz w:val="16"/>
                <w:lang w:val="fr-FR"/>
              </w:rPr>
              <w:t>2009</w:t>
            </w:r>
          </w:p>
        </w:tc>
        <w:tc>
          <w:tcPr>
            <w:tcW w:w="660" w:type="dxa"/>
            <w:tcBorders>
              <w:top w:val="single" w:sz="4" w:space="0" w:color="auto"/>
              <w:bottom w:val="single" w:sz="12" w:space="0" w:color="auto"/>
            </w:tcBorders>
            <w:shd w:val="clear" w:color="auto" w:fill="auto"/>
            <w:vAlign w:val="bottom"/>
          </w:tcPr>
          <w:p w:rsidR="009E7915" w:rsidRPr="000F7862" w:rsidRDefault="009E7915" w:rsidP="009E7915">
            <w:pPr>
              <w:spacing w:before="80" w:after="80" w:line="200" w:lineRule="exact"/>
              <w:jc w:val="right"/>
              <w:rPr>
                <w:i/>
                <w:sz w:val="16"/>
                <w:lang w:val="fr-FR"/>
              </w:rPr>
            </w:pPr>
            <w:r w:rsidRPr="000F7862">
              <w:rPr>
                <w:i/>
                <w:sz w:val="16"/>
                <w:lang w:val="fr-FR"/>
              </w:rPr>
              <w:t>2010</w:t>
            </w:r>
          </w:p>
        </w:tc>
        <w:tc>
          <w:tcPr>
            <w:tcW w:w="659" w:type="dxa"/>
            <w:tcBorders>
              <w:top w:val="single" w:sz="4" w:space="0" w:color="auto"/>
              <w:bottom w:val="single" w:sz="12" w:space="0" w:color="auto"/>
            </w:tcBorders>
            <w:shd w:val="clear" w:color="auto" w:fill="auto"/>
            <w:vAlign w:val="bottom"/>
          </w:tcPr>
          <w:p w:rsidR="009E7915" w:rsidRPr="000F7862" w:rsidRDefault="009E7915" w:rsidP="009E7915">
            <w:pPr>
              <w:spacing w:before="80" w:after="80" w:line="200" w:lineRule="exact"/>
              <w:jc w:val="right"/>
              <w:rPr>
                <w:i/>
                <w:sz w:val="16"/>
                <w:lang w:val="fr-FR"/>
              </w:rPr>
            </w:pPr>
            <w:r w:rsidRPr="000F7862">
              <w:rPr>
                <w:i/>
                <w:sz w:val="16"/>
                <w:lang w:val="fr-FR"/>
              </w:rPr>
              <w:t>2011</w:t>
            </w:r>
          </w:p>
        </w:tc>
        <w:tc>
          <w:tcPr>
            <w:tcW w:w="660" w:type="dxa"/>
            <w:tcBorders>
              <w:top w:val="single" w:sz="4" w:space="0" w:color="auto"/>
              <w:bottom w:val="single" w:sz="12" w:space="0" w:color="auto"/>
            </w:tcBorders>
            <w:shd w:val="clear" w:color="auto" w:fill="auto"/>
            <w:vAlign w:val="bottom"/>
          </w:tcPr>
          <w:p w:rsidR="009E7915" w:rsidRPr="000F7862" w:rsidRDefault="009E7915" w:rsidP="009E7915">
            <w:pPr>
              <w:spacing w:before="80" w:after="80" w:line="200" w:lineRule="exact"/>
              <w:jc w:val="right"/>
              <w:rPr>
                <w:i/>
                <w:sz w:val="16"/>
                <w:lang w:val="fr-FR"/>
              </w:rPr>
            </w:pPr>
            <w:r w:rsidRPr="000F7862">
              <w:rPr>
                <w:i/>
                <w:sz w:val="16"/>
                <w:lang w:val="fr-FR"/>
              </w:rPr>
              <w:t>2012</w:t>
            </w:r>
          </w:p>
        </w:tc>
        <w:tc>
          <w:tcPr>
            <w:tcW w:w="1708" w:type="dxa"/>
            <w:tcBorders>
              <w:top w:val="single" w:sz="4" w:space="0" w:color="auto"/>
              <w:bottom w:val="single" w:sz="12" w:space="0" w:color="auto"/>
            </w:tcBorders>
            <w:shd w:val="clear" w:color="auto" w:fill="auto"/>
            <w:vAlign w:val="bottom"/>
          </w:tcPr>
          <w:p w:rsidR="009E7915" w:rsidRPr="000F7862" w:rsidRDefault="00051268" w:rsidP="009E7915">
            <w:pPr>
              <w:spacing w:before="80" w:after="80" w:line="200" w:lineRule="exact"/>
              <w:jc w:val="right"/>
              <w:rPr>
                <w:i/>
                <w:sz w:val="16"/>
                <w:lang w:val="fr-FR"/>
              </w:rPr>
            </w:pPr>
            <w:r w:rsidRPr="000F7862">
              <w:rPr>
                <w:i/>
                <w:sz w:val="16"/>
                <w:lang w:val="fr-FR"/>
              </w:rPr>
              <w:t>Loi générale sur les crédits budgétaires 2013</w:t>
            </w:r>
          </w:p>
        </w:tc>
        <w:tc>
          <w:tcPr>
            <w:tcW w:w="736" w:type="dxa"/>
            <w:tcBorders>
              <w:top w:val="single" w:sz="4" w:space="0" w:color="auto"/>
              <w:bottom w:val="single" w:sz="12" w:space="0" w:color="auto"/>
            </w:tcBorders>
            <w:shd w:val="clear" w:color="auto" w:fill="auto"/>
            <w:vAlign w:val="bottom"/>
          </w:tcPr>
          <w:p w:rsidR="009E7915" w:rsidRPr="000F7862" w:rsidRDefault="00051268" w:rsidP="00051268">
            <w:pPr>
              <w:spacing w:before="80" w:after="80" w:line="200" w:lineRule="exact"/>
              <w:jc w:val="right"/>
              <w:rPr>
                <w:i/>
                <w:sz w:val="16"/>
                <w:lang w:val="fr-FR"/>
              </w:rPr>
            </w:pPr>
            <w:r w:rsidRPr="000F7862">
              <w:rPr>
                <w:i/>
                <w:sz w:val="16"/>
                <w:lang w:val="fr-FR"/>
              </w:rPr>
              <w:t>Moyenne</w:t>
            </w:r>
          </w:p>
        </w:tc>
      </w:tr>
      <w:tr w:rsidR="009E7915" w:rsidRPr="000F7862" w:rsidTr="009346D3">
        <w:tc>
          <w:tcPr>
            <w:tcW w:w="3423" w:type="dxa"/>
            <w:tcBorders>
              <w:top w:val="single" w:sz="12" w:space="0" w:color="auto"/>
            </w:tcBorders>
            <w:shd w:val="clear" w:color="auto" w:fill="auto"/>
            <w:vAlign w:val="bottom"/>
          </w:tcPr>
          <w:p w:rsidR="009E7915" w:rsidRPr="000F7862" w:rsidRDefault="009E7915" w:rsidP="009E7915">
            <w:pPr>
              <w:spacing w:before="40" w:after="40" w:line="220" w:lineRule="exact"/>
              <w:rPr>
                <w:sz w:val="18"/>
                <w:lang w:val="fr-FR"/>
              </w:rPr>
            </w:pPr>
            <w:r w:rsidRPr="000F7862">
              <w:rPr>
                <w:sz w:val="18"/>
                <w:lang w:val="fr-FR"/>
              </w:rPr>
              <w:t>Servi</w:t>
            </w:r>
            <w:r w:rsidR="00051268" w:rsidRPr="000F7862">
              <w:rPr>
                <w:sz w:val="18"/>
                <w:lang w:val="fr-FR"/>
              </w:rPr>
              <w:t>ces sociaux</w:t>
            </w:r>
          </w:p>
        </w:tc>
        <w:tc>
          <w:tcPr>
            <w:tcW w:w="659" w:type="dxa"/>
            <w:tcBorders>
              <w:top w:val="single" w:sz="12" w:space="0" w:color="auto"/>
            </w:tcBorders>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5,1</w:t>
            </w:r>
          </w:p>
        </w:tc>
        <w:tc>
          <w:tcPr>
            <w:tcW w:w="660" w:type="dxa"/>
            <w:tcBorders>
              <w:top w:val="single" w:sz="12" w:space="0" w:color="auto"/>
            </w:tcBorders>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4,6</w:t>
            </w:r>
          </w:p>
        </w:tc>
        <w:tc>
          <w:tcPr>
            <w:tcW w:w="659" w:type="dxa"/>
            <w:tcBorders>
              <w:top w:val="single" w:sz="12" w:space="0" w:color="auto"/>
            </w:tcBorders>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5,6</w:t>
            </w:r>
          </w:p>
        </w:tc>
        <w:tc>
          <w:tcPr>
            <w:tcW w:w="660" w:type="dxa"/>
            <w:tcBorders>
              <w:top w:val="single" w:sz="12" w:space="0" w:color="auto"/>
            </w:tcBorders>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5,6</w:t>
            </w:r>
          </w:p>
        </w:tc>
        <w:tc>
          <w:tcPr>
            <w:tcW w:w="1708" w:type="dxa"/>
            <w:tcBorders>
              <w:top w:val="single" w:sz="12" w:space="0" w:color="auto"/>
            </w:tcBorders>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5,9</w:t>
            </w:r>
          </w:p>
        </w:tc>
        <w:tc>
          <w:tcPr>
            <w:tcW w:w="736" w:type="dxa"/>
            <w:tcBorders>
              <w:top w:val="single" w:sz="12" w:space="0" w:color="auto"/>
            </w:tcBorders>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5,4</w:t>
            </w:r>
          </w:p>
        </w:tc>
      </w:tr>
      <w:tr w:rsidR="009E7915" w:rsidRPr="000F7862" w:rsidTr="009346D3">
        <w:tc>
          <w:tcPr>
            <w:tcW w:w="3423" w:type="dxa"/>
            <w:shd w:val="clear" w:color="auto" w:fill="auto"/>
          </w:tcPr>
          <w:p w:rsidR="009E7915" w:rsidRPr="000F7862" w:rsidRDefault="009E7915" w:rsidP="00051268">
            <w:pPr>
              <w:spacing w:before="40" w:after="40" w:line="220" w:lineRule="exact"/>
              <w:ind w:left="170"/>
              <w:rPr>
                <w:sz w:val="18"/>
                <w:lang w:val="fr-FR"/>
              </w:rPr>
            </w:pPr>
            <w:r w:rsidRPr="000F7862">
              <w:rPr>
                <w:sz w:val="18"/>
                <w:lang w:val="fr-FR"/>
              </w:rPr>
              <w:t>Éducation, culture et perfectionnement de la main-d</w:t>
            </w:r>
            <w:r w:rsidR="00120E2E" w:rsidRPr="000F7862">
              <w:rPr>
                <w:sz w:val="18"/>
                <w:lang w:val="fr-FR"/>
              </w:rPr>
              <w:t>’</w:t>
            </w:r>
            <w:r w:rsidRPr="000F7862">
              <w:rPr>
                <w:sz w:val="18"/>
                <w:lang w:val="fr-FR"/>
              </w:rPr>
              <w:t>œuvre</w:t>
            </w:r>
          </w:p>
        </w:tc>
        <w:tc>
          <w:tcPr>
            <w:tcW w:w="659" w:type="dxa"/>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2,6</w:t>
            </w:r>
          </w:p>
        </w:tc>
        <w:tc>
          <w:tcPr>
            <w:tcW w:w="660" w:type="dxa"/>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2,5</w:t>
            </w:r>
          </w:p>
        </w:tc>
        <w:tc>
          <w:tcPr>
            <w:tcW w:w="659" w:type="dxa"/>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2,6</w:t>
            </w:r>
          </w:p>
        </w:tc>
        <w:tc>
          <w:tcPr>
            <w:tcW w:w="660" w:type="dxa"/>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2,6</w:t>
            </w:r>
          </w:p>
        </w:tc>
        <w:tc>
          <w:tcPr>
            <w:tcW w:w="1708" w:type="dxa"/>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2,8</w:t>
            </w:r>
          </w:p>
        </w:tc>
        <w:tc>
          <w:tcPr>
            <w:tcW w:w="736" w:type="dxa"/>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2,6</w:t>
            </w:r>
          </w:p>
        </w:tc>
      </w:tr>
      <w:tr w:rsidR="009E7915" w:rsidRPr="000F7862" w:rsidTr="009346D3">
        <w:tc>
          <w:tcPr>
            <w:tcW w:w="3423" w:type="dxa"/>
            <w:shd w:val="clear" w:color="auto" w:fill="auto"/>
          </w:tcPr>
          <w:p w:rsidR="009E7915" w:rsidRPr="000F7862" w:rsidRDefault="009E7915" w:rsidP="00051268">
            <w:pPr>
              <w:spacing w:before="40" w:after="40" w:line="220" w:lineRule="exact"/>
              <w:ind w:left="170"/>
              <w:rPr>
                <w:sz w:val="18"/>
                <w:lang w:val="fr-FR"/>
              </w:rPr>
            </w:pPr>
            <w:r w:rsidRPr="000F7862">
              <w:rPr>
                <w:sz w:val="18"/>
                <w:lang w:val="fr-FR"/>
              </w:rPr>
              <w:t>Santé</w:t>
            </w:r>
          </w:p>
        </w:tc>
        <w:tc>
          <w:tcPr>
            <w:tcW w:w="659" w:type="dxa"/>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0,3</w:t>
            </w:r>
          </w:p>
        </w:tc>
        <w:tc>
          <w:tcPr>
            <w:tcW w:w="660" w:type="dxa"/>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0,3</w:t>
            </w:r>
          </w:p>
        </w:tc>
        <w:tc>
          <w:tcPr>
            <w:tcW w:w="659" w:type="dxa"/>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0,4</w:t>
            </w:r>
          </w:p>
        </w:tc>
        <w:tc>
          <w:tcPr>
            <w:tcW w:w="660" w:type="dxa"/>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0,5</w:t>
            </w:r>
          </w:p>
        </w:tc>
        <w:tc>
          <w:tcPr>
            <w:tcW w:w="1708" w:type="dxa"/>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0,5</w:t>
            </w:r>
          </w:p>
        </w:tc>
        <w:tc>
          <w:tcPr>
            <w:tcW w:w="736" w:type="dxa"/>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0,4</w:t>
            </w:r>
          </w:p>
        </w:tc>
      </w:tr>
      <w:tr w:rsidR="009E7915" w:rsidRPr="000F7862" w:rsidTr="009346D3">
        <w:tc>
          <w:tcPr>
            <w:tcW w:w="3423" w:type="dxa"/>
            <w:shd w:val="clear" w:color="auto" w:fill="auto"/>
          </w:tcPr>
          <w:p w:rsidR="009E7915" w:rsidRPr="000F7862" w:rsidRDefault="009E7915" w:rsidP="00051268">
            <w:pPr>
              <w:spacing w:before="40" w:after="40" w:line="220" w:lineRule="exact"/>
              <w:ind w:left="170"/>
              <w:rPr>
                <w:sz w:val="18"/>
                <w:lang w:val="fr-FR"/>
              </w:rPr>
            </w:pPr>
            <w:r w:rsidRPr="000F7862">
              <w:rPr>
                <w:sz w:val="18"/>
                <w:lang w:val="fr-FR"/>
              </w:rPr>
              <w:t>Sécurité sociale, protection sociale et emploi</w:t>
            </w:r>
          </w:p>
        </w:tc>
        <w:tc>
          <w:tcPr>
            <w:tcW w:w="659" w:type="dxa"/>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0,9</w:t>
            </w:r>
          </w:p>
        </w:tc>
        <w:tc>
          <w:tcPr>
            <w:tcW w:w="660" w:type="dxa"/>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0,5</w:t>
            </w:r>
          </w:p>
        </w:tc>
        <w:tc>
          <w:tcPr>
            <w:tcW w:w="659" w:type="dxa"/>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1,2</w:t>
            </w:r>
          </w:p>
        </w:tc>
        <w:tc>
          <w:tcPr>
            <w:tcW w:w="660" w:type="dxa"/>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1,4</w:t>
            </w:r>
          </w:p>
        </w:tc>
        <w:tc>
          <w:tcPr>
            <w:tcW w:w="1708" w:type="dxa"/>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1,4</w:t>
            </w:r>
          </w:p>
        </w:tc>
        <w:tc>
          <w:tcPr>
            <w:tcW w:w="736" w:type="dxa"/>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1,1</w:t>
            </w:r>
          </w:p>
        </w:tc>
      </w:tr>
      <w:tr w:rsidR="009E7915" w:rsidRPr="000F7862" w:rsidTr="009346D3">
        <w:tc>
          <w:tcPr>
            <w:tcW w:w="3423" w:type="dxa"/>
            <w:shd w:val="clear" w:color="auto" w:fill="auto"/>
          </w:tcPr>
          <w:p w:rsidR="009E7915" w:rsidRPr="000F7862" w:rsidRDefault="009E7915" w:rsidP="00051268">
            <w:pPr>
              <w:spacing w:before="40" w:after="40" w:line="220" w:lineRule="exact"/>
              <w:ind w:left="170"/>
              <w:rPr>
                <w:sz w:val="18"/>
                <w:lang w:val="fr-FR"/>
              </w:rPr>
            </w:pPr>
            <w:r w:rsidRPr="000F7862">
              <w:rPr>
                <w:sz w:val="18"/>
                <w:lang w:val="fr-FR"/>
              </w:rPr>
              <w:t>Redistribution des terres (Programme de réforme agraire d</w:t>
            </w:r>
            <w:r w:rsidR="00120E2E" w:rsidRPr="000F7862">
              <w:rPr>
                <w:sz w:val="18"/>
                <w:lang w:val="fr-FR"/>
              </w:rPr>
              <w:t>’</w:t>
            </w:r>
            <w:r w:rsidRPr="000F7862">
              <w:rPr>
                <w:sz w:val="18"/>
                <w:lang w:val="fr-FR"/>
              </w:rPr>
              <w:t>ensemble)</w:t>
            </w:r>
          </w:p>
        </w:tc>
        <w:tc>
          <w:tcPr>
            <w:tcW w:w="659" w:type="dxa"/>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0,0</w:t>
            </w:r>
          </w:p>
        </w:tc>
        <w:tc>
          <w:tcPr>
            <w:tcW w:w="660" w:type="dxa"/>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0,0</w:t>
            </w:r>
          </w:p>
        </w:tc>
        <w:tc>
          <w:tcPr>
            <w:tcW w:w="659" w:type="dxa"/>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0,0</w:t>
            </w:r>
          </w:p>
        </w:tc>
        <w:tc>
          <w:tcPr>
            <w:tcW w:w="660" w:type="dxa"/>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0,0</w:t>
            </w:r>
          </w:p>
        </w:tc>
        <w:tc>
          <w:tcPr>
            <w:tcW w:w="1708" w:type="dxa"/>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0,0</w:t>
            </w:r>
          </w:p>
        </w:tc>
        <w:tc>
          <w:tcPr>
            <w:tcW w:w="736" w:type="dxa"/>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0,0</w:t>
            </w:r>
          </w:p>
        </w:tc>
      </w:tr>
      <w:tr w:rsidR="009E7915" w:rsidRPr="000F7862" w:rsidTr="009346D3">
        <w:tc>
          <w:tcPr>
            <w:tcW w:w="3423" w:type="dxa"/>
            <w:shd w:val="clear" w:color="auto" w:fill="auto"/>
          </w:tcPr>
          <w:p w:rsidR="009E7915" w:rsidRPr="000F7862" w:rsidRDefault="009E7915" w:rsidP="00051268">
            <w:pPr>
              <w:spacing w:before="40" w:after="40" w:line="220" w:lineRule="exact"/>
              <w:ind w:left="170"/>
              <w:rPr>
                <w:sz w:val="18"/>
                <w:lang w:val="fr-FR"/>
              </w:rPr>
            </w:pPr>
            <w:r w:rsidRPr="000F7862">
              <w:rPr>
                <w:sz w:val="18"/>
                <w:lang w:val="fr-FR"/>
              </w:rPr>
              <w:t>Logement et développement communautaire</w:t>
            </w:r>
          </w:p>
        </w:tc>
        <w:tc>
          <w:tcPr>
            <w:tcW w:w="659" w:type="dxa"/>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0,1</w:t>
            </w:r>
          </w:p>
        </w:tc>
        <w:tc>
          <w:tcPr>
            <w:tcW w:w="660" w:type="dxa"/>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0,1</w:t>
            </w:r>
          </w:p>
        </w:tc>
        <w:tc>
          <w:tcPr>
            <w:tcW w:w="659" w:type="dxa"/>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0,2</w:t>
            </w:r>
          </w:p>
        </w:tc>
        <w:tc>
          <w:tcPr>
            <w:tcW w:w="660" w:type="dxa"/>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0,1</w:t>
            </w:r>
          </w:p>
        </w:tc>
        <w:tc>
          <w:tcPr>
            <w:tcW w:w="1708" w:type="dxa"/>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0,2</w:t>
            </w:r>
          </w:p>
        </w:tc>
        <w:tc>
          <w:tcPr>
            <w:tcW w:w="736" w:type="dxa"/>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0,1</w:t>
            </w:r>
          </w:p>
        </w:tc>
      </w:tr>
      <w:tr w:rsidR="009E7915" w:rsidRPr="000F7862" w:rsidTr="009346D3">
        <w:tc>
          <w:tcPr>
            <w:tcW w:w="3423" w:type="dxa"/>
            <w:shd w:val="clear" w:color="auto" w:fill="auto"/>
          </w:tcPr>
          <w:p w:rsidR="009E7915" w:rsidRPr="000F7862" w:rsidRDefault="009E7915" w:rsidP="00051268">
            <w:pPr>
              <w:spacing w:before="40" w:after="40" w:line="220" w:lineRule="exact"/>
              <w:ind w:left="170"/>
              <w:rPr>
                <w:sz w:val="18"/>
                <w:lang w:val="fr-FR"/>
              </w:rPr>
            </w:pPr>
            <w:r w:rsidRPr="000F7862">
              <w:rPr>
                <w:sz w:val="18"/>
                <w:lang w:val="fr-FR"/>
              </w:rPr>
              <w:t>Autres dépenses sociales</w:t>
            </w:r>
          </w:p>
        </w:tc>
        <w:tc>
          <w:tcPr>
            <w:tcW w:w="659" w:type="dxa"/>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0,0</w:t>
            </w:r>
          </w:p>
        </w:tc>
        <w:tc>
          <w:tcPr>
            <w:tcW w:w="660" w:type="dxa"/>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0,0</w:t>
            </w:r>
          </w:p>
        </w:tc>
        <w:tc>
          <w:tcPr>
            <w:tcW w:w="659" w:type="dxa"/>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0,0</w:t>
            </w:r>
          </w:p>
        </w:tc>
        <w:tc>
          <w:tcPr>
            <w:tcW w:w="660" w:type="dxa"/>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0,0</w:t>
            </w:r>
          </w:p>
        </w:tc>
        <w:tc>
          <w:tcPr>
            <w:tcW w:w="1708" w:type="dxa"/>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0,0</w:t>
            </w:r>
          </w:p>
        </w:tc>
        <w:tc>
          <w:tcPr>
            <w:tcW w:w="736" w:type="dxa"/>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0,0</w:t>
            </w:r>
          </w:p>
        </w:tc>
      </w:tr>
      <w:tr w:rsidR="009E7915" w:rsidRPr="000F7862" w:rsidTr="009346D3">
        <w:tc>
          <w:tcPr>
            <w:tcW w:w="3423" w:type="dxa"/>
            <w:tcBorders>
              <w:bottom w:val="single" w:sz="4" w:space="0" w:color="auto"/>
            </w:tcBorders>
            <w:shd w:val="clear" w:color="auto" w:fill="auto"/>
          </w:tcPr>
          <w:p w:rsidR="009E7915" w:rsidRPr="000F7862" w:rsidRDefault="009E7915" w:rsidP="00051268">
            <w:pPr>
              <w:spacing w:before="40" w:after="40" w:line="220" w:lineRule="exact"/>
              <w:ind w:left="170"/>
              <w:rPr>
                <w:sz w:val="18"/>
                <w:lang w:val="fr-FR"/>
              </w:rPr>
            </w:pPr>
            <w:r w:rsidRPr="000F7862">
              <w:rPr>
                <w:sz w:val="18"/>
                <w:lang w:val="fr-FR"/>
              </w:rPr>
              <w:t>Subventions aux organes administratifs locaux</w:t>
            </w:r>
          </w:p>
        </w:tc>
        <w:tc>
          <w:tcPr>
            <w:tcW w:w="659" w:type="dxa"/>
            <w:tcBorders>
              <w:bottom w:val="single" w:sz="4" w:space="0" w:color="auto"/>
            </w:tcBorders>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1,2</w:t>
            </w:r>
          </w:p>
        </w:tc>
        <w:tc>
          <w:tcPr>
            <w:tcW w:w="660" w:type="dxa"/>
            <w:tcBorders>
              <w:bottom w:val="single" w:sz="4" w:space="0" w:color="auto"/>
            </w:tcBorders>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1,1</w:t>
            </w:r>
          </w:p>
        </w:tc>
        <w:tc>
          <w:tcPr>
            <w:tcW w:w="659" w:type="dxa"/>
            <w:tcBorders>
              <w:bottom w:val="single" w:sz="4" w:space="0" w:color="auto"/>
            </w:tcBorders>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1,1</w:t>
            </w:r>
          </w:p>
        </w:tc>
        <w:tc>
          <w:tcPr>
            <w:tcW w:w="660" w:type="dxa"/>
            <w:tcBorders>
              <w:bottom w:val="single" w:sz="4" w:space="0" w:color="auto"/>
            </w:tcBorders>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1,0</w:t>
            </w:r>
          </w:p>
        </w:tc>
        <w:tc>
          <w:tcPr>
            <w:tcW w:w="1708" w:type="dxa"/>
            <w:tcBorders>
              <w:bottom w:val="single" w:sz="4" w:space="0" w:color="auto"/>
            </w:tcBorders>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0,9</w:t>
            </w:r>
          </w:p>
        </w:tc>
        <w:tc>
          <w:tcPr>
            <w:tcW w:w="736" w:type="dxa"/>
            <w:tcBorders>
              <w:bottom w:val="single" w:sz="4" w:space="0" w:color="auto"/>
            </w:tcBorders>
            <w:shd w:val="clear" w:color="auto" w:fill="auto"/>
            <w:vAlign w:val="bottom"/>
          </w:tcPr>
          <w:p w:rsidR="009E7915" w:rsidRPr="000F7862" w:rsidRDefault="009E7915" w:rsidP="009E7915">
            <w:pPr>
              <w:spacing w:before="40" w:after="40" w:line="220" w:lineRule="exact"/>
              <w:jc w:val="right"/>
              <w:rPr>
                <w:sz w:val="18"/>
                <w:lang w:val="fr-FR"/>
              </w:rPr>
            </w:pPr>
            <w:r w:rsidRPr="000F7862">
              <w:rPr>
                <w:sz w:val="18"/>
                <w:lang w:val="fr-FR"/>
              </w:rPr>
              <w:t>1,0</w:t>
            </w:r>
          </w:p>
        </w:tc>
      </w:tr>
      <w:tr w:rsidR="009E7915" w:rsidRPr="000F7862" w:rsidTr="009346D3">
        <w:tc>
          <w:tcPr>
            <w:tcW w:w="3423" w:type="dxa"/>
            <w:tcBorders>
              <w:top w:val="single" w:sz="4" w:space="0" w:color="auto"/>
              <w:bottom w:val="single" w:sz="12" w:space="0" w:color="auto"/>
            </w:tcBorders>
            <w:shd w:val="clear" w:color="auto" w:fill="auto"/>
            <w:vAlign w:val="bottom"/>
          </w:tcPr>
          <w:p w:rsidR="009E7915" w:rsidRPr="000F7862" w:rsidRDefault="00051268" w:rsidP="009E7915">
            <w:pPr>
              <w:spacing w:before="80" w:after="80" w:line="220" w:lineRule="exact"/>
              <w:ind w:left="284"/>
              <w:rPr>
                <w:b/>
                <w:sz w:val="18"/>
                <w:lang w:val="fr-FR"/>
              </w:rPr>
            </w:pPr>
            <w:r w:rsidRPr="000F7862">
              <w:rPr>
                <w:b/>
                <w:sz w:val="18"/>
                <w:lang w:val="fr-FR"/>
              </w:rPr>
              <w:t xml:space="preserve">Poste pour mémoire: </w:t>
            </w:r>
            <w:r w:rsidR="00C75DBD" w:rsidRPr="000F7862">
              <w:rPr>
                <w:b/>
                <w:sz w:val="18"/>
                <w:lang w:val="fr-FR"/>
              </w:rPr>
              <w:br/>
            </w:r>
            <w:r w:rsidRPr="000F7862">
              <w:rPr>
                <w:b/>
                <w:sz w:val="18"/>
                <w:lang w:val="fr-FR"/>
              </w:rPr>
              <w:t>PIB nominal en milliards de pesos</w:t>
            </w:r>
          </w:p>
        </w:tc>
        <w:tc>
          <w:tcPr>
            <w:tcW w:w="659" w:type="dxa"/>
            <w:tcBorders>
              <w:top w:val="single" w:sz="4" w:space="0" w:color="auto"/>
              <w:bottom w:val="single" w:sz="12" w:space="0" w:color="auto"/>
            </w:tcBorders>
            <w:shd w:val="clear" w:color="auto" w:fill="auto"/>
            <w:vAlign w:val="bottom"/>
          </w:tcPr>
          <w:p w:rsidR="009E7915" w:rsidRPr="000F7862" w:rsidRDefault="009E7915" w:rsidP="009E7915">
            <w:pPr>
              <w:spacing w:before="80" w:after="80" w:line="220" w:lineRule="exact"/>
              <w:jc w:val="right"/>
              <w:rPr>
                <w:b/>
                <w:sz w:val="18"/>
                <w:lang w:val="fr-FR"/>
              </w:rPr>
            </w:pPr>
            <w:r w:rsidRPr="000F7862">
              <w:rPr>
                <w:b/>
                <w:sz w:val="18"/>
                <w:lang w:val="fr-FR"/>
              </w:rPr>
              <w:t>8 026</w:t>
            </w:r>
          </w:p>
        </w:tc>
        <w:tc>
          <w:tcPr>
            <w:tcW w:w="660" w:type="dxa"/>
            <w:tcBorders>
              <w:top w:val="single" w:sz="4" w:space="0" w:color="auto"/>
              <w:bottom w:val="single" w:sz="12" w:space="0" w:color="auto"/>
            </w:tcBorders>
            <w:shd w:val="clear" w:color="auto" w:fill="auto"/>
            <w:vAlign w:val="bottom"/>
          </w:tcPr>
          <w:p w:rsidR="009E7915" w:rsidRPr="000F7862" w:rsidRDefault="009E7915" w:rsidP="009E7915">
            <w:pPr>
              <w:spacing w:before="80" w:after="80" w:line="220" w:lineRule="exact"/>
              <w:jc w:val="right"/>
              <w:rPr>
                <w:b/>
                <w:sz w:val="18"/>
                <w:lang w:val="fr-FR"/>
              </w:rPr>
            </w:pPr>
            <w:r w:rsidRPr="000F7862">
              <w:rPr>
                <w:b/>
                <w:sz w:val="18"/>
                <w:lang w:val="fr-FR"/>
              </w:rPr>
              <w:t>9 003</w:t>
            </w:r>
          </w:p>
        </w:tc>
        <w:tc>
          <w:tcPr>
            <w:tcW w:w="659" w:type="dxa"/>
            <w:tcBorders>
              <w:top w:val="single" w:sz="4" w:space="0" w:color="auto"/>
              <w:bottom w:val="single" w:sz="12" w:space="0" w:color="auto"/>
            </w:tcBorders>
            <w:shd w:val="clear" w:color="auto" w:fill="auto"/>
            <w:vAlign w:val="bottom"/>
          </w:tcPr>
          <w:p w:rsidR="009E7915" w:rsidRPr="000F7862" w:rsidRDefault="009E7915" w:rsidP="009E7915">
            <w:pPr>
              <w:spacing w:before="80" w:after="80" w:line="220" w:lineRule="exact"/>
              <w:jc w:val="right"/>
              <w:rPr>
                <w:b/>
                <w:sz w:val="18"/>
                <w:lang w:val="fr-FR"/>
              </w:rPr>
            </w:pPr>
            <w:r w:rsidRPr="000F7862">
              <w:rPr>
                <w:b/>
                <w:sz w:val="18"/>
                <w:lang w:val="fr-FR"/>
              </w:rPr>
              <w:t>9 706</w:t>
            </w:r>
          </w:p>
        </w:tc>
        <w:tc>
          <w:tcPr>
            <w:tcW w:w="660" w:type="dxa"/>
            <w:tcBorders>
              <w:top w:val="single" w:sz="4" w:space="0" w:color="auto"/>
              <w:bottom w:val="single" w:sz="12" w:space="0" w:color="auto"/>
            </w:tcBorders>
            <w:shd w:val="clear" w:color="auto" w:fill="auto"/>
            <w:vAlign w:val="bottom"/>
          </w:tcPr>
          <w:p w:rsidR="009E7915" w:rsidRPr="000F7862" w:rsidRDefault="009E7915" w:rsidP="009E7915">
            <w:pPr>
              <w:spacing w:before="80" w:after="80" w:line="220" w:lineRule="exact"/>
              <w:jc w:val="right"/>
              <w:rPr>
                <w:b/>
                <w:sz w:val="18"/>
                <w:lang w:val="fr-FR"/>
              </w:rPr>
            </w:pPr>
            <w:r w:rsidRPr="000F7862">
              <w:rPr>
                <w:b/>
                <w:sz w:val="18"/>
                <w:lang w:val="fr-FR"/>
              </w:rPr>
              <w:t>10 565</w:t>
            </w:r>
          </w:p>
        </w:tc>
        <w:tc>
          <w:tcPr>
            <w:tcW w:w="1708" w:type="dxa"/>
            <w:tcBorders>
              <w:top w:val="single" w:sz="4" w:space="0" w:color="auto"/>
              <w:bottom w:val="single" w:sz="12" w:space="0" w:color="auto"/>
            </w:tcBorders>
            <w:shd w:val="clear" w:color="auto" w:fill="auto"/>
            <w:vAlign w:val="bottom"/>
          </w:tcPr>
          <w:p w:rsidR="009E7915" w:rsidRPr="000F7862" w:rsidRDefault="009E7915" w:rsidP="009E7915">
            <w:pPr>
              <w:spacing w:before="80" w:after="80" w:line="220" w:lineRule="exact"/>
              <w:jc w:val="right"/>
              <w:rPr>
                <w:b/>
                <w:sz w:val="18"/>
                <w:lang w:val="fr-FR"/>
              </w:rPr>
            </w:pPr>
            <w:r w:rsidRPr="000F7862">
              <w:rPr>
                <w:b/>
                <w:sz w:val="18"/>
                <w:lang w:val="fr-FR"/>
              </w:rPr>
              <w:t>11 952</w:t>
            </w:r>
          </w:p>
        </w:tc>
        <w:tc>
          <w:tcPr>
            <w:tcW w:w="736" w:type="dxa"/>
            <w:tcBorders>
              <w:top w:val="single" w:sz="4" w:space="0" w:color="auto"/>
              <w:bottom w:val="single" w:sz="12" w:space="0" w:color="auto"/>
            </w:tcBorders>
            <w:shd w:val="clear" w:color="auto" w:fill="auto"/>
            <w:vAlign w:val="bottom"/>
          </w:tcPr>
          <w:p w:rsidR="009E7915" w:rsidRPr="000F7862" w:rsidRDefault="009E7915" w:rsidP="009E7915">
            <w:pPr>
              <w:spacing w:before="80" w:after="80" w:line="220" w:lineRule="exact"/>
              <w:jc w:val="right"/>
              <w:rPr>
                <w:b/>
                <w:sz w:val="18"/>
                <w:lang w:val="fr-FR"/>
              </w:rPr>
            </w:pPr>
          </w:p>
        </w:tc>
      </w:tr>
    </w:tbl>
    <w:p w:rsidR="0086185C" w:rsidRPr="000F7862" w:rsidRDefault="00FD0FD7" w:rsidP="00FD0FD7">
      <w:pPr>
        <w:pStyle w:val="H23G"/>
        <w:rPr>
          <w:lang w:val="fr-FR"/>
        </w:rPr>
      </w:pPr>
      <w:r w:rsidRPr="000F7862">
        <w:rPr>
          <w:lang w:val="fr-FR"/>
        </w:rPr>
        <w:tab/>
      </w:r>
      <w:r w:rsidRPr="000F7862">
        <w:rPr>
          <w:lang w:val="fr-FR"/>
        </w:rPr>
        <w:tab/>
      </w:r>
      <w:r w:rsidR="0086185C" w:rsidRPr="000F7862">
        <w:rPr>
          <w:lang w:val="fr-FR"/>
        </w:rPr>
        <w:t>Protection</w:t>
      </w:r>
      <w:r w:rsidR="00736CE3" w:rsidRPr="000F7862">
        <w:rPr>
          <w:lang w:val="fr-FR"/>
        </w:rPr>
        <w:t xml:space="preserve"> sociale</w:t>
      </w:r>
    </w:p>
    <w:p w:rsidR="0086185C" w:rsidRPr="000F7862" w:rsidRDefault="003F7F57" w:rsidP="009B71DB">
      <w:pPr>
        <w:pStyle w:val="SingleTxtG"/>
        <w:rPr>
          <w:lang w:val="fr-FR"/>
        </w:rPr>
      </w:pPr>
      <w:r w:rsidRPr="000F7862">
        <w:rPr>
          <w:lang w:val="fr-FR"/>
        </w:rPr>
        <w:t>29.</w:t>
      </w:r>
      <w:r w:rsidRPr="000F7862">
        <w:rPr>
          <w:lang w:val="fr-FR"/>
        </w:rPr>
        <w:tab/>
      </w:r>
      <w:r w:rsidR="00736CE3" w:rsidRPr="000F7862">
        <w:rPr>
          <w:lang w:val="fr-FR"/>
        </w:rPr>
        <w:t xml:space="preserve">Le Programme de transferts conditionnels en espèces du pays, ou </w:t>
      </w:r>
      <w:r w:rsidR="00F26EE3" w:rsidRPr="000F7862">
        <w:rPr>
          <w:iCs/>
          <w:lang w:val="fr-FR"/>
        </w:rPr>
        <w:t xml:space="preserve">Programme </w:t>
      </w:r>
      <w:r w:rsidR="0086185C" w:rsidRPr="000F7862">
        <w:rPr>
          <w:iCs/>
          <w:lang w:val="fr-FR"/>
        </w:rPr>
        <w:t>Pantawid Pamilya</w:t>
      </w:r>
      <w:r w:rsidR="00172149" w:rsidRPr="000F7862">
        <w:rPr>
          <w:iCs/>
          <w:lang w:val="fr-FR"/>
        </w:rPr>
        <w:t>,</w:t>
      </w:r>
      <w:r w:rsidR="0086185C" w:rsidRPr="000F7862">
        <w:rPr>
          <w:iCs/>
          <w:lang w:val="fr-FR"/>
        </w:rPr>
        <w:t xml:space="preserve"> </w:t>
      </w:r>
      <w:r w:rsidR="00736CE3" w:rsidRPr="000F7862">
        <w:rPr>
          <w:iCs/>
          <w:lang w:val="fr-FR"/>
        </w:rPr>
        <w:t xml:space="preserve">vise à aider les familles </w:t>
      </w:r>
      <w:r w:rsidR="00717F26" w:rsidRPr="000F7862">
        <w:rPr>
          <w:iCs/>
          <w:lang w:val="fr-FR"/>
        </w:rPr>
        <w:t>démunies</w:t>
      </w:r>
      <w:r w:rsidR="00736CE3" w:rsidRPr="000F7862">
        <w:rPr>
          <w:iCs/>
          <w:lang w:val="fr-FR"/>
        </w:rPr>
        <w:t xml:space="preserve"> à </w:t>
      </w:r>
      <w:r w:rsidR="00736CE3" w:rsidRPr="000F7862">
        <w:rPr>
          <w:lang w:val="fr-FR"/>
        </w:rPr>
        <w:t xml:space="preserve">rompre le cycle intergénérationnel de la pauvreté. Une subvention </w:t>
      </w:r>
      <w:r w:rsidR="00F07CBA" w:rsidRPr="000F7862">
        <w:rPr>
          <w:lang w:val="fr-FR"/>
        </w:rPr>
        <w:t>en espèces d</w:t>
      </w:r>
      <w:r w:rsidR="00120E2E" w:rsidRPr="000F7862">
        <w:rPr>
          <w:lang w:val="fr-FR"/>
        </w:rPr>
        <w:t>’</w:t>
      </w:r>
      <w:r w:rsidR="00F07CBA" w:rsidRPr="000F7862">
        <w:rPr>
          <w:lang w:val="fr-FR"/>
        </w:rPr>
        <w:t xml:space="preserve">un montant moyen de 1 400 pesos est versée chaque mois aux familles démunies </w:t>
      </w:r>
      <w:r w:rsidR="0086185C" w:rsidRPr="000F7862">
        <w:rPr>
          <w:lang w:val="fr-FR"/>
        </w:rPr>
        <w:t>identifi</w:t>
      </w:r>
      <w:r w:rsidR="00F07CBA" w:rsidRPr="000F7862">
        <w:rPr>
          <w:lang w:val="fr-FR"/>
        </w:rPr>
        <w:t>é</w:t>
      </w:r>
      <w:r w:rsidR="0086185C" w:rsidRPr="000F7862">
        <w:rPr>
          <w:lang w:val="fr-FR"/>
        </w:rPr>
        <w:t>e</w:t>
      </w:r>
      <w:r w:rsidR="00F07CBA" w:rsidRPr="000F7862">
        <w:rPr>
          <w:lang w:val="fr-FR"/>
        </w:rPr>
        <w:t xml:space="preserve">s par le </w:t>
      </w:r>
      <w:r w:rsidR="00F07CBA" w:rsidRPr="000F7862">
        <w:rPr>
          <w:color w:val="000000"/>
          <w:lang w:val="fr-FR"/>
        </w:rPr>
        <w:t>Système national d</w:t>
      </w:r>
      <w:r w:rsidR="00120E2E" w:rsidRPr="000F7862">
        <w:rPr>
          <w:color w:val="000000"/>
          <w:lang w:val="fr-FR"/>
        </w:rPr>
        <w:t>’</w:t>
      </w:r>
      <w:r w:rsidR="00F07CBA" w:rsidRPr="000F7862">
        <w:rPr>
          <w:color w:val="000000"/>
          <w:lang w:val="fr-FR"/>
        </w:rPr>
        <w:t>identification des ménages</w:t>
      </w:r>
      <w:r w:rsidR="0086185C" w:rsidRPr="000F7862">
        <w:rPr>
          <w:lang w:val="fr-FR"/>
        </w:rPr>
        <w:t xml:space="preserve"> </w:t>
      </w:r>
      <w:r w:rsidR="00F07CBA" w:rsidRPr="000F7862">
        <w:rPr>
          <w:lang w:val="fr-FR"/>
        </w:rPr>
        <w:t>du Ministère de la protection s</w:t>
      </w:r>
      <w:r w:rsidR="0086185C" w:rsidRPr="000F7862">
        <w:rPr>
          <w:lang w:val="fr-FR"/>
        </w:rPr>
        <w:t>ocial</w:t>
      </w:r>
      <w:r w:rsidR="00F07CBA" w:rsidRPr="000F7862">
        <w:rPr>
          <w:lang w:val="fr-FR"/>
        </w:rPr>
        <w:t>e et du développement</w:t>
      </w:r>
      <w:r w:rsidR="0086185C" w:rsidRPr="000F7862">
        <w:rPr>
          <w:lang w:val="fr-FR"/>
        </w:rPr>
        <w:t>.</w:t>
      </w:r>
      <w:r w:rsidR="00446EA5" w:rsidRPr="000F7862">
        <w:rPr>
          <w:lang w:val="fr-FR"/>
        </w:rPr>
        <w:t xml:space="preserve"> </w:t>
      </w:r>
      <w:r w:rsidR="00F07CBA" w:rsidRPr="000F7862">
        <w:rPr>
          <w:lang w:val="fr-FR"/>
        </w:rPr>
        <w:t>Ces familles ont droit à cette subvention si les conditions ci-après sont remplies</w:t>
      </w:r>
      <w:r w:rsidR="0005004C" w:rsidRPr="000F7862">
        <w:rPr>
          <w:lang w:val="fr-FR"/>
        </w:rPr>
        <w:t>:</w:t>
      </w:r>
      <w:r w:rsidR="0086185C" w:rsidRPr="000F7862">
        <w:rPr>
          <w:lang w:val="fr-FR"/>
        </w:rPr>
        <w:t xml:space="preserve"> </w:t>
      </w:r>
      <w:r w:rsidR="00172149" w:rsidRPr="000F7862">
        <w:rPr>
          <w:lang w:val="fr-FR"/>
        </w:rPr>
        <w:t>a</w:t>
      </w:r>
      <w:r w:rsidR="0086185C" w:rsidRPr="000F7862">
        <w:rPr>
          <w:lang w:val="fr-FR"/>
        </w:rPr>
        <w:t>)</w:t>
      </w:r>
      <w:r w:rsidR="009561C6" w:rsidRPr="000F7862">
        <w:rPr>
          <w:lang w:val="fr-FR"/>
        </w:rPr>
        <w:t> </w:t>
      </w:r>
      <w:r w:rsidR="00F07CBA" w:rsidRPr="000F7862">
        <w:rPr>
          <w:lang w:val="fr-FR"/>
        </w:rPr>
        <w:t xml:space="preserve">les enfants de la famille suivent au moins </w:t>
      </w:r>
      <w:r w:rsidR="0086185C" w:rsidRPr="000F7862">
        <w:rPr>
          <w:lang w:val="fr-FR"/>
        </w:rPr>
        <w:t>85</w:t>
      </w:r>
      <w:r w:rsidR="00F07CBA" w:rsidRPr="000F7862">
        <w:rPr>
          <w:lang w:val="fr-FR"/>
        </w:rPr>
        <w:t>,</w:t>
      </w:r>
      <w:r w:rsidR="0086185C" w:rsidRPr="000F7862">
        <w:rPr>
          <w:lang w:val="fr-FR"/>
        </w:rPr>
        <w:t>0</w:t>
      </w:r>
      <w:r w:rsidR="00DC1196" w:rsidRPr="000F7862">
        <w:rPr>
          <w:lang w:val="fr-FR"/>
        </w:rPr>
        <w:t> %</w:t>
      </w:r>
      <w:r w:rsidR="0086185C" w:rsidRPr="000F7862">
        <w:rPr>
          <w:lang w:val="fr-FR"/>
        </w:rPr>
        <w:t xml:space="preserve"> </w:t>
      </w:r>
      <w:r w:rsidR="00F07CBA" w:rsidRPr="000F7862">
        <w:rPr>
          <w:lang w:val="fr-FR"/>
        </w:rPr>
        <w:t>de leurs cours</w:t>
      </w:r>
      <w:r w:rsidR="0086185C" w:rsidRPr="000F7862">
        <w:rPr>
          <w:lang w:val="fr-FR"/>
        </w:rPr>
        <w:t xml:space="preserve">, </w:t>
      </w:r>
      <w:r w:rsidR="00172149" w:rsidRPr="000F7862">
        <w:rPr>
          <w:lang w:val="fr-FR"/>
        </w:rPr>
        <w:t>b</w:t>
      </w:r>
      <w:r w:rsidR="0086185C" w:rsidRPr="000F7862">
        <w:rPr>
          <w:lang w:val="fr-FR"/>
        </w:rPr>
        <w:t>)</w:t>
      </w:r>
      <w:r w:rsidR="009561C6" w:rsidRPr="000F7862">
        <w:rPr>
          <w:lang w:val="fr-FR"/>
        </w:rPr>
        <w:t> </w:t>
      </w:r>
      <w:r w:rsidR="00F07CBA" w:rsidRPr="000F7862">
        <w:rPr>
          <w:lang w:val="fr-FR"/>
        </w:rPr>
        <w:t>les enfants sont régulièrement vaccinés</w:t>
      </w:r>
      <w:r w:rsidR="0086185C" w:rsidRPr="000F7862">
        <w:rPr>
          <w:lang w:val="fr-FR"/>
        </w:rPr>
        <w:t xml:space="preserve">; </w:t>
      </w:r>
      <w:r w:rsidR="00F07CBA" w:rsidRPr="000F7862">
        <w:rPr>
          <w:lang w:val="fr-FR"/>
        </w:rPr>
        <w:t>et</w:t>
      </w:r>
      <w:r w:rsidR="0086185C" w:rsidRPr="000F7862">
        <w:rPr>
          <w:lang w:val="fr-FR"/>
        </w:rPr>
        <w:t xml:space="preserve"> </w:t>
      </w:r>
      <w:r w:rsidR="00172149" w:rsidRPr="000F7862">
        <w:rPr>
          <w:lang w:val="fr-FR"/>
        </w:rPr>
        <w:t>c</w:t>
      </w:r>
      <w:r w:rsidR="0086185C" w:rsidRPr="000F7862">
        <w:rPr>
          <w:lang w:val="fr-FR"/>
        </w:rPr>
        <w:t>)</w:t>
      </w:r>
      <w:r w:rsidR="009561C6" w:rsidRPr="000F7862">
        <w:rPr>
          <w:lang w:val="fr-FR"/>
        </w:rPr>
        <w:t> </w:t>
      </w:r>
      <w:r w:rsidR="0060675D" w:rsidRPr="000F7862">
        <w:rPr>
          <w:lang w:val="fr-FR"/>
        </w:rPr>
        <w:t>la mère utilise</w:t>
      </w:r>
      <w:r w:rsidR="00F07CBA" w:rsidRPr="000F7862">
        <w:rPr>
          <w:lang w:val="fr-FR"/>
        </w:rPr>
        <w:t xml:space="preserve"> les services de santé maternelle</w:t>
      </w:r>
      <w:r w:rsidR="0086185C" w:rsidRPr="000F7862">
        <w:rPr>
          <w:lang w:val="fr-FR"/>
        </w:rPr>
        <w:t>.</w:t>
      </w:r>
      <w:r w:rsidR="00446EA5" w:rsidRPr="000F7862">
        <w:rPr>
          <w:lang w:val="fr-FR"/>
        </w:rPr>
        <w:t xml:space="preserve"> </w:t>
      </w:r>
      <w:r w:rsidR="00F07CBA" w:rsidRPr="000F7862">
        <w:rPr>
          <w:lang w:val="fr-FR"/>
        </w:rPr>
        <w:t>Aux fins de l</w:t>
      </w:r>
      <w:r w:rsidR="00120E2E" w:rsidRPr="000F7862">
        <w:rPr>
          <w:lang w:val="fr-FR"/>
        </w:rPr>
        <w:t>’</w:t>
      </w:r>
      <w:r w:rsidR="00F07CBA" w:rsidRPr="000F7862">
        <w:rPr>
          <w:lang w:val="fr-FR"/>
        </w:rPr>
        <w:t xml:space="preserve">exécution du </w:t>
      </w:r>
      <w:r w:rsidR="00867E43" w:rsidRPr="000F7862">
        <w:rPr>
          <w:lang w:val="fr-FR"/>
        </w:rPr>
        <w:t>programme</w:t>
      </w:r>
      <w:r w:rsidR="0086185C" w:rsidRPr="000F7862">
        <w:rPr>
          <w:lang w:val="fr-FR"/>
        </w:rPr>
        <w:t xml:space="preserve"> </w:t>
      </w:r>
      <w:r w:rsidR="00F07CBA" w:rsidRPr="000F7862">
        <w:rPr>
          <w:lang w:val="fr-FR"/>
        </w:rPr>
        <w:t>e</w:t>
      </w:r>
      <w:r w:rsidR="0086185C" w:rsidRPr="000F7862">
        <w:rPr>
          <w:lang w:val="fr-FR"/>
        </w:rPr>
        <w:t xml:space="preserve">n 2013, </w:t>
      </w:r>
      <w:r w:rsidR="00F07CBA" w:rsidRPr="000F7862">
        <w:rPr>
          <w:lang w:val="fr-FR"/>
        </w:rPr>
        <w:t>l</w:t>
      </w:r>
      <w:r w:rsidR="00120E2E" w:rsidRPr="000F7862">
        <w:rPr>
          <w:lang w:val="fr-FR"/>
        </w:rPr>
        <w:t>’</w:t>
      </w:r>
      <w:r w:rsidR="00F07CBA" w:rsidRPr="000F7862">
        <w:rPr>
          <w:lang w:val="fr-FR"/>
        </w:rPr>
        <w:t xml:space="preserve">État a alloué environ </w:t>
      </w:r>
      <w:r w:rsidR="0086185C" w:rsidRPr="000F7862">
        <w:rPr>
          <w:lang w:val="fr-FR"/>
        </w:rPr>
        <w:t>44</w:t>
      </w:r>
      <w:r w:rsidR="00F07CBA" w:rsidRPr="000F7862">
        <w:rPr>
          <w:lang w:val="fr-FR"/>
        </w:rPr>
        <w:t>,</w:t>
      </w:r>
      <w:r w:rsidR="0086185C" w:rsidRPr="000F7862">
        <w:rPr>
          <w:lang w:val="fr-FR"/>
        </w:rPr>
        <w:t>3</w:t>
      </w:r>
      <w:r w:rsidR="009561C6" w:rsidRPr="000F7862">
        <w:rPr>
          <w:lang w:val="fr-FR"/>
        </w:rPr>
        <w:t> </w:t>
      </w:r>
      <w:r w:rsidR="00F07CBA" w:rsidRPr="000F7862">
        <w:rPr>
          <w:lang w:val="fr-FR"/>
        </w:rPr>
        <w:t xml:space="preserve">milliards de pesos dont ont bénéficié quelque </w:t>
      </w:r>
      <w:r w:rsidR="0086185C" w:rsidRPr="000F7862">
        <w:rPr>
          <w:lang w:val="fr-FR"/>
        </w:rPr>
        <w:t>3</w:t>
      </w:r>
      <w:r w:rsidR="00F07CBA" w:rsidRPr="000F7862">
        <w:rPr>
          <w:lang w:val="fr-FR"/>
        </w:rPr>
        <w:t>,</w:t>
      </w:r>
      <w:r w:rsidR="0086185C" w:rsidRPr="000F7862">
        <w:rPr>
          <w:lang w:val="fr-FR"/>
        </w:rPr>
        <w:t>8</w:t>
      </w:r>
      <w:r w:rsidR="009561C6" w:rsidRPr="000F7862">
        <w:rPr>
          <w:lang w:val="fr-FR"/>
        </w:rPr>
        <w:t> </w:t>
      </w:r>
      <w:r w:rsidR="0086185C" w:rsidRPr="000F7862">
        <w:rPr>
          <w:lang w:val="fr-FR"/>
        </w:rPr>
        <w:t>million</w:t>
      </w:r>
      <w:r w:rsidR="00F07CBA" w:rsidRPr="000F7862">
        <w:rPr>
          <w:lang w:val="fr-FR"/>
        </w:rPr>
        <w:t>s</w:t>
      </w:r>
      <w:r w:rsidR="0086185C" w:rsidRPr="000F7862">
        <w:rPr>
          <w:lang w:val="fr-FR"/>
        </w:rPr>
        <w:t xml:space="preserve"> </w:t>
      </w:r>
      <w:r w:rsidR="00F07CBA" w:rsidRPr="000F7862">
        <w:rPr>
          <w:lang w:val="fr-FR"/>
        </w:rPr>
        <w:t>de ménages</w:t>
      </w:r>
      <w:r w:rsidR="0086185C" w:rsidRPr="000F7862">
        <w:rPr>
          <w:lang w:val="fr-FR"/>
        </w:rPr>
        <w:t>.</w:t>
      </w:r>
      <w:r w:rsidR="00446EA5" w:rsidRPr="000F7862">
        <w:rPr>
          <w:lang w:val="fr-FR"/>
        </w:rPr>
        <w:t xml:space="preserve"> </w:t>
      </w:r>
      <w:r w:rsidR="00C521C0" w:rsidRPr="000F7862">
        <w:rPr>
          <w:lang w:val="fr-FR"/>
        </w:rPr>
        <w:t>C</w:t>
      </w:r>
      <w:r w:rsidR="00120E2E" w:rsidRPr="000F7862">
        <w:rPr>
          <w:lang w:val="fr-FR"/>
        </w:rPr>
        <w:t>’</w:t>
      </w:r>
      <w:r w:rsidR="00C521C0" w:rsidRPr="000F7862">
        <w:rPr>
          <w:lang w:val="fr-FR"/>
        </w:rPr>
        <w:t>est là un résultat nettement meilleur qu</w:t>
      </w:r>
      <w:r w:rsidR="00120E2E" w:rsidRPr="000F7862">
        <w:rPr>
          <w:lang w:val="fr-FR"/>
        </w:rPr>
        <w:t>’</w:t>
      </w:r>
      <w:r w:rsidR="00C521C0" w:rsidRPr="000F7862">
        <w:rPr>
          <w:lang w:val="fr-FR"/>
        </w:rPr>
        <w:t>il y a quatre ans</w:t>
      </w:r>
      <w:r w:rsidR="0005004C" w:rsidRPr="000F7862">
        <w:rPr>
          <w:lang w:val="fr-FR"/>
        </w:rPr>
        <w:t>:</w:t>
      </w:r>
      <w:r w:rsidR="0060675D" w:rsidRPr="000F7862">
        <w:rPr>
          <w:lang w:val="fr-FR"/>
        </w:rPr>
        <w:t xml:space="preserve"> </w:t>
      </w:r>
      <w:r w:rsidR="0086185C" w:rsidRPr="000F7862">
        <w:rPr>
          <w:lang w:val="fr-FR"/>
        </w:rPr>
        <w:t>777</w:t>
      </w:r>
      <w:r w:rsidR="009B71DB" w:rsidRPr="000F7862">
        <w:rPr>
          <w:lang w:val="fr-FR"/>
        </w:rPr>
        <w:t> </w:t>
      </w:r>
      <w:r w:rsidR="0086185C" w:rsidRPr="000F7862">
        <w:rPr>
          <w:lang w:val="fr-FR"/>
        </w:rPr>
        <w:t xml:space="preserve">505 </w:t>
      </w:r>
      <w:r w:rsidR="0060675D" w:rsidRPr="000F7862">
        <w:rPr>
          <w:lang w:val="fr-FR"/>
        </w:rPr>
        <w:t>ménages s</w:t>
      </w:r>
      <w:r w:rsidR="00120E2E" w:rsidRPr="000F7862">
        <w:rPr>
          <w:lang w:val="fr-FR"/>
        </w:rPr>
        <w:t>’</w:t>
      </w:r>
      <w:r w:rsidR="0060675D" w:rsidRPr="000F7862">
        <w:rPr>
          <w:lang w:val="fr-FR"/>
        </w:rPr>
        <w:t xml:space="preserve">étaient partagé environ </w:t>
      </w:r>
      <w:r w:rsidR="009B71DB" w:rsidRPr="000F7862">
        <w:rPr>
          <w:lang w:val="fr-FR"/>
        </w:rPr>
        <w:t>5</w:t>
      </w:r>
      <w:r w:rsidR="0060675D" w:rsidRPr="000F7862">
        <w:rPr>
          <w:lang w:val="fr-FR"/>
        </w:rPr>
        <w:t xml:space="preserve"> milliards de pesos</w:t>
      </w:r>
      <w:r w:rsidR="0086185C" w:rsidRPr="000F7862">
        <w:rPr>
          <w:lang w:val="fr-FR"/>
        </w:rPr>
        <w:t>.</w:t>
      </w:r>
    </w:p>
    <w:p w:rsidR="0086185C" w:rsidRPr="000F7862" w:rsidRDefault="003F7F57" w:rsidP="003F7F57">
      <w:pPr>
        <w:pStyle w:val="SingleTxtG"/>
        <w:rPr>
          <w:lang w:val="fr-FR"/>
        </w:rPr>
      </w:pPr>
      <w:r w:rsidRPr="000F7862">
        <w:rPr>
          <w:lang w:val="fr-FR"/>
        </w:rPr>
        <w:t>30.</w:t>
      </w:r>
      <w:r w:rsidRPr="000F7862">
        <w:rPr>
          <w:lang w:val="fr-FR"/>
        </w:rPr>
        <w:tab/>
      </w:r>
      <w:r w:rsidR="0082738F" w:rsidRPr="000F7862">
        <w:rPr>
          <w:lang w:val="fr-FR"/>
        </w:rPr>
        <w:t xml:space="preserve">Le </w:t>
      </w:r>
      <w:r w:rsidR="0082738F" w:rsidRPr="000F7862">
        <w:rPr>
          <w:i/>
          <w:lang w:val="fr-FR"/>
        </w:rPr>
        <w:t>Programme d</w:t>
      </w:r>
      <w:r w:rsidR="00120E2E" w:rsidRPr="000F7862">
        <w:rPr>
          <w:i/>
          <w:lang w:val="fr-FR"/>
        </w:rPr>
        <w:t>’</w:t>
      </w:r>
      <w:r w:rsidR="0082738F" w:rsidRPr="000F7862">
        <w:rPr>
          <w:i/>
          <w:lang w:val="fr-FR"/>
        </w:rPr>
        <w:t>assistance pour le travail indépendant</w:t>
      </w:r>
      <w:r w:rsidR="0086185C" w:rsidRPr="000F7862">
        <w:rPr>
          <w:i/>
          <w:lang w:val="fr-FR"/>
        </w:rPr>
        <w:t>-Kaunlaran (SEA-K)</w:t>
      </w:r>
      <w:r w:rsidR="0086185C" w:rsidRPr="000F7862">
        <w:rPr>
          <w:lang w:val="fr-FR"/>
        </w:rPr>
        <w:t xml:space="preserve"> </w:t>
      </w:r>
      <w:r w:rsidR="0082738F" w:rsidRPr="000F7862">
        <w:rPr>
          <w:lang w:val="fr-FR"/>
        </w:rPr>
        <w:t>est un programme de renforcement des moyens de subsistance et des capacités qui est destiné à aider les familles démunies à fonder au niveau local des organisations de microcrédit aux fins de la création d</w:t>
      </w:r>
      <w:r w:rsidR="00120E2E" w:rsidRPr="000F7862">
        <w:rPr>
          <w:lang w:val="fr-FR"/>
        </w:rPr>
        <w:t>’</w:t>
      </w:r>
      <w:r w:rsidR="0082738F" w:rsidRPr="000F7862">
        <w:rPr>
          <w:lang w:val="fr-FR"/>
        </w:rPr>
        <w:t>entreprises</w:t>
      </w:r>
      <w:r w:rsidR="0086185C" w:rsidRPr="000F7862">
        <w:rPr>
          <w:lang w:val="fr-FR"/>
        </w:rPr>
        <w:t>.</w:t>
      </w:r>
      <w:r w:rsidR="00446EA5" w:rsidRPr="000F7862">
        <w:rPr>
          <w:lang w:val="fr-FR"/>
        </w:rPr>
        <w:t xml:space="preserve"> </w:t>
      </w:r>
      <w:r w:rsidR="0082738F" w:rsidRPr="000F7862">
        <w:rPr>
          <w:lang w:val="fr-FR"/>
        </w:rPr>
        <w:t xml:space="preserve">Un financement </w:t>
      </w:r>
      <w:r w:rsidR="0086185C" w:rsidRPr="000F7862">
        <w:rPr>
          <w:lang w:val="fr-FR"/>
        </w:rPr>
        <w:t xml:space="preserve">total </w:t>
      </w:r>
      <w:r w:rsidR="0082738F" w:rsidRPr="000F7862">
        <w:rPr>
          <w:lang w:val="fr-FR"/>
        </w:rPr>
        <w:t xml:space="preserve">de </w:t>
      </w:r>
      <w:r w:rsidR="0086185C" w:rsidRPr="000F7862">
        <w:rPr>
          <w:lang w:val="fr-FR"/>
        </w:rPr>
        <w:t>1</w:t>
      </w:r>
      <w:r w:rsidR="0082738F" w:rsidRPr="000F7862">
        <w:rPr>
          <w:lang w:val="fr-FR"/>
        </w:rPr>
        <w:t>,</w:t>
      </w:r>
      <w:r w:rsidR="0086185C" w:rsidRPr="000F7862">
        <w:rPr>
          <w:lang w:val="fr-FR"/>
        </w:rPr>
        <w:t>8</w:t>
      </w:r>
      <w:r w:rsidR="009561C6" w:rsidRPr="000F7862">
        <w:rPr>
          <w:lang w:val="fr-FR"/>
        </w:rPr>
        <w:t> </w:t>
      </w:r>
      <w:r w:rsidR="0082738F" w:rsidRPr="000F7862">
        <w:rPr>
          <w:lang w:val="fr-FR"/>
        </w:rPr>
        <w:t xml:space="preserve">milliard de pesos a été alloué à ce </w:t>
      </w:r>
      <w:r w:rsidR="00867E43" w:rsidRPr="000F7862">
        <w:rPr>
          <w:lang w:val="fr-FR"/>
        </w:rPr>
        <w:t>programme</w:t>
      </w:r>
      <w:r w:rsidR="0086185C" w:rsidRPr="000F7862">
        <w:rPr>
          <w:lang w:val="fr-FR"/>
        </w:rPr>
        <w:t xml:space="preserve"> </w:t>
      </w:r>
      <w:r w:rsidR="0082738F" w:rsidRPr="000F7862">
        <w:rPr>
          <w:lang w:val="fr-FR"/>
        </w:rPr>
        <w:t xml:space="preserve">dont ont bénéficié </w:t>
      </w:r>
      <w:r w:rsidR="0086185C" w:rsidRPr="000F7862">
        <w:rPr>
          <w:lang w:val="fr-FR"/>
        </w:rPr>
        <w:t>128</w:t>
      </w:r>
      <w:r w:rsidR="009B71DB" w:rsidRPr="000F7862">
        <w:rPr>
          <w:lang w:val="fr-FR"/>
        </w:rPr>
        <w:t> </w:t>
      </w:r>
      <w:r w:rsidR="0086185C" w:rsidRPr="000F7862">
        <w:rPr>
          <w:lang w:val="fr-FR"/>
        </w:rPr>
        <w:t>355 famil</w:t>
      </w:r>
      <w:r w:rsidR="0082738F" w:rsidRPr="000F7862">
        <w:rPr>
          <w:lang w:val="fr-FR"/>
        </w:rPr>
        <w:t>l</w:t>
      </w:r>
      <w:r w:rsidR="0086185C" w:rsidRPr="000F7862">
        <w:rPr>
          <w:lang w:val="fr-FR"/>
        </w:rPr>
        <w:t xml:space="preserve">es </w:t>
      </w:r>
      <w:r w:rsidR="0082738F" w:rsidRPr="000F7862">
        <w:rPr>
          <w:lang w:val="fr-FR"/>
        </w:rPr>
        <w:t>e</w:t>
      </w:r>
      <w:r w:rsidR="0086185C" w:rsidRPr="000F7862">
        <w:rPr>
          <w:lang w:val="fr-FR"/>
        </w:rPr>
        <w:t>n 2013.</w:t>
      </w:r>
    </w:p>
    <w:p w:rsidR="0086185C" w:rsidRPr="000F7862" w:rsidRDefault="003F7F57" w:rsidP="003F7F57">
      <w:pPr>
        <w:pStyle w:val="SingleTxtG"/>
        <w:rPr>
          <w:b/>
          <w:bCs/>
          <w:lang w:val="fr-FR"/>
        </w:rPr>
      </w:pPr>
      <w:r w:rsidRPr="000F7862">
        <w:rPr>
          <w:bCs/>
          <w:lang w:val="fr-FR"/>
        </w:rPr>
        <w:t>31.</w:t>
      </w:r>
      <w:r w:rsidRPr="000F7862">
        <w:rPr>
          <w:bCs/>
          <w:lang w:val="fr-FR"/>
        </w:rPr>
        <w:tab/>
      </w:r>
      <w:r w:rsidR="00EC5691" w:rsidRPr="000F7862">
        <w:rPr>
          <w:lang w:val="fr-FR"/>
        </w:rPr>
        <w:t xml:space="preserve">Le </w:t>
      </w:r>
      <w:r w:rsidR="00EC5691" w:rsidRPr="000F7862">
        <w:rPr>
          <w:i/>
          <w:lang w:val="fr-FR"/>
        </w:rPr>
        <w:t>Système complet et intégré de prestations de services sociaux Kapit-Bisig Laban sa Kahirapan</w:t>
      </w:r>
      <w:r w:rsidR="00EC5691" w:rsidRPr="000F7862">
        <w:rPr>
          <w:lang w:val="fr-FR"/>
        </w:rPr>
        <w:t xml:space="preserve"> </w:t>
      </w:r>
      <w:r w:rsidR="00EC5691" w:rsidRPr="000F7862">
        <w:rPr>
          <w:i/>
          <w:lang w:val="fr-FR"/>
        </w:rPr>
        <w:t>(KALAHI CIDSS)</w:t>
      </w:r>
      <w:r w:rsidR="00EC5691" w:rsidRPr="000F7862">
        <w:rPr>
          <w:lang w:val="fr-FR"/>
        </w:rPr>
        <w:t xml:space="preserve"> est un autre programme </w:t>
      </w:r>
      <w:r w:rsidR="0086185C" w:rsidRPr="000F7862">
        <w:rPr>
          <w:lang w:val="fr-FR"/>
        </w:rPr>
        <w:t xml:space="preserve">important </w:t>
      </w:r>
      <w:r w:rsidR="00EC5691" w:rsidRPr="000F7862">
        <w:rPr>
          <w:lang w:val="fr-FR"/>
        </w:rPr>
        <w:t>sur lequel l</w:t>
      </w:r>
      <w:r w:rsidR="00120E2E" w:rsidRPr="000F7862">
        <w:rPr>
          <w:lang w:val="fr-FR"/>
        </w:rPr>
        <w:t>’</w:t>
      </w:r>
      <w:r w:rsidR="00EC5691" w:rsidRPr="000F7862">
        <w:rPr>
          <w:lang w:val="fr-FR"/>
        </w:rPr>
        <w:t>État compte beaucoup pour assurer le succès de son action d</w:t>
      </w:r>
      <w:r w:rsidR="00120E2E" w:rsidRPr="000F7862">
        <w:rPr>
          <w:lang w:val="fr-FR"/>
        </w:rPr>
        <w:t>’</w:t>
      </w:r>
      <w:r w:rsidR="00EC5691" w:rsidRPr="000F7862">
        <w:rPr>
          <w:lang w:val="fr-FR"/>
        </w:rPr>
        <w:t>autonomisation sociale.</w:t>
      </w:r>
      <w:r w:rsidR="00446EA5" w:rsidRPr="000F7862">
        <w:rPr>
          <w:lang w:val="fr-FR"/>
        </w:rPr>
        <w:t xml:space="preserve"> </w:t>
      </w:r>
      <w:r w:rsidR="00EC5691" w:rsidRPr="000F7862">
        <w:rPr>
          <w:lang w:val="fr-FR"/>
        </w:rPr>
        <w:t>Il s</w:t>
      </w:r>
      <w:r w:rsidR="00120E2E" w:rsidRPr="000F7862">
        <w:rPr>
          <w:lang w:val="fr-FR"/>
        </w:rPr>
        <w:t>’</w:t>
      </w:r>
      <w:r w:rsidR="00EC5691" w:rsidRPr="000F7862">
        <w:rPr>
          <w:lang w:val="fr-FR"/>
        </w:rPr>
        <w:t>agit d</w:t>
      </w:r>
      <w:r w:rsidR="00120E2E" w:rsidRPr="000F7862">
        <w:rPr>
          <w:lang w:val="fr-FR"/>
        </w:rPr>
        <w:t>’</w:t>
      </w:r>
      <w:r w:rsidR="00EC5691" w:rsidRPr="000F7862">
        <w:rPr>
          <w:lang w:val="fr-FR"/>
        </w:rPr>
        <w:t xml:space="preserve">un programme impulsé par les communautés, auxquelles il permet </w:t>
      </w:r>
      <w:r w:rsidR="00950047" w:rsidRPr="000F7862">
        <w:rPr>
          <w:lang w:val="fr-FR"/>
        </w:rPr>
        <w:t xml:space="preserve">de </w:t>
      </w:r>
      <w:r w:rsidR="00EC5691" w:rsidRPr="000F7862">
        <w:rPr>
          <w:lang w:val="fr-FR"/>
        </w:rPr>
        <w:t>devenir</w:t>
      </w:r>
      <w:r w:rsidR="00950047" w:rsidRPr="000F7862">
        <w:rPr>
          <w:lang w:val="fr-FR"/>
        </w:rPr>
        <w:t xml:space="preserve"> des acteurs actifs de la gouvernance </w:t>
      </w:r>
      <w:r w:rsidR="0086185C" w:rsidRPr="000F7862">
        <w:rPr>
          <w:lang w:val="fr-FR"/>
        </w:rPr>
        <w:t>local</w:t>
      </w:r>
      <w:r w:rsidR="00950047" w:rsidRPr="000F7862">
        <w:rPr>
          <w:lang w:val="fr-FR"/>
        </w:rPr>
        <w:t>e</w:t>
      </w:r>
      <w:r w:rsidR="0086185C" w:rsidRPr="000F7862">
        <w:rPr>
          <w:lang w:val="fr-FR"/>
        </w:rPr>
        <w:t>.</w:t>
      </w:r>
      <w:r w:rsidR="00446EA5" w:rsidRPr="000F7862">
        <w:rPr>
          <w:lang w:val="fr-FR"/>
        </w:rPr>
        <w:t xml:space="preserve"> </w:t>
      </w:r>
      <w:r w:rsidR="00950047" w:rsidRPr="000F7862">
        <w:rPr>
          <w:lang w:val="fr-FR"/>
        </w:rPr>
        <w:t xml:space="preserve">Pendant sa dernière année, ce programme sera exécuté dans </w:t>
      </w:r>
      <w:r w:rsidR="0086185C" w:rsidRPr="000F7862">
        <w:rPr>
          <w:lang w:val="fr-FR"/>
        </w:rPr>
        <w:t>3</w:t>
      </w:r>
      <w:r w:rsidR="00B23513" w:rsidRPr="000F7862">
        <w:rPr>
          <w:lang w:val="fr-FR"/>
        </w:rPr>
        <w:t> </w:t>
      </w:r>
      <w:r w:rsidR="0086185C" w:rsidRPr="000F7862">
        <w:rPr>
          <w:lang w:val="fr-FR"/>
        </w:rPr>
        <w:t xml:space="preserve">404 barangays </w:t>
      </w:r>
      <w:r w:rsidR="00950047" w:rsidRPr="000F7862">
        <w:rPr>
          <w:lang w:val="fr-FR"/>
        </w:rPr>
        <w:t xml:space="preserve">avec un </w:t>
      </w:r>
      <w:r w:rsidR="0086185C" w:rsidRPr="000F7862">
        <w:rPr>
          <w:lang w:val="fr-FR"/>
        </w:rPr>
        <w:t xml:space="preserve">budget </w:t>
      </w:r>
      <w:r w:rsidR="00950047" w:rsidRPr="000F7862">
        <w:rPr>
          <w:lang w:val="fr-FR"/>
        </w:rPr>
        <w:t xml:space="preserve">de </w:t>
      </w:r>
      <w:r w:rsidR="0086185C" w:rsidRPr="000F7862">
        <w:rPr>
          <w:lang w:val="fr-FR"/>
        </w:rPr>
        <w:t>650</w:t>
      </w:r>
      <w:r w:rsidR="009561C6" w:rsidRPr="000F7862">
        <w:rPr>
          <w:lang w:val="fr-FR"/>
        </w:rPr>
        <w:t> </w:t>
      </w:r>
      <w:r w:rsidR="0086185C" w:rsidRPr="000F7862">
        <w:rPr>
          <w:lang w:val="fr-FR"/>
        </w:rPr>
        <w:t>million</w:t>
      </w:r>
      <w:r w:rsidR="00950047" w:rsidRPr="000F7862">
        <w:rPr>
          <w:lang w:val="fr-FR"/>
        </w:rPr>
        <w:t>s de pesos</w:t>
      </w:r>
      <w:r w:rsidR="0086185C" w:rsidRPr="000F7862">
        <w:rPr>
          <w:lang w:val="fr-FR"/>
        </w:rPr>
        <w:t>.</w:t>
      </w:r>
      <w:r w:rsidR="00446EA5" w:rsidRPr="000F7862">
        <w:rPr>
          <w:lang w:val="fr-FR"/>
        </w:rPr>
        <w:t xml:space="preserve"> </w:t>
      </w:r>
      <w:r w:rsidR="00950047" w:rsidRPr="000F7862">
        <w:rPr>
          <w:lang w:val="fr-FR"/>
        </w:rPr>
        <w:t>Devant le succès de l</w:t>
      </w:r>
      <w:r w:rsidR="00120E2E" w:rsidRPr="000F7862">
        <w:rPr>
          <w:lang w:val="fr-FR"/>
        </w:rPr>
        <w:t>’</w:t>
      </w:r>
      <w:r w:rsidR="00950047" w:rsidRPr="000F7862">
        <w:rPr>
          <w:lang w:val="fr-FR"/>
        </w:rPr>
        <w:t>approche fondée sur le développement communautaire, le programme sera élargi et intégré au Plan national de développement piloté par les communautés</w:t>
      </w:r>
      <w:r w:rsidR="0086185C" w:rsidRPr="000F7862">
        <w:rPr>
          <w:lang w:val="fr-FR"/>
        </w:rPr>
        <w:t xml:space="preserve">, </w:t>
      </w:r>
      <w:r w:rsidR="00950047" w:rsidRPr="000F7862">
        <w:rPr>
          <w:lang w:val="fr-FR"/>
        </w:rPr>
        <w:t xml:space="preserve">ce qui en fera une stratégie </w:t>
      </w:r>
      <w:r w:rsidR="0086185C" w:rsidRPr="000F7862">
        <w:rPr>
          <w:lang w:val="fr-FR"/>
        </w:rPr>
        <w:t>national</w:t>
      </w:r>
      <w:r w:rsidR="00950047" w:rsidRPr="000F7862">
        <w:rPr>
          <w:lang w:val="fr-FR"/>
        </w:rPr>
        <w:t>e</w:t>
      </w:r>
      <w:r w:rsidR="0086185C" w:rsidRPr="000F7862">
        <w:rPr>
          <w:lang w:val="fr-FR"/>
        </w:rPr>
        <w:t xml:space="preserve"> </w:t>
      </w:r>
      <w:r w:rsidR="00950047" w:rsidRPr="000F7862">
        <w:rPr>
          <w:lang w:val="fr-FR"/>
        </w:rPr>
        <w:t>d</w:t>
      </w:r>
      <w:r w:rsidR="00120E2E" w:rsidRPr="000F7862">
        <w:rPr>
          <w:lang w:val="fr-FR"/>
        </w:rPr>
        <w:t>’</w:t>
      </w:r>
      <w:r w:rsidR="00950047" w:rsidRPr="000F7862">
        <w:rPr>
          <w:lang w:val="fr-FR"/>
        </w:rPr>
        <w:t>atténuation de la pauvreté</w:t>
      </w:r>
      <w:r w:rsidR="0086185C" w:rsidRPr="000F7862">
        <w:rPr>
          <w:lang w:val="fr-FR"/>
        </w:rPr>
        <w:t>.</w:t>
      </w:r>
      <w:r w:rsidR="00446EA5" w:rsidRPr="000F7862">
        <w:rPr>
          <w:lang w:val="fr-FR"/>
        </w:rPr>
        <w:t xml:space="preserve"> </w:t>
      </w:r>
      <w:r w:rsidR="00950047" w:rsidRPr="000F7862">
        <w:rPr>
          <w:lang w:val="fr-FR"/>
        </w:rPr>
        <w:t xml:space="preserve">En </w:t>
      </w:r>
      <w:r w:rsidR="0086185C" w:rsidRPr="000F7862">
        <w:rPr>
          <w:lang w:val="fr-FR"/>
        </w:rPr>
        <w:t xml:space="preserve">2014, </w:t>
      </w:r>
      <w:r w:rsidR="00950047" w:rsidRPr="000F7862">
        <w:rPr>
          <w:lang w:val="fr-FR"/>
        </w:rPr>
        <w:t>ce</w:t>
      </w:r>
      <w:r w:rsidR="0086185C" w:rsidRPr="000F7862">
        <w:rPr>
          <w:lang w:val="fr-FR"/>
        </w:rPr>
        <w:t xml:space="preserve"> </w:t>
      </w:r>
      <w:r w:rsidR="00867E43" w:rsidRPr="000F7862">
        <w:rPr>
          <w:lang w:val="fr-FR"/>
        </w:rPr>
        <w:t>programme</w:t>
      </w:r>
      <w:r w:rsidR="0086185C" w:rsidRPr="000F7862">
        <w:rPr>
          <w:lang w:val="fr-FR"/>
        </w:rPr>
        <w:t xml:space="preserve"> </w:t>
      </w:r>
      <w:r w:rsidR="00950047" w:rsidRPr="000F7862">
        <w:rPr>
          <w:lang w:val="fr-FR"/>
        </w:rPr>
        <w:t xml:space="preserve">devrait être exécuté dans </w:t>
      </w:r>
      <w:r w:rsidR="0086185C" w:rsidRPr="000F7862">
        <w:rPr>
          <w:lang w:val="fr-FR"/>
        </w:rPr>
        <w:t>11</w:t>
      </w:r>
      <w:r w:rsidR="00B23513" w:rsidRPr="000F7862">
        <w:rPr>
          <w:lang w:val="fr-FR"/>
        </w:rPr>
        <w:t> </w:t>
      </w:r>
      <w:r w:rsidR="0086185C" w:rsidRPr="000F7862">
        <w:rPr>
          <w:lang w:val="fr-FR"/>
        </w:rPr>
        <w:t>865 barangays.</w:t>
      </w:r>
    </w:p>
    <w:p w:rsidR="0086185C" w:rsidRPr="000F7862" w:rsidRDefault="003F7F57" w:rsidP="003F7F57">
      <w:pPr>
        <w:pStyle w:val="SingleTxtG"/>
        <w:rPr>
          <w:lang w:val="fr-FR"/>
        </w:rPr>
      </w:pPr>
      <w:r w:rsidRPr="000F7862">
        <w:rPr>
          <w:lang w:val="fr-FR"/>
        </w:rPr>
        <w:t>32.</w:t>
      </w:r>
      <w:r w:rsidRPr="000F7862">
        <w:rPr>
          <w:lang w:val="fr-FR"/>
        </w:rPr>
        <w:tab/>
      </w:r>
      <w:r w:rsidR="00A12EB7" w:rsidRPr="000F7862">
        <w:rPr>
          <w:lang w:val="fr-FR"/>
        </w:rPr>
        <w:t xml:space="preserve">Le Programme de pension sociale pour personnes âgées indigentes est un autre </w:t>
      </w:r>
      <w:r w:rsidR="00867E43" w:rsidRPr="000F7862">
        <w:rPr>
          <w:lang w:val="fr-FR"/>
        </w:rPr>
        <w:t>programme</w:t>
      </w:r>
      <w:r w:rsidR="0086185C" w:rsidRPr="000F7862">
        <w:rPr>
          <w:lang w:val="fr-FR"/>
        </w:rPr>
        <w:t xml:space="preserve"> </w:t>
      </w:r>
      <w:r w:rsidR="00B97D41" w:rsidRPr="000F7862">
        <w:rPr>
          <w:lang w:val="fr-FR"/>
        </w:rPr>
        <w:t>dest</w:t>
      </w:r>
      <w:r w:rsidR="00A12EB7" w:rsidRPr="000F7862">
        <w:rPr>
          <w:lang w:val="fr-FR"/>
        </w:rPr>
        <w:t xml:space="preserve">iné aux membres </w:t>
      </w:r>
      <w:r w:rsidR="0086185C" w:rsidRPr="000F7862">
        <w:rPr>
          <w:lang w:val="fr-FR"/>
        </w:rPr>
        <w:t>marginali</w:t>
      </w:r>
      <w:r w:rsidR="00A12EB7" w:rsidRPr="000F7862">
        <w:rPr>
          <w:lang w:val="fr-FR"/>
        </w:rPr>
        <w:t>sés de la société</w:t>
      </w:r>
      <w:r w:rsidR="0086185C" w:rsidRPr="000F7862">
        <w:rPr>
          <w:lang w:val="fr-FR"/>
        </w:rPr>
        <w:t>.</w:t>
      </w:r>
      <w:r w:rsidR="00446EA5" w:rsidRPr="000F7862">
        <w:rPr>
          <w:lang w:val="fr-FR"/>
        </w:rPr>
        <w:t xml:space="preserve"> </w:t>
      </w:r>
      <w:r w:rsidR="00A12EB7" w:rsidRPr="000F7862">
        <w:rPr>
          <w:lang w:val="fr-FR"/>
        </w:rPr>
        <w:t>Il fournit une aide en espèces</w:t>
      </w:r>
      <w:r w:rsidR="0005004C" w:rsidRPr="000F7862">
        <w:rPr>
          <w:lang w:val="fr-FR"/>
        </w:rPr>
        <w:t xml:space="preserve"> </w:t>
      </w:r>
      <w:r w:rsidR="00A12EB7" w:rsidRPr="000F7862">
        <w:rPr>
          <w:lang w:val="fr-FR"/>
        </w:rPr>
        <w:t>d</w:t>
      </w:r>
      <w:r w:rsidR="00120E2E" w:rsidRPr="000F7862">
        <w:rPr>
          <w:lang w:val="fr-FR"/>
        </w:rPr>
        <w:t>’</w:t>
      </w:r>
      <w:r w:rsidR="00A12EB7" w:rsidRPr="000F7862">
        <w:rPr>
          <w:lang w:val="fr-FR"/>
        </w:rPr>
        <w:t>un montant mensuel de 500 pesos aux personnes âgées d</w:t>
      </w:r>
      <w:r w:rsidR="00120E2E" w:rsidRPr="000F7862">
        <w:rPr>
          <w:lang w:val="fr-FR"/>
        </w:rPr>
        <w:t>’</w:t>
      </w:r>
      <w:r w:rsidR="00A12EB7" w:rsidRPr="000F7862">
        <w:rPr>
          <w:lang w:val="fr-FR"/>
        </w:rPr>
        <w:t>au moins 77 ans qui n</w:t>
      </w:r>
      <w:r w:rsidR="00120E2E" w:rsidRPr="000F7862">
        <w:rPr>
          <w:lang w:val="fr-FR"/>
        </w:rPr>
        <w:t>’</w:t>
      </w:r>
      <w:r w:rsidR="00A12EB7" w:rsidRPr="000F7862">
        <w:rPr>
          <w:lang w:val="fr-FR"/>
        </w:rPr>
        <w:t>ont aucune source de revenu régulière et ne bénéficient pas d</w:t>
      </w:r>
      <w:r w:rsidR="00120E2E" w:rsidRPr="000F7862">
        <w:rPr>
          <w:lang w:val="fr-FR"/>
        </w:rPr>
        <w:t>’</w:t>
      </w:r>
      <w:r w:rsidR="00A12EB7" w:rsidRPr="000F7862">
        <w:rPr>
          <w:lang w:val="fr-FR"/>
        </w:rPr>
        <w:t>autres prestations de retraite versées par l</w:t>
      </w:r>
      <w:r w:rsidR="00120E2E" w:rsidRPr="000F7862">
        <w:rPr>
          <w:lang w:val="fr-FR"/>
        </w:rPr>
        <w:t>’</w:t>
      </w:r>
      <w:r w:rsidR="00A12EB7" w:rsidRPr="000F7862">
        <w:rPr>
          <w:lang w:val="fr-FR"/>
        </w:rPr>
        <w:t>État ou des organismes privés</w:t>
      </w:r>
      <w:r w:rsidR="0086185C" w:rsidRPr="000F7862">
        <w:rPr>
          <w:lang w:val="fr-FR"/>
        </w:rPr>
        <w:t>.</w:t>
      </w:r>
      <w:r w:rsidR="00446EA5" w:rsidRPr="000F7862">
        <w:rPr>
          <w:lang w:val="fr-FR"/>
        </w:rPr>
        <w:t xml:space="preserve"> </w:t>
      </w:r>
      <w:r w:rsidR="00A12EB7" w:rsidRPr="000F7862">
        <w:rPr>
          <w:lang w:val="fr-FR"/>
        </w:rPr>
        <w:t xml:space="preserve">À cette fin, </w:t>
      </w:r>
      <w:r w:rsidR="0086185C" w:rsidRPr="000F7862">
        <w:rPr>
          <w:lang w:val="fr-FR"/>
        </w:rPr>
        <w:t>1</w:t>
      </w:r>
      <w:r w:rsidR="00A12EB7" w:rsidRPr="000F7862">
        <w:rPr>
          <w:lang w:val="fr-FR"/>
        </w:rPr>
        <w:t>,</w:t>
      </w:r>
      <w:r w:rsidR="0086185C" w:rsidRPr="000F7862">
        <w:rPr>
          <w:lang w:val="fr-FR"/>
        </w:rPr>
        <w:t>5</w:t>
      </w:r>
      <w:r w:rsidR="009561C6" w:rsidRPr="000F7862">
        <w:rPr>
          <w:lang w:val="fr-FR"/>
        </w:rPr>
        <w:t> </w:t>
      </w:r>
      <w:r w:rsidR="00A12EB7" w:rsidRPr="000F7862">
        <w:rPr>
          <w:lang w:val="fr-FR"/>
        </w:rPr>
        <w:t xml:space="preserve">milliard de pesos ont été alloués en </w:t>
      </w:r>
      <w:r w:rsidR="0086185C" w:rsidRPr="000F7862">
        <w:rPr>
          <w:lang w:val="fr-FR"/>
        </w:rPr>
        <w:t xml:space="preserve">2013 </w:t>
      </w:r>
      <w:r w:rsidR="00A12EB7" w:rsidRPr="000F7862">
        <w:rPr>
          <w:lang w:val="fr-FR"/>
        </w:rPr>
        <w:t xml:space="preserve">à </w:t>
      </w:r>
      <w:r w:rsidR="0086185C" w:rsidRPr="000F7862">
        <w:rPr>
          <w:lang w:val="fr-FR"/>
        </w:rPr>
        <w:t>232</w:t>
      </w:r>
      <w:r w:rsidR="00B23513" w:rsidRPr="000F7862">
        <w:rPr>
          <w:lang w:val="fr-FR"/>
        </w:rPr>
        <w:t> </w:t>
      </w:r>
      <w:r w:rsidR="0086185C" w:rsidRPr="000F7862">
        <w:rPr>
          <w:lang w:val="fr-FR"/>
        </w:rPr>
        <w:t>868 b</w:t>
      </w:r>
      <w:r w:rsidR="00A12EB7" w:rsidRPr="000F7862">
        <w:rPr>
          <w:lang w:val="fr-FR"/>
        </w:rPr>
        <w:t>é</w:t>
      </w:r>
      <w:r w:rsidR="0086185C" w:rsidRPr="000F7862">
        <w:rPr>
          <w:lang w:val="fr-FR"/>
        </w:rPr>
        <w:t>n</w:t>
      </w:r>
      <w:r w:rsidR="00A12EB7" w:rsidRPr="000F7862">
        <w:rPr>
          <w:lang w:val="fr-FR"/>
        </w:rPr>
        <w:t>é</w:t>
      </w:r>
      <w:r w:rsidR="0086185C" w:rsidRPr="000F7862">
        <w:rPr>
          <w:lang w:val="fr-FR"/>
        </w:rPr>
        <w:t>ficia</w:t>
      </w:r>
      <w:r w:rsidR="00A12EB7" w:rsidRPr="000F7862">
        <w:rPr>
          <w:lang w:val="fr-FR"/>
        </w:rPr>
        <w:t>ire</w:t>
      </w:r>
      <w:r w:rsidR="0086185C" w:rsidRPr="000F7862">
        <w:rPr>
          <w:lang w:val="fr-FR"/>
        </w:rPr>
        <w:t>s.</w:t>
      </w:r>
      <w:r w:rsidR="00446EA5" w:rsidRPr="000F7862">
        <w:rPr>
          <w:lang w:val="fr-FR"/>
        </w:rPr>
        <w:t xml:space="preserve"> </w:t>
      </w:r>
      <w:r w:rsidR="00A12EB7" w:rsidRPr="000F7862">
        <w:rPr>
          <w:lang w:val="fr-FR"/>
        </w:rPr>
        <w:t>Lorsqu</w:t>
      </w:r>
      <w:r w:rsidR="00120E2E" w:rsidRPr="000F7862">
        <w:rPr>
          <w:lang w:val="fr-FR"/>
        </w:rPr>
        <w:t>’</w:t>
      </w:r>
      <w:r w:rsidR="00A12EB7" w:rsidRPr="000F7862">
        <w:rPr>
          <w:lang w:val="fr-FR"/>
        </w:rPr>
        <w:t xml:space="preserve">il a démarré, en 2011, ce programme </w:t>
      </w:r>
      <w:r w:rsidR="00B97D41" w:rsidRPr="000F7862">
        <w:rPr>
          <w:lang w:val="fr-FR"/>
        </w:rPr>
        <w:t>n</w:t>
      </w:r>
      <w:r w:rsidR="00120E2E" w:rsidRPr="000F7862">
        <w:rPr>
          <w:lang w:val="fr-FR"/>
        </w:rPr>
        <w:t>’</w:t>
      </w:r>
      <w:r w:rsidR="00B97D41" w:rsidRPr="000F7862">
        <w:rPr>
          <w:lang w:val="fr-FR"/>
        </w:rPr>
        <w:t xml:space="preserve">a versé que </w:t>
      </w:r>
      <w:r w:rsidR="0086185C" w:rsidRPr="000F7862">
        <w:rPr>
          <w:lang w:val="fr-FR"/>
        </w:rPr>
        <w:t>882</w:t>
      </w:r>
      <w:r w:rsidR="00796D18" w:rsidRPr="000F7862">
        <w:rPr>
          <w:lang w:val="fr-FR"/>
        </w:rPr>
        <w:t> million</w:t>
      </w:r>
      <w:r w:rsidR="00B97D41" w:rsidRPr="000F7862">
        <w:rPr>
          <w:lang w:val="fr-FR"/>
        </w:rPr>
        <w:t>s de pesos</w:t>
      </w:r>
      <w:r w:rsidR="0086185C" w:rsidRPr="000F7862">
        <w:rPr>
          <w:lang w:val="fr-FR"/>
        </w:rPr>
        <w:t>.</w:t>
      </w:r>
      <w:r w:rsidR="00446EA5" w:rsidRPr="000F7862">
        <w:rPr>
          <w:lang w:val="fr-FR"/>
        </w:rPr>
        <w:t xml:space="preserve"> </w:t>
      </w:r>
      <w:r w:rsidR="00B97D41" w:rsidRPr="000F7862">
        <w:rPr>
          <w:lang w:val="fr-FR"/>
        </w:rPr>
        <w:t>Le nombre de bénéficiaires a également augmenté, puisque le programme n</w:t>
      </w:r>
      <w:r w:rsidR="00120E2E" w:rsidRPr="000F7862">
        <w:rPr>
          <w:lang w:val="fr-FR"/>
        </w:rPr>
        <w:t>’</w:t>
      </w:r>
      <w:r w:rsidR="00B97D41" w:rsidRPr="000F7862">
        <w:rPr>
          <w:lang w:val="fr-FR"/>
        </w:rPr>
        <w:t>était au départ destiné qu</w:t>
      </w:r>
      <w:r w:rsidR="00120E2E" w:rsidRPr="000F7862">
        <w:rPr>
          <w:lang w:val="fr-FR"/>
        </w:rPr>
        <w:t>’</w:t>
      </w:r>
      <w:r w:rsidR="00B97D41" w:rsidRPr="000F7862">
        <w:rPr>
          <w:lang w:val="fr-FR"/>
        </w:rPr>
        <w:t xml:space="preserve">à </w:t>
      </w:r>
      <w:r w:rsidR="0086185C" w:rsidRPr="000F7862">
        <w:rPr>
          <w:lang w:val="fr-FR"/>
        </w:rPr>
        <w:t>145</w:t>
      </w:r>
      <w:r w:rsidR="00B23513" w:rsidRPr="000F7862">
        <w:rPr>
          <w:lang w:val="fr-FR"/>
        </w:rPr>
        <w:t> </w:t>
      </w:r>
      <w:r w:rsidR="0086185C" w:rsidRPr="000F7862">
        <w:rPr>
          <w:lang w:val="fr-FR"/>
        </w:rPr>
        <w:t xml:space="preserve">150 </w:t>
      </w:r>
      <w:r w:rsidR="00B97D41" w:rsidRPr="000F7862">
        <w:rPr>
          <w:lang w:val="fr-FR"/>
        </w:rPr>
        <w:t>personnes âgée</w:t>
      </w:r>
      <w:r w:rsidR="00B23513" w:rsidRPr="000F7862">
        <w:rPr>
          <w:lang w:val="fr-FR"/>
        </w:rPr>
        <w:t>s</w:t>
      </w:r>
      <w:r w:rsidR="00B97D41" w:rsidRPr="000F7862">
        <w:rPr>
          <w:lang w:val="fr-FR"/>
        </w:rPr>
        <w:t xml:space="preserve"> d</w:t>
      </w:r>
      <w:r w:rsidR="00120E2E" w:rsidRPr="000F7862">
        <w:rPr>
          <w:lang w:val="fr-FR"/>
        </w:rPr>
        <w:t>’</w:t>
      </w:r>
      <w:r w:rsidR="00B97D41" w:rsidRPr="000F7862">
        <w:rPr>
          <w:lang w:val="fr-FR"/>
        </w:rPr>
        <w:t>au moins 80 ans</w:t>
      </w:r>
      <w:r w:rsidR="0086185C" w:rsidRPr="000F7862">
        <w:rPr>
          <w:lang w:val="fr-FR"/>
        </w:rPr>
        <w:t>.</w:t>
      </w:r>
    </w:p>
    <w:p w:rsidR="0086185C" w:rsidRPr="000F7862" w:rsidRDefault="003F7F57" w:rsidP="003F7F57">
      <w:pPr>
        <w:pStyle w:val="SingleTxtG"/>
        <w:rPr>
          <w:b/>
          <w:bCs/>
          <w:lang w:val="fr-FR"/>
        </w:rPr>
      </w:pPr>
      <w:r w:rsidRPr="000F7862">
        <w:rPr>
          <w:bCs/>
          <w:lang w:val="fr-FR"/>
        </w:rPr>
        <w:t>33.</w:t>
      </w:r>
      <w:r w:rsidRPr="000F7862">
        <w:rPr>
          <w:bCs/>
          <w:lang w:val="fr-FR"/>
        </w:rPr>
        <w:tab/>
      </w:r>
      <w:r w:rsidR="00B97D41" w:rsidRPr="000F7862">
        <w:rPr>
          <w:lang w:val="fr-FR"/>
        </w:rPr>
        <w:t>Le t</w:t>
      </w:r>
      <w:r w:rsidR="0086185C" w:rsidRPr="000F7862">
        <w:rPr>
          <w:lang w:val="fr-FR"/>
        </w:rPr>
        <w:t>able</w:t>
      </w:r>
      <w:r w:rsidR="00B97D41" w:rsidRPr="000F7862">
        <w:rPr>
          <w:lang w:val="fr-FR"/>
        </w:rPr>
        <w:t xml:space="preserve">au </w:t>
      </w:r>
      <w:r w:rsidR="0086185C" w:rsidRPr="000F7862">
        <w:rPr>
          <w:lang w:val="fr-FR"/>
        </w:rPr>
        <w:t xml:space="preserve">5 </w:t>
      </w:r>
      <w:r w:rsidR="00B97D41" w:rsidRPr="000F7862">
        <w:rPr>
          <w:lang w:val="fr-FR"/>
        </w:rPr>
        <w:t xml:space="preserve">récapitule les crédits alloués à divers </w:t>
      </w:r>
      <w:r w:rsidR="00867E43" w:rsidRPr="000F7862">
        <w:rPr>
          <w:lang w:val="fr-FR"/>
        </w:rPr>
        <w:t>programmes</w:t>
      </w:r>
      <w:r w:rsidR="0086185C" w:rsidRPr="000F7862">
        <w:rPr>
          <w:lang w:val="fr-FR"/>
        </w:rPr>
        <w:t xml:space="preserve"> </w:t>
      </w:r>
      <w:r w:rsidR="00B97D41" w:rsidRPr="000F7862">
        <w:rPr>
          <w:lang w:val="fr-FR"/>
        </w:rPr>
        <w:t xml:space="preserve">de </w:t>
      </w:r>
      <w:r w:rsidR="0086185C" w:rsidRPr="000F7862">
        <w:rPr>
          <w:lang w:val="fr-FR"/>
        </w:rPr>
        <w:t>protection</w:t>
      </w:r>
      <w:r w:rsidR="00B97D41" w:rsidRPr="000F7862">
        <w:rPr>
          <w:lang w:val="fr-FR"/>
        </w:rPr>
        <w:t xml:space="preserve"> sociale</w:t>
      </w:r>
      <w:r w:rsidR="0086185C" w:rsidRPr="000F7862">
        <w:rPr>
          <w:lang w:val="fr-FR"/>
        </w:rPr>
        <w:t>.</w:t>
      </w:r>
    </w:p>
    <w:p w:rsidR="0086185C" w:rsidRPr="000F7862" w:rsidRDefault="00397090" w:rsidP="00397090">
      <w:pPr>
        <w:pStyle w:val="H23G"/>
        <w:rPr>
          <w:b w:val="0"/>
          <w:bCs/>
          <w:sz w:val="16"/>
          <w:szCs w:val="16"/>
          <w:lang w:val="fr-FR"/>
        </w:rPr>
      </w:pPr>
      <w:r w:rsidRPr="000F7862">
        <w:rPr>
          <w:lang w:val="fr-FR"/>
        </w:rPr>
        <w:tab/>
      </w:r>
      <w:r w:rsidRPr="000F7862">
        <w:rPr>
          <w:lang w:val="fr-FR"/>
        </w:rPr>
        <w:tab/>
      </w:r>
      <w:r w:rsidR="006E1489" w:rsidRPr="000F7862">
        <w:rPr>
          <w:b w:val="0"/>
          <w:bCs/>
          <w:lang w:val="fr-FR"/>
        </w:rPr>
        <w:t>Table</w:t>
      </w:r>
      <w:r w:rsidR="00B97D41" w:rsidRPr="000F7862">
        <w:rPr>
          <w:b w:val="0"/>
          <w:bCs/>
          <w:lang w:val="fr-FR"/>
        </w:rPr>
        <w:t>au</w:t>
      </w:r>
      <w:r w:rsidR="006E1489" w:rsidRPr="000F7862">
        <w:rPr>
          <w:b w:val="0"/>
          <w:bCs/>
          <w:lang w:val="fr-FR"/>
        </w:rPr>
        <w:t xml:space="preserve"> </w:t>
      </w:r>
      <w:r w:rsidR="0086185C" w:rsidRPr="000F7862">
        <w:rPr>
          <w:b w:val="0"/>
          <w:bCs/>
          <w:lang w:val="fr-FR"/>
        </w:rPr>
        <w:t>5</w:t>
      </w:r>
      <w:r w:rsidR="009561C6" w:rsidRPr="000F7862">
        <w:rPr>
          <w:b w:val="0"/>
          <w:bCs/>
          <w:lang w:val="fr-FR"/>
        </w:rPr>
        <w:br/>
      </w:r>
      <w:r w:rsidR="00B97D41" w:rsidRPr="000F7862">
        <w:rPr>
          <w:lang w:val="fr-FR"/>
        </w:rPr>
        <w:t>Crédits alloués à divers p</w:t>
      </w:r>
      <w:r w:rsidR="00867E43" w:rsidRPr="000F7862">
        <w:rPr>
          <w:lang w:val="fr-FR"/>
        </w:rPr>
        <w:t>rogrammes</w:t>
      </w:r>
      <w:r w:rsidR="0086185C" w:rsidRPr="000F7862">
        <w:rPr>
          <w:lang w:val="fr-FR"/>
        </w:rPr>
        <w:t xml:space="preserve"> </w:t>
      </w:r>
      <w:r w:rsidR="00B97D41" w:rsidRPr="000F7862">
        <w:rPr>
          <w:lang w:val="fr-FR"/>
        </w:rPr>
        <w:t>de p</w:t>
      </w:r>
      <w:r w:rsidR="0086185C" w:rsidRPr="000F7862">
        <w:rPr>
          <w:lang w:val="fr-FR"/>
        </w:rPr>
        <w:t>rotection</w:t>
      </w:r>
      <w:r w:rsidR="00B97D41" w:rsidRPr="000F7862">
        <w:rPr>
          <w:lang w:val="fr-FR"/>
        </w:rPr>
        <w:t xml:space="preserve"> sociale</w:t>
      </w:r>
      <w:r w:rsidR="0086185C" w:rsidRPr="000F7862">
        <w:rPr>
          <w:lang w:val="fr-FR"/>
        </w:rPr>
        <w:t xml:space="preserve">, </w:t>
      </w:r>
      <w:r w:rsidR="00B97D41" w:rsidRPr="000F7862">
        <w:rPr>
          <w:lang w:val="fr-FR"/>
        </w:rPr>
        <w:t>niveaux de la loi génér</w:t>
      </w:r>
      <w:r w:rsidR="00B23513" w:rsidRPr="000F7862">
        <w:rPr>
          <w:lang w:val="fr-FR"/>
        </w:rPr>
        <w:t>ale sur les crédits budgétaires</w:t>
      </w:r>
      <w:r w:rsidR="00FD0FD7" w:rsidRPr="000F7862">
        <w:rPr>
          <w:lang w:val="fr-FR"/>
        </w:rPr>
        <w:br/>
      </w:r>
      <w:r w:rsidR="00B97D41" w:rsidRPr="000F7862">
        <w:rPr>
          <w:b w:val="0"/>
          <w:bCs/>
          <w:sz w:val="16"/>
          <w:szCs w:val="16"/>
          <w:lang w:val="fr-FR"/>
        </w:rPr>
        <w:t>(E</w:t>
      </w:r>
      <w:r w:rsidR="0086185C" w:rsidRPr="000F7862">
        <w:rPr>
          <w:b w:val="0"/>
          <w:bCs/>
          <w:sz w:val="16"/>
          <w:szCs w:val="16"/>
          <w:lang w:val="fr-FR"/>
        </w:rPr>
        <w:t>n million</w:t>
      </w:r>
      <w:r w:rsidR="00B97D41" w:rsidRPr="000F7862">
        <w:rPr>
          <w:b w:val="0"/>
          <w:bCs/>
          <w:sz w:val="16"/>
          <w:szCs w:val="16"/>
          <w:lang w:val="fr-FR"/>
        </w:rPr>
        <w:t>s de</w:t>
      </w:r>
      <w:r w:rsidR="0086185C" w:rsidRPr="000F7862">
        <w:rPr>
          <w:b w:val="0"/>
          <w:bCs/>
          <w:sz w:val="16"/>
          <w:szCs w:val="16"/>
          <w:lang w:val="fr-FR"/>
        </w:rPr>
        <w:t xml:space="preserve"> pesos, </w:t>
      </w:r>
      <w:r w:rsidR="00B97D41" w:rsidRPr="000F7862">
        <w:rPr>
          <w:b w:val="0"/>
          <w:bCs/>
          <w:sz w:val="16"/>
          <w:szCs w:val="16"/>
          <w:lang w:val="fr-FR"/>
        </w:rPr>
        <w:t>s</w:t>
      </w:r>
      <w:r w:rsidR="00DE40D2" w:rsidRPr="000F7862">
        <w:rPr>
          <w:b w:val="0"/>
          <w:bCs/>
          <w:sz w:val="16"/>
          <w:szCs w:val="16"/>
          <w:lang w:val="fr-FR"/>
        </w:rPr>
        <w:t>au</w:t>
      </w:r>
      <w:r w:rsidR="00B97D41" w:rsidRPr="000F7862">
        <w:rPr>
          <w:b w:val="0"/>
          <w:bCs/>
          <w:sz w:val="16"/>
          <w:szCs w:val="16"/>
          <w:lang w:val="fr-FR"/>
        </w:rPr>
        <w:t>f indication contraire</w:t>
      </w:r>
      <w:r w:rsidR="0086185C" w:rsidRPr="000F7862">
        <w:rPr>
          <w:b w:val="0"/>
          <w:bCs/>
          <w:sz w:val="16"/>
          <w:szCs w:val="16"/>
          <w:lang w:val="fr-FR"/>
        </w:rPr>
        <w:t>)</w:t>
      </w:r>
    </w:p>
    <w:tbl>
      <w:tblPr>
        <w:tblW w:w="7370" w:type="dxa"/>
        <w:tblInd w:w="1134" w:type="dxa"/>
        <w:tblLayout w:type="fixed"/>
        <w:tblCellMar>
          <w:left w:w="0" w:type="dxa"/>
          <w:right w:w="0" w:type="dxa"/>
        </w:tblCellMar>
        <w:tblLook w:val="01E0"/>
      </w:tblPr>
      <w:tblGrid>
        <w:gridCol w:w="3566"/>
        <w:gridCol w:w="760"/>
        <w:gridCol w:w="761"/>
        <w:gridCol w:w="761"/>
        <w:gridCol w:w="761"/>
        <w:gridCol w:w="761"/>
      </w:tblGrid>
      <w:tr w:rsidR="00B23513" w:rsidRPr="000F7862" w:rsidTr="00B23513">
        <w:tc>
          <w:tcPr>
            <w:tcW w:w="3566" w:type="dxa"/>
            <w:tcBorders>
              <w:top w:val="single" w:sz="4" w:space="0" w:color="auto"/>
              <w:bottom w:val="single" w:sz="12" w:space="0" w:color="auto"/>
            </w:tcBorders>
            <w:shd w:val="clear" w:color="auto" w:fill="auto"/>
            <w:vAlign w:val="bottom"/>
          </w:tcPr>
          <w:p w:rsidR="00B23513" w:rsidRPr="000F7862" w:rsidRDefault="00B23513" w:rsidP="00B23513">
            <w:pPr>
              <w:spacing w:before="80" w:after="80" w:line="200" w:lineRule="exact"/>
              <w:rPr>
                <w:i/>
                <w:sz w:val="16"/>
                <w:lang w:val="fr-FR"/>
              </w:rPr>
            </w:pPr>
            <w:r w:rsidRPr="000F7862">
              <w:rPr>
                <w:i/>
                <w:sz w:val="16"/>
                <w:lang w:val="fr-FR"/>
              </w:rPr>
              <w:t>Postes de dépenses</w:t>
            </w:r>
          </w:p>
        </w:tc>
        <w:tc>
          <w:tcPr>
            <w:tcW w:w="760" w:type="dxa"/>
            <w:tcBorders>
              <w:top w:val="single" w:sz="4" w:space="0" w:color="auto"/>
              <w:bottom w:val="single" w:sz="12" w:space="0" w:color="auto"/>
            </w:tcBorders>
            <w:shd w:val="clear" w:color="auto" w:fill="auto"/>
            <w:vAlign w:val="bottom"/>
          </w:tcPr>
          <w:p w:rsidR="00B23513" w:rsidRPr="000F7862" w:rsidRDefault="00B23513" w:rsidP="00B23513">
            <w:pPr>
              <w:spacing w:before="80" w:after="80" w:line="200" w:lineRule="exact"/>
              <w:jc w:val="right"/>
              <w:rPr>
                <w:i/>
                <w:sz w:val="16"/>
                <w:lang w:val="fr-FR"/>
              </w:rPr>
            </w:pPr>
            <w:r w:rsidRPr="000F7862">
              <w:rPr>
                <w:i/>
                <w:sz w:val="16"/>
                <w:lang w:val="fr-FR"/>
              </w:rPr>
              <w:t>2009</w:t>
            </w:r>
          </w:p>
        </w:tc>
        <w:tc>
          <w:tcPr>
            <w:tcW w:w="761" w:type="dxa"/>
            <w:tcBorders>
              <w:top w:val="single" w:sz="4" w:space="0" w:color="auto"/>
              <w:bottom w:val="single" w:sz="12" w:space="0" w:color="auto"/>
            </w:tcBorders>
            <w:shd w:val="clear" w:color="auto" w:fill="auto"/>
            <w:vAlign w:val="bottom"/>
          </w:tcPr>
          <w:p w:rsidR="00B23513" w:rsidRPr="000F7862" w:rsidRDefault="00B23513" w:rsidP="00B23513">
            <w:pPr>
              <w:spacing w:before="80" w:after="80" w:line="200" w:lineRule="exact"/>
              <w:jc w:val="right"/>
              <w:rPr>
                <w:i/>
                <w:sz w:val="16"/>
                <w:lang w:val="fr-FR"/>
              </w:rPr>
            </w:pPr>
            <w:r w:rsidRPr="000F7862">
              <w:rPr>
                <w:i/>
                <w:sz w:val="16"/>
                <w:lang w:val="fr-FR"/>
              </w:rPr>
              <w:t>2010</w:t>
            </w:r>
          </w:p>
        </w:tc>
        <w:tc>
          <w:tcPr>
            <w:tcW w:w="761" w:type="dxa"/>
            <w:tcBorders>
              <w:top w:val="single" w:sz="4" w:space="0" w:color="auto"/>
              <w:bottom w:val="single" w:sz="12" w:space="0" w:color="auto"/>
            </w:tcBorders>
            <w:shd w:val="clear" w:color="auto" w:fill="auto"/>
            <w:vAlign w:val="bottom"/>
          </w:tcPr>
          <w:p w:rsidR="00B23513" w:rsidRPr="000F7862" w:rsidRDefault="00B23513" w:rsidP="00B23513">
            <w:pPr>
              <w:spacing w:before="80" w:after="80" w:line="200" w:lineRule="exact"/>
              <w:jc w:val="right"/>
              <w:rPr>
                <w:i/>
                <w:sz w:val="16"/>
                <w:lang w:val="fr-FR"/>
              </w:rPr>
            </w:pPr>
            <w:r w:rsidRPr="000F7862">
              <w:rPr>
                <w:i/>
                <w:sz w:val="16"/>
                <w:lang w:val="fr-FR"/>
              </w:rPr>
              <w:t>2011</w:t>
            </w:r>
          </w:p>
        </w:tc>
        <w:tc>
          <w:tcPr>
            <w:tcW w:w="761" w:type="dxa"/>
            <w:tcBorders>
              <w:top w:val="single" w:sz="4" w:space="0" w:color="auto"/>
              <w:bottom w:val="single" w:sz="12" w:space="0" w:color="auto"/>
            </w:tcBorders>
            <w:shd w:val="clear" w:color="auto" w:fill="auto"/>
            <w:vAlign w:val="bottom"/>
          </w:tcPr>
          <w:p w:rsidR="00B23513" w:rsidRPr="000F7862" w:rsidRDefault="00B23513" w:rsidP="00B23513">
            <w:pPr>
              <w:spacing w:before="80" w:after="80" w:line="200" w:lineRule="exact"/>
              <w:jc w:val="right"/>
              <w:rPr>
                <w:i/>
                <w:sz w:val="16"/>
                <w:lang w:val="fr-FR"/>
              </w:rPr>
            </w:pPr>
            <w:r w:rsidRPr="000F7862">
              <w:rPr>
                <w:i/>
                <w:sz w:val="16"/>
                <w:lang w:val="fr-FR"/>
              </w:rPr>
              <w:t>2012</w:t>
            </w:r>
          </w:p>
        </w:tc>
        <w:tc>
          <w:tcPr>
            <w:tcW w:w="761" w:type="dxa"/>
            <w:tcBorders>
              <w:top w:val="single" w:sz="4" w:space="0" w:color="auto"/>
              <w:bottom w:val="single" w:sz="12" w:space="0" w:color="auto"/>
            </w:tcBorders>
            <w:shd w:val="clear" w:color="auto" w:fill="auto"/>
            <w:vAlign w:val="bottom"/>
          </w:tcPr>
          <w:p w:rsidR="00B23513" w:rsidRPr="000F7862" w:rsidRDefault="00B23513" w:rsidP="00B23513">
            <w:pPr>
              <w:spacing w:before="80" w:after="80" w:line="200" w:lineRule="exact"/>
              <w:jc w:val="right"/>
              <w:rPr>
                <w:i/>
                <w:sz w:val="16"/>
                <w:lang w:val="fr-FR"/>
              </w:rPr>
            </w:pPr>
            <w:r w:rsidRPr="000F7862">
              <w:rPr>
                <w:i/>
                <w:sz w:val="16"/>
                <w:lang w:val="fr-FR"/>
              </w:rPr>
              <w:t>2013</w:t>
            </w:r>
          </w:p>
        </w:tc>
      </w:tr>
      <w:tr w:rsidR="00B23513" w:rsidRPr="000F7862" w:rsidTr="00B23513">
        <w:tc>
          <w:tcPr>
            <w:tcW w:w="3566" w:type="dxa"/>
            <w:tcBorders>
              <w:top w:val="single" w:sz="12" w:space="0" w:color="auto"/>
            </w:tcBorders>
            <w:shd w:val="clear" w:color="auto" w:fill="auto"/>
            <w:vAlign w:val="bottom"/>
          </w:tcPr>
          <w:p w:rsidR="00B23513" w:rsidRPr="000F7862" w:rsidRDefault="00B23513" w:rsidP="00B23513">
            <w:pPr>
              <w:spacing w:before="40" w:after="40" w:line="220" w:lineRule="exact"/>
              <w:rPr>
                <w:sz w:val="18"/>
                <w:lang w:val="fr-FR"/>
              </w:rPr>
            </w:pPr>
            <w:r w:rsidRPr="000F7862">
              <w:rPr>
                <w:sz w:val="18"/>
                <w:lang w:val="fr-FR"/>
              </w:rPr>
              <w:t>Programme Pantawid Pamilya (CCT)</w:t>
            </w:r>
          </w:p>
        </w:tc>
        <w:tc>
          <w:tcPr>
            <w:tcW w:w="760" w:type="dxa"/>
            <w:tcBorders>
              <w:top w:val="single" w:sz="12" w:space="0" w:color="auto"/>
            </w:tcBorders>
            <w:shd w:val="clear" w:color="auto" w:fill="auto"/>
            <w:vAlign w:val="bottom"/>
          </w:tcPr>
          <w:p w:rsidR="00B23513" w:rsidRPr="000F7862" w:rsidRDefault="00B23513" w:rsidP="00B23513">
            <w:pPr>
              <w:spacing w:before="40" w:after="40" w:line="220" w:lineRule="exact"/>
              <w:jc w:val="right"/>
              <w:rPr>
                <w:sz w:val="18"/>
                <w:lang w:val="fr-FR"/>
              </w:rPr>
            </w:pPr>
            <w:r w:rsidRPr="000F7862">
              <w:rPr>
                <w:sz w:val="18"/>
                <w:lang w:val="fr-FR"/>
              </w:rPr>
              <w:t>5 000</w:t>
            </w:r>
          </w:p>
        </w:tc>
        <w:tc>
          <w:tcPr>
            <w:tcW w:w="761" w:type="dxa"/>
            <w:tcBorders>
              <w:top w:val="single" w:sz="12" w:space="0" w:color="auto"/>
            </w:tcBorders>
            <w:shd w:val="clear" w:color="auto" w:fill="auto"/>
            <w:vAlign w:val="bottom"/>
          </w:tcPr>
          <w:p w:rsidR="00B23513" w:rsidRPr="000F7862" w:rsidRDefault="00B23513" w:rsidP="00B23513">
            <w:pPr>
              <w:spacing w:before="40" w:after="40" w:line="220" w:lineRule="exact"/>
              <w:jc w:val="right"/>
              <w:rPr>
                <w:sz w:val="18"/>
                <w:lang w:val="fr-FR"/>
              </w:rPr>
            </w:pPr>
            <w:r w:rsidRPr="000F7862">
              <w:rPr>
                <w:sz w:val="18"/>
                <w:lang w:val="fr-FR"/>
              </w:rPr>
              <w:t>10 000</w:t>
            </w:r>
          </w:p>
        </w:tc>
        <w:tc>
          <w:tcPr>
            <w:tcW w:w="761" w:type="dxa"/>
            <w:tcBorders>
              <w:top w:val="single" w:sz="12" w:space="0" w:color="auto"/>
            </w:tcBorders>
            <w:shd w:val="clear" w:color="auto" w:fill="auto"/>
            <w:vAlign w:val="bottom"/>
          </w:tcPr>
          <w:p w:rsidR="00B23513" w:rsidRPr="000F7862" w:rsidRDefault="00B23513" w:rsidP="00B23513">
            <w:pPr>
              <w:spacing w:before="40" w:after="40" w:line="220" w:lineRule="exact"/>
              <w:jc w:val="right"/>
              <w:rPr>
                <w:sz w:val="18"/>
                <w:lang w:val="fr-FR"/>
              </w:rPr>
            </w:pPr>
            <w:r w:rsidRPr="000F7862">
              <w:rPr>
                <w:sz w:val="18"/>
                <w:lang w:val="fr-FR"/>
              </w:rPr>
              <w:t>21 194</w:t>
            </w:r>
          </w:p>
        </w:tc>
        <w:tc>
          <w:tcPr>
            <w:tcW w:w="761" w:type="dxa"/>
            <w:tcBorders>
              <w:top w:val="single" w:sz="12" w:space="0" w:color="auto"/>
            </w:tcBorders>
            <w:shd w:val="clear" w:color="auto" w:fill="auto"/>
            <w:vAlign w:val="bottom"/>
          </w:tcPr>
          <w:p w:rsidR="00B23513" w:rsidRPr="000F7862" w:rsidRDefault="00B23513" w:rsidP="00B23513">
            <w:pPr>
              <w:spacing w:before="40" w:after="40" w:line="220" w:lineRule="exact"/>
              <w:jc w:val="right"/>
              <w:rPr>
                <w:sz w:val="18"/>
                <w:lang w:val="fr-FR"/>
              </w:rPr>
            </w:pPr>
            <w:r w:rsidRPr="000F7862">
              <w:rPr>
                <w:sz w:val="18"/>
                <w:lang w:val="fr-FR"/>
              </w:rPr>
              <w:t>39 445</w:t>
            </w:r>
          </w:p>
        </w:tc>
        <w:tc>
          <w:tcPr>
            <w:tcW w:w="761" w:type="dxa"/>
            <w:tcBorders>
              <w:top w:val="single" w:sz="12" w:space="0" w:color="auto"/>
            </w:tcBorders>
            <w:shd w:val="clear" w:color="auto" w:fill="auto"/>
            <w:vAlign w:val="bottom"/>
          </w:tcPr>
          <w:p w:rsidR="00B23513" w:rsidRPr="000F7862" w:rsidRDefault="00B23513" w:rsidP="00B23513">
            <w:pPr>
              <w:spacing w:before="40" w:after="40" w:line="220" w:lineRule="exact"/>
              <w:jc w:val="right"/>
              <w:rPr>
                <w:sz w:val="18"/>
                <w:lang w:val="fr-FR"/>
              </w:rPr>
            </w:pPr>
            <w:r w:rsidRPr="000F7862">
              <w:rPr>
                <w:sz w:val="18"/>
                <w:lang w:val="fr-FR"/>
              </w:rPr>
              <w:t>44 256</w:t>
            </w:r>
          </w:p>
        </w:tc>
      </w:tr>
      <w:tr w:rsidR="00B23513" w:rsidRPr="000F7862" w:rsidTr="00B23513">
        <w:tc>
          <w:tcPr>
            <w:tcW w:w="3566" w:type="dxa"/>
            <w:shd w:val="clear" w:color="auto" w:fill="auto"/>
            <w:vAlign w:val="bottom"/>
          </w:tcPr>
          <w:p w:rsidR="00B23513" w:rsidRPr="000F7862" w:rsidRDefault="00B23513" w:rsidP="00B23513">
            <w:pPr>
              <w:spacing w:before="40" w:after="40" w:line="220" w:lineRule="exact"/>
              <w:ind w:left="170"/>
              <w:rPr>
                <w:sz w:val="18"/>
                <w:lang w:val="fr-FR"/>
              </w:rPr>
            </w:pPr>
            <w:r w:rsidRPr="000F7862">
              <w:rPr>
                <w:sz w:val="18"/>
                <w:lang w:val="fr-FR"/>
              </w:rPr>
              <w:t>Croissance (%)</w:t>
            </w:r>
          </w:p>
        </w:tc>
        <w:tc>
          <w:tcPr>
            <w:tcW w:w="760" w:type="dxa"/>
            <w:shd w:val="clear" w:color="auto" w:fill="auto"/>
            <w:vAlign w:val="bottom"/>
          </w:tcPr>
          <w:p w:rsidR="00B23513" w:rsidRPr="000F7862" w:rsidRDefault="00B23513" w:rsidP="00B23513">
            <w:pPr>
              <w:spacing w:before="40" w:after="40" w:line="220" w:lineRule="exact"/>
              <w:jc w:val="right"/>
              <w:rPr>
                <w:sz w:val="18"/>
                <w:lang w:val="fr-FR"/>
              </w:rPr>
            </w:pPr>
          </w:p>
        </w:tc>
        <w:tc>
          <w:tcPr>
            <w:tcW w:w="761" w:type="dxa"/>
            <w:shd w:val="clear" w:color="auto" w:fill="auto"/>
            <w:vAlign w:val="bottom"/>
          </w:tcPr>
          <w:p w:rsidR="00B23513" w:rsidRPr="000F7862" w:rsidRDefault="00B23513" w:rsidP="00B23513">
            <w:pPr>
              <w:spacing w:before="40" w:after="40" w:line="220" w:lineRule="exact"/>
              <w:jc w:val="right"/>
              <w:rPr>
                <w:sz w:val="18"/>
                <w:lang w:val="fr-FR"/>
              </w:rPr>
            </w:pPr>
            <w:r w:rsidRPr="000F7862">
              <w:rPr>
                <w:sz w:val="18"/>
                <w:lang w:val="fr-FR"/>
              </w:rPr>
              <w:t>100,0</w:t>
            </w:r>
          </w:p>
        </w:tc>
        <w:tc>
          <w:tcPr>
            <w:tcW w:w="761" w:type="dxa"/>
            <w:shd w:val="clear" w:color="auto" w:fill="auto"/>
            <w:vAlign w:val="bottom"/>
          </w:tcPr>
          <w:p w:rsidR="00B23513" w:rsidRPr="000F7862" w:rsidRDefault="00B23513" w:rsidP="00B23513">
            <w:pPr>
              <w:spacing w:before="40" w:after="40" w:line="220" w:lineRule="exact"/>
              <w:jc w:val="right"/>
              <w:rPr>
                <w:sz w:val="18"/>
                <w:lang w:val="fr-FR"/>
              </w:rPr>
            </w:pPr>
            <w:r w:rsidRPr="000F7862">
              <w:rPr>
                <w:sz w:val="18"/>
                <w:lang w:val="fr-FR"/>
              </w:rPr>
              <w:t>111,9</w:t>
            </w:r>
          </w:p>
        </w:tc>
        <w:tc>
          <w:tcPr>
            <w:tcW w:w="761" w:type="dxa"/>
            <w:shd w:val="clear" w:color="auto" w:fill="auto"/>
            <w:vAlign w:val="bottom"/>
          </w:tcPr>
          <w:p w:rsidR="00B23513" w:rsidRPr="000F7862" w:rsidRDefault="00B23513" w:rsidP="00B23513">
            <w:pPr>
              <w:spacing w:before="40" w:after="40" w:line="220" w:lineRule="exact"/>
              <w:jc w:val="right"/>
              <w:rPr>
                <w:sz w:val="18"/>
                <w:lang w:val="fr-FR"/>
              </w:rPr>
            </w:pPr>
            <w:r w:rsidRPr="000F7862">
              <w:rPr>
                <w:sz w:val="18"/>
                <w:lang w:val="fr-FR"/>
              </w:rPr>
              <w:t>86,1</w:t>
            </w:r>
          </w:p>
        </w:tc>
        <w:tc>
          <w:tcPr>
            <w:tcW w:w="761" w:type="dxa"/>
            <w:shd w:val="clear" w:color="auto" w:fill="auto"/>
            <w:vAlign w:val="bottom"/>
          </w:tcPr>
          <w:p w:rsidR="00B23513" w:rsidRPr="000F7862" w:rsidRDefault="00B23513" w:rsidP="00B23513">
            <w:pPr>
              <w:spacing w:before="40" w:after="40" w:line="220" w:lineRule="exact"/>
              <w:jc w:val="right"/>
              <w:rPr>
                <w:sz w:val="18"/>
                <w:lang w:val="fr-FR"/>
              </w:rPr>
            </w:pPr>
            <w:r w:rsidRPr="000F7862">
              <w:rPr>
                <w:sz w:val="18"/>
                <w:lang w:val="fr-FR"/>
              </w:rPr>
              <w:t>12,2</w:t>
            </w:r>
          </w:p>
        </w:tc>
      </w:tr>
      <w:tr w:rsidR="00B23513" w:rsidRPr="000F7862" w:rsidTr="00B23513">
        <w:tc>
          <w:tcPr>
            <w:tcW w:w="3566" w:type="dxa"/>
            <w:shd w:val="clear" w:color="auto" w:fill="auto"/>
            <w:vAlign w:val="bottom"/>
          </w:tcPr>
          <w:p w:rsidR="00B23513" w:rsidRPr="000F7862" w:rsidRDefault="00B23513" w:rsidP="00B23513">
            <w:pPr>
              <w:spacing w:before="40" w:after="40" w:line="220" w:lineRule="exact"/>
              <w:rPr>
                <w:sz w:val="18"/>
                <w:lang w:val="fr-FR"/>
              </w:rPr>
            </w:pPr>
            <w:r w:rsidRPr="000F7862">
              <w:rPr>
                <w:sz w:val="18"/>
                <w:lang w:val="fr-FR"/>
              </w:rPr>
              <w:t>SEA-K</w:t>
            </w:r>
          </w:p>
        </w:tc>
        <w:tc>
          <w:tcPr>
            <w:tcW w:w="760" w:type="dxa"/>
            <w:shd w:val="clear" w:color="auto" w:fill="auto"/>
            <w:vAlign w:val="bottom"/>
          </w:tcPr>
          <w:p w:rsidR="00B23513" w:rsidRPr="000F7862" w:rsidRDefault="00B23513" w:rsidP="00B23513">
            <w:pPr>
              <w:spacing w:before="40" w:after="40" w:line="220" w:lineRule="exact"/>
              <w:jc w:val="right"/>
              <w:rPr>
                <w:sz w:val="18"/>
                <w:lang w:val="fr-FR"/>
              </w:rPr>
            </w:pPr>
            <w:r w:rsidRPr="000F7862">
              <w:rPr>
                <w:sz w:val="18"/>
                <w:lang w:val="fr-FR"/>
              </w:rPr>
              <w:t>199</w:t>
            </w:r>
          </w:p>
        </w:tc>
        <w:tc>
          <w:tcPr>
            <w:tcW w:w="761" w:type="dxa"/>
            <w:shd w:val="clear" w:color="auto" w:fill="auto"/>
            <w:vAlign w:val="bottom"/>
          </w:tcPr>
          <w:p w:rsidR="00B23513" w:rsidRPr="000F7862" w:rsidRDefault="00B23513" w:rsidP="00B23513">
            <w:pPr>
              <w:spacing w:before="40" w:after="40" w:line="220" w:lineRule="exact"/>
              <w:jc w:val="right"/>
              <w:rPr>
                <w:sz w:val="18"/>
                <w:lang w:val="fr-FR"/>
              </w:rPr>
            </w:pPr>
            <w:r w:rsidRPr="000F7862">
              <w:rPr>
                <w:sz w:val="18"/>
                <w:lang w:val="fr-FR"/>
              </w:rPr>
              <w:t>160</w:t>
            </w:r>
          </w:p>
        </w:tc>
        <w:tc>
          <w:tcPr>
            <w:tcW w:w="761" w:type="dxa"/>
            <w:shd w:val="clear" w:color="auto" w:fill="auto"/>
            <w:vAlign w:val="bottom"/>
          </w:tcPr>
          <w:p w:rsidR="00B23513" w:rsidRPr="000F7862" w:rsidRDefault="00B23513" w:rsidP="00B23513">
            <w:pPr>
              <w:spacing w:before="40" w:after="40" w:line="220" w:lineRule="exact"/>
              <w:jc w:val="right"/>
              <w:rPr>
                <w:sz w:val="18"/>
                <w:lang w:val="fr-FR"/>
              </w:rPr>
            </w:pPr>
            <w:r w:rsidRPr="000F7862">
              <w:rPr>
                <w:sz w:val="18"/>
                <w:lang w:val="fr-FR"/>
              </w:rPr>
              <w:t>-</w:t>
            </w:r>
          </w:p>
        </w:tc>
        <w:tc>
          <w:tcPr>
            <w:tcW w:w="761" w:type="dxa"/>
            <w:shd w:val="clear" w:color="auto" w:fill="auto"/>
            <w:vAlign w:val="bottom"/>
          </w:tcPr>
          <w:p w:rsidR="00B23513" w:rsidRPr="000F7862" w:rsidRDefault="00B23513" w:rsidP="00B23513">
            <w:pPr>
              <w:spacing w:before="40" w:after="40" w:line="220" w:lineRule="exact"/>
              <w:jc w:val="right"/>
              <w:rPr>
                <w:sz w:val="18"/>
                <w:lang w:val="fr-FR"/>
              </w:rPr>
            </w:pPr>
            <w:r w:rsidRPr="000F7862">
              <w:rPr>
                <w:sz w:val="18"/>
                <w:lang w:val="fr-FR"/>
              </w:rPr>
              <w:t>84</w:t>
            </w:r>
          </w:p>
        </w:tc>
        <w:tc>
          <w:tcPr>
            <w:tcW w:w="761" w:type="dxa"/>
            <w:shd w:val="clear" w:color="auto" w:fill="auto"/>
            <w:vAlign w:val="bottom"/>
          </w:tcPr>
          <w:p w:rsidR="00B23513" w:rsidRPr="000F7862" w:rsidRDefault="00B23513" w:rsidP="00B23513">
            <w:pPr>
              <w:spacing w:before="40" w:after="40" w:line="220" w:lineRule="exact"/>
              <w:jc w:val="right"/>
              <w:rPr>
                <w:sz w:val="18"/>
                <w:lang w:val="fr-FR"/>
              </w:rPr>
            </w:pPr>
            <w:r w:rsidRPr="000F7862">
              <w:rPr>
                <w:sz w:val="18"/>
                <w:lang w:val="fr-FR"/>
              </w:rPr>
              <w:t>1 797</w:t>
            </w:r>
          </w:p>
        </w:tc>
      </w:tr>
      <w:tr w:rsidR="00B23513" w:rsidRPr="000F7862" w:rsidTr="00B23513">
        <w:tc>
          <w:tcPr>
            <w:tcW w:w="3566" w:type="dxa"/>
            <w:shd w:val="clear" w:color="auto" w:fill="auto"/>
            <w:vAlign w:val="bottom"/>
          </w:tcPr>
          <w:p w:rsidR="00B23513" w:rsidRPr="000F7862" w:rsidRDefault="00B23513" w:rsidP="00B23513">
            <w:pPr>
              <w:spacing w:before="40" w:after="40" w:line="220" w:lineRule="exact"/>
              <w:ind w:left="170"/>
              <w:rPr>
                <w:sz w:val="18"/>
                <w:lang w:val="fr-FR"/>
              </w:rPr>
            </w:pPr>
            <w:r w:rsidRPr="000F7862">
              <w:rPr>
                <w:sz w:val="18"/>
                <w:lang w:val="fr-FR"/>
              </w:rPr>
              <w:t>Croissance (%)</w:t>
            </w:r>
          </w:p>
        </w:tc>
        <w:tc>
          <w:tcPr>
            <w:tcW w:w="760" w:type="dxa"/>
            <w:shd w:val="clear" w:color="auto" w:fill="auto"/>
            <w:vAlign w:val="bottom"/>
          </w:tcPr>
          <w:p w:rsidR="00B23513" w:rsidRPr="000F7862" w:rsidRDefault="00B23513" w:rsidP="00B23513">
            <w:pPr>
              <w:spacing w:before="40" w:after="40" w:line="220" w:lineRule="exact"/>
              <w:jc w:val="right"/>
              <w:rPr>
                <w:sz w:val="18"/>
                <w:lang w:val="fr-FR"/>
              </w:rPr>
            </w:pPr>
          </w:p>
        </w:tc>
        <w:tc>
          <w:tcPr>
            <w:tcW w:w="761" w:type="dxa"/>
            <w:shd w:val="clear" w:color="auto" w:fill="auto"/>
            <w:vAlign w:val="bottom"/>
          </w:tcPr>
          <w:p w:rsidR="00B23513" w:rsidRPr="000F7862" w:rsidRDefault="00B23513" w:rsidP="00B23513">
            <w:pPr>
              <w:spacing w:before="40" w:after="40" w:line="220" w:lineRule="exact"/>
              <w:jc w:val="right"/>
              <w:rPr>
                <w:sz w:val="18"/>
                <w:lang w:val="fr-FR"/>
              </w:rPr>
            </w:pPr>
            <w:r w:rsidRPr="000F7862">
              <w:rPr>
                <w:sz w:val="18"/>
                <w:lang w:val="fr-FR"/>
              </w:rPr>
              <w:t>(19,6)</w:t>
            </w:r>
          </w:p>
        </w:tc>
        <w:tc>
          <w:tcPr>
            <w:tcW w:w="761" w:type="dxa"/>
            <w:shd w:val="clear" w:color="auto" w:fill="auto"/>
            <w:vAlign w:val="bottom"/>
          </w:tcPr>
          <w:p w:rsidR="00B23513" w:rsidRPr="000F7862" w:rsidRDefault="00B23513" w:rsidP="00B23513">
            <w:pPr>
              <w:spacing w:before="40" w:after="40" w:line="220" w:lineRule="exact"/>
              <w:jc w:val="right"/>
              <w:rPr>
                <w:sz w:val="18"/>
                <w:lang w:val="fr-FR"/>
              </w:rPr>
            </w:pPr>
            <w:r w:rsidRPr="000F7862">
              <w:rPr>
                <w:sz w:val="18"/>
                <w:lang w:val="fr-FR"/>
              </w:rPr>
              <w:t>(100,0)</w:t>
            </w:r>
          </w:p>
        </w:tc>
        <w:tc>
          <w:tcPr>
            <w:tcW w:w="761" w:type="dxa"/>
            <w:shd w:val="clear" w:color="auto" w:fill="auto"/>
            <w:vAlign w:val="bottom"/>
          </w:tcPr>
          <w:p w:rsidR="00B23513" w:rsidRPr="000F7862" w:rsidRDefault="00B23513" w:rsidP="00B23513">
            <w:pPr>
              <w:spacing w:before="40" w:after="40" w:line="220" w:lineRule="exact"/>
              <w:jc w:val="right"/>
              <w:rPr>
                <w:sz w:val="18"/>
                <w:lang w:val="fr-FR"/>
              </w:rPr>
            </w:pPr>
            <w:r w:rsidRPr="000F7862">
              <w:rPr>
                <w:sz w:val="18"/>
                <w:lang w:val="fr-FR"/>
              </w:rPr>
              <w:t>-</w:t>
            </w:r>
          </w:p>
        </w:tc>
        <w:tc>
          <w:tcPr>
            <w:tcW w:w="761" w:type="dxa"/>
            <w:shd w:val="clear" w:color="auto" w:fill="auto"/>
            <w:vAlign w:val="bottom"/>
          </w:tcPr>
          <w:p w:rsidR="00B23513" w:rsidRPr="000F7862" w:rsidRDefault="00B23513" w:rsidP="00B23513">
            <w:pPr>
              <w:spacing w:before="40" w:after="40" w:line="220" w:lineRule="exact"/>
              <w:jc w:val="right"/>
              <w:rPr>
                <w:sz w:val="18"/>
                <w:lang w:val="fr-FR"/>
              </w:rPr>
            </w:pPr>
            <w:r w:rsidRPr="000F7862">
              <w:rPr>
                <w:sz w:val="18"/>
                <w:lang w:val="fr-FR"/>
              </w:rPr>
              <w:t>2 030,5</w:t>
            </w:r>
          </w:p>
        </w:tc>
      </w:tr>
      <w:tr w:rsidR="00B23513" w:rsidRPr="000F7862" w:rsidTr="00B23513">
        <w:tc>
          <w:tcPr>
            <w:tcW w:w="3566" w:type="dxa"/>
            <w:shd w:val="clear" w:color="auto" w:fill="auto"/>
            <w:vAlign w:val="bottom"/>
          </w:tcPr>
          <w:p w:rsidR="00B23513" w:rsidRPr="000F7862" w:rsidRDefault="00B23513" w:rsidP="00B23513">
            <w:pPr>
              <w:spacing w:before="40" w:after="40" w:line="220" w:lineRule="exact"/>
              <w:rPr>
                <w:sz w:val="18"/>
                <w:lang w:val="fr-FR"/>
              </w:rPr>
            </w:pPr>
            <w:r w:rsidRPr="000F7862">
              <w:rPr>
                <w:sz w:val="18"/>
                <w:lang w:val="fr-FR"/>
              </w:rPr>
              <w:t>KALAHI-CIDSS</w:t>
            </w:r>
          </w:p>
        </w:tc>
        <w:tc>
          <w:tcPr>
            <w:tcW w:w="760" w:type="dxa"/>
            <w:shd w:val="clear" w:color="auto" w:fill="auto"/>
            <w:vAlign w:val="bottom"/>
          </w:tcPr>
          <w:p w:rsidR="00B23513" w:rsidRPr="000F7862" w:rsidRDefault="00B23513" w:rsidP="00B23513">
            <w:pPr>
              <w:spacing w:before="40" w:after="40" w:line="220" w:lineRule="exact"/>
              <w:jc w:val="right"/>
              <w:rPr>
                <w:sz w:val="18"/>
                <w:lang w:val="fr-FR"/>
              </w:rPr>
            </w:pPr>
            <w:r w:rsidRPr="000F7862">
              <w:rPr>
                <w:sz w:val="18"/>
                <w:lang w:val="fr-FR"/>
              </w:rPr>
              <w:t>342</w:t>
            </w:r>
          </w:p>
        </w:tc>
        <w:tc>
          <w:tcPr>
            <w:tcW w:w="761" w:type="dxa"/>
            <w:shd w:val="clear" w:color="auto" w:fill="auto"/>
            <w:vAlign w:val="bottom"/>
          </w:tcPr>
          <w:p w:rsidR="00B23513" w:rsidRPr="000F7862" w:rsidRDefault="00B23513" w:rsidP="00B23513">
            <w:pPr>
              <w:spacing w:before="40" w:after="40" w:line="220" w:lineRule="exact"/>
              <w:jc w:val="right"/>
              <w:rPr>
                <w:sz w:val="18"/>
                <w:lang w:val="fr-FR"/>
              </w:rPr>
            </w:pPr>
            <w:r w:rsidRPr="000F7862">
              <w:rPr>
                <w:sz w:val="18"/>
                <w:lang w:val="fr-FR"/>
              </w:rPr>
              <w:t>20</w:t>
            </w:r>
          </w:p>
        </w:tc>
        <w:tc>
          <w:tcPr>
            <w:tcW w:w="761" w:type="dxa"/>
            <w:shd w:val="clear" w:color="auto" w:fill="auto"/>
            <w:vAlign w:val="bottom"/>
          </w:tcPr>
          <w:p w:rsidR="00B23513" w:rsidRPr="000F7862" w:rsidRDefault="00B23513" w:rsidP="00B23513">
            <w:pPr>
              <w:spacing w:before="40" w:after="40" w:line="220" w:lineRule="exact"/>
              <w:jc w:val="right"/>
              <w:rPr>
                <w:sz w:val="18"/>
                <w:lang w:val="fr-FR"/>
              </w:rPr>
            </w:pPr>
            <w:r w:rsidRPr="000F7862">
              <w:rPr>
                <w:sz w:val="18"/>
                <w:lang w:val="fr-FR"/>
              </w:rPr>
              <w:t>2 001</w:t>
            </w:r>
          </w:p>
        </w:tc>
        <w:tc>
          <w:tcPr>
            <w:tcW w:w="761" w:type="dxa"/>
            <w:shd w:val="clear" w:color="auto" w:fill="auto"/>
            <w:vAlign w:val="bottom"/>
          </w:tcPr>
          <w:p w:rsidR="00B23513" w:rsidRPr="000F7862" w:rsidRDefault="00B23513" w:rsidP="00B23513">
            <w:pPr>
              <w:spacing w:before="40" w:after="40" w:line="220" w:lineRule="exact"/>
              <w:jc w:val="right"/>
              <w:rPr>
                <w:sz w:val="18"/>
                <w:lang w:val="fr-FR"/>
              </w:rPr>
            </w:pPr>
            <w:r w:rsidRPr="000F7862">
              <w:rPr>
                <w:sz w:val="18"/>
                <w:lang w:val="fr-FR"/>
              </w:rPr>
              <w:t>1 325</w:t>
            </w:r>
          </w:p>
        </w:tc>
        <w:tc>
          <w:tcPr>
            <w:tcW w:w="761" w:type="dxa"/>
            <w:shd w:val="clear" w:color="auto" w:fill="auto"/>
            <w:vAlign w:val="bottom"/>
          </w:tcPr>
          <w:p w:rsidR="00B23513" w:rsidRPr="000F7862" w:rsidRDefault="00B23513" w:rsidP="00B23513">
            <w:pPr>
              <w:spacing w:before="40" w:after="40" w:line="220" w:lineRule="exact"/>
              <w:jc w:val="right"/>
              <w:rPr>
                <w:sz w:val="18"/>
                <w:lang w:val="fr-FR"/>
              </w:rPr>
            </w:pPr>
            <w:r w:rsidRPr="000F7862">
              <w:rPr>
                <w:sz w:val="18"/>
                <w:lang w:val="fr-FR"/>
              </w:rPr>
              <w:t>650</w:t>
            </w:r>
          </w:p>
        </w:tc>
      </w:tr>
      <w:tr w:rsidR="00B23513" w:rsidRPr="000F7862" w:rsidTr="00B23513">
        <w:tc>
          <w:tcPr>
            <w:tcW w:w="3566" w:type="dxa"/>
            <w:shd w:val="clear" w:color="auto" w:fill="auto"/>
            <w:vAlign w:val="bottom"/>
          </w:tcPr>
          <w:p w:rsidR="00B23513" w:rsidRPr="000F7862" w:rsidRDefault="00B23513" w:rsidP="00B23513">
            <w:pPr>
              <w:spacing w:before="40" w:after="40" w:line="220" w:lineRule="exact"/>
              <w:ind w:left="170"/>
              <w:rPr>
                <w:sz w:val="18"/>
                <w:lang w:val="fr-FR"/>
              </w:rPr>
            </w:pPr>
            <w:r w:rsidRPr="000F7862">
              <w:rPr>
                <w:sz w:val="18"/>
                <w:lang w:val="fr-FR"/>
              </w:rPr>
              <w:t>Croissance (%)</w:t>
            </w:r>
          </w:p>
        </w:tc>
        <w:tc>
          <w:tcPr>
            <w:tcW w:w="760" w:type="dxa"/>
            <w:shd w:val="clear" w:color="auto" w:fill="auto"/>
            <w:vAlign w:val="bottom"/>
          </w:tcPr>
          <w:p w:rsidR="00B23513" w:rsidRPr="000F7862" w:rsidRDefault="00B23513" w:rsidP="00B23513">
            <w:pPr>
              <w:spacing w:before="40" w:after="40" w:line="220" w:lineRule="exact"/>
              <w:jc w:val="right"/>
              <w:rPr>
                <w:sz w:val="18"/>
                <w:lang w:val="fr-FR"/>
              </w:rPr>
            </w:pPr>
          </w:p>
        </w:tc>
        <w:tc>
          <w:tcPr>
            <w:tcW w:w="761" w:type="dxa"/>
            <w:shd w:val="clear" w:color="auto" w:fill="auto"/>
            <w:vAlign w:val="bottom"/>
          </w:tcPr>
          <w:p w:rsidR="00B23513" w:rsidRPr="000F7862" w:rsidRDefault="00B23513" w:rsidP="00B23513">
            <w:pPr>
              <w:spacing w:before="40" w:after="40" w:line="220" w:lineRule="exact"/>
              <w:jc w:val="right"/>
              <w:rPr>
                <w:sz w:val="18"/>
                <w:lang w:val="fr-FR"/>
              </w:rPr>
            </w:pPr>
            <w:r w:rsidRPr="000F7862">
              <w:rPr>
                <w:sz w:val="18"/>
                <w:lang w:val="fr-FR"/>
              </w:rPr>
              <w:t>(94,1)</w:t>
            </w:r>
          </w:p>
        </w:tc>
        <w:tc>
          <w:tcPr>
            <w:tcW w:w="761" w:type="dxa"/>
            <w:shd w:val="clear" w:color="auto" w:fill="auto"/>
            <w:vAlign w:val="bottom"/>
          </w:tcPr>
          <w:p w:rsidR="00B23513" w:rsidRPr="000F7862" w:rsidRDefault="00B23513" w:rsidP="00B23513">
            <w:pPr>
              <w:spacing w:before="40" w:after="40" w:line="220" w:lineRule="exact"/>
              <w:jc w:val="right"/>
              <w:rPr>
                <w:sz w:val="18"/>
                <w:lang w:val="fr-FR"/>
              </w:rPr>
            </w:pPr>
            <w:r w:rsidRPr="000F7862">
              <w:rPr>
                <w:sz w:val="18"/>
                <w:lang w:val="fr-FR"/>
              </w:rPr>
              <w:t>9 906,6</w:t>
            </w:r>
          </w:p>
        </w:tc>
        <w:tc>
          <w:tcPr>
            <w:tcW w:w="761" w:type="dxa"/>
            <w:shd w:val="clear" w:color="auto" w:fill="auto"/>
            <w:vAlign w:val="bottom"/>
          </w:tcPr>
          <w:p w:rsidR="00B23513" w:rsidRPr="000F7862" w:rsidRDefault="00B23513" w:rsidP="00B23513">
            <w:pPr>
              <w:spacing w:before="40" w:after="40" w:line="220" w:lineRule="exact"/>
              <w:jc w:val="right"/>
              <w:rPr>
                <w:sz w:val="18"/>
                <w:lang w:val="fr-FR"/>
              </w:rPr>
            </w:pPr>
            <w:r w:rsidRPr="000F7862">
              <w:rPr>
                <w:sz w:val="18"/>
                <w:lang w:val="fr-FR"/>
              </w:rPr>
              <w:t>(33,8)</w:t>
            </w:r>
          </w:p>
        </w:tc>
        <w:tc>
          <w:tcPr>
            <w:tcW w:w="761" w:type="dxa"/>
            <w:shd w:val="clear" w:color="auto" w:fill="auto"/>
            <w:vAlign w:val="bottom"/>
          </w:tcPr>
          <w:p w:rsidR="00B23513" w:rsidRPr="000F7862" w:rsidRDefault="00B23513" w:rsidP="00B23513">
            <w:pPr>
              <w:spacing w:before="40" w:after="40" w:line="220" w:lineRule="exact"/>
              <w:jc w:val="right"/>
              <w:rPr>
                <w:sz w:val="18"/>
                <w:lang w:val="fr-FR"/>
              </w:rPr>
            </w:pPr>
            <w:r w:rsidRPr="000F7862">
              <w:rPr>
                <w:sz w:val="18"/>
                <w:lang w:val="fr-FR"/>
              </w:rPr>
              <w:t>(50,9)</w:t>
            </w:r>
          </w:p>
        </w:tc>
      </w:tr>
      <w:tr w:rsidR="00B23513" w:rsidRPr="000F7862" w:rsidTr="00B23513">
        <w:tc>
          <w:tcPr>
            <w:tcW w:w="3566" w:type="dxa"/>
            <w:shd w:val="clear" w:color="auto" w:fill="auto"/>
            <w:vAlign w:val="bottom"/>
          </w:tcPr>
          <w:p w:rsidR="00B23513" w:rsidRPr="000F7862" w:rsidRDefault="00623541" w:rsidP="00623541">
            <w:pPr>
              <w:spacing w:before="40" w:after="40" w:line="220" w:lineRule="exact"/>
              <w:rPr>
                <w:sz w:val="18"/>
                <w:lang w:val="fr-FR"/>
              </w:rPr>
            </w:pPr>
            <w:r w:rsidRPr="000F7862">
              <w:rPr>
                <w:sz w:val="18"/>
                <w:lang w:val="fr-FR"/>
              </w:rPr>
              <w:t>Pension sociale pour personnes âgées indigentes</w:t>
            </w:r>
          </w:p>
        </w:tc>
        <w:tc>
          <w:tcPr>
            <w:tcW w:w="760" w:type="dxa"/>
            <w:shd w:val="clear" w:color="auto" w:fill="auto"/>
            <w:vAlign w:val="bottom"/>
          </w:tcPr>
          <w:p w:rsidR="00B23513" w:rsidRPr="000F7862" w:rsidRDefault="00B23513" w:rsidP="00B23513">
            <w:pPr>
              <w:spacing w:before="40" w:after="40" w:line="220" w:lineRule="exact"/>
              <w:jc w:val="right"/>
              <w:rPr>
                <w:sz w:val="18"/>
                <w:lang w:val="fr-FR"/>
              </w:rPr>
            </w:pPr>
            <w:r w:rsidRPr="000F7862">
              <w:rPr>
                <w:sz w:val="18"/>
                <w:lang w:val="fr-FR"/>
              </w:rPr>
              <w:t>-</w:t>
            </w:r>
          </w:p>
        </w:tc>
        <w:tc>
          <w:tcPr>
            <w:tcW w:w="761" w:type="dxa"/>
            <w:shd w:val="clear" w:color="auto" w:fill="auto"/>
            <w:vAlign w:val="bottom"/>
          </w:tcPr>
          <w:p w:rsidR="00B23513" w:rsidRPr="000F7862" w:rsidRDefault="00B23513" w:rsidP="00B23513">
            <w:pPr>
              <w:spacing w:before="40" w:after="40" w:line="220" w:lineRule="exact"/>
              <w:jc w:val="right"/>
              <w:rPr>
                <w:sz w:val="18"/>
                <w:lang w:val="fr-FR"/>
              </w:rPr>
            </w:pPr>
            <w:r w:rsidRPr="000F7862">
              <w:rPr>
                <w:sz w:val="18"/>
                <w:lang w:val="fr-FR"/>
              </w:rPr>
              <w:t>-</w:t>
            </w:r>
          </w:p>
        </w:tc>
        <w:tc>
          <w:tcPr>
            <w:tcW w:w="761" w:type="dxa"/>
            <w:shd w:val="clear" w:color="auto" w:fill="auto"/>
            <w:vAlign w:val="bottom"/>
          </w:tcPr>
          <w:p w:rsidR="00B23513" w:rsidRPr="000F7862" w:rsidRDefault="00B23513" w:rsidP="00B23513">
            <w:pPr>
              <w:spacing w:before="40" w:after="40" w:line="220" w:lineRule="exact"/>
              <w:jc w:val="right"/>
              <w:rPr>
                <w:sz w:val="18"/>
                <w:lang w:val="fr-FR"/>
              </w:rPr>
            </w:pPr>
            <w:r w:rsidRPr="000F7862">
              <w:rPr>
                <w:sz w:val="18"/>
                <w:lang w:val="fr-FR"/>
              </w:rPr>
              <w:t>882</w:t>
            </w:r>
          </w:p>
        </w:tc>
        <w:tc>
          <w:tcPr>
            <w:tcW w:w="761" w:type="dxa"/>
            <w:shd w:val="clear" w:color="auto" w:fill="auto"/>
            <w:vAlign w:val="bottom"/>
          </w:tcPr>
          <w:p w:rsidR="00B23513" w:rsidRPr="000F7862" w:rsidRDefault="00B23513" w:rsidP="00B23513">
            <w:pPr>
              <w:spacing w:before="40" w:after="40" w:line="220" w:lineRule="exact"/>
              <w:jc w:val="right"/>
              <w:rPr>
                <w:sz w:val="18"/>
                <w:lang w:val="fr-FR"/>
              </w:rPr>
            </w:pPr>
            <w:r w:rsidRPr="000F7862">
              <w:rPr>
                <w:sz w:val="18"/>
                <w:lang w:val="fr-FR"/>
              </w:rPr>
              <w:t>1 227</w:t>
            </w:r>
          </w:p>
        </w:tc>
        <w:tc>
          <w:tcPr>
            <w:tcW w:w="761" w:type="dxa"/>
            <w:shd w:val="clear" w:color="auto" w:fill="auto"/>
            <w:vAlign w:val="bottom"/>
          </w:tcPr>
          <w:p w:rsidR="00B23513" w:rsidRPr="000F7862" w:rsidRDefault="00B23513" w:rsidP="00B23513">
            <w:pPr>
              <w:spacing w:before="40" w:after="40" w:line="220" w:lineRule="exact"/>
              <w:jc w:val="right"/>
              <w:rPr>
                <w:sz w:val="18"/>
                <w:lang w:val="fr-FR"/>
              </w:rPr>
            </w:pPr>
            <w:r w:rsidRPr="000F7862">
              <w:rPr>
                <w:sz w:val="18"/>
                <w:lang w:val="fr-FR"/>
              </w:rPr>
              <w:t>1 533</w:t>
            </w:r>
          </w:p>
        </w:tc>
      </w:tr>
      <w:tr w:rsidR="00B23513" w:rsidRPr="000F7862" w:rsidTr="00B23513">
        <w:tc>
          <w:tcPr>
            <w:tcW w:w="3566" w:type="dxa"/>
            <w:tcBorders>
              <w:bottom w:val="single" w:sz="12" w:space="0" w:color="auto"/>
            </w:tcBorders>
            <w:shd w:val="clear" w:color="auto" w:fill="auto"/>
            <w:vAlign w:val="bottom"/>
          </w:tcPr>
          <w:p w:rsidR="00B23513" w:rsidRPr="000F7862" w:rsidRDefault="00B23513" w:rsidP="00B23513">
            <w:pPr>
              <w:spacing w:before="40" w:after="40" w:line="220" w:lineRule="exact"/>
              <w:ind w:left="170"/>
              <w:rPr>
                <w:sz w:val="18"/>
                <w:lang w:val="fr-FR"/>
              </w:rPr>
            </w:pPr>
            <w:r w:rsidRPr="000F7862">
              <w:rPr>
                <w:sz w:val="18"/>
                <w:lang w:val="fr-FR"/>
              </w:rPr>
              <w:t>Croissance (%)</w:t>
            </w:r>
          </w:p>
        </w:tc>
        <w:tc>
          <w:tcPr>
            <w:tcW w:w="760" w:type="dxa"/>
            <w:tcBorders>
              <w:bottom w:val="single" w:sz="12" w:space="0" w:color="auto"/>
            </w:tcBorders>
            <w:shd w:val="clear" w:color="auto" w:fill="auto"/>
            <w:vAlign w:val="bottom"/>
          </w:tcPr>
          <w:p w:rsidR="00B23513" w:rsidRPr="000F7862" w:rsidRDefault="00B23513" w:rsidP="00B23513">
            <w:pPr>
              <w:spacing w:before="40" w:after="40" w:line="220" w:lineRule="exact"/>
              <w:jc w:val="right"/>
              <w:rPr>
                <w:sz w:val="18"/>
                <w:lang w:val="fr-FR"/>
              </w:rPr>
            </w:pPr>
          </w:p>
        </w:tc>
        <w:tc>
          <w:tcPr>
            <w:tcW w:w="761" w:type="dxa"/>
            <w:tcBorders>
              <w:bottom w:val="single" w:sz="12" w:space="0" w:color="auto"/>
            </w:tcBorders>
            <w:shd w:val="clear" w:color="auto" w:fill="auto"/>
            <w:vAlign w:val="bottom"/>
          </w:tcPr>
          <w:p w:rsidR="00B23513" w:rsidRPr="000F7862" w:rsidRDefault="00B23513" w:rsidP="00B23513">
            <w:pPr>
              <w:spacing w:before="40" w:after="40" w:line="220" w:lineRule="exact"/>
              <w:jc w:val="right"/>
              <w:rPr>
                <w:sz w:val="18"/>
                <w:lang w:val="fr-FR"/>
              </w:rPr>
            </w:pPr>
          </w:p>
        </w:tc>
        <w:tc>
          <w:tcPr>
            <w:tcW w:w="761" w:type="dxa"/>
            <w:tcBorders>
              <w:bottom w:val="single" w:sz="12" w:space="0" w:color="auto"/>
            </w:tcBorders>
            <w:shd w:val="clear" w:color="auto" w:fill="auto"/>
            <w:vAlign w:val="bottom"/>
          </w:tcPr>
          <w:p w:rsidR="00B23513" w:rsidRPr="000F7862" w:rsidRDefault="00B23513" w:rsidP="00B23513">
            <w:pPr>
              <w:spacing w:before="40" w:after="40" w:line="220" w:lineRule="exact"/>
              <w:jc w:val="right"/>
              <w:rPr>
                <w:sz w:val="18"/>
                <w:lang w:val="fr-FR"/>
              </w:rPr>
            </w:pPr>
          </w:p>
        </w:tc>
        <w:tc>
          <w:tcPr>
            <w:tcW w:w="761" w:type="dxa"/>
            <w:tcBorders>
              <w:bottom w:val="single" w:sz="12" w:space="0" w:color="auto"/>
            </w:tcBorders>
            <w:shd w:val="clear" w:color="auto" w:fill="auto"/>
            <w:vAlign w:val="bottom"/>
          </w:tcPr>
          <w:p w:rsidR="00B23513" w:rsidRPr="000F7862" w:rsidRDefault="00B23513" w:rsidP="00B23513">
            <w:pPr>
              <w:spacing w:before="40" w:after="40" w:line="220" w:lineRule="exact"/>
              <w:jc w:val="right"/>
              <w:rPr>
                <w:sz w:val="18"/>
                <w:lang w:val="fr-FR"/>
              </w:rPr>
            </w:pPr>
            <w:r w:rsidRPr="000F7862">
              <w:rPr>
                <w:sz w:val="18"/>
                <w:lang w:val="fr-FR"/>
              </w:rPr>
              <w:t>39,1</w:t>
            </w:r>
          </w:p>
        </w:tc>
        <w:tc>
          <w:tcPr>
            <w:tcW w:w="761" w:type="dxa"/>
            <w:tcBorders>
              <w:bottom w:val="single" w:sz="12" w:space="0" w:color="auto"/>
            </w:tcBorders>
            <w:shd w:val="clear" w:color="auto" w:fill="auto"/>
            <w:vAlign w:val="bottom"/>
          </w:tcPr>
          <w:p w:rsidR="00B23513" w:rsidRPr="000F7862" w:rsidRDefault="00B23513" w:rsidP="00B23513">
            <w:pPr>
              <w:spacing w:before="40" w:after="40" w:line="220" w:lineRule="exact"/>
              <w:jc w:val="right"/>
              <w:rPr>
                <w:sz w:val="18"/>
                <w:lang w:val="fr-FR"/>
              </w:rPr>
            </w:pPr>
            <w:r w:rsidRPr="000F7862">
              <w:rPr>
                <w:sz w:val="18"/>
                <w:lang w:val="fr-FR"/>
              </w:rPr>
              <w:t>24,9</w:t>
            </w:r>
          </w:p>
        </w:tc>
      </w:tr>
    </w:tbl>
    <w:p w:rsidR="0086185C" w:rsidRPr="000F7862" w:rsidRDefault="00FD0FD7" w:rsidP="00FD0FD7">
      <w:pPr>
        <w:pStyle w:val="H23G"/>
        <w:rPr>
          <w:lang w:val="fr-FR"/>
        </w:rPr>
      </w:pPr>
      <w:r w:rsidRPr="000F7862">
        <w:rPr>
          <w:lang w:val="fr-FR"/>
        </w:rPr>
        <w:tab/>
      </w:r>
      <w:r w:rsidRPr="000F7862">
        <w:rPr>
          <w:lang w:val="fr-FR"/>
        </w:rPr>
        <w:tab/>
      </w:r>
      <w:r w:rsidR="00DE40D2" w:rsidRPr="000F7862">
        <w:rPr>
          <w:lang w:val="fr-FR"/>
        </w:rPr>
        <w:t>É</w:t>
      </w:r>
      <w:r w:rsidR="0086185C" w:rsidRPr="000F7862">
        <w:rPr>
          <w:lang w:val="fr-FR"/>
        </w:rPr>
        <w:t>ducation</w:t>
      </w:r>
    </w:p>
    <w:p w:rsidR="0086185C" w:rsidRPr="000F7862" w:rsidRDefault="003F7F57" w:rsidP="00CC5D4F">
      <w:pPr>
        <w:pStyle w:val="SingleTxtG"/>
        <w:rPr>
          <w:lang w:val="fr-FR"/>
        </w:rPr>
      </w:pPr>
      <w:r w:rsidRPr="000F7862">
        <w:rPr>
          <w:lang w:val="fr-FR"/>
        </w:rPr>
        <w:t>34.</w:t>
      </w:r>
      <w:r w:rsidRPr="000F7862">
        <w:rPr>
          <w:lang w:val="fr-FR"/>
        </w:rPr>
        <w:tab/>
      </w:r>
      <w:r w:rsidR="00D77BDE" w:rsidRPr="000F7862">
        <w:rPr>
          <w:lang w:val="fr-FR"/>
        </w:rPr>
        <w:t xml:space="preserve">La promulgation de la loi de la République </w:t>
      </w:r>
      <w:r w:rsidR="00730F8F" w:rsidRPr="000F7862">
        <w:rPr>
          <w:lang w:val="fr-FR"/>
        </w:rPr>
        <w:t>n</w:t>
      </w:r>
      <w:r w:rsidR="00730F8F" w:rsidRPr="000F7862">
        <w:rPr>
          <w:vertAlign w:val="superscript"/>
          <w:lang w:val="fr-FR"/>
        </w:rPr>
        <w:t>o</w:t>
      </w:r>
      <w:r w:rsidR="00730F8F" w:rsidRPr="000F7862">
        <w:rPr>
          <w:lang w:val="fr-FR"/>
        </w:rPr>
        <w:t> </w:t>
      </w:r>
      <w:r w:rsidR="0086185C" w:rsidRPr="000F7862">
        <w:rPr>
          <w:lang w:val="fr-FR"/>
        </w:rPr>
        <w:t>10533 o</w:t>
      </w:r>
      <w:r w:rsidR="00C66D28" w:rsidRPr="000F7862">
        <w:rPr>
          <w:lang w:val="fr-FR"/>
        </w:rPr>
        <w:t>u loi</w:t>
      </w:r>
      <w:r w:rsidR="0086185C" w:rsidRPr="000F7862">
        <w:rPr>
          <w:lang w:val="fr-FR"/>
        </w:rPr>
        <w:t xml:space="preserve"> </w:t>
      </w:r>
      <w:r w:rsidR="00C66D28" w:rsidRPr="000F7862">
        <w:rPr>
          <w:lang w:val="fr-FR"/>
        </w:rPr>
        <w:t>de 2013 sur le renforcement de l</w:t>
      </w:r>
      <w:r w:rsidR="00120E2E" w:rsidRPr="000F7862">
        <w:rPr>
          <w:lang w:val="fr-FR"/>
        </w:rPr>
        <w:t>’</w:t>
      </w:r>
      <w:r w:rsidR="00C66D28" w:rsidRPr="000F7862">
        <w:rPr>
          <w:lang w:val="fr-FR"/>
        </w:rPr>
        <w:t>éducation de base assure la continuité de la politique publique visant à mettre en place, maintenir et appuyer un système d</w:t>
      </w:r>
      <w:r w:rsidR="00120E2E" w:rsidRPr="000F7862">
        <w:rPr>
          <w:lang w:val="fr-FR"/>
        </w:rPr>
        <w:t>’</w:t>
      </w:r>
      <w:r w:rsidR="00C66D28" w:rsidRPr="000F7862">
        <w:rPr>
          <w:lang w:val="fr-FR"/>
        </w:rPr>
        <w:t xml:space="preserve">éducation </w:t>
      </w:r>
      <w:r w:rsidR="0086185C" w:rsidRPr="000F7862">
        <w:rPr>
          <w:lang w:val="fr-FR"/>
        </w:rPr>
        <w:t>complet</w:t>
      </w:r>
      <w:r w:rsidR="00C66D28" w:rsidRPr="000F7862">
        <w:rPr>
          <w:lang w:val="fr-FR"/>
        </w:rPr>
        <w:t xml:space="preserve">, adéquat et </w:t>
      </w:r>
      <w:r w:rsidR="0086185C" w:rsidRPr="000F7862">
        <w:rPr>
          <w:lang w:val="fr-FR"/>
        </w:rPr>
        <w:t>int</w:t>
      </w:r>
      <w:r w:rsidR="00C66D28" w:rsidRPr="000F7862">
        <w:rPr>
          <w:lang w:val="fr-FR"/>
        </w:rPr>
        <w:t>é</w:t>
      </w:r>
      <w:r w:rsidR="0086185C" w:rsidRPr="000F7862">
        <w:rPr>
          <w:lang w:val="fr-FR"/>
        </w:rPr>
        <w:t>gr</w:t>
      </w:r>
      <w:r w:rsidR="00C66D28" w:rsidRPr="000F7862">
        <w:rPr>
          <w:lang w:val="fr-FR"/>
        </w:rPr>
        <w:t>é adapté aux besoins de la population et de l</w:t>
      </w:r>
      <w:r w:rsidR="00120E2E" w:rsidRPr="000F7862">
        <w:rPr>
          <w:lang w:val="fr-FR"/>
        </w:rPr>
        <w:t>’</w:t>
      </w:r>
      <w:r w:rsidR="00C66D28" w:rsidRPr="000F7862">
        <w:rPr>
          <w:lang w:val="fr-FR"/>
        </w:rPr>
        <w:t>ensemble de la société</w:t>
      </w:r>
      <w:r w:rsidR="0086185C" w:rsidRPr="000F7862">
        <w:rPr>
          <w:lang w:val="fr-FR"/>
        </w:rPr>
        <w:t>.</w:t>
      </w:r>
      <w:r w:rsidR="00446EA5" w:rsidRPr="000F7862">
        <w:rPr>
          <w:lang w:val="fr-FR"/>
        </w:rPr>
        <w:t xml:space="preserve"> </w:t>
      </w:r>
      <w:r w:rsidR="00C66D28" w:rsidRPr="000F7862">
        <w:rPr>
          <w:lang w:val="fr-FR"/>
        </w:rPr>
        <w:t>De plus, le système d</w:t>
      </w:r>
      <w:r w:rsidR="00120E2E" w:rsidRPr="000F7862">
        <w:rPr>
          <w:lang w:val="fr-FR"/>
        </w:rPr>
        <w:t>’</w:t>
      </w:r>
      <w:r w:rsidR="00C66D28" w:rsidRPr="000F7862">
        <w:rPr>
          <w:lang w:val="fr-FR"/>
        </w:rPr>
        <w:t xml:space="preserve">éducation de base renforcée entend hisser les </w:t>
      </w:r>
      <w:r w:rsidR="0086185C" w:rsidRPr="000F7862">
        <w:rPr>
          <w:lang w:val="fr-FR"/>
        </w:rPr>
        <w:t xml:space="preserve">Philippines </w:t>
      </w:r>
      <w:r w:rsidR="00C66D28" w:rsidRPr="000F7862">
        <w:rPr>
          <w:lang w:val="fr-FR"/>
        </w:rPr>
        <w:t xml:space="preserve">au niveau des normes </w:t>
      </w:r>
      <w:r w:rsidR="0086185C" w:rsidRPr="000F7862">
        <w:rPr>
          <w:lang w:val="fr-FR"/>
        </w:rPr>
        <w:t>international</w:t>
      </w:r>
      <w:r w:rsidR="00663B79" w:rsidRPr="000F7862">
        <w:rPr>
          <w:lang w:val="fr-FR"/>
        </w:rPr>
        <w:t>es</w:t>
      </w:r>
      <w:r w:rsidR="0086185C" w:rsidRPr="000F7862">
        <w:rPr>
          <w:lang w:val="fr-FR"/>
        </w:rPr>
        <w:t xml:space="preserve"> </w:t>
      </w:r>
      <w:r w:rsidR="00C66D28" w:rsidRPr="000F7862">
        <w:rPr>
          <w:lang w:val="fr-FR"/>
        </w:rPr>
        <w:t>en la matière</w:t>
      </w:r>
      <w:r w:rsidR="0086185C" w:rsidRPr="000F7862">
        <w:rPr>
          <w:lang w:val="fr-FR"/>
        </w:rPr>
        <w:t>.</w:t>
      </w:r>
      <w:r w:rsidR="00446EA5" w:rsidRPr="000F7862">
        <w:rPr>
          <w:lang w:val="fr-FR"/>
        </w:rPr>
        <w:t xml:space="preserve"> </w:t>
      </w:r>
      <w:r w:rsidR="00663B79" w:rsidRPr="000F7862">
        <w:rPr>
          <w:lang w:val="fr-FR"/>
        </w:rPr>
        <w:t xml:space="preserve">Cette loi défend le droit de chaque Philippin à </w:t>
      </w:r>
      <w:r w:rsidR="0086185C" w:rsidRPr="000F7862">
        <w:rPr>
          <w:lang w:val="fr-FR"/>
        </w:rPr>
        <w:t>12</w:t>
      </w:r>
      <w:r w:rsidR="00796D18" w:rsidRPr="000F7862">
        <w:rPr>
          <w:lang w:val="fr-FR"/>
        </w:rPr>
        <w:t> </w:t>
      </w:r>
      <w:r w:rsidR="00663B79" w:rsidRPr="000F7862">
        <w:rPr>
          <w:lang w:val="fr-FR"/>
        </w:rPr>
        <w:t>années d</w:t>
      </w:r>
      <w:r w:rsidR="00120E2E" w:rsidRPr="000F7862">
        <w:rPr>
          <w:lang w:val="fr-FR"/>
        </w:rPr>
        <w:t>’</w:t>
      </w:r>
      <w:r w:rsidR="00663B79" w:rsidRPr="000F7862">
        <w:rPr>
          <w:lang w:val="fr-FR"/>
        </w:rPr>
        <w:t xml:space="preserve">une </w:t>
      </w:r>
      <w:r w:rsidR="00F07BA3" w:rsidRPr="000F7862">
        <w:rPr>
          <w:lang w:val="fr-FR"/>
        </w:rPr>
        <w:t>i</w:t>
      </w:r>
      <w:r w:rsidR="00DB4CDA" w:rsidRPr="000F7862">
        <w:rPr>
          <w:lang w:val="fr-FR"/>
        </w:rPr>
        <w:t>ns</w:t>
      </w:r>
      <w:r w:rsidR="00F07BA3" w:rsidRPr="000F7862">
        <w:rPr>
          <w:lang w:val="fr-FR"/>
        </w:rPr>
        <w:t>truction élémentaire</w:t>
      </w:r>
      <w:r w:rsidR="00663B79" w:rsidRPr="000F7862">
        <w:rPr>
          <w:lang w:val="fr-FR"/>
        </w:rPr>
        <w:t xml:space="preserve"> de qualité dans le cadre du </w:t>
      </w:r>
      <w:r w:rsidR="00F07BA3" w:rsidRPr="000F7862">
        <w:rPr>
          <w:lang w:val="fr-FR"/>
        </w:rPr>
        <w:t>Programme d</w:t>
      </w:r>
      <w:r w:rsidR="00120E2E" w:rsidRPr="000F7862">
        <w:rPr>
          <w:lang w:val="fr-FR"/>
        </w:rPr>
        <w:t>’</w:t>
      </w:r>
      <w:r w:rsidR="00F07BA3" w:rsidRPr="000F7862">
        <w:rPr>
          <w:lang w:val="fr-FR"/>
        </w:rPr>
        <w:t>instruction élémentaire de l</w:t>
      </w:r>
      <w:r w:rsidR="00120E2E" w:rsidRPr="000F7862">
        <w:rPr>
          <w:lang w:val="fr-FR"/>
        </w:rPr>
        <w:t>’</w:t>
      </w:r>
      <w:r w:rsidR="00F07BA3" w:rsidRPr="000F7862">
        <w:rPr>
          <w:lang w:val="fr-FR"/>
        </w:rPr>
        <w:t>école maternelle à l</w:t>
      </w:r>
      <w:r w:rsidR="00120E2E" w:rsidRPr="000F7862">
        <w:rPr>
          <w:lang w:val="fr-FR"/>
        </w:rPr>
        <w:t>’</w:t>
      </w:r>
      <w:r w:rsidR="00F07BA3" w:rsidRPr="000F7862">
        <w:rPr>
          <w:lang w:val="fr-FR"/>
        </w:rPr>
        <w:t>âge de 12 ans (</w:t>
      </w:r>
      <w:r w:rsidR="0005004C" w:rsidRPr="000F7862">
        <w:rPr>
          <w:lang w:val="fr-FR"/>
        </w:rPr>
        <w:t>«</w:t>
      </w:r>
      <w:r w:rsidR="00F07BA3" w:rsidRPr="000F7862">
        <w:rPr>
          <w:lang w:val="fr-FR"/>
        </w:rPr>
        <w:t>K à 12</w:t>
      </w:r>
      <w:r w:rsidR="0005004C" w:rsidRPr="000F7862">
        <w:rPr>
          <w:lang w:val="fr-FR"/>
        </w:rPr>
        <w:t>»</w:t>
      </w:r>
      <w:r w:rsidR="00F07BA3" w:rsidRPr="000F7862">
        <w:rPr>
          <w:lang w:val="fr-FR"/>
        </w:rPr>
        <w:t>).</w:t>
      </w:r>
      <w:r w:rsidR="0005004C" w:rsidRPr="000F7862">
        <w:rPr>
          <w:lang w:val="fr-FR"/>
        </w:rPr>
        <w:t xml:space="preserve"> </w:t>
      </w:r>
      <w:r w:rsidR="00C86E46" w:rsidRPr="000F7862">
        <w:rPr>
          <w:lang w:val="fr-FR"/>
        </w:rPr>
        <w:t>L</w:t>
      </w:r>
      <w:r w:rsidR="00120E2E" w:rsidRPr="000F7862">
        <w:rPr>
          <w:lang w:val="fr-FR"/>
        </w:rPr>
        <w:t>’</w:t>
      </w:r>
      <w:r w:rsidR="00C86E46" w:rsidRPr="000F7862">
        <w:rPr>
          <w:lang w:val="fr-FR"/>
        </w:rPr>
        <w:t xml:space="preserve">exécution échelonnée du programme </w:t>
      </w:r>
      <w:r w:rsidR="0086185C" w:rsidRPr="000F7862">
        <w:rPr>
          <w:lang w:val="fr-FR"/>
        </w:rPr>
        <w:t xml:space="preserve">K </w:t>
      </w:r>
      <w:r w:rsidR="00C86E46" w:rsidRPr="000F7862">
        <w:rPr>
          <w:lang w:val="fr-FR"/>
        </w:rPr>
        <w:t>à</w:t>
      </w:r>
      <w:r w:rsidR="0086185C" w:rsidRPr="000F7862">
        <w:rPr>
          <w:lang w:val="fr-FR"/>
        </w:rPr>
        <w:t xml:space="preserve"> 12 </w:t>
      </w:r>
      <w:r w:rsidR="00C86E46" w:rsidRPr="000F7862">
        <w:rPr>
          <w:lang w:val="fr-FR"/>
        </w:rPr>
        <w:t xml:space="preserve">a </w:t>
      </w:r>
      <w:r w:rsidR="00DB4CDA" w:rsidRPr="000F7862">
        <w:rPr>
          <w:lang w:val="fr-FR"/>
        </w:rPr>
        <w:t>débuté à la rentré</w:t>
      </w:r>
      <w:r w:rsidR="00F1564C" w:rsidRPr="000F7862">
        <w:rPr>
          <w:lang w:val="fr-FR"/>
        </w:rPr>
        <w:t>e</w:t>
      </w:r>
      <w:r w:rsidR="00C86E46" w:rsidRPr="000F7862">
        <w:rPr>
          <w:lang w:val="fr-FR"/>
        </w:rPr>
        <w:t xml:space="preserve"> </w:t>
      </w:r>
      <w:r w:rsidR="0086185C" w:rsidRPr="000F7862">
        <w:rPr>
          <w:lang w:val="fr-FR"/>
        </w:rPr>
        <w:t>2011</w:t>
      </w:r>
      <w:r w:rsidR="00DB4CDA" w:rsidRPr="000F7862">
        <w:rPr>
          <w:lang w:val="fr-FR"/>
        </w:rPr>
        <w:t xml:space="preserve"> </w:t>
      </w:r>
      <w:r w:rsidR="00C86E46" w:rsidRPr="000F7862">
        <w:rPr>
          <w:lang w:val="fr-FR"/>
        </w:rPr>
        <w:t xml:space="preserve">avec </w:t>
      </w:r>
      <w:r w:rsidR="00F07BA3" w:rsidRPr="000F7862">
        <w:rPr>
          <w:lang w:val="fr-FR"/>
        </w:rPr>
        <w:t>l</w:t>
      </w:r>
      <w:r w:rsidR="00120E2E" w:rsidRPr="000F7862">
        <w:rPr>
          <w:lang w:val="fr-FR"/>
        </w:rPr>
        <w:t>’</w:t>
      </w:r>
      <w:r w:rsidR="00F07BA3" w:rsidRPr="000F7862">
        <w:rPr>
          <w:lang w:val="fr-FR"/>
        </w:rPr>
        <w:t>inscription obligatoire à l</w:t>
      </w:r>
      <w:r w:rsidR="00120E2E" w:rsidRPr="000F7862">
        <w:rPr>
          <w:lang w:val="fr-FR"/>
        </w:rPr>
        <w:t>’</w:t>
      </w:r>
      <w:r w:rsidR="00F07BA3" w:rsidRPr="000F7862">
        <w:rPr>
          <w:lang w:val="fr-FR"/>
        </w:rPr>
        <w:t>école maternelle</w:t>
      </w:r>
      <w:r w:rsidR="0086185C" w:rsidRPr="000F7862">
        <w:rPr>
          <w:lang w:val="fr-FR"/>
        </w:rPr>
        <w:t>.</w:t>
      </w:r>
      <w:r w:rsidR="00446EA5" w:rsidRPr="000F7862">
        <w:rPr>
          <w:lang w:val="fr-FR"/>
        </w:rPr>
        <w:t xml:space="preserve"> </w:t>
      </w:r>
      <w:r w:rsidR="00DB4CDA" w:rsidRPr="000F7862">
        <w:rPr>
          <w:lang w:val="fr-FR"/>
        </w:rPr>
        <w:t xml:space="preserve">Ensuite, les programmes scolaires pour la </w:t>
      </w:r>
      <w:r w:rsidR="00CC5D4F" w:rsidRPr="000F7862">
        <w:rPr>
          <w:lang w:val="fr-FR"/>
        </w:rPr>
        <w:t>1</w:t>
      </w:r>
      <w:r w:rsidR="00CC5D4F" w:rsidRPr="000F7862">
        <w:rPr>
          <w:vertAlign w:val="superscript"/>
          <w:lang w:val="fr-FR"/>
        </w:rPr>
        <w:t>re</w:t>
      </w:r>
      <w:r w:rsidR="00DB4CDA" w:rsidRPr="000F7862">
        <w:rPr>
          <w:lang w:val="fr-FR"/>
        </w:rPr>
        <w:t xml:space="preserve"> année de primaire et la </w:t>
      </w:r>
      <w:r w:rsidR="00CC5D4F" w:rsidRPr="000F7862">
        <w:rPr>
          <w:lang w:val="fr-FR"/>
        </w:rPr>
        <w:t>7</w:t>
      </w:r>
      <w:r w:rsidR="00CC5D4F" w:rsidRPr="000F7862">
        <w:rPr>
          <w:vertAlign w:val="superscript"/>
          <w:lang w:val="fr-FR"/>
        </w:rPr>
        <w:t>e</w:t>
      </w:r>
      <w:r w:rsidR="00DB4CDA" w:rsidRPr="000F7862">
        <w:rPr>
          <w:lang w:val="fr-FR"/>
        </w:rPr>
        <w:t xml:space="preserve"> année (1</w:t>
      </w:r>
      <w:r w:rsidR="00CC5D4F" w:rsidRPr="000F7862">
        <w:rPr>
          <w:vertAlign w:val="superscript"/>
          <w:lang w:val="fr-FR"/>
        </w:rPr>
        <w:t>r</w:t>
      </w:r>
      <w:r w:rsidR="00DB4CDA" w:rsidRPr="000F7862">
        <w:rPr>
          <w:vertAlign w:val="superscript"/>
          <w:lang w:val="fr-FR"/>
        </w:rPr>
        <w:t>e</w:t>
      </w:r>
      <w:r w:rsidR="00DB4CDA" w:rsidRPr="000F7862">
        <w:rPr>
          <w:lang w:val="fr-FR"/>
        </w:rPr>
        <w:t xml:space="preserve"> année de collège) ont été mis en place à la rentrée </w:t>
      </w:r>
      <w:r w:rsidR="0086185C" w:rsidRPr="000F7862">
        <w:rPr>
          <w:lang w:val="fr-FR"/>
        </w:rPr>
        <w:t>2012,</w:t>
      </w:r>
      <w:r w:rsidR="00446EA5" w:rsidRPr="000F7862">
        <w:rPr>
          <w:lang w:val="fr-FR"/>
        </w:rPr>
        <w:t xml:space="preserve"> </w:t>
      </w:r>
      <w:r w:rsidR="00DB4CDA" w:rsidRPr="000F7862">
        <w:rPr>
          <w:lang w:val="fr-FR"/>
        </w:rPr>
        <w:t xml:space="preserve">tandis que la </w:t>
      </w:r>
      <w:r w:rsidR="00CC5D4F" w:rsidRPr="000F7862">
        <w:rPr>
          <w:lang w:val="fr-FR"/>
        </w:rPr>
        <w:t>11</w:t>
      </w:r>
      <w:r w:rsidR="00CC5D4F" w:rsidRPr="000F7862">
        <w:rPr>
          <w:vertAlign w:val="superscript"/>
          <w:lang w:val="fr-FR"/>
        </w:rPr>
        <w:t>e</w:t>
      </w:r>
      <w:r w:rsidR="00DB4CDA" w:rsidRPr="000F7862">
        <w:rPr>
          <w:lang w:val="fr-FR"/>
        </w:rPr>
        <w:t xml:space="preserve"> et la </w:t>
      </w:r>
      <w:r w:rsidR="00CC5D4F" w:rsidRPr="000F7862">
        <w:rPr>
          <w:lang w:val="fr-FR"/>
        </w:rPr>
        <w:t>12</w:t>
      </w:r>
      <w:r w:rsidR="00CC5D4F" w:rsidRPr="000F7862">
        <w:rPr>
          <w:vertAlign w:val="superscript"/>
          <w:lang w:val="fr-FR"/>
        </w:rPr>
        <w:t>e</w:t>
      </w:r>
      <w:r w:rsidR="00CC5D4F" w:rsidRPr="000F7862">
        <w:rPr>
          <w:lang w:val="fr-FR"/>
        </w:rPr>
        <w:t> </w:t>
      </w:r>
      <w:r w:rsidR="00DB4CDA" w:rsidRPr="000F7862">
        <w:rPr>
          <w:lang w:val="fr-FR"/>
        </w:rPr>
        <w:t xml:space="preserve">années (instruction des lycéens) seront mises </w:t>
      </w:r>
      <w:r w:rsidR="006B3B78" w:rsidRPr="000F7862">
        <w:rPr>
          <w:lang w:val="fr-FR"/>
        </w:rPr>
        <w:t xml:space="preserve">en </w:t>
      </w:r>
      <w:r w:rsidR="00DB4CDA" w:rsidRPr="000F7862">
        <w:rPr>
          <w:lang w:val="fr-FR"/>
        </w:rPr>
        <w:t>place à la rentrée</w:t>
      </w:r>
      <w:r w:rsidR="0005004C" w:rsidRPr="000F7862">
        <w:rPr>
          <w:lang w:val="fr-FR"/>
        </w:rPr>
        <w:t xml:space="preserve"> </w:t>
      </w:r>
      <w:r w:rsidR="0086185C" w:rsidRPr="000F7862">
        <w:rPr>
          <w:lang w:val="fr-FR"/>
        </w:rPr>
        <w:t>2016.</w:t>
      </w:r>
      <w:r w:rsidR="00446EA5" w:rsidRPr="000F7862">
        <w:rPr>
          <w:lang w:val="fr-FR"/>
        </w:rPr>
        <w:t xml:space="preserve"> </w:t>
      </w:r>
    </w:p>
    <w:p w:rsidR="0086185C" w:rsidRPr="000F7862" w:rsidRDefault="003F7F57" w:rsidP="003F7F57">
      <w:pPr>
        <w:pStyle w:val="SingleTxtG"/>
        <w:rPr>
          <w:lang w:val="fr-FR"/>
        </w:rPr>
      </w:pPr>
      <w:r w:rsidRPr="000F7862">
        <w:rPr>
          <w:lang w:val="fr-FR"/>
        </w:rPr>
        <w:t>35.</w:t>
      </w:r>
      <w:r w:rsidRPr="000F7862">
        <w:rPr>
          <w:lang w:val="fr-FR"/>
        </w:rPr>
        <w:tab/>
      </w:r>
      <w:r w:rsidR="00566C6D" w:rsidRPr="000F7862">
        <w:rPr>
          <w:lang w:val="fr-FR"/>
        </w:rPr>
        <w:t>Les réformes du secteur de l</w:t>
      </w:r>
      <w:r w:rsidR="00120E2E" w:rsidRPr="000F7862">
        <w:rPr>
          <w:lang w:val="fr-FR"/>
        </w:rPr>
        <w:t>’</w:t>
      </w:r>
      <w:r w:rsidR="00566C6D" w:rsidRPr="000F7862">
        <w:rPr>
          <w:lang w:val="fr-FR"/>
        </w:rPr>
        <w:t>éducation se poursuivent</w:t>
      </w:r>
      <w:r w:rsidR="00E9703D" w:rsidRPr="000F7862">
        <w:rPr>
          <w:lang w:val="fr-FR"/>
        </w:rPr>
        <w:t>. Les pouvoirs publics s</w:t>
      </w:r>
      <w:r w:rsidR="00120E2E" w:rsidRPr="000F7862">
        <w:rPr>
          <w:lang w:val="fr-FR"/>
        </w:rPr>
        <w:t>’</w:t>
      </w:r>
      <w:r w:rsidR="00E9703D" w:rsidRPr="000F7862">
        <w:rPr>
          <w:lang w:val="fr-FR"/>
        </w:rPr>
        <w:t>emploient à remédier à l</w:t>
      </w:r>
      <w:r w:rsidR="00120E2E" w:rsidRPr="000F7862">
        <w:rPr>
          <w:lang w:val="fr-FR"/>
        </w:rPr>
        <w:t>’</w:t>
      </w:r>
      <w:r w:rsidR="00E9703D" w:rsidRPr="000F7862">
        <w:rPr>
          <w:lang w:val="fr-FR"/>
        </w:rPr>
        <w:t xml:space="preserve">insuffisance des </w:t>
      </w:r>
      <w:r w:rsidR="00566C6D" w:rsidRPr="000F7862">
        <w:rPr>
          <w:lang w:val="fr-FR"/>
        </w:rPr>
        <w:t>moyens éducati</w:t>
      </w:r>
      <w:r w:rsidR="00E9703D" w:rsidRPr="000F7862">
        <w:rPr>
          <w:lang w:val="fr-FR"/>
        </w:rPr>
        <w:t>fs</w:t>
      </w:r>
      <w:r w:rsidR="0086185C" w:rsidRPr="000F7862">
        <w:rPr>
          <w:lang w:val="fr-FR"/>
        </w:rPr>
        <w:t xml:space="preserve"> </w:t>
      </w:r>
      <w:r w:rsidR="00E9703D" w:rsidRPr="000F7862">
        <w:rPr>
          <w:lang w:val="fr-FR"/>
        </w:rPr>
        <w:t xml:space="preserve">en recrutant en plus grand nombre des enseignants plus qualifiés, en construisant des salles de classe supplémentaires bien équipées et </w:t>
      </w:r>
      <w:r w:rsidR="00DA1687" w:rsidRPr="000F7862">
        <w:rPr>
          <w:lang w:val="fr-FR"/>
        </w:rPr>
        <w:t xml:space="preserve">en </w:t>
      </w:r>
      <w:r w:rsidR="00E9703D" w:rsidRPr="000F7862">
        <w:rPr>
          <w:lang w:val="fr-FR"/>
        </w:rPr>
        <w:t xml:space="preserve">fournissant </w:t>
      </w:r>
      <w:r w:rsidR="00DA1687" w:rsidRPr="000F7862">
        <w:rPr>
          <w:lang w:val="fr-FR"/>
        </w:rPr>
        <w:t>des matériels didactiques en plus grande quantité et de meilleure qualité</w:t>
      </w:r>
      <w:r w:rsidR="0086185C" w:rsidRPr="000F7862">
        <w:rPr>
          <w:lang w:val="fr-FR"/>
        </w:rPr>
        <w:t>.</w:t>
      </w:r>
      <w:r w:rsidR="00446EA5" w:rsidRPr="000F7862">
        <w:rPr>
          <w:lang w:val="fr-FR"/>
        </w:rPr>
        <w:t xml:space="preserve"> </w:t>
      </w:r>
      <w:r w:rsidR="00DA1687" w:rsidRPr="000F7862">
        <w:rPr>
          <w:lang w:val="fr-FR"/>
        </w:rPr>
        <w:t>Les dépenses consacrées aux infrastructures de l</w:t>
      </w:r>
      <w:r w:rsidR="00120E2E" w:rsidRPr="000F7862">
        <w:rPr>
          <w:lang w:val="fr-FR"/>
        </w:rPr>
        <w:t>’</w:t>
      </w:r>
      <w:r w:rsidR="00DA1687" w:rsidRPr="000F7862">
        <w:rPr>
          <w:lang w:val="fr-FR"/>
        </w:rPr>
        <w:t xml:space="preserve">éducation de base ont connu une croissance à deux chiffres, passant de </w:t>
      </w:r>
      <w:r w:rsidR="0086185C" w:rsidRPr="000F7862">
        <w:rPr>
          <w:lang w:val="fr-FR"/>
        </w:rPr>
        <w:t>23</w:t>
      </w:r>
      <w:r w:rsidR="00DA1687" w:rsidRPr="000F7862">
        <w:rPr>
          <w:lang w:val="fr-FR"/>
        </w:rPr>
        <w:t>,</w:t>
      </w:r>
      <w:r w:rsidR="0086185C" w:rsidRPr="000F7862">
        <w:rPr>
          <w:lang w:val="fr-FR"/>
        </w:rPr>
        <w:t>8</w:t>
      </w:r>
      <w:r w:rsidR="00DC1196" w:rsidRPr="000F7862">
        <w:rPr>
          <w:lang w:val="fr-FR"/>
        </w:rPr>
        <w:t> %</w:t>
      </w:r>
      <w:r w:rsidR="0086185C" w:rsidRPr="000F7862">
        <w:rPr>
          <w:lang w:val="fr-FR"/>
        </w:rPr>
        <w:t xml:space="preserve"> </w:t>
      </w:r>
      <w:r w:rsidR="00DA1687" w:rsidRPr="000F7862">
        <w:rPr>
          <w:lang w:val="fr-FR"/>
        </w:rPr>
        <w:t>e</w:t>
      </w:r>
      <w:r w:rsidR="0086185C" w:rsidRPr="000F7862">
        <w:rPr>
          <w:lang w:val="fr-FR"/>
        </w:rPr>
        <w:t xml:space="preserve">n 2010 </w:t>
      </w:r>
      <w:r w:rsidR="00DA1687" w:rsidRPr="000F7862">
        <w:rPr>
          <w:lang w:val="fr-FR"/>
        </w:rPr>
        <w:t>à</w:t>
      </w:r>
      <w:r w:rsidR="0086185C" w:rsidRPr="000F7862">
        <w:rPr>
          <w:lang w:val="fr-FR"/>
        </w:rPr>
        <w:t xml:space="preserve"> 53</w:t>
      </w:r>
      <w:r w:rsidR="00DA1687" w:rsidRPr="000F7862">
        <w:rPr>
          <w:lang w:val="fr-FR"/>
        </w:rPr>
        <w:t>,</w:t>
      </w:r>
      <w:r w:rsidR="0086185C" w:rsidRPr="000F7862">
        <w:rPr>
          <w:lang w:val="fr-FR"/>
        </w:rPr>
        <w:t>9</w:t>
      </w:r>
      <w:r w:rsidR="00DC1196" w:rsidRPr="000F7862">
        <w:rPr>
          <w:lang w:val="fr-FR"/>
        </w:rPr>
        <w:t> %</w:t>
      </w:r>
      <w:r w:rsidR="0086185C" w:rsidRPr="000F7862">
        <w:rPr>
          <w:lang w:val="fr-FR"/>
        </w:rPr>
        <w:t xml:space="preserve"> </w:t>
      </w:r>
      <w:r w:rsidR="00DA1687" w:rsidRPr="000F7862">
        <w:rPr>
          <w:lang w:val="fr-FR"/>
        </w:rPr>
        <w:t>e</w:t>
      </w:r>
      <w:r w:rsidR="0086185C" w:rsidRPr="000F7862">
        <w:rPr>
          <w:lang w:val="fr-FR"/>
        </w:rPr>
        <w:t>n 2013.</w:t>
      </w:r>
      <w:r w:rsidR="00446EA5" w:rsidRPr="000F7862">
        <w:rPr>
          <w:lang w:val="fr-FR"/>
        </w:rPr>
        <w:t xml:space="preserve"> </w:t>
      </w:r>
    </w:p>
    <w:p w:rsidR="0086185C" w:rsidRPr="000F7862" w:rsidRDefault="003F7F57" w:rsidP="003F7F57">
      <w:pPr>
        <w:pStyle w:val="SingleTxtG"/>
        <w:rPr>
          <w:lang w:val="fr-FR"/>
        </w:rPr>
      </w:pPr>
      <w:r w:rsidRPr="000F7862">
        <w:rPr>
          <w:lang w:val="fr-FR"/>
        </w:rPr>
        <w:t>36.</w:t>
      </w:r>
      <w:r w:rsidRPr="000F7862">
        <w:rPr>
          <w:lang w:val="fr-FR"/>
        </w:rPr>
        <w:tab/>
      </w:r>
      <w:r w:rsidR="00DA1687" w:rsidRPr="000F7862">
        <w:rPr>
          <w:lang w:val="fr-FR"/>
        </w:rPr>
        <w:t>En ce qui concerne le programme de construction d</w:t>
      </w:r>
      <w:r w:rsidR="00120E2E" w:rsidRPr="000F7862">
        <w:rPr>
          <w:lang w:val="fr-FR"/>
        </w:rPr>
        <w:t>’</w:t>
      </w:r>
      <w:r w:rsidR="00DA1687" w:rsidRPr="000F7862">
        <w:rPr>
          <w:lang w:val="fr-FR"/>
        </w:rPr>
        <w:t xml:space="preserve">école, les pouvoirs publics garantiront la </w:t>
      </w:r>
      <w:r w:rsidR="0086185C" w:rsidRPr="000F7862">
        <w:rPr>
          <w:lang w:val="fr-FR"/>
        </w:rPr>
        <w:t xml:space="preserve">construction </w:t>
      </w:r>
      <w:r w:rsidR="00DA1687" w:rsidRPr="000F7862">
        <w:rPr>
          <w:lang w:val="fr-FR"/>
        </w:rPr>
        <w:t>et</w:t>
      </w:r>
      <w:r w:rsidR="00F1564C" w:rsidRPr="000F7862">
        <w:rPr>
          <w:lang w:val="fr-FR"/>
        </w:rPr>
        <w:t xml:space="preserve"> la modernisation de plus de 31 </w:t>
      </w:r>
      <w:r w:rsidR="0086185C" w:rsidRPr="000F7862">
        <w:rPr>
          <w:lang w:val="fr-FR"/>
        </w:rPr>
        <w:t xml:space="preserve">000 </w:t>
      </w:r>
      <w:r w:rsidR="00DA1687" w:rsidRPr="000F7862">
        <w:rPr>
          <w:lang w:val="fr-FR"/>
        </w:rPr>
        <w:t>salles de classe et mettront d</w:t>
      </w:r>
      <w:r w:rsidR="00120E2E" w:rsidRPr="000F7862">
        <w:rPr>
          <w:lang w:val="fr-FR"/>
        </w:rPr>
        <w:t>’</w:t>
      </w:r>
      <w:r w:rsidR="00DA1687" w:rsidRPr="000F7862">
        <w:rPr>
          <w:lang w:val="fr-FR"/>
        </w:rPr>
        <w:t xml:space="preserve">autres infrastructures scolaires à la disposition des élèves pour un financement à hauteur de </w:t>
      </w:r>
      <w:r w:rsidR="0086185C" w:rsidRPr="000F7862">
        <w:rPr>
          <w:lang w:val="fr-FR"/>
        </w:rPr>
        <w:t>26</w:t>
      </w:r>
      <w:r w:rsidR="00DA1687" w:rsidRPr="000F7862">
        <w:rPr>
          <w:lang w:val="fr-FR"/>
        </w:rPr>
        <w:t>,</w:t>
      </w:r>
      <w:r w:rsidR="0086185C" w:rsidRPr="000F7862">
        <w:rPr>
          <w:lang w:val="fr-FR"/>
        </w:rPr>
        <w:t>3</w:t>
      </w:r>
      <w:r w:rsidR="00796D18" w:rsidRPr="000F7862">
        <w:rPr>
          <w:lang w:val="fr-FR"/>
        </w:rPr>
        <w:t> </w:t>
      </w:r>
      <w:r w:rsidR="00DA1687" w:rsidRPr="000F7862">
        <w:rPr>
          <w:lang w:val="fr-FR"/>
        </w:rPr>
        <w:t xml:space="preserve">milliards de pesos en </w:t>
      </w:r>
      <w:r w:rsidR="0086185C" w:rsidRPr="000F7862">
        <w:rPr>
          <w:lang w:val="fr-FR"/>
        </w:rPr>
        <w:t>2013.</w:t>
      </w:r>
      <w:r w:rsidR="00446EA5" w:rsidRPr="000F7862">
        <w:rPr>
          <w:lang w:val="fr-FR"/>
        </w:rPr>
        <w:t xml:space="preserve"> </w:t>
      </w:r>
      <w:r w:rsidR="00DA1687" w:rsidRPr="000F7862">
        <w:rPr>
          <w:lang w:val="fr-FR"/>
        </w:rPr>
        <w:t>De plus, les crédit</w:t>
      </w:r>
      <w:r w:rsidR="00F1564C" w:rsidRPr="000F7862">
        <w:rPr>
          <w:lang w:val="fr-FR"/>
        </w:rPr>
        <w:t>s</w:t>
      </w:r>
      <w:r w:rsidR="00DA1687" w:rsidRPr="000F7862">
        <w:rPr>
          <w:lang w:val="fr-FR"/>
        </w:rPr>
        <w:t xml:space="preserve"> alloués à la création de postes d</w:t>
      </w:r>
      <w:r w:rsidR="00120E2E" w:rsidRPr="000F7862">
        <w:rPr>
          <w:lang w:val="fr-FR"/>
        </w:rPr>
        <w:t>’</w:t>
      </w:r>
      <w:r w:rsidR="00DA1687" w:rsidRPr="000F7862">
        <w:rPr>
          <w:lang w:val="fr-FR"/>
        </w:rPr>
        <w:t xml:space="preserve">enseignant ont connu une remontée spectaculaire, entre une baisse de </w:t>
      </w:r>
      <w:r w:rsidR="0086185C" w:rsidRPr="000F7862">
        <w:rPr>
          <w:lang w:val="fr-FR"/>
        </w:rPr>
        <w:t>25</w:t>
      </w:r>
      <w:r w:rsidR="00DA1687" w:rsidRPr="000F7862">
        <w:rPr>
          <w:lang w:val="fr-FR"/>
        </w:rPr>
        <w:t>,</w:t>
      </w:r>
      <w:r w:rsidR="0086185C" w:rsidRPr="000F7862">
        <w:rPr>
          <w:lang w:val="fr-FR"/>
        </w:rPr>
        <w:t>5</w:t>
      </w:r>
      <w:r w:rsidR="00DC1196" w:rsidRPr="000F7862">
        <w:rPr>
          <w:lang w:val="fr-FR"/>
        </w:rPr>
        <w:t> %</w:t>
      </w:r>
      <w:r w:rsidR="0086185C" w:rsidRPr="000F7862">
        <w:rPr>
          <w:lang w:val="fr-FR"/>
        </w:rPr>
        <w:t xml:space="preserve"> </w:t>
      </w:r>
      <w:r w:rsidR="00DA1687" w:rsidRPr="000F7862">
        <w:rPr>
          <w:lang w:val="fr-FR"/>
        </w:rPr>
        <w:t>e</w:t>
      </w:r>
      <w:r w:rsidR="0086185C" w:rsidRPr="000F7862">
        <w:rPr>
          <w:lang w:val="fr-FR"/>
        </w:rPr>
        <w:t xml:space="preserve">n 2010 </w:t>
      </w:r>
      <w:r w:rsidR="00DA1687" w:rsidRPr="000F7862">
        <w:rPr>
          <w:lang w:val="fr-FR"/>
        </w:rPr>
        <w:t xml:space="preserve">et un bond de </w:t>
      </w:r>
      <w:r w:rsidR="0086185C" w:rsidRPr="000F7862">
        <w:rPr>
          <w:lang w:val="fr-FR"/>
        </w:rPr>
        <w:t>342</w:t>
      </w:r>
      <w:r w:rsidR="00DA1687" w:rsidRPr="000F7862">
        <w:rPr>
          <w:lang w:val="fr-FR"/>
        </w:rPr>
        <w:t>,</w:t>
      </w:r>
      <w:r w:rsidR="0086185C" w:rsidRPr="000F7862">
        <w:rPr>
          <w:lang w:val="fr-FR"/>
        </w:rPr>
        <w:t>7</w:t>
      </w:r>
      <w:r w:rsidR="00DC1196" w:rsidRPr="000F7862">
        <w:rPr>
          <w:lang w:val="fr-FR"/>
        </w:rPr>
        <w:t> %</w:t>
      </w:r>
      <w:r w:rsidR="0086185C" w:rsidRPr="000F7862">
        <w:rPr>
          <w:lang w:val="fr-FR"/>
        </w:rPr>
        <w:t xml:space="preserve"> </w:t>
      </w:r>
      <w:r w:rsidR="00DA1687" w:rsidRPr="000F7862">
        <w:rPr>
          <w:lang w:val="fr-FR"/>
        </w:rPr>
        <w:t xml:space="preserve">en </w:t>
      </w:r>
      <w:r w:rsidR="0086185C" w:rsidRPr="000F7862">
        <w:rPr>
          <w:lang w:val="fr-FR"/>
        </w:rPr>
        <w:t>2013.</w:t>
      </w:r>
      <w:r w:rsidR="00446EA5" w:rsidRPr="000F7862">
        <w:rPr>
          <w:lang w:val="fr-FR"/>
        </w:rPr>
        <w:t xml:space="preserve"> </w:t>
      </w:r>
      <w:r w:rsidR="00DA1687" w:rsidRPr="000F7862">
        <w:rPr>
          <w:lang w:val="fr-FR"/>
        </w:rPr>
        <w:t xml:space="preserve">Cette année-là, les besoins en manuels et autres matériels didactiques </w:t>
      </w:r>
      <w:r w:rsidR="00486C64" w:rsidRPr="000F7862">
        <w:rPr>
          <w:lang w:val="fr-FR"/>
        </w:rPr>
        <w:t>ont également été couverts par une allocation de 1,5 milliard de pesos à l</w:t>
      </w:r>
      <w:r w:rsidR="00120E2E" w:rsidRPr="000F7862">
        <w:rPr>
          <w:lang w:val="fr-FR"/>
        </w:rPr>
        <w:t>’</w:t>
      </w:r>
      <w:r w:rsidR="00486C64" w:rsidRPr="000F7862">
        <w:rPr>
          <w:lang w:val="fr-FR"/>
        </w:rPr>
        <w:t xml:space="preserve">achat de </w:t>
      </w:r>
      <w:r w:rsidR="0086185C" w:rsidRPr="000F7862">
        <w:rPr>
          <w:lang w:val="fr-FR"/>
        </w:rPr>
        <w:t>31</w:t>
      </w:r>
      <w:r w:rsidR="00486C64" w:rsidRPr="000F7862">
        <w:rPr>
          <w:lang w:val="fr-FR"/>
        </w:rPr>
        <w:t>,</w:t>
      </w:r>
      <w:r w:rsidR="0086185C" w:rsidRPr="000F7862">
        <w:rPr>
          <w:lang w:val="fr-FR"/>
        </w:rPr>
        <w:t>1</w:t>
      </w:r>
      <w:r w:rsidR="00796D18" w:rsidRPr="000F7862">
        <w:rPr>
          <w:lang w:val="fr-FR"/>
        </w:rPr>
        <w:t> million</w:t>
      </w:r>
      <w:r w:rsidR="00486C64" w:rsidRPr="000F7862">
        <w:rPr>
          <w:lang w:val="fr-FR"/>
        </w:rPr>
        <w:t>s</w:t>
      </w:r>
      <w:r w:rsidR="0086185C" w:rsidRPr="000F7862">
        <w:rPr>
          <w:lang w:val="fr-FR"/>
        </w:rPr>
        <w:t xml:space="preserve"> </w:t>
      </w:r>
      <w:r w:rsidR="00486C64" w:rsidRPr="000F7862">
        <w:rPr>
          <w:lang w:val="fr-FR"/>
        </w:rPr>
        <w:t xml:space="preserve">de manuels scolaires et </w:t>
      </w:r>
      <w:r w:rsidR="007C0423" w:rsidRPr="000F7862">
        <w:rPr>
          <w:lang w:val="fr-FR"/>
        </w:rPr>
        <w:t>de manuels de l</w:t>
      </w:r>
      <w:r w:rsidR="00120E2E" w:rsidRPr="000F7862">
        <w:rPr>
          <w:lang w:val="fr-FR"/>
        </w:rPr>
        <w:t>’</w:t>
      </w:r>
      <w:r w:rsidR="007C0423" w:rsidRPr="000F7862">
        <w:rPr>
          <w:lang w:val="fr-FR"/>
        </w:rPr>
        <w:t>enseignant qui compléteront l</w:t>
      </w:r>
      <w:r w:rsidR="00120E2E" w:rsidRPr="000F7862">
        <w:rPr>
          <w:lang w:val="fr-FR"/>
        </w:rPr>
        <w:t>’</w:t>
      </w:r>
      <w:r w:rsidR="007C0423" w:rsidRPr="000F7862">
        <w:rPr>
          <w:lang w:val="fr-FR"/>
        </w:rPr>
        <w:t xml:space="preserve">apprentissage en classe et enrichiront les </w:t>
      </w:r>
      <w:r w:rsidR="00261C4C" w:rsidRPr="000F7862">
        <w:rPr>
          <w:lang w:val="fr-FR"/>
        </w:rPr>
        <w:t>outils de partage du savoir des enseignants</w:t>
      </w:r>
      <w:r w:rsidR="0086185C" w:rsidRPr="000F7862">
        <w:rPr>
          <w:lang w:val="fr-FR"/>
        </w:rPr>
        <w:t>.</w:t>
      </w:r>
      <w:r w:rsidR="0005004C" w:rsidRPr="000F7862">
        <w:rPr>
          <w:lang w:val="fr-FR"/>
        </w:rPr>
        <w:t xml:space="preserve"> </w:t>
      </w:r>
    </w:p>
    <w:p w:rsidR="0086185C" w:rsidRPr="000F7862" w:rsidRDefault="003F7F57" w:rsidP="00D85A3E">
      <w:pPr>
        <w:pStyle w:val="SingleTxtG"/>
        <w:rPr>
          <w:lang w:val="fr-FR"/>
        </w:rPr>
      </w:pPr>
      <w:r w:rsidRPr="000F7862">
        <w:rPr>
          <w:lang w:val="fr-FR"/>
        </w:rPr>
        <w:t>37.</w:t>
      </w:r>
      <w:r w:rsidRPr="000F7862">
        <w:rPr>
          <w:lang w:val="fr-FR"/>
        </w:rPr>
        <w:tab/>
      </w:r>
      <w:r w:rsidR="00261C4C" w:rsidRPr="000F7862">
        <w:rPr>
          <w:lang w:val="fr-FR"/>
        </w:rPr>
        <w:t>Non content de remédier à l</w:t>
      </w:r>
      <w:r w:rsidR="00120E2E" w:rsidRPr="000F7862">
        <w:rPr>
          <w:lang w:val="fr-FR"/>
        </w:rPr>
        <w:t>’</w:t>
      </w:r>
      <w:r w:rsidR="00261C4C" w:rsidRPr="000F7862">
        <w:rPr>
          <w:lang w:val="fr-FR"/>
        </w:rPr>
        <w:t>insuffisance des ressources dont dispose le système public d</w:t>
      </w:r>
      <w:r w:rsidR="00120E2E" w:rsidRPr="000F7862">
        <w:rPr>
          <w:lang w:val="fr-FR"/>
        </w:rPr>
        <w:t>’</w:t>
      </w:r>
      <w:r w:rsidR="00261C4C" w:rsidRPr="000F7862">
        <w:rPr>
          <w:lang w:val="fr-FR"/>
        </w:rPr>
        <w:t xml:space="preserve">instruction élémentaire, le Gouvernement entend </w:t>
      </w:r>
      <w:r w:rsidR="0086185C" w:rsidRPr="000F7862">
        <w:rPr>
          <w:lang w:val="fr-FR"/>
        </w:rPr>
        <w:t>d</w:t>
      </w:r>
      <w:r w:rsidR="00261C4C" w:rsidRPr="000F7862">
        <w:rPr>
          <w:lang w:val="fr-FR"/>
        </w:rPr>
        <w:t>é</w:t>
      </w:r>
      <w:r w:rsidR="0086185C" w:rsidRPr="000F7862">
        <w:rPr>
          <w:lang w:val="fr-FR"/>
        </w:rPr>
        <w:t>congest</w:t>
      </w:r>
      <w:r w:rsidR="00261C4C" w:rsidRPr="000F7862">
        <w:rPr>
          <w:lang w:val="fr-FR"/>
        </w:rPr>
        <w:t xml:space="preserve">ionner les écoles publiques en subventionnant des écoles privées </w:t>
      </w:r>
      <w:r w:rsidR="004522BD" w:rsidRPr="000F7862">
        <w:rPr>
          <w:lang w:val="fr-FR"/>
        </w:rPr>
        <w:t>par le biais de</w:t>
      </w:r>
      <w:r w:rsidR="00261C4C" w:rsidRPr="000F7862">
        <w:rPr>
          <w:lang w:val="fr-FR"/>
        </w:rPr>
        <w:t xml:space="preserve"> l</w:t>
      </w:r>
      <w:r w:rsidR="00120E2E" w:rsidRPr="000F7862">
        <w:rPr>
          <w:lang w:val="fr-FR"/>
        </w:rPr>
        <w:t>’</w:t>
      </w:r>
      <w:r w:rsidR="00261C4C" w:rsidRPr="000F7862">
        <w:rPr>
          <w:lang w:val="fr-FR"/>
        </w:rPr>
        <w:t>aide de l</w:t>
      </w:r>
      <w:r w:rsidR="00120E2E" w:rsidRPr="000F7862">
        <w:rPr>
          <w:lang w:val="fr-FR"/>
        </w:rPr>
        <w:t>’</w:t>
      </w:r>
      <w:r w:rsidR="00261C4C" w:rsidRPr="000F7862">
        <w:rPr>
          <w:lang w:val="fr-FR"/>
        </w:rPr>
        <w:t>État aux élèves et aux enseignants de l</w:t>
      </w:r>
      <w:r w:rsidR="00120E2E" w:rsidRPr="000F7862">
        <w:rPr>
          <w:lang w:val="fr-FR"/>
        </w:rPr>
        <w:t>’</w:t>
      </w:r>
      <w:r w:rsidR="00261C4C" w:rsidRPr="000F7862">
        <w:rPr>
          <w:lang w:val="fr-FR"/>
        </w:rPr>
        <w:t>enseignement privé</w:t>
      </w:r>
      <w:r w:rsidR="0086185C" w:rsidRPr="000F7862">
        <w:rPr>
          <w:lang w:val="fr-FR"/>
        </w:rPr>
        <w:t>.</w:t>
      </w:r>
      <w:r w:rsidR="00446EA5" w:rsidRPr="000F7862">
        <w:rPr>
          <w:lang w:val="fr-FR"/>
        </w:rPr>
        <w:t xml:space="preserve"> </w:t>
      </w:r>
      <w:r w:rsidR="004522BD" w:rsidRPr="000F7862">
        <w:rPr>
          <w:lang w:val="fr-FR"/>
        </w:rPr>
        <w:t>Le montant des crédits alloués au titre de cette aide a également progressé au fil des ans</w:t>
      </w:r>
      <w:r w:rsidR="0005004C" w:rsidRPr="000F7862">
        <w:rPr>
          <w:lang w:val="fr-FR"/>
        </w:rPr>
        <w:t>:</w:t>
      </w:r>
      <w:r w:rsidR="004522BD" w:rsidRPr="000F7862">
        <w:rPr>
          <w:lang w:val="fr-FR"/>
        </w:rPr>
        <w:t xml:space="preserve"> après avoir baissé de </w:t>
      </w:r>
      <w:r w:rsidR="0086185C" w:rsidRPr="000F7862">
        <w:rPr>
          <w:lang w:val="fr-FR"/>
        </w:rPr>
        <w:t>8</w:t>
      </w:r>
      <w:r w:rsidR="004522BD" w:rsidRPr="000F7862">
        <w:rPr>
          <w:lang w:val="fr-FR"/>
        </w:rPr>
        <w:t>,</w:t>
      </w:r>
      <w:r w:rsidR="0086185C" w:rsidRPr="000F7862">
        <w:rPr>
          <w:lang w:val="fr-FR"/>
        </w:rPr>
        <w:t>1</w:t>
      </w:r>
      <w:r w:rsidR="00DC1196" w:rsidRPr="000F7862">
        <w:rPr>
          <w:lang w:val="fr-FR"/>
        </w:rPr>
        <w:t> %</w:t>
      </w:r>
      <w:r w:rsidR="0086185C" w:rsidRPr="000F7862">
        <w:rPr>
          <w:lang w:val="fr-FR"/>
        </w:rPr>
        <w:t xml:space="preserve"> </w:t>
      </w:r>
      <w:r w:rsidR="004522BD" w:rsidRPr="000F7862">
        <w:rPr>
          <w:lang w:val="fr-FR"/>
        </w:rPr>
        <w:t xml:space="preserve">en </w:t>
      </w:r>
      <w:r w:rsidR="0086185C" w:rsidRPr="000F7862">
        <w:rPr>
          <w:lang w:val="fr-FR"/>
        </w:rPr>
        <w:t>2010</w:t>
      </w:r>
      <w:r w:rsidR="004522BD" w:rsidRPr="000F7862">
        <w:rPr>
          <w:lang w:val="fr-FR"/>
        </w:rPr>
        <w:t>, il s</w:t>
      </w:r>
      <w:r w:rsidR="00120E2E" w:rsidRPr="000F7862">
        <w:rPr>
          <w:lang w:val="fr-FR"/>
        </w:rPr>
        <w:t>’</w:t>
      </w:r>
      <w:r w:rsidR="004522BD" w:rsidRPr="000F7862">
        <w:rPr>
          <w:lang w:val="fr-FR"/>
        </w:rPr>
        <w:t xml:space="preserve">est raffermi de </w:t>
      </w:r>
      <w:r w:rsidR="0086185C" w:rsidRPr="000F7862">
        <w:rPr>
          <w:lang w:val="fr-FR"/>
        </w:rPr>
        <w:t>10</w:t>
      </w:r>
      <w:r w:rsidR="004522BD" w:rsidRPr="000F7862">
        <w:rPr>
          <w:lang w:val="fr-FR"/>
        </w:rPr>
        <w:t>,</w:t>
      </w:r>
      <w:r w:rsidR="0086185C" w:rsidRPr="000F7862">
        <w:rPr>
          <w:lang w:val="fr-FR"/>
        </w:rPr>
        <w:t>9</w:t>
      </w:r>
      <w:r w:rsidR="00DC1196" w:rsidRPr="000F7862">
        <w:rPr>
          <w:lang w:val="fr-FR"/>
        </w:rPr>
        <w:t> %</w:t>
      </w:r>
      <w:r w:rsidR="0086185C" w:rsidRPr="000F7862">
        <w:rPr>
          <w:lang w:val="fr-FR"/>
        </w:rPr>
        <w:t xml:space="preserve"> </w:t>
      </w:r>
      <w:r w:rsidR="004522BD" w:rsidRPr="000F7862">
        <w:rPr>
          <w:lang w:val="fr-FR"/>
        </w:rPr>
        <w:t xml:space="preserve">en </w:t>
      </w:r>
      <w:r w:rsidR="0086185C" w:rsidRPr="000F7862">
        <w:rPr>
          <w:lang w:val="fr-FR"/>
        </w:rPr>
        <w:t>2013.</w:t>
      </w:r>
      <w:r w:rsidR="00446EA5" w:rsidRPr="000F7862">
        <w:rPr>
          <w:lang w:val="fr-FR"/>
        </w:rPr>
        <w:t xml:space="preserve"> </w:t>
      </w:r>
      <w:r w:rsidR="004522BD" w:rsidRPr="000F7862">
        <w:rPr>
          <w:lang w:val="fr-FR"/>
        </w:rPr>
        <w:t xml:space="preserve">Le crédit de </w:t>
      </w:r>
      <w:r w:rsidR="0086185C" w:rsidRPr="000F7862">
        <w:rPr>
          <w:lang w:val="fr-FR"/>
        </w:rPr>
        <w:t>6</w:t>
      </w:r>
      <w:r w:rsidR="004522BD" w:rsidRPr="000F7862">
        <w:rPr>
          <w:lang w:val="fr-FR"/>
        </w:rPr>
        <w:t>,</w:t>
      </w:r>
      <w:r w:rsidR="0086185C" w:rsidRPr="000F7862">
        <w:rPr>
          <w:lang w:val="fr-FR"/>
        </w:rPr>
        <w:t>9</w:t>
      </w:r>
      <w:r w:rsidR="00796D18" w:rsidRPr="000F7862">
        <w:rPr>
          <w:lang w:val="fr-FR"/>
        </w:rPr>
        <w:t> </w:t>
      </w:r>
      <w:r w:rsidR="004522BD" w:rsidRPr="000F7862">
        <w:rPr>
          <w:lang w:val="fr-FR"/>
        </w:rPr>
        <w:t xml:space="preserve">milliards de pesos prévu pour </w:t>
      </w:r>
      <w:r w:rsidR="0086185C" w:rsidRPr="000F7862">
        <w:rPr>
          <w:lang w:val="fr-FR"/>
        </w:rPr>
        <w:t xml:space="preserve">2013 </w:t>
      </w:r>
      <w:r w:rsidR="004522BD" w:rsidRPr="000F7862">
        <w:rPr>
          <w:lang w:val="fr-FR"/>
        </w:rPr>
        <w:t xml:space="preserve">est destiné à appuyer </w:t>
      </w:r>
      <w:r w:rsidR="00D85A3E" w:rsidRPr="000F7862">
        <w:rPr>
          <w:lang w:val="fr-FR"/>
        </w:rPr>
        <w:t>1</w:t>
      </w:r>
      <w:r w:rsidR="004522BD" w:rsidRPr="000F7862">
        <w:rPr>
          <w:lang w:val="fr-FR"/>
        </w:rPr>
        <w:t xml:space="preserve"> </w:t>
      </w:r>
      <w:r w:rsidR="0086185C" w:rsidRPr="000F7862">
        <w:rPr>
          <w:lang w:val="fr-FR"/>
        </w:rPr>
        <w:t xml:space="preserve">million </w:t>
      </w:r>
      <w:r w:rsidR="004522BD" w:rsidRPr="000F7862">
        <w:rPr>
          <w:lang w:val="fr-FR"/>
        </w:rPr>
        <w:t>d</w:t>
      </w:r>
      <w:r w:rsidR="00120E2E" w:rsidRPr="000F7862">
        <w:rPr>
          <w:lang w:val="fr-FR"/>
        </w:rPr>
        <w:t>’</w:t>
      </w:r>
      <w:r w:rsidR="004522BD" w:rsidRPr="000F7862">
        <w:rPr>
          <w:lang w:val="fr-FR"/>
        </w:rPr>
        <w:t xml:space="preserve">élèves </w:t>
      </w:r>
      <w:r w:rsidR="0086185C" w:rsidRPr="000F7862">
        <w:rPr>
          <w:lang w:val="fr-FR"/>
        </w:rPr>
        <w:t>(</w:t>
      </w:r>
      <w:r w:rsidR="004522BD" w:rsidRPr="000F7862">
        <w:rPr>
          <w:lang w:val="fr-FR"/>
        </w:rPr>
        <w:t>t</w:t>
      </w:r>
      <w:r w:rsidR="0086185C" w:rsidRPr="000F7862">
        <w:rPr>
          <w:lang w:val="fr-FR"/>
        </w:rPr>
        <w:t>able</w:t>
      </w:r>
      <w:r w:rsidR="004522BD" w:rsidRPr="000F7862">
        <w:rPr>
          <w:lang w:val="fr-FR"/>
        </w:rPr>
        <w:t>au</w:t>
      </w:r>
      <w:r w:rsidR="004B3B1E" w:rsidRPr="000F7862">
        <w:rPr>
          <w:lang w:val="fr-FR"/>
        </w:rPr>
        <w:t> </w:t>
      </w:r>
      <w:r w:rsidR="0086185C" w:rsidRPr="000F7862">
        <w:rPr>
          <w:lang w:val="fr-FR"/>
        </w:rPr>
        <w:t>6).</w:t>
      </w:r>
    </w:p>
    <w:p w:rsidR="0086185C" w:rsidRPr="000F7862" w:rsidRDefault="00397090" w:rsidP="00397090">
      <w:pPr>
        <w:pStyle w:val="H23G"/>
        <w:rPr>
          <w:b w:val="0"/>
          <w:bCs/>
          <w:sz w:val="16"/>
          <w:szCs w:val="16"/>
          <w:lang w:val="fr-FR"/>
        </w:rPr>
      </w:pPr>
      <w:r w:rsidRPr="000F7862">
        <w:rPr>
          <w:lang w:val="fr-FR"/>
        </w:rPr>
        <w:tab/>
      </w:r>
      <w:r w:rsidRPr="000F7862">
        <w:rPr>
          <w:lang w:val="fr-FR"/>
        </w:rPr>
        <w:tab/>
      </w:r>
      <w:r w:rsidR="0086185C" w:rsidRPr="000F7862">
        <w:rPr>
          <w:b w:val="0"/>
          <w:bCs/>
          <w:lang w:val="fr-FR"/>
        </w:rPr>
        <w:t>Table</w:t>
      </w:r>
      <w:r w:rsidR="004522BD" w:rsidRPr="000F7862">
        <w:rPr>
          <w:b w:val="0"/>
          <w:bCs/>
          <w:lang w:val="fr-FR"/>
        </w:rPr>
        <w:t>au</w:t>
      </w:r>
      <w:r w:rsidR="00FD0FD7" w:rsidRPr="000F7862">
        <w:rPr>
          <w:b w:val="0"/>
          <w:bCs/>
          <w:lang w:val="fr-FR"/>
        </w:rPr>
        <w:t xml:space="preserve"> </w:t>
      </w:r>
      <w:r w:rsidR="0086185C" w:rsidRPr="000F7862">
        <w:rPr>
          <w:b w:val="0"/>
          <w:bCs/>
          <w:lang w:val="fr-FR"/>
        </w:rPr>
        <w:t>6</w:t>
      </w:r>
      <w:r w:rsidR="004B3B1E" w:rsidRPr="000F7862">
        <w:rPr>
          <w:b w:val="0"/>
          <w:bCs/>
          <w:lang w:val="fr-FR"/>
        </w:rPr>
        <w:br/>
      </w:r>
      <w:r w:rsidR="004522BD" w:rsidRPr="000F7862">
        <w:rPr>
          <w:lang w:val="fr-FR"/>
        </w:rPr>
        <w:t>Montant des crédits alloués à divers p</w:t>
      </w:r>
      <w:r w:rsidR="00867E43" w:rsidRPr="000F7862">
        <w:rPr>
          <w:lang w:val="fr-FR"/>
        </w:rPr>
        <w:t>rogrammes</w:t>
      </w:r>
      <w:r w:rsidR="0086185C" w:rsidRPr="000F7862">
        <w:rPr>
          <w:lang w:val="fr-FR"/>
        </w:rPr>
        <w:t xml:space="preserve"> </w:t>
      </w:r>
      <w:r w:rsidR="004522BD" w:rsidRPr="000F7862">
        <w:rPr>
          <w:lang w:val="fr-FR"/>
        </w:rPr>
        <w:t>d</w:t>
      </w:r>
      <w:r w:rsidR="00120E2E" w:rsidRPr="000F7862">
        <w:rPr>
          <w:lang w:val="fr-FR"/>
        </w:rPr>
        <w:t>’</w:t>
      </w:r>
      <w:r w:rsidR="004522BD" w:rsidRPr="000F7862">
        <w:rPr>
          <w:lang w:val="fr-FR"/>
        </w:rPr>
        <w:t>instruction élémentaire</w:t>
      </w:r>
      <w:r w:rsidR="0086185C" w:rsidRPr="000F7862">
        <w:rPr>
          <w:lang w:val="fr-FR"/>
        </w:rPr>
        <w:t xml:space="preserve">, </w:t>
      </w:r>
      <w:r w:rsidR="004522BD" w:rsidRPr="000F7862">
        <w:rPr>
          <w:lang w:val="fr-FR"/>
        </w:rPr>
        <w:t xml:space="preserve">loi générale sur les crédits budgétaires </w:t>
      </w:r>
      <w:r w:rsidR="00FD0FD7" w:rsidRPr="000F7862">
        <w:rPr>
          <w:lang w:val="fr-FR"/>
        </w:rPr>
        <w:br/>
      </w:r>
      <w:r w:rsidR="0086185C" w:rsidRPr="000F7862">
        <w:rPr>
          <w:b w:val="0"/>
          <w:bCs/>
          <w:sz w:val="16"/>
          <w:szCs w:val="16"/>
          <w:lang w:val="fr-FR"/>
        </w:rPr>
        <w:t>(</w:t>
      </w:r>
      <w:r w:rsidR="004522BD" w:rsidRPr="000F7862">
        <w:rPr>
          <w:b w:val="0"/>
          <w:bCs/>
          <w:sz w:val="16"/>
          <w:szCs w:val="16"/>
          <w:lang w:val="fr-FR"/>
        </w:rPr>
        <w:t>En millions de pesos, sauf indication contraire</w:t>
      </w:r>
      <w:r w:rsidR="0086185C" w:rsidRPr="000F7862">
        <w:rPr>
          <w:b w:val="0"/>
          <w:bCs/>
          <w:sz w:val="16"/>
          <w:szCs w:val="16"/>
          <w:lang w:val="fr-FR"/>
        </w:rPr>
        <w:t>)</w:t>
      </w:r>
    </w:p>
    <w:tbl>
      <w:tblPr>
        <w:tblW w:w="7370" w:type="dxa"/>
        <w:tblInd w:w="1134" w:type="dxa"/>
        <w:tblLayout w:type="fixed"/>
        <w:tblCellMar>
          <w:left w:w="0" w:type="dxa"/>
          <w:right w:w="0" w:type="dxa"/>
        </w:tblCellMar>
        <w:tblLook w:val="01E0"/>
      </w:tblPr>
      <w:tblGrid>
        <w:gridCol w:w="3266"/>
        <w:gridCol w:w="820"/>
        <w:gridCol w:w="821"/>
        <w:gridCol w:w="821"/>
        <w:gridCol w:w="821"/>
        <w:gridCol w:w="821"/>
      </w:tblGrid>
      <w:tr w:rsidR="008D4939" w:rsidRPr="000F7862" w:rsidTr="008D4939">
        <w:tc>
          <w:tcPr>
            <w:tcW w:w="3266" w:type="dxa"/>
            <w:tcBorders>
              <w:top w:val="single" w:sz="4" w:space="0" w:color="auto"/>
              <w:bottom w:val="single" w:sz="12" w:space="0" w:color="auto"/>
            </w:tcBorders>
            <w:shd w:val="clear" w:color="auto" w:fill="auto"/>
            <w:vAlign w:val="bottom"/>
          </w:tcPr>
          <w:p w:rsidR="008D4939" w:rsidRPr="000F7862" w:rsidRDefault="008D4939" w:rsidP="008D4939">
            <w:pPr>
              <w:spacing w:before="80" w:after="80" w:line="200" w:lineRule="exact"/>
              <w:rPr>
                <w:i/>
                <w:sz w:val="16"/>
                <w:lang w:val="fr-FR"/>
              </w:rPr>
            </w:pPr>
            <w:r w:rsidRPr="000F7862">
              <w:rPr>
                <w:i/>
                <w:sz w:val="16"/>
                <w:lang w:val="fr-FR"/>
              </w:rPr>
              <w:t>Postes de dépenses</w:t>
            </w:r>
          </w:p>
        </w:tc>
        <w:tc>
          <w:tcPr>
            <w:tcW w:w="820" w:type="dxa"/>
            <w:tcBorders>
              <w:top w:val="single" w:sz="4" w:space="0" w:color="auto"/>
              <w:bottom w:val="single" w:sz="12" w:space="0" w:color="auto"/>
            </w:tcBorders>
            <w:shd w:val="clear" w:color="auto" w:fill="auto"/>
            <w:vAlign w:val="bottom"/>
          </w:tcPr>
          <w:p w:rsidR="008D4939" w:rsidRPr="000F7862" w:rsidRDefault="008D4939" w:rsidP="008D4939">
            <w:pPr>
              <w:spacing w:before="80" w:after="80" w:line="200" w:lineRule="exact"/>
              <w:jc w:val="right"/>
              <w:rPr>
                <w:i/>
                <w:sz w:val="16"/>
                <w:lang w:val="fr-FR"/>
              </w:rPr>
            </w:pPr>
            <w:r w:rsidRPr="000F7862">
              <w:rPr>
                <w:i/>
                <w:sz w:val="16"/>
                <w:lang w:val="fr-FR"/>
              </w:rPr>
              <w:t>2009</w:t>
            </w:r>
          </w:p>
        </w:tc>
        <w:tc>
          <w:tcPr>
            <w:tcW w:w="821" w:type="dxa"/>
            <w:tcBorders>
              <w:top w:val="single" w:sz="4" w:space="0" w:color="auto"/>
              <w:bottom w:val="single" w:sz="12" w:space="0" w:color="auto"/>
            </w:tcBorders>
            <w:shd w:val="clear" w:color="auto" w:fill="auto"/>
            <w:vAlign w:val="bottom"/>
          </w:tcPr>
          <w:p w:rsidR="008D4939" w:rsidRPr="000F7862" w:rsidRDefault="008D4939" w:rsidP="008D4939">
            <w:pPr>
              <w:spacing w:before="80" w:after="80" w:line="200" w:lineRule="exact"/>
              <w:jc w:val="right"/>
              <w:rPr>
                <w:i/>
                <w:sz w:val="16"/>
                <w:lang w:val="fr-FR"/>
              </w:rPr>
            </w:pPr>
            <w:r w:rsidRPr="000F7862">
              <w:rPr>
                <w:i/>
                <w:sz w:val="16"/>
                <w:lang w:val="fr-FR"/>
              </w:rPr>
              <w:t>2010</w:t>
            </w:r>
          </w:p>
        </w:tc>
        <w:tc>
          <w:tcPr>
            <w:tcW w:w="821" w:type="dxa"/>
            <w:tcBorders>
              <w:top w:val="single" w:sz="4" w:space="0" w:color="auto"/>
              <w:bottom w:val="single" w:sz="12" w:space="0" w:color="auto"/>
            </w:tcBorders>
            <w:shd w:val="clear" w:color="auto" w:fill="auto"/>
            <w:vAlign w:val="bottom"/>
          </w:tcPr>
          <w:p w:rsidR="008D4939" w:rsidRPr="000F7862" w:rsidRDefault="008D4939" w:rsidP="008D4939">
            <w:pPr>
              <w:spacing w:before="80" w:after="80" w:line="200" w:lineRule="exact"/>
              <w:jc w:val="right"/>
              <w:rPr>
                <w:i/>
                <w:sz w:val="16"/>
                <w:lang w:val="fr-FR"/>
              </w:rPr>
            </w:pPr>
            <w:r w:rsidRPr="000F7862">
              <w:rPr>
                <w:i/>
                <w:sz w:val="16"/>
                <w:lang w:val="fr-FR"/>
              </w:rPr>
              <w:t>2011</w:t>
            </w:r>
          </w:p>
        </w:tc>
        <w:tc>
          <w:tcPr>
            <w:tcW w:w="821" w:type="dxa"/>
            <w:tcBorders>
              <w:top w:val="single" w:sz="4" w:space="0" w:color="auto"/>
              <w:bottom w:val="single" w:sz="12" w:space="0" w:color="auto"/>
            </w:tcBorders>
            <w:shd w:val="clear" w:color="auto" w:fill="auto"/>
            <w:vAlign w:val="bottom"/>
          </w:tcPr>
          <w:p w:rsidR="008D4939" w:rsidRPr="000F7862" w:rsidRDefault="008D4939" w:rsidP="008D4939">
            <w:pPr>
              <w:spacing w:before="80" w:after="80" w:line="200" w:lineRule="exact"/>
              <w:jc w:val="right"/>
              <w:rPr>
                <w:i/>
                <w:sz w:val="16"/>
                <w:lang w:val="fr-FR"/>
              </w:rPr>
            </w:pPr>
            <w:r w:rsidRPr="000F7862">
              <w:rPr>
                <w:i/>
                <w:sz w:val="16"/>
                <w:lang w:val="fr-FR"/>
              </w:rPr>
              <w:t>2012</w:t>
            </w:r>
          </w:p>
        </w:tc>
        <w:tc>
          <w:tcPr>
            <w:tcW w:w="821" w:type="dxa"/>
            <w:tcBorders>
              <w:top w:val="single" w:sz="4" w:space="0" w:color="auto"/>
              <w:bottom w:val="single" w:sz="12" w:space="0" w:color="auto"/>
            </w:tcBorders>
            <w:shd w:val="clear" w:color="auto" w:fill="auto"/>
            <w:vAlign w:val="bottom"/>
          </w:tcPr>
          <w:p w:rsidR="008D4939" w:rsidRPr="000F7862" w:rsidRDefault="008D4939" w:rsidP="008D4939">
            <w:pPr>
              <w:spacing w:before="80" w:after="80" w:line="200" w:lineRule="exact"/>
              <w:jc w:val="right"/>
              <w:rPr>
                <w:i/>
                <w:sz w:val="16"/>
                <w:lang w:val="fr-FR"/>
              </w:rPr>
            </w:pPr>
            <w:r w:rsidRPr="000F7862">
              <w:rPr>
                <w:i/>
                <w:sz w:val="16"/>
                <w:lang w:val="fr-FR"/>
              </w:rPr>
              <w:t>2013</w:t>
            </w:r>
          </w:p>
        </w:tc>
      </w:tr>
      <w:tr w:rsidR="008D4939" w:rsidRPr="000F7862" w:rsidTr="008D4939">
        <w:tc>
          <w:tcPr>
            <w:tcW w:w="3266" w:type="dxa"/>
            <w:tcBorders>
              <w:top w:val="single" w:sz="12" w:space="0" w:color="auto"/>
            </w:tcBorders>
            <w:shd w:val="clear" w:color="auto" w:fill="auto"/>
            <w:vAlign w:val="bottom"/>
          </w:tcPr>
          <w:p w:rsidR="008D4939" w:rsidRPr="000F7862" w:rsidRDefault="008D4939" w:rsidP="008D4939">
            <w:pPr>
              <w:spacing w:before="40" w:after="40" w:line="220" w:lineRule="exact"/>
              <w:rPr>
                <w:sz w:val="18"/>
                <w:lang w:val="fr-FR"/>
              </w:rPr>
            </w:pPr>
            <w:r w:rsidRPr="000F7862">
              <w:rPr>
                <w:sz w:val="18"/>
                <w:lang w:val="fr-FR"/>
              </w:rPr>
              <w:t>Structures d</w:t>
            </w:r>
            <w:r w:rsidR="00120E2E" w:rsidRPr="000F7862">
              <w:rPr>
                <w:sz w:val="18"/>
                <w:lang w:val="fr-FR"/>
              </w:rPr>
              <w:t>’</w:t>
            </w:r>
            <w:r w:rsidRPr="000F7862">
              <w:rPr>
                <w:sz w:val="18"/>
                <w:lang w:val="fr-FR"/>
              </w:rPr>
              <w:t>instruction élémentaire</w:t>
            </w:r>
          </w:p>
        </w:tc>
        <w:tc>
          <w:tcPr>
            <w:tcW w:w="820" w:type="dxa"/>
            <w:tcBorders>
              <w:top w:val="single" w:sz="12" w:space="0" w:color="auto"/>
            </w:tcBorders>
            <w:shd w:val="clear" w:color="auto" w:fill="auto"/>
            <w:vAlign w:val="bottom"/>
          </w:tcPr>
          <w:p w:rsidR="008D4939" w:rsidRPr="000F7862" w:rsidRDefault="008D4939" w:rsidP="008D4939">
            <w:pPr>
              <w:spacing w:before="40" w:after="40" w:line="220" w:lineRule="exact"/>
              <w:jc w:val="right"/>
              <w:rPr>
                <w:sz w:val="18"/>
                <w:lang w:val="fr-FR"/>
              </w:rPr>
            </w:pPr>
            <w:r w:rsidRPr="000F7862">
              <w:rPr>
                <w:sz w:val="18"/>
                <w:lang w:val="fr-FR"/>
              </w:rPr>
              <w:t>4 962</w:t>
            </w:r>
          </w:p>
        </w:tc>
        <w:tc>
          <w:tcPr>
            <w:tcW w:w="821" w:type="dxa"/>
            <w:tcBorders>
              <w:top w:val="single" w:sz="12" w:space="0" w:color="auto"/>
            </w:tcBorders>
            <w:shd w:val="clear" w:color="auto" w:fill="auto"/>
            <w:vAlign w:val="bottom"/>
          </w:tcPr>
          <w:p w:rsidR="008D4939" w:rsidRPr="000F7862" w:rsidRDefault="008D4939" w:rsidP="008D4939">
            <w:pPr>
              <w:spacing w:before="40" w:after="40" w:line="220" w:lineRule="exact"/>
              <w:jc w:val="right"/>
              <w:rPr>
                <w:sz w:val="18"/>
                <w:lang w:val="fr-FR"/>
              </w:rPr>
            </w:pPr>
            <w:r w:rsidRPr="000F7862">
              <w:rPr>
                <w:sz w:val="18"/>
                <w:lang w:val="fr-FR"/>
              </w:rPr>
              <w:t>6 142</w:t>
            </w:r>
          </w:p>
        </w:tc>
        <w:tc>
          <w:tcPr>
            <w:tcW w:w="821" w:type="dxa"/>
            <w:tcBorders>
              <w:top w:val="single" w:sz="12" w:space="0" w:color="auto"/>
            </w:tcBorders>
            <w:shd w:val="clear" w:color="auto" w:fill="auto"/>
            <w:vAlign w:val="bottom"/>
          </w:tcPr>
          <w:p w:rsidR="008D4939" w:rsidRPr="000F7862" w:rsidRDefault="008D4939" w:rsidP="008D4939">
            <w:pPr>
              <w:spacing w:before="40" w:after="40" w:line="220" w:lineRule="exact"/>
              <w:jc w:val="right"/>
              <w:rPr>
                <w:sz w:val="18"/>
                <w:lang w:val="fr-FR"/>
              </w:rPr>
            </w:pPr>
            <w:r w:rsidRPr="000F7862">
              <w:rPr>
                <w:sz w:val="18"/>
                <w:lang w:val="fr-FR"/>
              </w:rPr>
              <w:t>11 291</w:t>
            </w:r>
          </w:p>
        </w:tc>
        <w:tc>
          <w:tcPr>
            <w:tcW w:w="821" w:type="dxa"/>
            <w:tcBorders>
              <w:top w:val="single" w:sz="12" w:space="0" w:color="auto"/>
            </w:tcBorders>
            <w:shd w:val="clear" w:color="auto" w:fill="auto"/>
            <w:vAlign w:val="bottom"/>
          </w:tcPr>
          <w:p w:rsidR="008D4939" w:rsidRPr="000F7862" w:rsidRDefault="008D4939" w:rsidP="008D4939">
            <w:pPr>
              <w:spacing w:before="40" w:after="40" w:line="220" w:lineRule="exact"/>
              <w:jc w:val="right"/>
              <w:rPr>
                <w:sz w:val="18"/>
                <w:lang w:val="fr-FR"/>
              </w:rPr>
            </w:pPr>
            <w:r w:rsidRPr="000F7862">
              <w:rPr>
                <w:sz w:val="18"/>
                <w:lang w:val="fr-FR"/>
              </w:rPr>
              <w:t>16 420</w:t>
            </w:r>
          </w:p>
        </w:tc>
        <w:tc>
          <w:tcPr>
            <w:tcW w:w="821" w:type="dxa"/>
            <w:tcBorders>
              <w:top w:val="single" w:sz="12" w:space="0" w:color="auto"/>
            </w:tcBorders>
            <w:shd w:val="clear" w:color="auto" w:fill="auto"/>
            <w:vAlign w:val="bottom"/>
          </w:tcPr>
          <w:p w:rsidR="008D4939" w:rsidRPr="000F7862" w:rsidRDefault="008D4939" w:rsidP="008D4939">
            <w:pPr>
              <w:spacing w:before="40" w:after="40" w:line="220" w:lineRule="exact"/>
              <w:jc w:val="right"/>
              <w:rPr>
                <w:sz w:val="18"/>
                <w:lang w:val="fr-FR"/>
              </w:rPr>
            </w:pPr>
            <w:r w:rsidRPr="000F7862">
              <w:rPr>
                <w:sz w:val="18"/>
                <w:lang w:val="fr-FR"/>
              </w:rPr>
              <w:t>25 268</w:t>
            </w:r>
          </w:p>
        </w:tc>
      </w:tr>
      <w:tr w:rsidR="008D4939" w:rsidRPr="000F7862" w:rsidTr="008D4939">
        <w:tc>
          <w:tcPr>
            <w:tcW w:w="3266" w:type="dxa"/>
            <w:shd w:val="clear" w:color="auto" w:fill="auto"/>
            <w:vAlign w:val="bottom"/>
          </w:tcPr>
          <w:p w:rsidR="008D4939" w:rsidRPr="000F7862" w:rsidRDefault="008D4939" w:rsidP="008D4939">
            <w:pPr>
              <w:spacing w:before="40" w:after="40" w:line="220" w:lineRule="exact"/>
              <w:ind w:left="170"/>
              <w:rPr>
                <w:sz w:val="18"/>
                <w:lang w:val="fr-FR"/>
              </w:rPr>
            </w:pPr>
            <w:r w:rsidRPr="000F7862">
              <w:rPr>
                <w:sz w:val="18"/>
                <w:lang w:val="fr-FR"/>
              </w:rPr>
              <w:t>Croissance (%)</w:t>
            </w:r>
          </w:p>
        </w:tc>
        <w:tc>
          <w:tcPr>
            <w:tcW w:w="820" w:type="dxa"/>
            <w:shd w:val="clear" w:color="auto" w:fill="auto"/>
            <w:vAlign w:val="bottom"/>
          </w:tcPr>
          <w:p w:rsidR="008D4939" w:rsidRPr="000F7862" w:rsidRDefault="008D4939" w:rsidP="008D4939">
            <w:pPr>
              <w:spacing w:before="40" w:after="40" w:line="220" w:lineRule="exact"/>
              <w:jc w:val="right"/>
              <w:rPr>
                <w:sz w:val="18"/>
                <w:lang w:val="fr-FR"/>
              </w:rPr>
            </w:pPr>
          </w:p>
        </w:tc>
        <w:tc>
          <w:tcPr>
            <w:tcW w:w="821" w:type="dxa"/>
            <w:shd w:val="clear" w:color="auto" w:fill="auto"/>
            <w:vAlign w:val="bottom"/>
          </w:tcPr>
          <w:p w:rsidR="008D4939" w:rsidRPr="000F7862" w:rsidRDefault="008D4939" w:rsidP="008D4939">
            <w:pPr>
              <w:spacing w:before="40" w:after="40" w:line="220" w:lineRule="exact"/>
              <w:jc w:val="right"/>
              <w:rPr>
                <w:sz w:val="18"/>
                <w:lang w:val="fr-FR"/>
              </w:rPr>
            </w:pPr>
            <w:r w:rsidRPr="000F7862">
              <w:rPr>
                <w:sz w:val="18"/>
                <w:lang w:val="fr-FR"/>
              </w:rPr>
              <w:t>23,8</w:t>
            </w:r>
          </w:p>
        </w:tc>
        <w:tc>
          <w:tcPr>
            <w:tcW w:w="821" w:type="dxa"/>
            <w:shd w:val="clear" w:color="auto" w:fill="auto"/>
            <w:vAlign w:val="bottom"/>
          </w:tcPr>
          <w:p w:rsidR="008D4939" w:rsidRPr="000F7862" w:rsidRDefault="008D4939" w:rsidP="008D4939">
            <w:pPr>
              <w:spacing w:before="40" w:after="40" w:line="220" w:lineRule="exact"/>
              <w:jc w:val="right"/>
              <w:rPr>
                <w:sz w:val="18"/>
                <w:lang w:val="fr-FR"/>
              </w:rPr>
            </w:pPr>
            <w:r w:rsidRPr="000F7862">
              <w:rPr>
                <w:sz w:val="18"/>
                <w:lang w:val="fr-FR"/>
              </w:rPr>
              <w:t>83,8</w:t>
            </w:r>
          </w:p>
        </w:tc>
        <w:tc>
          <w:tcPr>
            <w:tcW w:w="821" w:type="dxa"/>
            <w:shd w:val="clear" w:color="auto" w:fill="auto"/>
            <w:vAlign w:val="bottom"/>
          </w:tcPr>
          <w:p w:rsidR="008D4939" w:rsidRPr="000F7862" w:rsidRDefault="008D4939" w:rsidP="008D4939">
            <w:pPr>
              <w:spacing w:before="40" w:after="40" w:line="220" w:lineRule="exact"/>
              <w:jc w:val="right"/>
              <w:rPr>
                <w:sz w:val="18"/>
                <w:lang w:val="fr-FR"/>
              </w:rPr>
            </w:pPr>
            <w:r w:rsidRPr="000F7862">
              <w:rPr>
                <w:sz w:val="18"/>
                <w:lang w:val="fr-FR"/>
              </w:rPr>
              <w:t>45,4</w:t>
            </w:r>
          </w:p>
        </w:tc>
        <w:tc>
          <w:tcPr>
            <w:tcW w:w="821" w:type="dxa"/>
            <w:shd w:val="clear" w:color="auto" w:fill="auto"/>
            <w:vAlign w:val="bottom"/>
          </w:tcPr>
          <w:p w:rsidR="008D4939" w:rsidRPr="000F7862" w:rsidRDefault="008D4939" w:rsidP="008D4939">
            <w:pPr>
              <w:spacing w:before="40" w:after="40" w:line="220" w:lineRule="exact"/>
              <w:jc w:val="right"/>
              <w:rPr>
                <w:sz w:val="18"/>
                <w:lang w:val="fr-FR"/>
              </w:rPr>
            </w:pPr>
            <w:r w:rsidRPr="000F7862">
              <w:rPr>
                <w:sz w:val="18"/>
                <w:lang w:val="fr-FR"/>
              </w:rPr>
              <w:t>53,9</w:t>
            </w:r>
          </w:p>
        </w:tc>
      </w:tr>
      <w:tr w:rsidR="008D4939" w:rsidRPr="000F7862" w:rsidTr="008D4939">
        <w:tc>
          <w:tcPr>
            <w:tcW w:w="3266" w:type="dxa"/>
            <w:shd w:val="clear" w:color="auto" w:fill="auto"/>
            <w:vAlign w:val="bottom"/>
          </w:tcPr>
          <w:p w:rsidR="008D4939" w:rsidRPr="000F7862" w:rsidRDefault="008D4939" w:rsidP="008D4939">
            <w:pPr>
              <w:spacing w:before="40" w:after="40" w:line="220" w:lineRule="exact"/>
              <w:rPr>
                <w:sz w:val="18"/>
                <w:lang w:val="fr-FR"/>
              </w:rPr>
            </w:pPr>
            <w:r w:rsidRPr="000F7862">
              <w:rPr>
                <w:sz w:val="18"/>
                <w:lang w:val="fr-FR"/>
              </w:rPr>
              <w:t>Programme de construction d</w:t>
            </w:r>
            <w:r w:rsidR="00120E2E" w:rsidRPr="000F7862">
              <w:rPr>
                <w:sz w:val="18"/>
                <w:lang w:val="fr-FR"/>
              </w:rPr>
              <w:t>’</w:t>
            </w:r>
            <w:r w:rsidRPr="000F7862">
              <w:rPr>
                <w:sz w:val="18"/>
                <w:lang w:val="fr-FR"/>
              </w:rPr>
              <w:t>écoles du Ministère de l</w:t>
            </w:r>
            <w:r w:rsidR="00120E2E" w:rsidRPr="000F7862">
              <w:rPr>
                <w:sz w:val="18"/>
                <w:lang w:val="fr-FR"/>
              </w:rPr>
              <w:t>’</w:t>
            </w:r>
            <w:r w:rsidRPr="000F7862">
              <w:rPr>
                <w:sz w:val="18"/>
                <w:lang w:val="fr-FR"/>
              </w:rPr>
              <w:t>éducation</w:t>
            </w:r>
          </w:p>
        </w:tc>
        <w:tc>
          <w:tcPr>
            <w:tcW w:w="820" w:type="dxa"/>
            <w:shd w:val="clear" w:color="auto" w:fill="auto"/>
            <w:vAlign w:val="bottom"/>
          </w:tcPr>
          <w:p w:rsidR="008D4939" w:rsidRPr="000F7862" w:rsidRDefault="008D4939" w:rsidP="008D4939">
            <w:pPr>
              <w:spacing w:before="40" w:after="40" w:line="220" w:lineRule="exact"/>
              <w:jc w:val="right"/>
              <w:rPr>
                <w:sz w:val="18"/>
                <w:lang w:val="fr-FR"/>
              </w:rPr>
            </w:pPr>
            <w:r w:rsidRPr="000F7862">
              <w:rPr>
                <w:sz w:val="18"/>
                <w:lang w:val="fr-FR"/>
              </w:rPr>
              <w:t>2 000</w:t>
            </w:r>
          </w:p>
        </w:tc>
        <w:tc>
          <w:tcPr>
            <w:tcW w:w="821" w:type="dxa"/>
            <w:shd w:val="clear" w:color="auto" w:fill="auto"/>
            <w:vAlign w:val="bottom"/>
          </w:tcPr>
          <w:p w:rsidR="008D4939" w:rsidRPr="000F7862" w:rsidRDefault="008D4939" w:rsidP="008D4939">
            <w:pPr>
              <w:spacing w:before="40" w:after="40" w:line="220" w:lineRule="exact"/>
              <w:jc w:val="right"/>
              <w:rPr>
                <w:sz w:val="18"/>
                <w:lang w:val="fr-FR"/>
              </w:rPr>
            </w:pPr>
            <w:r w:rsidRPr="000F7862">
              <w:rPr>
                <w:sz w:val="18"/>
                <w:lang w:val="fr-FR"/>
              </w:rPr>
              <w:t>2 000</w:t>
            </w:r>
          </w:p>
        </w:tc>
        <w:tc>
          <w:tcPr>
            <w:tcW w:w="821" w:type="dxa"/>
            <w:shd w:val="clear" w:color="auto" w:fill="auto"/>
            <w:vAlign w:val="bottom"/>
          </w:tcPr>
          <w:p w:rsidR="008D4939" w:rsidRPr="000F7862" w:rsidRDefault="008D4939" w:rsidP="008D4939">
            <w:pPr>
              <w:spacing w:before="40" w:after="40" w:line="220" w:lineRule="exact"/>
              <w:jc w:val="right"/>
              <w:rPr>
                <w:sz w:val="18"/>
                <w:lang w:val="fr-FR"/>
              </w:rPr>
            </w:pPr>
            <w:r w:rsidRPr="000F7862">
              <w:rPr>
                <w:sz w:val="18"/>
                <w:lang w:val="fr-FR"/>
              </w:rPr>
              <w:t>1 000</w:t>
            </w:r>
          </w:p>
        </w:tc>
        <w:tc>
          <w:tcPr>
            <w:tcW w:w="821" w:type="dxa"/>
            <w:shd w:val="clear" w:color="auto" w:fill="auto"/>
            <w:vAlign w:val="bottom"/>
          </w:tcPr>
          <w:p w:rsidR="008D4939" w:rsidRPr="000F7862" w:rsidRDefault="008D4939" w:rsidP="008D4939">
            <w:pPr>
              <w:spacing w:before="40" w:after="40" w:line="220" w:lineRule="exact"/>
              <w:jc w:val="right"/>
              <w:rPr>
                <w:sz w:val="18"/>
                <w:lang w:val="fr-FR"/>
              </w:rPr>
            </w:pPr>
            <w:r w:rsidRPr="000F7862">
              <w:rPr>
                <w:sz w:val="18"/>
                <w:lang w:val="fr-FR"/>
              </w:rPr>
              <w:t>1 000</w:t>
            </w:r>
          </w:p>
        </w:tc>
        <w:tc>
          <w:tcPr>
            <w:tcW w:w="821" w:type="dxa"/>
            <w:shd w:val="clear" w:color="auto" w:fill="auto"/>
            <w:vAlign w:val="bottom"/>
          </w:tcPr>
          <w:p w:rsidR="008D4939" w:rsidRPr="000F7862" w:rsidRDefault="008D4939" w:rsidP="008D4939">
            <w:pPr>
              <w:spacing w:before="40" w:after="40" w:line="220" w:lineRule="exact"/>
              <w:jc w:val="right"/>
              <w:rPr>
                <w:sz w:val="18"/>
                <w:lang w:val="fr-FR"/>
              </w:rPr>
            </w:pPr>
            <w:r w:rsidRPr="000F7862">
              <w:rPr>
                <w:sz w:val="18"/>
                <w:lang w:val="fr-FR"/>
              </w:rPr>
              <w:t>1 000</w:t>
            </w:r>
          </w:p>
        </w:tc>
      </w:tr>
      <w:tr w:rsidR="008D4939" w:rsidRPr="000F7862" w:rsidTr="008D4939">
        <w:tc>
          <w:tcPr>
            <w:tcW w:w="3266" w:type="dxa"/>
            <w:shd w:val="clear" w:color="auto" w:fill="auto"/>
            <w:vAlign w:val="bottom"/>
          </w:tcPr>
          <w:p w:rsidR="008D4939" w:rsidRPr="000F7862" w:rsidRDefault="008D4939" w:rsidP="008D4939">
            <w:pPr>
              <w:spacing w:before="40" w:after="40" w:line="220" w:lineRule="exact"/>
              <w:ind w:left="170"/>
              <w:rPr>
                <w:sz w:val="18"/>
                <w:lang w:val="fr-FR"/>
              </w:rPr>
            </w:pPr>
            <w:r w:rsidRPr="000F7862">
              <w:rPr>
                <w:sz w:val="18"/>
                <w:lang w:val="fr-FR"/>
              </w:rPr>
              <w:t>Croissance (%)</w:t>
            </w:r>
          </w:p>
        </w:tc>
        <w:tc>
          <w:tcPr>
            <w:tcW w:w="820" w:type="dxa"/>
            <w:shd w:val="clear" w:color="auto" w:fill="auto"/>
            <w:vAlign w:val="bottom"/>
          </w:tcPr>
          <w:p w:rsidR="008D4939" w:rsidRPr="000F7862" w:rsidRDefault="008D4939" w:rsidP="008D4939">
            <w:pPr>
              <w:spacing w:before="40" w:after="40" w:line="220" w:lineRule="exact"/>
              <w:jc w:val="right"/>
              <w:rPr>
                <w:sz w:val="18"/>
                <w:lang w:val="fr-FR"/>
              </w:rPr>
            </w:pPr>
          </w:p>
        </w:tc>
        <w:tc>
          <w:tcPr>
            <w:tcW w:w="821" w:type="dxa"/>
            <w:shd w:val="clear" w:color="auto" w:fill="auto"/>
            <w:vAlign w:val="bottom"/>
          </w:tcPr>
          <w:p w:rsidR="008D4939" w:rsidRPr="000F7862" w:rsidRDefault="008D4939" w:rsidP="008D4939">
            <w:pPr>
              <w:spacing w:before="40" w:after="40" w:line="220" w:lineRule="exact"/>
              <w:jc w:val="right"/>
              <w:rPr>
                <w:sz w:val="18"/>
                <w:lang w:val="fr-FR"/>
              </w:rPr>
            </w:pPr>
            <w:r w:rsidRPr="000F7862">
              <w:rPr>
                <w:sz w:val="18"/>
                <w:lang w:val="fr-FR"/>
              </w:rPr>
              <w:t>0,0</w:t>
            </w:r>
          </w:p>
        </w:tc>
        <w:tc>
          <w:tcPr>
            <w:tcW w:w="821" w:type="dxa"/>
            <w:shd w:val="clear" w:color="auto" w:fill="auto"/>
            <w:vAlign w:val="bottom"/>
          </w:tcPr>
          <w:p w:rsidR="008D4939" w:rsidRPr="000F7862" w:rsidRDefault="008D4939" w:rsidP="008D4939">
            <w:pPr>
              <w:spacing w:before="40" w:after="40" w:line="220" w:lineRule="exact"/>
              <w:jc w:val="right"/>
              <w:rPr>
                <w:sz w:val="18"/>
                <w:lang w:val="fr-FR"/>
              </w:rPr>
            </w:pPr>
            <w:r w:rsidRPr="000F7862">
              <w:rPr>
                <w:sz w:val="18"/>
                <w:lang w:val="fr-FR"/>
              </w:rPr>
              <w:t>(50,0)</w:t>
            </w:r>
          </w:p>
        </w:tc>
        <w:tc>
          <w:tcPr>
            <w:tcW w:w="821" w:type="dxa"/>
            <w:shd w:val="clear" w:color="auto" w:fill="auto"/>
            <w:vAlign w:val="bottom"/>
          </w:tcPr>
          <w:p w:rsidR="008D4939" w:rsidRPr="000F7862" w:rsidRDefault="008D4939" w:rsidP="008D4939">
            <w:pPr>
              <w:spacing w:before="40" w:after="40" w:line="220" w:lineRule="exact"/>
              <w:jc w:val="right"/>
              <w:rPr>
                <w:sz w:val="18"/>
                <w:lang w:val="fr-FR"/>
              </w:rPr>
            </w:pPr>
            <w:r w:rsidRPr="000F7862">
              <w:rPr>
                <w:sz w:val="18"/>
                <w:lang w:val="fr-FR"/>
              </w:rPr>
              <w:t>0,0</w:t>
            </w:r>
          </w:p>
        </w:tc>
        <w:tc>
          <w:tcPr>
            <w:tcW w:w="821" w:type="dxa"/>
            <w:shd w:val="clear" w:color="auto" w:fill="auto"/>
            <w:vAlign w:val="bottom"/>
          </w:tcPr>
          <w:p w:rsidR="008D4939" w:rsidRPr="000F7862" w:rsidRDefault="008D4939" w:rsidP="008D4939">
            <w:pPr>
              <w:spacing w:before="40" w:after="40" w:line="220" w:lineRule="exact"/>
              <w:jc w:val="right"/>
              <w:rPr>
                <w:sz w:val="18"/>
                <w:lang w:val="fr-FR"/>
              </w:rPr>
            </w:pPr>
            <w:r w:rsidRPr="000F7862">
              <w:rPr>
                <w:sz w:val="18"/>
                <w:lang w:val="fr-FR"/>
              </w:rPr>
              <w:t>0,0</w:t>
            </w:r>
          </w:p>
        </w:tc>
      </w:tr>
      <w:tr w:rsidR="008D4939" w:rsidRPr="000F7862" w:rsidTr="008D4939">
        <w:tc>
          <w:tcPr>
            <w:tcW w:w="3266" w:type="dxa"/>
            <w:shd w:val="clear" w:color="auto" w:fill="auto"/>
            <w:vAlign w:val="bottom"/>
          </w:tcPr>
          <w:p w:rsidR="008D4939" w:rsidRPr="000F7862" w:rsidRDefault="008D4939" w:rsidP="008D4939">
            <w:pPr>
              <w:spacing w:before="40" w:after="40" w:line="220" w:lineRule="exact"/>
              <w:rPr>
                <w:sz w:val="18"/>
                <w:lang w:val="fr-FR"/>
              </w:rPr>
            </w:pPr>
            <w:r w:rsidRPr="000F7862">
              <w:rPr>
                <w:sz w:val="18"/>
                <w:lang w:val="fr-FR"/>
              </w:rPr>
              <w:t>Achat de manuels scolaires</w:t>
            </w:r>
          </w:p>
        </w:tc>
        <w:tc>
          <w:tcPr>
            <w:tcW w:w="820" w:type="dxa"/>
            <w:shd w:val="clear" w:color="auto" w:fill="auto"/>
            <w:vAlign w:val="bottom"/>
          </w:tcPr>
          <w:p w:rsidR="008D4939" w:rsidRPr="000F7862" w:rsidRDefault="008D4939" w:rsidP="008D4939">
            <w:pPr>
              <w:spacing w:before="40" w:after="40" w:line="220" w:lineRule="exact"/>
              <w:jc w:val="right"/>
              <w:rPr>
                <w:sz w:val="18"/>
                <w:lang w:val="fr-FR"/>
              </w:rPr>
            </w:pPr>
            <w:r w:rsidRPr="000F7862">
              <w:rPr>
                <w:sz w:val="18"/>
                <w:lang w:val="fr-FR"/>
              </w:rPr>
              <w:t>2 217</w:t>
            </w:r>
          </w:p>
        </w:tc>
        <w:tc>
          <w:tcPr>
            <w:tcW w:w="821" w:type="dxa"/>
            <w:shd w:val="clear" w:color="auto" w:fill="auto"/>
            <w:vAlign w:val="bottom"/>
          </w:tcPr>
          <w:p w:rsidR="008D4939" w:rsidRPr="000F7862" w:rsidRDefault="008D4939" w:rsidP="008D4939">
            <w:pPr>
              <w:spacing w:before="40" w:after="40" w:line="220" w:lineRule="exact"/>
              <w:jc w:val="right"/>
              <w:rPr>
                <w:sz w:val="18"/>
                <w:lang w:val="fr-FR"/>
              </w:rPr>
            </w:pPr>
            <w:r w:rsidRPr="000F7862">
              <w:rPr>
                <w:sz w:val="18"/>
                <w:lang w:val="fr-FR"/>
              </w:rPr>
              <w:t>2 027</w:t>
            </w:r>
          </w:p>
        </w:tc>
        <w:tc>
          <w:tcPr>
            <w:tcW w:w="821" w:type="dxa"/>
            <w:shd w:val="clear" w:color="auto" w:fill="auto"/>
            <w:vAlign w:val="bottom"/>
          </w:tcPr>
          <w:p w:rsidR="008D4939" w:rsidRPr="000F7862" w:rsidRDefault="008D4939" w:rsidP="008D4939">
            <w:pPr>
              <w:spacing w:before="40" w:after="40" w:line="220" w:lineRule="exact"/>
              <w:jc w:val="right"/>
              <w:rPr>
                <w:sz w:val="18"/>
                <w:lang w:val="fr-FR"/>
              </w:rPr>
            </w:pPr>
            <w:r w:rsidRPr="000F7862">
              <w:rPr>
                <w:sz w:val="18"/>
                <w:lang w:val="fr-FR"/>
              </w:rPr>
              <w:t>1 778</w:t>
            </w:r>
          </w:p>
        </w:tc>
        <w:tc>
          <w:tcPr>
            <w:tcW w:w="821" w:type="dxa"/>
            <w:shd w:val="clear" w:color="auto" w:fill="auto"/>
            <w:vAlign w:val="bottom"/>
          </w:tcPr>
          <w:p w:rsidR="008D4939" w:rsidRPr="000F7862" w:rsidRDefault="008D4939" w:rsidP="008D4939">
            <w:pPr>
              <w:spacing w:before="40" w:after="40" w:line="220" w:lineRule="exact"/>
              <w:jc w:val="right"/>
              <w:rPr>
                <w:sz w:val="18"/>
                <w:lang w:val="fr-FR"/>
              </w:rPr>
            </w:pPr>
            <w:r w:rsidRPr="000F7862">
              <w:rPr>
                <w:sz w:val="18"/>
                <w:lang w:val="fr-FR"/>
              </w:rPr>
              <w:t>2 125</w:t>
            </w:r>
          </w:p>
        </w:tc>
        <w:tc>
          <w:tcPr>
            <w:tcW w:w="821" w:type="dxa"/>
            <w:shd w:val="clear" w:color="auto" w:fill="auto"/>
            <w:vAlign w:val="bottom"/>
          </w:tcPr>
          <w:p w:rsidR="008D4939" w:rsidRPr="000F7862" w:rsidRDefault="008D4939" w:rsidP="008D4939">
            <w:pPr>
              <w:spacing w:before="40" w:after="40" w:line="220" w:lineRule="exact"/>
              <w:jc w:val="right"/>
              <w:rPr>
                <w:sz w:val="18"/>
                <w:lang w:val="fr-FR"/>
              </w:rPr>
            </w:pPr>
            <w:r w:rsidRPr="000F7862">
              <w:rPr>
                <w:sz w:val="18"/>
                <w:lang w:val="fr-FR"/>
              </w:rPr>
              <w:t>1 493</w:t>
            </w:r>
          </w:p>
        </w:tc>
      </w:tr>
      <w:tr w:rsidR="008D4939" w:rsidRPr="000F7862" w:rsidTr="008D4939">
        <w:tc>
          <w:tcPr>
            <w:tcW w:w="3266" w:type="dxa"/>
            <w:shd w:val="clear" w:color="auto" w:fill="auto"/>
            <w:vAlign w:val="bottom"/>
          </w:tcPr>
          <w:p w:rsidR="008D4939" w:rsidRPr="000F7862" w:rsidRDefault="008D4939" w:rsidP="008D4939">
            <w:pPr>
              <w:spacing w:before="40" w:after="40" w:line="220" w:lineRule="exact"/>
              <w:ind w:left="170"/>
              <w:rPr>
                <w:sz w:val="18"/>
                <w:lang w:val="fr-FR"/>
              </w:rPr>
            </w:pPr>
            <w:r w:rsidRPr="000F7862">
              <w:rPr>
                <w:sz w:val="18"/>
                <w:lang w:val="fr-FR"/>
              </w:rPr>
              <w:t>Croissance (%)</w:t>
            </w:r>
          </w:p>
        </w:tc>
        <w:tc>
          <w:tcPr>
            <w:tcW w:w="820" w:type="dxa"/>
            <w:shd w:val="clear" w:color="auto" w:fill="auto"/>
            <w:vAlign w:val="bottom"/>
          </w:tcPr>
          <w:p w:rsidR="008D4939" w:rsidRPr="000F7862" w:rsidRDefault="008D4939" w:rsidP="008D4939">
            <w:pPr>
              <w:spacing w:before="40" w:after="40" w:line="220" w:lineRule="exact"/>
              <w:jc w:val="right"/>
              <w:rPr>
                <w:sz w:val="18"/>
                <w:lang w:val="fr-FR"/>
              </w:rPr>
            </w:pPr>
          </w:p>
        </w:tc>
        <w:tc>
          <w:tcPr>
            <w:tcW w:w="821" w:type="dxa"/>
            <w:shd w:val="clear" w:color="auto" w:fill="auto"/>
            <w:vAlign w:val="bottom"/>
          </w:tcPr>
          <w:p w:rsidR="008D4939" w:rsidRPr="000F7862" w:rsidRDefault="008D4939" w:rsidP="008D4939">
            <w:pPr>
              <w:spacing w:before="40" w:after="40" w:line="220" w:lineRule="exact"/>
              <w:jc w:val="right"/>
              <w:rPr>
                <w:sz w:val="18"/>
                <w:lang w:val="fr-FR"/>
              </w:rPr>
            </w:pPr>
            <w:r w:rsidRPr="000F7862">
              <w:rPr>
                <w:sz w:val="18"/>
                <w:lang w:val="fr-FR"/>
              </w:rPr>
              <w:t>(8,6)</w:t>
            </w:r>
          </w:p>
        </w:tc>
        <w:tc>
          <w:tcPr>
            <w:tcW w:w="821" w:type="dxa"/>
            <w:shd w:val="clear" w:color="auto" w:fill="auto"/>
            <w:vAlign w:val="bottom"/>
          </w:tcPr>
          <w:p w:rsidR="008D4939" w:rsidRPr="000F7862" w:rsidRDefault="008D4939" w:rsidP="008D4939">
            <w:pPr>
              <w:spacing w:before="40" w:after="40" w:line="220" w:lineRule="exact"/>
              <w:jc w:val="right"/>
              <w:rPr>
                <w:sz w:val="18"/>
                <w:lang w:val="fr-FR"/>
              </w:rPr>
            </w:pPr>
            <w:r w:rsidRPr="000F7862">
              <w:rPr>
                <w:sz w:val="18"/>
                <w:lang w:val="fr-FR"/>
              </w:rPr>
              <w:t>(12,3)</w:t>
            </w:r>
          </w:p>
        </w:tc>
        <w:tc>
          <w:tcPr>
            <w:tcW w:w="821" w:type="dxa"/>
            <w:shd w:val="clear" w:color="auto" w:fill="auto"/>
            <w:vAlign w:val="bottom"/>
          </w:tcPr>
          <w:p w:rsidR="008D4939" w:rsidRPr="000F7862" w:rsidRDefault="008D4939" w:rsidP="008D4939">
            <w:pPr>
              <w:spacing w:before="40" w:after="40" w:line="220" w:lineRule="exact"/>
              <w:jc w:val="right"/>
              <w:rPr>
                <w:sz w:val="18"/>
                <w:lang w:val="fr-FR"/>
              </w:rPr>
            </w:pPr>
            <w:r w:rsidRPr="000F7862">
              <w:rPr>
                <w:sz w:val="18"/>
                <w:lang w:val="fr-FR"/>
              </w:rPr>
              <w:t>19,5</w:t>
            </w:r>
          </w:p>
        </w:tc>
        <w:tc>
          <w:tcPr>
            <w:tcW w:w="821" w:type="dxa"/>
            <w:shd w:val="clear" w:color="auto" w:fill="auto"/>
            <w:vAlign w:val="bottom"/>
          </w:tcPr>
          <w:p w:rsidR="008D4939" w:rsidRPr="000F7862" w:rsidRDefault="008D4939" w:rsidP="008D4939">
            <w:pPr>
              <w:spacing w:before="40" w:after="40" w:line="220" w:lineRule="exact"/>
              <w:jc w:val="right"/>
              <w:rPr>
                <w:sz w:val="18"/>
                <w:lang w:val="fr-FR"/>
              </w:rPr>
            </w:pPr>
            <w:r w:rsidRPr="000F7862">
              <w:rPr>
                <w:sz w:val="18"/>
                <w:lang w:val="fr-FR"/>
              </w:rPr>
              <w:t>(29,7)</w:t>
            </w:r>
          </w:p>
        </w:tc>
      </w:tr>
      <w:tr w:rsidR="008D4939" w:rsidRPr="000F7862" w:rsidTr="008D4939">
        <w:tc>
          <w:tcPr>
            <w:tcW w:w="3266" w:type="dxa"/>
            <w:shd w:val="clear" w:color="auto" w:fill="auto"/>
            <w:vAlign w:val="bottom"/>
          </w:tcPr>
          <w:p w:rsidR="008D4939" w:rsidRPr="000F7862" w:rsidRDefault="008D4939" w:rsidP="008D4939">
            <w:pPr>
              <w:spacing w:before="40" w:after="40" w:line="220" w:lineRule="exact"/>
              <w:rPr>
                <w:sz w:val="18"/>
                <w:lang w:val="fr-FR"/>
              </w:rPr>
            </w:pPr>
            <w:r w:rsidRPr="000F7862">
              <w:rPr>
                <w:sz w:val="18"/>
                <w:lang w:val="fr-FR"/>
              </w:rPr>
              <w:t>Aide de l</w:t>
            </w:r>
            <w:r w:rsidR="00120E2E" w:rsidRPr="000F7862">
              <w:rPr>
                <w:sz w:val="18"/>
                <w:lang w:val="fr-FR"/>
              </w:rPr>
              <w:t>’</w:t>
            </w:r>
            <w:r w:rsidRPr="000F7862">
              <w:rPr>
                <w:sz w:val="18"/>
                <w:lang w:val="fr-FR"/>
              </w:rPr>
              <w:t>État aux élèves et aux enseignants de l</w:t>
            </w:r>
            <w:r w:rsidR="00120E2E" w:rsidRPr="000F7862">
              <w:rPr>
                <w:sz w:val="18"/>
                <w:lang w:val="fr-FR"/>
              </w:rPr>
              <w:t>’</w:t>
            </w:r>
            <w:r w:rsidRPr="000F7862">
              <w:rPr>
                <w:sz w:val="18"/>
                <w:lang w:val="fr-FR"/>
              </w:rPr>
              <w:t>enseignement privé</w:t>
            </w:r>
          </w:p>
        </w:tc>
        <w:tc>
          <w:tcPr>
            <w:tcW w:w="820" w:type="dxa"/>
            <w:shd w:val="clear" w:color="auto" w:fill="auto"/>
            <w:vAlign w:val="bottom"/>
          </w:tcPr>
          <w:p w:rsidR="008D4939" w:rsidRPr="000F7862" w:rsidRDefault="008D4939" w:rsidP="008D4939">
            <w:pPr>
              <w:spacing w:before="40" w:after="40" w:line="220" w:lineRule="exact"/>
              <w:jc w:val="right"/>
              <w:rPr>
                <w:sz w:val="18"/>
                <w:lang w:val="fr-FR"/>
              </w:rPr>
            </w:pPr>
            <w:r w:rsidRPr="000F7862">
              <w:rPr>
                <w:sz w:val="18"/>
                <w:lang w:val="fr-FR"/>
              </w:rPr>
              <w:t>4 289</w:t>
            </w:r>
          </w:p>
        </w:tc>
        <w:tc>
          <w:tcPr>
            <w:tcW w:w="821" w:type="dxa"/>
            <w:shd w:val="clear" w:color="auto" w:fill="auto"/>
            <w:vAlign w:val="bottom"/>
          </w:tcPr>
          <w:p w:rsidR="008D4939" w:rsidRPr="000F7862" w:rsidRDefault="008D4939" w:rsidP="008D4939">
            <w:pPr>
              <w:spacing w:before="40" w:after="40" w:line="220" w:lineRule="exact"/>
              <w:jc w:val="right"/>
              <w:rPr>
                <w:sz w:val="18"/>
                <w:lang w:val="fr-FR"/>
              </w:rPr>
            </w:pPr>
            <w:r w:rsidRPr="000F7862">
              <w:rPr>
                <w:sz w:val="18"/>
                <w:lang w:val="fr-FR"/>
              </w:rPr>
              <w:t>3 940</w:t>
            </w:r>
          </w:p>
        </w:tc>
        <w:tc>
          <w:tcPr>
            <w:tcW w:w="821" w:type="dxa"/>
            <w:shd w:val="clear" w:color="auto" w:fill="auto"/>
            <w:vAlign w:val="bottom"/>
          </w:tcPr>
          <w:p w:rsidR="008D4939" w:rsidRPr="000F7862" w:rsidRDefault="008D4939" w:rsidP="008D4939">
            <w:pPr>
              <w:spacing w:before="40" w:after="40" w:line="220" w:lineRule="exact"/>
              <w:jc w:val="right"/>
              <w:rPr>
                <w:sz w:val="18"/>
                <w:lang w:val="fr-FR"/>
              </w:rPr>
            </w:pPr>
            <w:r w:rsidRPr="000F7862">
              <w:rPr>
                <w:sz w:val="18"/>
                <w:lang w:val="fr-FR"/>
              </w:rPr>
              <w:t>5 830</w:t>
            </w:r>
          </w:p>
        </w:tc>
        <w:tc>
          <w:tcPr>
            <w:tcW w:w="821" w:type="dxa"/>
            <w:shd w:val="clear" w:color="auto" w:fill="auto"/>
            <w:vAlign w:val="bottom"/>
          </w:tcPr>
          <w:p w:rsidR="008D4939" w:rsidRPr="000F7862" w:rsidRDefault="008D4939" w:rsidP="008D4939">
            <w:pPr>
              <w:spacing w:before="40" w:after="40" w:line="220" w:lineRule="exact"/>
              <w:jc w:val="right"/>
              <w:rPr>
                <w:sz w:val="18"/>
                <w:lang w:val="fr-FR"/>
              </w:rPr>
            </w:pPr>
            <w:r w:rsidRPr="000F7862">
              <w:rPr>
                <w:sz w:val="18"/>
                <w:lang w:val="fr-FR"/>
              </w:rPr>
              <w:t>6 286</w:t>
            </w:r>
          </w:p>
        </w:tc>
        <w:tc>
          <w:tcPr>
            <w:tcW w:w="821" w:type="dxa"/>
            <w:shd w:val="clear" w:color="auto" w:fill="auto"/>
            <w:vAlign w:val="bottom"/>
          </w:tcPr>
          <w:p w:rsidR="008D4939" w:rsidRPr="000F7862" w:rsidRDefault="008D4939" w:rsidP="008D4939">
            <w:pPr>
              <w:spacing w:before="40" w:after="40" w:line="220" w:lineRule="exact"/>
              <w:jc w:val="right"/>
              <w:rPr>
                <w:sz w:val="18"/>
                <w:lang w:val="fr-FR"/>
              </w:rPr>
            </w:pPr>
            <w:r w:rsidRPr="000F7862">
              <w:rPr>
                <w:sz w:val="18"/>
                <w:lang w:val="fr-FR"/>
              </w:rPr>
              <w:t>6 974</w:t>
            </w:r>
          </w:p>
        </w:tc>
      </w:tr>
      <w:tr w:rsidR="008D4939" w:rsidRPr="000F7862" w:rsidTr="008D4939">
        <w:tc>
          <w:tcPr>
            <w:tcW w:w="3266" w:type="dxa"/>
            <w:shd w:val="clear" w:color="auto" w:fill="auto"/>
            <w:vAlign w:val="bottom"/>
          </w:tcPr>
          <w:p w:rsidR="008D4939" w:rsidRPr="000F7862" w:rsidRDefault="008D4939" w:rsidP="008D4939">
            <w:pPr>
              <w:spacing w:before="40" w:after="40" w:line="220" w:lineRule="exact"/>
              <w:ind w:left="170"/>
              <w:rPr>
                <w:sz w:val="18"/>
                <w:lang w:val="fr-FR"/>
              </w:rPr>
            </w:pPr>
            <w:r w:rsidRPr="000F7862">
              <w:rPr>
                <w:sz w:val="18"/>
                <w:lang w:val="fr-FR"/>
              </w:rPr>
              <w:t>Croissance (%)</w:t>
            </w:r>
          </w:p>
        </w:tc>
        <w:tc>
          <w:tcPr>
            <w:tcW w:w="820" w:type="dxa"/>
            <w:shd w:val="clear" w:color="auto" w:fill="auto"/>
            <w:vAlign w:val="bottom"/>
          </w:tcPr>
          <w:p w:rsidR="008D4939" w:rsidRPr="000F7862" w:rsidRDefault="008D4939" w:rsidP="008D4939">
            <w:pPr>
              <w:spacing w:before="40" w:after="40" w:line="220" w:lineRule="exact"/>
              <w:jc w:val="right"/>
              <w:rPr>
                <w:sz w:val="18"/>
                <w:lang w:val="fr-FR"/>
              </w:rPr>
            </w:pPr>
          </w:p>
        </w:tc>
        <w:tc>
          <w:tcPr>
            <w:tcW w:w="821" w:type="dxa"/>
            <w:shd w:val="clear" w:color="auto" w:fill="auto"/>
            <w:vAlign w:val="bottom"/>
          </w:tcPr>
          <w:p w:rsidR="008D4939" w:rsidRPr="000F7862" w:rsidRDefault="008D4939" w:rsidP="008D4939">
            <w:pPr>
              <w:spacing w:before="40" w:after="40" w:line="220" w:lineRule="exact"/>
              <w:jc w:val="right"/>
              <w:rPr>
                <w:sz w:val="18"/>
                <w:lang w:val="fr-FR"/>
              </w:rPr>
            </w:pPr>
            <w:r w:rsidRPr="000F7862">
              <w:rPr>
                <w:sz w:val="18"/>
                <w:lang w:val="fr-FR"/>
              </w:rPr>
              <w:t>(8,1)</w:t>
            </w:r>
          </w:p>
        </w:tc>
        <w:tc>
          <w:tcPr>
            <w:tcW w:w="821" w:type="dxa"/>
            <w:shd w:val="clear" w:color="auto" w:fill="auto"/>
            <w:vAlign w:val="bottom"/>
          </w:tcPr>
          <w:p w:rsidR="008D4939" w:rsidRPr="000F7862" w:rsidRDefault="008D4939" w:rsidP="008D4939">
            <w:pPr>
              <w:spacing w:before="40" w:after="40" w:line="220" w:lineRule="exact"/>
              <w:jc w:val="right"/>
              <w:rPr>
                <w:sz w:val="18"/>
                <w:lang w:val="fr-FR"/>
              </w:rPr>
            </w:pPr>
            <w:r w:rsidRPr="000F7862">
              <w:rPr>
                <w:sz w:val="18"/>
                <w:lang w:val="fr-FR"/>
              </w:rPr>
              <w:t>48,0</w:t>
            </w:r>
          </w:p>
        </w:tc>
        <w:tc>
          <w:tcPr>
            <w:tcW w:w="821" w:type="dxa"/>
            <w:shd w:val="clear" w:color="auto" w:fill="auto"/>
            <w:vAlign w:val="bottom"/>
          </w:tcPr>
          <w:p w:rsidR="008D4939" w:rsidRPr="000F7862" w:rsidRDefault="008D4939" w:rsidP="008D4939">
            <w:pPr>
              <w:spacing w:before="40" w:after="40" w:line="220" w:lineRule="exact"/>
              <w:jc w:val="right"/>
              <w:rPr>
                <w:sz w:val="18"/>
                <w:lang w:val="fr-FR"/>
              </w:rPr>
            </w:pPr>
            <w:r w:rsidRPr="000F7862">
              <w:rPr>
                <w:sz w:val="18"/>
                <w:lang w:val="fr-FR"/>
              </w:rPr>
              <w:t>7,8</w:t>
            </w:r>
          </w:p>
        </w:tc>
        <w:tc>
          <w:tcPr>
            <w:tcW w:w="821" w:type="dxa"/>
            <w:shd w:val="clear" w:color="auto" w:fill="auto"/>
            <w:vAlign w:val="bottom"/>
          </w:tcPr>
          <w:p w:rsidR="008D4939" w:rsidRPr="000F7862" w:rsidRDefault="008D4939" w:rsidP="008D4939">
            <w:pPr>
              <w:spacing w:before="40" w:after="40" w:line="220" w:lineRule="exact"/>
              <w:jc w:val="right"/>
              <w:rPr>
                <w:sz w:val="18"/>
                <w:lang w:val="fr-FR"/>
              </w:rPr>
            </w:pPr>
            <w:r w:rsidRPr="000F7862">
              <w:rPr>
                <w:sz w:val="18"/>
                <w:lang w:val="fr-FR"/>
              </w:rPr>
              <w:t>10,9</w:t>
            </w:r>
          </w:p>
        </w:tc>
      </w:tr>
      <w:tr w:rsidR="008D4939" w:rsidRPr="000F7862" w:rsidTr="008D4939">
        <w:tc>
          <w:tcPr>
            <w:tcW w:w="3266" w:type="dxa"/>
            <w:shd w:val="clear" w:color="auto" w:fill="auto"/>
            <w:vAlign w:val="bottom"/>
          </w:tcPr>
          <w:p w:rsidR="008D4939" w:rsidRPr="000F7862" w:rsidRDefault="008D4939" w:rsidP="008D4939">
            <w:pPr>
              <w:spacing w:before="40" w:after="40" w:line="220" w:lineRule="exact"/>
              <w:rPr>
                <w:sz w:val="18"/>
                <w:lang w:val="fr-FR"/>
              </w:rPr>
            </w:pPr>
            <w:r w:rsidRPr="000F7862">
              <w:rPr>
                <w:sz w:val="18"/>
                <w:lang w:val="fr-FR"/>
              </w:rPr>
              <w:t>Création de postes d</w:t>
            </w:r>
            <w:r w:rsidR="00120E2E" w:rsidRPr="000F7862">
              <w:rPr>
                <w:sz w:val="18"/>
                <w:lang w:val="fr-FR"/>
              </w:rPr>
              <w:t>’</w:t>
            </w:r>
            <w:r w:rsidRPr="000F7862">
              <w:rPr>
                <w:sz w:val="18"/>
                <w:lang w:val="fr-FR"/>
              </w:rPr>
              <w:t>enseignant</w:t>
            </w:r>
          </w:p>
        </w:tc>
        <w:tc>
          <w:tcPr>
            <w:tcW w:w="820" w:type="dxa"/>
            <w:shd w:val="clear" w:color="auto" w:fill="auto"/>
            <w:vAlign w:val="bottom"/>
          </w:tcPr>
          <w:p w:rsidR="008D4939" w:rsidRPr="000F7862" w:rsidRDefault="008D4939" w:rsidP="008D4939">
            <w:pPr>
              <w:spacing w:before="40" w:after="40" w:line="220" w:lineRule="exact"/>
              <w:jc w:val="right"/>
              <w:rPr>
                <w:sz w:val="18"/>
                <w:lang w:val="fr-FR"/>
              </w:rPr>
            </w:pPr>
            <w:r w:rsidRPr="000F7862">
              <w:rPr>
                <w:sz w:val="18"/>
                <w:lang w:val="fr-FR"/>
              </w:rPr>
              <w:t>2 597</w:t>
            </w:r>
          </w:p>
        </w:tc>
        <w:tc>
          <w:tcPr>
            <w:tcW w:w="821" w:type="dxa"/>
            <w:shd w:val="clear" w:color="auto" w:fill="auto"/>
            <w:vAlign w:val="bottom"/>
          </w:tcPr>
          <w:p w:rsidR="008D4939" w:rsidRPr="000F7862" w:rsidRDefault="008D4939" w:rsidP="008D4939">
            <w:pPr>
              <w:spacing w:before="40" w:after="40" w:line="220" w:lineRule="exact"/>
              <w:jc w:val="right"/>
              <w:rPr>
                <w:sz w:val="18"/>
                <w:lang w:val="fr-FR"/>
              </w:rPr>
            </w:pPr>
            <w:r w:rsidRPr="000F7862">
              <w:rPr>
                <w:sz w:val="18"/>
                <w:lang w:val="fr-FR"/>
              </w:rPr>
              <w:t>1 935</w:t>
            </w:r>
          </w:p>
        </w:tc>
        <w:tc>
          <w:tcPr>
            <w:tcW w:w="821" w:type="dxa"/>
            <w:shd w:val="clear" w:color="auto" w:fill="auto"/>
            <w:vAlign w:val="bottom"/>
          </w:tcPr>
          <w:p w:rsidR="008D4939" w:rsidRPr="000F7862" w:rsidRDefault="008D4939" w:rsidP="008D4939">
            <w:pPr>
              <w:spacing w:before="40" w:after="40" w:line="220" w:lineRule="exact"/>
              <w:jc w:val="right"/>
              <w:rPr>
                <w:sz w:val="18"/>
                <w:lang w:val="fr-FR"/>
              </w:rPr>
            </w:pPr>
            <w:r w:rsidRPr="000F7862">
              <w:rPr>
                <w:sz w:val="18"/>
                <w:lang w:val="fr-FR"/>
              </w:rPr>
              <w:t>2 263</w:t>
            </w:r>
          </w:p>
        </w:tc>
        <w:tc>
          <w:tcPr>
            <w:tcW w:w="821" w:type="dxa"/>
            <w:shd w:val="clear" w:color="auto" w:fill="auto"/>
            <w:vAlign w:val="bottom"/>
          </w:tcPr>
          <w:p w:rsidR="008D4939" w:rsidRPr="000F7862" w:rsidRDefault="008D4939" w:rsidP="008D4939">
            <w:pPr>
              <w:spacing w:before="40" w:after="40" w:line="220" w:lineRule="exact"/>
              <w:jc w:val="right"/>
              <w:rPr>
                <w:sz w:val="18"/>
                <w:lang w:val="fr-FR"/>
              </w:rPr>
            </w:pPr>
            <w:r w:rsidRPr="000F7862">
              <w:rPr>
                <w:sz w:val="18"/>
                <w:lang w:val="fr-FR"/>
              </w:rPr>
              <w:t>3 463</w:t>
            </w:r>
          </w:p>
        </w:tc>
        <w:tc>
          <w:tcPr>
            <w:tcW w:w="821" w:type="dxa"/>
            <w:shd w:val="clear" w:color="auto" w:fill="auto"/>
            <w:vAlign w:val="bottom"/>
          </w:tcPr>
          <w:p w:rsidR="008D4939" w:rsidRPr="000F7862" w:rsidRDefault="008D4939" w:rsidP="008D4939">
            <w:pPr>
              <w:spacing w:before="40" w:after="40" w:line="220" w:lineRule="exact"/>
              <w:jc w:val="right"/>
              <w:rPr>
                <w:sz w:val="18"/>
                <w:lang w:val="fr-FR"/>
              </w:rPr>
            </w:pPr>
            <w:r w:rsidRPr="000F7862">
              <w:rPr>
                <w:sz w:val="18"/>
                <w:lang w:val="fr-FR"/>
              </w:rPr>
              <w:t>15 330</w:t>
            </w:r>
          </w:p>
        </w:tc>
      </w:tr>
      <w:tr w:rsidR="008D4939" w:rsidRPr="000F7862" w:rsidTr="008D4939">
        <w:tc>
          <w:tcPr>
            <w:tcW w:w="3266" w:type="dxa"/>
            <w:tcBorders>
              <w:bottom w:val="single" w:sz="12" w:space="0" w:color="auto"/>
            </w:tcBorders>
            <w:shd w:val="clear" w:color="auto" w:fill="auto"/>
            <w:vAlign w:val="bottom"/>
          </w:tcPr>
          <w:p w:rsidR="008D4939" w:rsidRPr="000F7862" w:rsidRDefault="008D4939" w:rsidP="008D4939">
            <w:pPr>
              <w:spacing w:before="40" w:after="40" w:line="220" w:lineRule="exact"/>
              <w:ind w:left="170"/>
              <w:rPr>
                <w:sz w:val="18"/>
                <w:lang w:val="fr-FR"/>
              </w:rPr>
            </w:pPr>
            <w:r w:rsidRPr="000F7862">
              <w:rPr>
                <w:sz w:val="18"/>
                <w:lang w:val="fr-FR"/>
              </w:rPr>
              <w:t>Croissance (%)</w:t>
            </w:r>
          </w:p>
        </w:tc>
        <w:tc>
          <w:tcPr>
            <w:tcW w:w="820" w:type="dxa"/>
            <w:tcBorders>
              <w:bottom w:val="single" w:sz="12" w:space="0" w:color="auto"/>
            </w:tcBorders>
            <w:shd w:val="clear" w:color="auto" w:fill="auto"/>
            <w:vAlign w:val="bottom"/>
          </w:tcPr>
          <w:p w:rsidR="008D4939" w:rsidRPr="000F7862" w:rsidRDefault="008D4939" w:rsidP="008D4939">
            <w:pPr>
              <w:spacing w:before="40" w:after="40" w:line="220" w:lineRule="exact"/>
              <w:jc w:val="right"/>
              <w:rPr>
                <w:sz w:val="18"/>
                <w:lang w:val="fr-FR"/>
              </w:rPr>
            </w:pPr>
          </w:p>
        </w:tc>
        <w:tc>
          <w:tcPr>
            <w:tcW w:w="821" w:type="dxa"/>
            <w:tcBorders>
              <w:bottom w:val="single" w:sz="12" w:space="0" w:color="auto"/>
            </w:tcBorders>
            <w:shd w:val="clear" w:color="auto" w:fill="auto"/>
            <w:vAlign w:val="bottom"/>
          </w:tcPr>
          <w:p w:rsidR="008D4939" w:rsidRPr="000F7862" w:rsidRDefault="008D4939" w:rsidP="008D4939">
            <w:pPr>
              <w:spacing w:before="40" w:after="40" w:line="220" w:lineRule="exact"/>
              <w:jc w:val="right"/>
              <w:rPr>
                <w:sz w:val="18"/>
                <w:lang w:val="fr-FR"/>
              </w:rPr>
            </w:pPr>
            <w:r w:rsidRPr="000F7862">
              <w:rPr>
                <w:sz w:val="18"/>
                <w:lang w:val="fr-FR"/>
              </w:rPr>
              <w:t>(25,5)</w:t>
            </w:r>
          </w:p>
        </w:tc>
        <w:tc>
          <w:tcPr>
            <w:tcW w:w="821" w:type="dxa"/>
            <w:tcBorders>
              <w:bottom w:val="single" w:sz="12" w:space="0" w:color="auto"/>
            </w:tcBorders>
            <w:shd w:val="clear" w:color="auto" w:fill="auto"/>
            <w:vAlign w:val="bottom"/>
          </w:tcPr>
          <w:p w:rsidR="008D4939" w:rsidRPr="000F7862" w:rsidRDefault="008D4939" w:rsidP="008D4939">
            <w:pPr>
              <w:spacing w:before="40" w:after="40" w:line="220" w:lineRule="exact"/>
              <w:jc w:val="right"/>
              <w:rPr>
                <w:sz w:val="18"/>
                <w:lang w:val="fr-FR"/>
              </w:rPr>
            </w:pPr>
            <w:r w:rsidRPr="000F7862">
              <w:rPr>
                <w:sz w:val="18"/>
                <w:lang w:val="fr-FR"/>
              </w:rPr>
              <w:t>17,0</w:t>
            </w:r>
          </w:p>
        </w:tc>
        <w:tc>
          <w:tcPr>
            <w:tcW w:w="821" w:type="dxa"/>
            <w:tcBorders>
              <w:bottom w:val="single" w:sz="12" w:space="0" w:color="auto"/>
            </w:tcBorders>
            <w:shd w:val="clear" w:color="auto" w:fill="auto"/>
            <w:vAlign w:val="bottom"/>
          </w:tcPr>
          <w:p w:rsidR="008D4939" w:rsidRPr="000F7862" w:rsidRDefault="008D4939" w:rsidP="008D4939">
            <w:pPr>
              <w:spacing w:before="40" w:after="40" w:line="220" w:lineRule="exact"/>
              <w:jc w:val="right"/>
              <w:rPr>
                <w:sz w:val="18"/>
                <w:lang w:val="fr-FR"/>
              </w:rPr>
            </w:pPr>
            <w:r w:rsidRPr="000F7862">
              <w:rPr>
                <w:sz w:val="18"/>
                <w:lang w:val="fr-FR"/>
              </w:rPr>
              <w:t>53,0</w:t>
            </w:r>
          </w:p>
        </w:tc>
        <w:tc>
          <w:tcPr>
            <w:tcW w:w="821" w:type="dxa"/>
            <w:tcBorders>
              <w:bottom w:val="single" w:sz="12" w:space="0" w:color="auto"/>
            </w:tcBorders>
            <w:shd w:val="clear" w:color="auto" w:fill="auto"/>
            <w:vAlign w:val="bottom"/>
          </w:tcPr>
          <w:p w:rsidR="008D4939" w:rsidRPr="000F7862" w:rsidRDefault="008D4939" w:rsidP="008D4939">
            <w:pPr>
              <w:spacing w:before="40" w:after="40" w:line="220" w:lineRule="exact"/>
              <w:jc w:val="right"/>
              <w:rPr>
                <w:sz w:val="18"/>
                <w:lang w:val="fr-FR"/>
              </w:rPr>
            </w:pPr>
            <w:r w:rsidRPr="000F7862">
              <w:rPr>
                <w:sz w:val="18"/>
                <w:lang w:val="fr-FR"/>
              </w:rPr>
              <w:t>342,7</w:t>
            </w:r>
          </w:p>
        </w:tc>
      </w:tr>
    </w:tbl>
    <w:p w:rsidR="0086185C" w:rsidRPr="000F7862" w:rsidRDefault="00FD0FD7" w:rsidP="00FD0FD7">
      <w:pPr>
        <w:pStyle w:val="H23G"/>
        <w:rPr>
          <w:lang w:val="fr-FR"/>
        </w:rPr>
      </w:pPr>
      <w:r w:rsidRPr="000F7862">
        <w:rPr>
          <w:lang w:val="fr-FR"/>
        </w:rPr>
        <w:tab/>
      </w:r>
      <w:r w:rsidRPr="000F7862">
        <w:rPr>
          <w:lang w:val="fr-FR"/>
        </w:rPr>
        <w:tab/>
      </w:r>
      <w:r w:rsidR="004B7CDC" w:rsidRPr="000F7862">
        <w:rPr>
          <w:lang w:val="fr-FR"/>
        </w:rPr>
        <w:t xml:space="preserve">Santé </w:t>
      </w:r>
    </w:p>
    <w:p w:rsidR="0086185C" w:rsidRPr="000F7862" w:rsidRDefault="003F7F57" w:rsidP="003F7F57">
      <w:pPr>
        <w:pStyle w:val="SingleTxtG"/>
        <w:rPr>
          <w:lang w:val="fr-FR"/>
        </w:rPr>
      </w:pPr>
      <w:r w:rsidRPr="000F7862">
        <w:rPr>
          <w:lang w:val="fr-FR"/>
        </w:rPr>
        <w:t>38.</w:t>
      </w:r>
      <w:r w:rsidRPr="000F7862">
        <w:rPr>
          <w:lang w:val="fr-FR"/>
        </w:rPr>
        <w:tab/>
      </w:r>
      <w:r w:rsidR="00647BD1" w:rsidRPr="000F7862">
        <w:rPr>
          <w:lang w:val="fr-FR"/>
        </w:rPr>
        <w:t xml:space="preserve">En matière de services de santé, </w:t>
      </w:r>
      <w:r w:rsidR="00C80703" w:rsidRPr="000F7862">
        <w:rPr>
          <w:lang w:val="fr-FR"/>
        </w:rPr>
        <w:t xml:space="preserve">on appuie les principaux </w:t>
      </w:r>
      <w:r w:rsidR="00867E43" w:rsidRPr="000F7862">
        <w:rPr>
          <w:lang w:val="fr-FR"/>
        </w:rPr>
        <w:t>programmes</w:t>
      </w:r>
      <w:r w:rsidR="0086185C" w:rsidRPr="000F7862">
        <w:rPr>
          <w:lang w:val="fr-FR"/>
        </w:rPr>
        <w:t xml:space="preserve"> </w:t>
      </w:r>
      <w:r w:rsidR="00C80703" w:rsidRPr="000F7862">
        <w:rPr>
          <w:lang w:val="fr-FR"/>
        </w:rPr>
        <w:t>du secteur qui visent à améliorer l</w:t>
      </w:r>
      <w:r w:rsidR="00120E2E" w:rsidRPr="000F7862">
        <w:rPr>
          <w:lang w:val="fr-FR"/>
        </w:rPr>
        <w:t>’</w:t>
      </w:r>
      <w:r w:rsidR="00C80703" w:rsidRPr="000F7862">
        <w:rPr>
          <w:lang w:val="fr-FR"/>
        </w:rPr>
        <w:t xml:space="preserve">accès aux centres médicaux, à fournir une assurance maladie et à </w:t>
      </w:r>
      <w:r w:rsidR="00D02A63" w:rsidRPr="000F7862">
        <w:rPr>
          <w:lang w:val="fr-FR"/>
        </w:rPr>
        <w:t>réaliser</w:t>
      </w:r>
      <w:r w:rsidR="00C80703" w:rsidRPr="000F7862">
        <w:rPr>
          <w:lang w:val="fr-FR"/>
        </w:rPr>
        <w:t xml:space="preserve"> les OMD</w:t>
      </w:r>
      <w:r w:rsidR="0086185C" w:rsidRPr="000F7862">
        <w:rPr>
          <w:lang w:val="fr-FR"/>
        </w:rPr>
        <w:t>.</w:t>
      </w:r>
      <w:r w:rsidR="00446EA5" w:rsidRPr="000F7862">
        <w:rPr>
          <w:lang w:val="fr-FR"/>
        </w:rPr>
        <w:t xml:space="preserve"> </w:t>
      </w:r>
      <w:r w:rsidR="007713E0" w:rsidRPr="000F7862">
        <w:rPr>
          <w:lang w:val="fr-FR"/>
        </w:rPr>
        <w:t xml:space="preserve">Dans le cadre </w:t>
      </w:r>
      <w:r w:rsidR="00C80703" w:rsidRPr="000F7862">
        <w:rPr>
          <w:lang w:val="fr-FR"/>
        </w:rPr>
        <w:t xml:space="preserve">du subventionnement des </w:t>
      </w:r>
      <w:r w:rsidR="007713E0" w:rsidRPr="000F7862">
        <w:rPr>
          <w:lang w:val="fr-FR"/>
        </w:rPr>
        <w:t>cotisations d</w:t>
      </w:r>
      <w:r w:rsidR="00120E2E" w:rsidRPr="000F7862">
        <w:rPr>
          <w:lang w:val="fr-FR"/>
        </w:rPr>
        <w:t>’</w:t>
      </w:r>
      <w:r w:rsidR="007713E0" w:rsidRPr="000F7862">
        <w:rPr>
          <w:lang w:val="fr-FR"/>
        </w:rPr>
        <w:t xml:space="preserve">assurance maladie, </w:t>
      </w:r>
      <w:r w:rsidR="0086185C" w:rsidRPr="000F7862">
        <w:rPr>
          <w:lang w:val="fr-FR"/>
        </w:rPr>
        <w:t>12</w:t>
      </w:r>
      <w:r w:rsidR="007713E0" w:rsidRPr="000F7862">
        <w:rPr>
          <w:lang w:val="fr-FR"/>
        </w:rPr>
        <w:t>,</w:t>
      </w:r>
      <w:r w:rsidR="0086185C" w:rsidRPr="000F7862">
        <w:rPr>
          <w:lang w:val="fr-FR"/>
        </w:rPr>
        <w:t>6</w:t>
      </w:r>
      <w:r w:rsidR="00796D18" w:rsidRPr="000F7862">
        <w:rPr>
          <w:lang w:val="fr-FR"/>
        </w:rPr>
        <w:t> </w:t>
      </w:r>
      <w:r w:rsidR="007713E0" w:rsidRPr="000F7862">
        <w:rPr>
          <w:lang w:val="fr-FR"/>
        </w:rPr>
        <w:t xml:space="preserve">milliards de pesos ont été alloués au </w:t>
      </w:r>
      <w:r w:rsidR="00C80703" w:rsidRPr="000F7862">
        <w:rPr>
          <w:shd w:val="clear" w:color="auto" w:fill="FFFFFF"/>
          <w:lang w:val="fr-FR"/>
        </w:rPr>
        <w:t>Plan national d</w:t>
      </w:r>
      <w:r w:rsidR="00120E2E" w:rsidRPr="000F7862">
        <w:rPr>
          <w:shd w:val="clear" w:color="auto" w:fill="FFFFFF"/>
          <w:lang w:val="fr-FR"/>
        </w:rPr>
        <w:t>’</w:t>
      </w:r>
      <w:r w:rsidR="00C80703" w:rsidRPr="000F7862">
        <w:rPr>
          <w:shd w:val="clear" w:color="auto" w:fill="FFFFFF"/>
          <w:lang w:val="fr-FR"/>
        </w:rPr>
        <w:t>assurance maladie</w:t>
      </w:r>
      <w:r w:rsidR="00C80703" w:rsidRPr="000F7862">
        <w:rPr>
          <w:lang w:val="fr-FR"/>
        </w:rPr>
        <w:t xml:space="preserve"> </w:t>
      </w:r>
      <w:r w:rsidR="0086185C" w:rsidRPr="000F7862">
        <w:rPr>
          <w:lang w:val="fr-FR"/>
        </w:rPr>
        <w:t>(NHIP).</w:t>
      </w:r>
      <w:r w:rsidR="00446EA5" w:rsidRPr="000F7862">
        <w:rPr>
          <w:lang w:val="fr-FR"/>
        </w:rPr>
        <w:t xml:space="preserve"> </w:t>
      </w:r>
      <w:r w:rsidR="007713E0" w:rsidRPr="000F7862">
        <w:rPr>
          <w:lang w:val="fr-FR"/>
        </w:rPr>
        <w:t xml:space="preserve">Ce programme est destiné à fournir à </w:t>
      </w:r>
      <w:r w:rsidR="0086185C" w:rsidRPr="000F7862">
        <w:rPr>
          <w:lang w:val="fr-FR"/>
        </w:rPr>
        <w:t>5</w:t>
      </w:r>
      <w:r w:rsidR="007713E0" w:rsidRPr="000F7862">
        <w:rPr>
          <w:lang w:val="fr-FR"/>
        </w:rPr>
        <w:t>,</w:t>
      </w:r>
      <w:r w:rsidR="0086185C" w:rsidRPr="000F7862">
        <w:rPr>
          <w:lang w:val="fr-FR"/>
        </w:rPr>
        <w:t>2</w:t>
      </w:r>
      <w:r w:rsidR="00796D18" w:rsidRPr="000F7862">
        <w:rPr>
          <w:lang w:val="fr-FR"/>
        </w:rPr>
        <w:t> million</w:t>
      </w:r>
      <w:r w:rsidR="007713E0" w:rsidRPr="000F7862">
        <w:rPr>
          <w:lang w:val="fr-FR"/>
        </w:rPr>
        <w:t>s de ménages une subvention</w:t>
      </w:r>
      <w:r w:rsidR="0086185C" w:rsidRPr="000F7862">
        <w:rPr>
          <w:lang w:val="fr-FR"/>
        </w:rPr>
        <w:t xml:space="preserve"> </w:t>
      </w:r>
      <w:r w:rsidR="007713E0" w:rsidRPr="000F7862">
        <w:rPr>
          <w:lang w:val="fr-FR"/>
        </w:rPr>
        <w:t>au titre des cotisations à</w:t>
      </w:r>
      <w:r w:rsidR="00F70E41" w:rsidRPr="000F7862">
        <w:rPr>
          <w:lang w:val="fr-FR"/>
        </w:rPr>
        <w:t xml:space="preserve"> </w:t>
      </w:r>
      <w:r w:rsidR="007713E0" w:rsidRPr="000F7862">
        <w:rPr>
          <w:lang w:val="fr-FR"/>
        </w:rPr>
        <w:t xml:space="preserve">verser au </w:t>
      </w:r>
      <w:r w:rsidR="0086185C" w:rsidRPr="000F7862">
        <w:rPr>
          <w:lang w:val="fr-FR"/>
        </w:rPr>
        <w:t>NHIP.</w:t>
      </w:r>
      <w:r w:rsidR="00446EA5" w:rsidRPr="000F7862">
        <w:rPr>
          <w:lang w:val="fr-FR"/>
        </w:rPr>
        <w:t xml:space="preserve"> </w:t>
      </w:r>
      <w:r w:rsidR="007713E0" w:rsidRPr="000F7862">
        <w:rPr>
          <w:lang w:val="fr-FR"/>
        </w:rPr>
        <w:t xml:space="preserve">En outre, les nouvelles recettes </w:t>
      </w:r>
      <w:r w:rsidR="00F70E41" w:rsidRPr="000F7862">
        <w:rPr>
          <w:lang w:val="fr-FR"/>
        </w:rPr>
        <w:t>découlant de la loi récente portant réforme de la taxe sur l</w:t>
      </w:r>
      <w:r w:rsidR="00120E2E" w:rsidRPr="000F7862">
        <w:rPr>
          <w:lang w:val="fr-FR"/>
        </w:rPr>
        <w:t>’</w:t>
      </w:r>
      <w:r w:rsidR="00F70E41" w:rsidRPr="000F7862">
        <w:rPr>
          <w:lang w:val="fr-FR"/>
        </w:rPr>
        <w:t xml:space="preserve">alcool et le tabac peuvent </w:t>
      </w:r>
      <w:r w:rsidR="0086185C" w:rsidRPr="000F7862">
        <w:rPr>
          <w:lang w:val="fr-FR"/>
        </w:rPr>
        <w:t>augment</w:t>
      </w:r>
      <w:r w:rsidR="00F70E41" w:rsidRPr="000F7862">
        <w:rPr>
          <w:lang w:val="fr-FR"/>
        </w:rPr>
        <w:t>er</w:t>
      </w:r>
      <w:r w:rsidR="0086185C" w:rsidRPr="000F7862">
        <w:rPr>
          <w:lang w:val="fr-FR"/>
        </w:rPr>
        <w:t xml:space="preserve"> </w:t>
      </w:r>
      <w:r w:rsidR="00F70E41" w:rsidRPr="000F7862">
        <w:rPr>
          <w:lang w:val="fr-FR"/>
        </w:rPr>
        <w:t xml:space="preserve">le montant de la subvention destinée au </w:t>
      </w:r>
      <w:r w:rsidR="0086185C" w:rsidRPr="000F7862">
        <w:rPr>
          <w:lang w:val="fr-FR"/>
        </w:rPr>
        <w:t xml:space="preserve">NHIP </w:t>
      </w:r>
      <w:r w:rsidR="00F70E41" w:rsidRPr="000F7862">
        <w:rPr>
          <w:lang w:val="fr-FR"/>
        </w:rPr>
        <w:t xml:space="preserve">de </w:t>
      </w:r>
      <w:r w:rsidR="0086185C" w:rsidRPr="000F7862">
        <w:rPr>
          <w:lang w:val="fr-FR"/>
        </w:rPr>
        <w:t>13</w:t>
      </w:r>
      <w:r w:rsidR="00F70E41" w:rsidRPr="000F7862">
        <w:rPr>
          <w:lang w:val="fr-FR"/>
        </w:rPr>
        <w:t>,</w:t>
      </w:r>
      <w:r w:rsidR="0086185C" w:rsidRPr="000F7862">
        <w:rPr>
          <w:lang w:val="fr-FR"/>
        </w:rPr>
        <w:t>6</w:t>
      </w:r>
      <w:r w:rsidR="00796D18" w:rsidRPr="000F7862">
        <w:rPr>
          <w:lang w:val="fr-FR"/>
        </w:rPr>
        <w:t> </w:t>
      </w:r>
      <w:r w:rsidR="00F70E41" w:rsidRPr="000F7862">
        <w:rPr>
          <w:lang w:val="fr-FR"/>
        </w:rPr>
        <w:t>milliards de pesos au profit de 5,6 millions de ménages supplémentaires dans le secteur non structuré</w:t>
      </w:r>
      <w:r w:rsidR="0086185C" w:rsidRPr="000F7862">
        <w:rPr>
          <w:lang w:val="fr-FR"/>
        </w:rPr>
        <w:t>.</w:t>
      </w:r>
      <w:r w:rsidR="00446EA5" w:rsidRPr="000F7862">
        <w:rPr>
          <w:lang w:val="fr-FR"/>
        </w:rPr>
        <w:t xml:space="preserve"> </w:t>
      </w:r>
    </w:p>
    <w:p w:rsidR="0086185C" w:rsidRPr="000F7862" w:rsidRDefault="003F7F57" w:rsidP="003F7F57">
      <w:pPr>
        <w:pStyle w:val="SingleTxtG"/>
        <w:rPr>
          <w:lang w:val="fr-FR"/>
        </w:rPr>
      </w:pPr>
      <w:r w:rsidRPr="000F7862">
        <w:rPr>
          <w:lang w:val="fr-FR"/>
        </w:rPr>
        <w:t>39.</w:t>
      </w:r>
      <w:r w:rsidRPr="000F7862">
        <w:rPr>
          <w:lang w:val="fr-FR"/>
        </w:rPr>
        <w:tab/>
      </w:r>
      <w:r w:rsidR="00F70E41" w:rsidRPr="000F7862">
        <w:rPr>
          <w:lang w:val="fr-FR"/>
        </w:rPr>
        <w:t>Pour améliorer l</w:t>
      </w:r>
      <w:r w:rsidR="00120E2E" w:rsidRPr="000F7862">
        <w:rPr>
          <w:lang w:val="fr-FR"/>
        </w:rPr>
        <w:t>’</w:t>
      </w:r>
      <w:r w:rsidR="00F70E41" w:rsidRPr="000F7862">
        <w:rPr>
          <w:lang w:val="fr-FR"/>
        </w:rPr>
        <w:t xml:space="preserve">accès aux centres médicaux, le budget national de </w:t>
      </w:r>
      <w:r w:rsidR="0086185C" w:rsidRPr="000F7862">
        <w:rPr>
          <w:lang w:val="fr-FR"/>
        </w:rPr>
        <w:t xml:space="preserve">2013 </w:t>
      </w:r>
      <w:r w:rsidR="005761C7" w:rsidRPr="000F7862">
        <w:rPr>
          <w:lang w:val="fr-FR"/>
        </w:rPr>
        <w:t xml:space="preserve">a consacré </w:t>
      </w:r>
      <w:r w:rsidR="0086185C" w:rsidRPr="000F7862">
        <w:rPr>
          <w:lang w:val="fr-FR"/>
        </w:rPr>
        <w:t>13</w:t>
      </w:r>
      <w:r w:rsidR="005761C7" w:rsidRPr="000F7862">
        <w:rPr>
          <w:lang w:val="fr-FR"/>
        </w:rPr>
        <w:t>,</w:t>
      </w:r>
      <w:r w:rsidR="0086185C" w:rsidRPr="000F7862">
        <w:rPr>
          <w:lang w:val="fr-FR"/>
        </w:rPr>
        <w:t>6</w:t>
      </w:r>
      <w:r w:rsidR="00796D18" w:rsidRPr="000F7862">
        <w:rPr>
          <w:lang w:val="fr-FR"/>
        </w:rPr>
        <w:t> </w:t>
      </w:r>
      <w:r w:rsidR="005761C7" w:rsidRPr="000F7862">
        <w:rPr>
          <w:lang w:val="fr-FR"/>
        </w:rPr>
        <w:t xml:space="preserve">milliards de pesos au financement de la construction ou de la modernisation immédiates de </w:t>
      </w:r>
      <w:r w:rsidR="0086185C" w:rsidRPr="000F7862">
        <w:rPr>
          <w:lang w:val="fr-FR"/>
        </w:rPr>
        <w:t>2</w:t>
      </w:r>
      <w:r w:rsidR="008D4939" w:rsidRPr="000F7862">
        <w:rPr>
          <w:lang w:val="fr-FR"/>
        </w:rPr>
        <w:t> </w:t>
      </w:r>
      <w:r w:rsidR="0086185C" w:rsidRPr="000F7862">
        <w:rPr>
          <w:lang w:val="fr-FR"/>
        </w:rPr>
        <w:t xml:space="preserve">243 </w:t>
      </w:r>
      <w:r w:rsidR="006223BE" w:rsidRPr="000F7862">
        <w:rPr>
          <w:lang w:val="fr-FR"/>
        </w:rPr>
        <w:t xml:space="preserve">centres sanitaires </w:t>
      </w:r>
      <w:r w:rsidR="0086185C" w:rsidRPr="000F7862">
        <w:rPr>
          <w:lang w:val="fr-FR"/>
        </w:rPr>
        <w:t>rura</w:t>
      </w:r>
      <w:r w:rsidR="006223BE" w:rsidRPr="000F7862">
        <w:rPr>
          <w:lang w:val="fr-FR"/>
        </w:rPr>
        <w:t xml:space="preserve">ux et de </w:t>
      </w:r>
      <w:r w:rsidR="0086185C" w:rsidRPr="000F7862">
        <w:rPr>
          <w:lang w:val="fr-FR"/>
        </w:rPr>
        <w:t xml:space="preserve">403 </w:t>
      </w:r>
      <w:r w:rsidR="006223BE" w:rsidRPr="000F7862">
        <w:rPr>
          <w:lang w:val="fr-FR"/>
        </w:rPr>
        <w:t xml:space="preserve">hôpitaux de </w:t>
      </w:r>
      <w:r w:rsidR="0086185C" w:rsidRPr="000F7862">
        <w:rPr>
          <w:lang w:val="fr-FR"/>
        </w:rPr>
        <w:t>district</w:t>
      </w:r>
      <w:r w:rsidR="006223BE" w:rsidRPr="000F7862">
        <w:rPr>
          <w:lang w:val="fr-FR"/>
        </w:rPr>
        <w:t xml:space="preserve">, ce qui représente une augmentation appréciable par rapport aux </w:t>
      </w:r>
      <w:r w:rsidR="0086185C" w:rsidRPr="000F7862">
        <w:rPr>
          <w:lang w:val="fr-FR"/>
        </w:rPr>
        <w:t>5</w:t>
      </w:r>
      <w:r w:rsidR="006223BE" w:rsidRPr="000F7862">
        <w:rPr>
          <w:lang w:val="fr-FR"/>
        </w:rPr>
        <w:t>,</w:t>
      </w:r>
      <w:r w:rsidR="0086185C" w:rsidRPr="000F7862">
        <w:rPr>
          <w:lang w:val="fr-FR"/>
        </w:rPr>
        <w:t>1</w:t>
      </w:r>
      <w:r w:rsidR="00796D18" w:rsidRPr="000F7862">
        <w:rPr>
          <w:lang w:val="fr-FR"/>
        </w:rPr>
        <w:t> </w:t>
      </w:r>
      <w:r w:rsidR="006223BE" w:rsidRPr="000F7862">
        <w:rPr>
          <w:lang w:val="fr-FR"/>
        </w:rPr>
        <w:t xml:space="preserve">milliards de pesos alloués au même </w:t>
      </w:r>
      <w:r w:rsidR="00867E43" w:rsidRPr="000F7862">
        <w:rPr>
          <w:lang w:val="fr-FR"/>
        </w:rPr>
        <w:t>programme</w:t>
      </w:r>
      <w:r w:rsidR="0086185C" w:rsidRPr="000F7862">
        <w:rPr>
          <w:lang w:val="fr-FR"/>
        </w:rPr>
        <w:t xml:space="preserve"> </w:t>
      </w:r>
      <w:r w:rsidR="006223BE" w:rsidRPr="000F7862">
        <w:rPr>
          <w:lang w:val="fr-FR"/>
        </w:rPr>
        <w:t>e</w:t>
      </w:r>
      <w:r w:rsidR="0086185C" w:rsidRPr="000F7862">
        <w:rPr>
          <w:lang w:val="fr-FR"/>
        </w:rPr>
        <w:t>n 2012.</w:t>
      </w:r>
    </w:p>
    <w:p w:rsidR="0086185C" w:rsidRPr="000F7862" w:rsidRDefault="003F7F57" w:rsidP="003F7F57">
      <w:pPr>
        <w:pStyle w:val="SingleTxtG"/>
        <w:rPr>
          <w:lang w:val="fr-FR"/>
        </w:rPr>
      </w:pPr>
      <w:r w:rsidRPr="000F7862">
        <w:rPr>
          <w:lang w:val="fr-FR"/>
        </w:rPr>
        <w:t>40.</w:t>
      </w:r>
      <w:r w:rsidRPr="000F7862">
        <w:rPr>
          <w:lang w:val="fr-FR"/>
        </w:rPr>
        <w:tab/>
      </w:r>
      <w:r w:rsidR="006223BE" w:rsidRPr="000F7862">
        <w:rPr>
          <w:lang w:val="fr-FR"/>
        </w:rPr>
        <w:t xml:space="preserve">En ce qui concerne la réalisation des OMD liés à la santé, le </w:t>
      </w:r>
      <w:r w:rsidR="0086185C" w:rsidRPr="000F7862">
        <w:rPr>
          <w:lang w:val="fr-FR"/>
        </w:rPr>
        <w:t xml:space="preserve">budget </w:t>
      </w:r>
      <w:r w:rsidR="006223BE" w:rsidRPr="000F7862">
        <w:rPr>
          <w:lang w:val="fr-FR"/>
        </w:rPr>
        <w:t xml:space="preserve">finance également les </w:t>
      </w:r>
      <w:r w:rsidR="00867E43" w:rsidRPr="000F7862">
        <w:rPr>
          <w:lang w:val="fr-FR"/>
        </w:rPr>
        <w:t>programmes</w:t>
      </w:r>
      <w:r w:rsidR="0086185C" w:rsidRPr="000F7862">
        <w:rPr>
          <w:lang w:val="fr-FR"/>
        </w:rPr>
        <w:t xml:space="preserve"> </w:t>
      </w:r>
      <w:r w:rsidR="006223BE" w:rsidRPr="000F7862">
        <w:rPr>
          <w:lang w:val="fr-FR"/>
        </w:rPr>
        <w:t>du Ministère de la santé qui doivent contribuer à atteindre ces objectifs</w:t>
      </w:r>
      <w:r w:rsidR="0086185C" w:rsidRPr="000F7862">
        <w:rPr>
          <w:lang w:val="fr-FR"/>
        </w:rPr>
        <w:t>.</w:t>
      </w:r>
      <w:r w:rsidR="00446EA5" w:rsidRPr="000F7862">
        <w:rPr>
          <w:lang w:val="fr-FR"/>
        </w:rPr>
        <w:t xml:space="preserve"> </w:t>
      </w:r>
      <w:r w:rsidR="006223BE" w:rsidRPr="000F7862">
        <w:rPr>
          <w:lang w:val="fr-FR"/>
        </w:rPr>
        <w:t>Il s</w:t>
      </w:r>
      <w:r w:rsidR="00120E2E" w:rsidRPr="000F7862">
        <w:rPr>
          <w:lang w:val="fr-FR"/>
        </w:rPr>
        <w:t>’</w:t>
      </w:r>
      <w:r w:rsidR="006223BE" w:rsidRPr="000F7862">
        <w:rPr>
          <w:lang w:val="fr-FR"/>
        </w:rPr>
        <w:t xml:space="preserve">agit notamment des </w:t>
      </w:r>
      <w:r w:rsidR="00867E43" w:rsidRPr="000F7862">
        <w:rPr>
          <w:lang w:val="fr-FR"/>
        </w:rPr>
        <w:t>programmes</w:t>
      </w:r>
      <w:r w:rsidR="0086185C" w:rsidRPr="000F7862">
        <w:rPr>
          <w:lang w:val="fr-FR"/>
        </w:rPr>
        <w:t xml:space="preserve"> </w:t>
      </w:r>
      <w:r w:rsidR="006223BE" w:rsidRPr="000F7862">
        <w:rPr>
          <w:lang w:val="fr-FR"/>
        </w:rPr>
        <w:t>ci-après</w:t>
      </w:r>
      <w:r w:rsidR="0005004C" w:rsidRPr="000F7862">
        <w:rPr>
          <w:lang w:val="fr-FR"/>
        </w:rPr>
        <w:t>:</w:t>
      </w:r>
    </w:p>
    <w:p w:rsidR="0086185C" w:rsidRPr="000F7862" w:rsidRDefault="00867E43" w:rsidP="009111E1">
      <w:pPr>
        <w:pStyle w:val="Bullet1G"/>
      </w:pPr>
      <w:r w:rsidRPr="000F7862">
        <w:t>Programme</w:t>
      </w:r>
      <w:r w:rsidR="0086185C" w:rsidRPr="000F7862">
        <w:t xml:space="preserve"> </w:t>
      </w:r>
      <w:r w:rsidR="006223BE" w:rsidRPr="000F7862">
        <w:t xml:space="preserve">des médecins de quartier </w:t>
      </w:r>
      <w:r w:rsidR="0086185C" w:rsidRPr="000F7862">
        <w:t xml:space="preserve">– </w:t>
      </w:r>
      <w:r w:rsidR="006223BE" w:rsidRPr="000F7862">
        <w:t xml:space="preserve">déploiement de </w:t>
      </w:r>
      <w:r w:rsidR="0086185C" w:rsidRPr="000F7862">
        <w:t xml:space="preserve">131 </w:t>
      </w:r>
      <w:r w:rsidR="006223BE" w:rsidRPr="000F7862">
        <w:t>médecins</w:t>
      </w:r>
      <w:r w:rsidR="0086185C" w:rsidRPr="000F7862">
        <w:t>, 22</w:t>
      </w:r>
      <w:r w:rsidR="008D4939" w:rsidRPr="000F7862">
        <w:t> </w:t>
      </w:r>
      <w:r w:rsidR="0086185C" w:rsidRPr="000F7862">
        <w:t xml:space="preserve">500 </w:t>
      </w:r>
      <w:r w:rsidR="006223BE" w:rsidRPr="000F7862">
        <w:t>infirmiers et infirmière</w:t>
      </w:r>
      <w:r w:rsidR="0086185C" w:rsidRPr="000F7862">
        <w:t xml:space="preserve">s, </w:t>
      </w:r>
      <w:r w:rsidR="006223BE" w:rsidRPr="000F7862">
        <w:t>et</w:t>
      </w:r>
      <w:r w:rsidR="0086185C" w:rsidRPr="000F7862">
        <w:t xml:space="preserve"> 4</w:t>
      </w:r>
      <w:r w:rsidR="008D4939" w:rsidRPr="000F7862">
        <w:t> </w:t>
      </w:r>
      <w:r w:rsidR="0086185C" w:rsidRPr="000F7862">
        <w:t xml:space="preserve">379 </w:t>
      </w:r>
      <w:r w:rsidR="006223BE" w:rsidRPr="000F7862">
        <w:t xml:space="preserve">sages-femmes </w:t>
      </w:r>
      <w:r w:rsidR="0086185C" w:rsidRPr="000F7862">
        <w:t>(2</w:t>
      </w:r>
      <w:r w:rsidR="006223BE" w:rsidRPr="000F7862">
        <w:t>,</w:t>
      </w:r>
      <w:r w:rsidR="0086185C" w:rsidRPr="000F7862">
        <w:t>8</w:t>
      </w:r>
      <w:r w:rsidR="00796D18" w:rsidRPr="000F7862">
        <w:t> </w:t>
      </w:r>
      <w:r w:rsidR="006223BE" w:rsidRPr="000F7862">
        <w:t>milliards de pesos</w:t>
      </w:r>
      <w:r w:rsidR="0086185C" w:rsidRPr="000F7862">
        <w:t>)</w:t>
      </w:r>
      <w:r w:rsidR="004B3B1E" w:rsidRPr="000F7862">
        <w:t>;</w:t>
      </w:r>
    </w:p>
    <w:p w:rsidR="0086185C" w:rsidRPr="000F7862" w:rsidRDefault="00867E43" w:rsidP="009111E1">
      <w:pPr>
        <w:pStyle w:val="Bullet1G"/>
      </w:pPr>
      <w:r w:rsidRPr="000F7862">
        <w:t>Programme</w:t>
      </w:r>
      <w:r w:rsidR="0086185C" w:rsidRPr="000F7862">
        <w:t xml:space="preserve"> </w:t>
      </w:r>
      <w:r w:rsidR="006223BE" w:rsidRPr="000F7862">
        <w:t xml:space="preserve">élargi de vaccination </w:t>
      </w:r>
      <w:r w:rsidR="0086185C" w:rsidRPr="000F7862">
        <w:t xml:space="preserve">– </w:t>
      </w:r>
      <w:r w:rsidR="006223BE" w:rsidRPr="000F7862">
        <w:t>vacci</w:t>
      </w:r>
      <w:r w:rsidR="00D02A63" w:rsidRPr="000F7862">
        <w:t>n</w:t>
      </w:r>
      <w:r w:rsidR="006223BE" w:rsidRPr="000F7862">
        <w:t xml:space="preserve">ation de </w:t>
      </w:r>
      <w:r w:rsidR="0086185C" w:rsidRPr="000F7862">
        <w:t>2</w:t>
      </w:r>
      <w:r w:rsidR="006223BE" w:rsidRPr="000F7862">
        <w:t>,</w:t>
      </w:r>
      <w:r w:rsidR="0086185C" w:rsidRPr="000F7862">
        <w:t>6</w:t>
      </w:r>
      <w:r w:rsidR="00796D18" w:rsidRPr="000F7862">
        <w:t> million</w:t>
      </w:r>
      <w:r w:rsidR="006223BE" w:rsidRPr="000F7862">
        <w:t>s</w:t>
      </w:r>
      <w:r w:rsidR="0086185C" w:rsidRPr="000F7862">
        <w:t xml:space="preserve"> </w:t>
      </w:r>
      <w:r w:rsidR="006223BE" w:rsidRPr="000F7862">
        <w:t>d</w:t>
      </w:r>
      <w:r w:rsidR="00120E2E" w:rsidRPr="000F7862">
        <w:t>’</w:t>
      </w:r>
      <w:r w:rsidR="006223BE" w:rsidRPr="000F7862">
        <w:t xml:space="preserve">enfants </w:t>
      </w:r>
      <w:r w:rsidR="0086185C" w:rsidRPr="000F7862">
        <w:t>(1</w:t>
      </w:r>
      <w:r w:rsidR="006223BE" w:rsidRPr="000F7862">
        <w:t>,</w:t>
      </w:r>
      <w:r w:rsidR="0086185C" w:rsidRPr="000F7862">
        <w:t>9</w:t>
      </w:r>
      <w:r w:rsidR="00796D18" w:rsidRPr="000F7862">
        <w:t> </w:t>
      </w:r>
      <w:r w:rsidR="006223BE" w:rsidRPr="000F7862">
        <w:t>milliard de pesos</w:t>
      </w:r>
      <w:r w:rsidR="0086185C" w:rsidRPr="000F7862">
        <w:t>)</w:t>
      </w:r>
      <w:r w:rsidR="004B3B1E" w:rsidRPr="000F7862">
        <w:t>.</w:t>
      </w:r>
    </w:p>
    <w:p w:rsidR="0086185C" w:rsidRPr="000F7862" w:rsidRDefault="003F7F57" w:rsidP="003F7F57">
      <w:pPr>
        <w:pStyle w:val="SingleTxtG"/>
        <w:keepNext/>
        <w:rPr>
          <w:lang w:val="fr-FR"/>
        </w:rPr>
      </w:pPr>
      <w:r w:rsidRPr="000F7862">
        <w:rPr>
          <w:lang w:val="fr-FR"/>
        </w:rPr>
        <w:t>41.</w:t>
      </w:r>
      <w:r w:rsidRPr="000F7862">
        <w:rPr>
          <w:lang w:val="fr-FR"/>
        </w:rPr>
        <w:tab/>
      </w:r>
      <w:r w:rsidR="006223BE" w:rsidRPr="000F7862">
        <w:rPr>
          <w:lang w:val="fr-FR"/>
        </w:rPr>
        <w:t>Le t</w:t>
      </w:r>
      <w:r w:rsidR="0086185C" w:rsidRPr="000F7862">
        <w:rPr>
          <w:lang w:val="fr-FR"/>
        </w:rPr>
        <w:t>able</w:t>
      </w:r>
      <w:r w:rsidR="006223BE" w:rsidRPr="000F7862">
        <w:rPr>
          <w:lang w:val="fr-FR"/>
        </w:rPr>
        <w:t>au</w:t>
      </w:r>
      <w:r w:rsidR="0086185C" w:rsidRPr="000F7862">
        <w:rPr>
          <w:lang w:val="fr-FR"/>
        </w:rPr>
        <w:t xml:space="preserve"> 7 pr</w:t>
      </w:r>
      <w:r w:rsidR="006223BE" w:rsidRPr="000F7862">
        <w:rPr>
          <w:lang w:val="fr-FR"/>
        </w:rPr>
        <w:t>é</w:t>
      </w:r>
      <w:r w:rsidR="0086185C" w:rsidRPr="000F7862">
        <w:rPr>
          <w:lang w:val="fr-FR"/>
        </w:rPr>
        <w:t>sent</w:t>
      </w:r>
      <w:r w:rsidR="006223BE" w:rsidRPr="000F7862">
        <w:rPr>
          <w:lang w:val="fr-FR"/>
        </w:rPr>
        <w:t xml:space="preserve">e les </w:t>
      </w:r>
      <w:r w:rsidR="00AF3388" w:rsidRPr="000F7862">
        <w:rPr>
          <w:lang w:val="fr-FR"/>
        </w:rPr>
        <w:t>fonds</w:t>
      </w:r>
      <w:r w:rsidR="0086185C" w:rsidRPr="000F7862">
        <w:rPr>
          <w:lang w:val="fr-FR"/>
        </w:rPr>
        <w:t xml:space="preserve"> </w:t>
      </w:r>
      <w:r w:rsidR="006223BE" w:rsidRPr="000F7862">
        <w:rPr>
          <w:lang w:val="fr-FR"/>
        </w:rPr>
        <w:t xml:space="preserve">affectés à divers </w:t>
      </w:r>
      <w:r w:rsidR="00867E43" w:rsidRPr="000F7862">
        <w:rPr>
          <w:lang w:val="fr-FR"/>
        </w:rPr>
        <w:t>programmes</w:t>
      </w:r>
      <w:r w:rsidR="0086185C" w:rsidRPr="000F7862">
        <w:rPr>
          <w:lang w:val="fr-FR"/>
        </w:rPr>
        <w:t xml:space="preserve"> </w:t>
      </w:r>
      <w:r w:rsidR="006223BE" w:rsidRPr="000F7862">
        <w:rPr>
          <w:lang w:val="fr-FR"/>
        </w:rPr>
        <w:t>relevant du secteur de la santé</w:t>
      </w:r>
      <w:r w:rsidR="0086185C" w:rsidRPr="000F7862">
        <w:rPr>
          <w:lang w:val="fr-FR"/>
        </w:rPr>
        <w:t>.</w:t>
      </w:r>
    </w:p>
    <w:p w:rsidR="0086185C" w:rsidRPr="000F7862" w:rsidRDefault="00F8429C" w:rsidP="00CA416E">
      <w:pPr>
        <w:pStyle w:val="H23G"/>
        <w:rPr>
          <w:b w:val="0"/>
          <w:bCs/>
          <w:sz w:val="16"/>
          <w:szCs w:val="16"/>
          <w:lang w:val="fr-FR"/>
        </w:rPr>
      </w:pPr>
      <w:r w:rsidRPr="000F7862">
        <w:rPr>
          <w:lang w:val="fr-FR"/>
        </w:rPr>
        <w:tab/>
      </w:r>
      <w:r w:rsidRPr="000F7862">
        <w:rPr>
          <w:lang w:val="fr-FR"/>
        </w:rPr>
        <w:tab/>
      </w:r>
      <w:r w:rsidR="0086185C" w:rsidRPr="000F7862">
        <w:rPr>
          <w:b w:val="0"/>
          <w:bCs/>
          <w:lang w:val="fr-FR"/>
        </w:rPr>
        <w:t>Table</w:t>
      </w:r>
      <w:r w:rsidR="006223BE" w:rsidRPr="000F7862">
        <w:rPr>
          <w:b w:val="0"/>
          <w:bCs/>
          <w:lang w:val="fr-FR"/>
        </w:rPr>
        <w:t>au</w:t>
      </w:r>
      <w:r w:rsidR="0086185C" w:rsidRPr="000F7862">
        <w:rPr>
          <w:b w:val="0"/>
          <w:bCs/>
          <w:lang w:val="fr-FR"/>
        </w:rPr>
        <w:t xml:space="preserve"> 7</w:t>
      </w:r>
      <w:r w:rsidR="004B3B1E" w:rsidRPr="000F7862">
        <w:rPr>
          <w:b w:val="0"/>
          <w:bCs/>
          <w:lang w:val="fr-FR"/>
        </w:rPr>
        <w:br/>
      </w:r>
      <w:r w:rsidR="00AF3388" w:rsidRPr="000F7862">
        <w:rPr>
          <w:lang w:val="fr-FR"/>
        </w:rPr>
        <w:t>Fonds</w:t>
      </w:r>
      <w:r w:rsidR="006223BE" w:rsidRPr="000F7862">
        <w:rPr>
          <w:lang w:val="fr-FR"/>
        </w:rPr>
        <w:t xml:space="preserve"> affectés à divers p</w:t>
      </w:r>
      <w:r w:rsidR="00867E43" w:rsidRPr="000F7862">
        <w:rPr>
          <w:lang w:val="fr-FR"/>
        </w:rPr>
        <w:t>rogrammes</w:t>
      </w:r>
      <w:r w:rsidR="0086185C" w:rsidRPr="000F7862">
        <w:rPr>
          <w:lang w:val="fr-FR"/>
        </w:rPr>
        <w:t xml:space="preserve"> </w:t>
      </w:r>
      <w:r w:rsidR="006223BE" w:rsidRPr="000F7862">
        <w:rPr>
          <w:lang w:val="fr-FR"/>
        </w:rPr>
        <w:t>de santé</w:t>
      </w:r>
      <w:r w:rsidR="0086185C" w:rsidRPr="000F7862">
        <w:rPr>
          <w:lang w:val="fr-FR"/>
        </w:rPr>
        <w:t xml:space="preserve">, </w:t>
      </w:r>
      <w:r w:rsidR="00871DB2" w:rsidRPr="000F7862">
        <w:rPr>
          <w:lang w:val="fr-FR"/>
        </w:rPr>
        <w:t>niveaux de la loi générale sur les crédits budgétaires</w:t>
      </w:r>
      <w:r w:rsidR="00FD0FD7" w:rsidRPr="000F7862">
        <w:rPr>
          <w:lang w:val="fr-FR"/>
        </w:rPr>
        <w:br/>
      </w:r>
      <w:r w:rsidR="00871DB2" w:rsidRPr="000F7862">
        <w:rPr>
          <w:b w:val="0"/>
          <w:bCs/>
          <w:sz w:val="16"/>
          <w:szCs w:val="16"/>
          <w:lang w:val="fr-FR"/>
        </w:rPr>
        <w:t>(E</w:t>
      </w:r>
      <w:r w:rsidR="0086185C" w:rsidRPr="000F7862">
        <w:rPr>
          <w:b w:val="0"/>
          <w:bCs/>
          <w:sz w:val="16"/>
          <w:szCs w:val="16"/>
          <w:lang w:val="fr-FR"/>
        </w:rPr>
        <w:t>n million</w:t>
      </w:r>
      <w:r w:rsidR="00871DB2" w:rsidRPr="000F7862">
        <w:rPr>
          <w:b w:val="0"/>
          <w:bCs/>
          <w:sz w:val="16"/>
          <w:szCs w:val="16"/>
          <w:lang w:val="fr-FR"/>
        </w:rPr>
        <w:t xml:space="preserve">s de </w:t>
      </w:r>
      <w:r w:rsidR="0086185C" w:rsidRPr="000F7862">
        <w:rPr>
          <w:b w:val="0"/>
          <w:bCs/>
          <w:sz w:val="16"/>
          <w:szCs w:val="16"/>
          <w:lang w:val="fr-FR"/>
        </w:rPr>
        <w:t xml:space="preserve">pesos, </w:t>
      </w:r>
      <w:r w:rsidR="00871DB2" w:rsidRPr="000F7862">
        <w:rPr>
          <w:b w:val="0"/>
          <w:bCs/>
          <w:sz w:val="16"/>
          <w:szCs w:val="16"/>
          <w:lang w:val="fr-FR"/>
        </w:rPr>
        <w:t>sauf indication contraire</w:t>
      </w:r>
      <w:r w:rsidR="0086185C" w:rsidRPr="000F7862">
        <w:rPr>
          <w:b w:val="0"/>
          <w:bCs/>
          <w:sz w:val="16"/>
          <w:szCs w:val="16"/>
          <w:lang w:val="fr-FR"/>
        </w:rPr>
        <w:t>)</w:t>
      </w:r>
    </w:p>
    <w:tbl>
      <w:tblPr>
        <w:tblW w:w="7370" w:type="dxa"/>
        <w:tblInd w:w="1134" w:type="dxa"/>
        <w:tblLayout w:type="fixed"/>
        <w:tblCellMar>
          <w:left w:w="0" w:type="dxa"/>
          <w:right w:w="0" w:type="dxa"/>
        </w:tblCellMar>
        <w:tblLook w:val="01E0"/>
      </w:tblPr>
      <w:tblGrid>
        <w:gridCol w:w="3766"/>
        <w:gridCol w:w="720"/>
        <w:gridCol w:w="721"/>
        <w:gridCol w:w="721"/>
        <w:gridCol w:w="721"/>
        <w:gridCol w:w="721"/>
      </w:tblGrid>
      <w:tr w:rsidR="00AE3930" w:rsidRPr="000F7862" w:rsidTr="00C42EC7">
        <w:tc>
          <w:tcPr>
            <w:tcW w:w="3766" w:type="dxa"/>
            <w:tcBorders>
              <w:top w:val="single" w:sz="4" w:space="0" w:color="auto"/>
              <w:bottom w:val="single" w:sz="12" w:space="0" w:color="auto"/>
            </w:tcBorders>
            <w:shd w:val="clear" w:color="auto" w:fill="auto"/>
            <w:vAlign w:val="bottom"/>
          </w:tcPr>
          <w:p w:rsidR="00AE3930" w:rsidRPr="000F7862" w:rsidRDefault="00AE3930" w:rsidP="00C42EC7">
            <w:pPr>
              <w:spacing w:before="80" w:after="80" w:line="200" w:lineRule="exact"/>
              <w:rPr>
                <w:i/>
                <w:sz w:val="16"/>
                <w:lang w:val="fr-FR"/>
              </w:rPr>
            </w:pPr>
            <w:r w:rsidRPr="000F7862">
              <w:rPr>
                <w:i/>
                <w:sz w:val="16"/>
                <w:lang w:val="fr-FR"/>
              </w:rPr>
              <w:t>Postes de dépenses</w:t>
            </w:r>
          </w:p>
        </w:tc>
        <w:tc>
          <w:tcPr>
            <w:tcW w:w="720" w:type="dxa"/>
            <w:tcBorders>
              <w:top w:val="single" w:sz="4" w:space="0" w:color="auto"/>
              <w:bottom w:val="single" w:sz="12" w:space="0" w:color="auto"/>
            </w:tcBorders>
            <w:shd w:val="clear" w:color="auto" w:fill="auto"/>
            <w:vAlign w:val="bottom"/>
          </w:tcPr>
          <w:p w:rsidR="00AE3930" w:rsidRPr="000F7862" w:rsidRDefault="00AE3930" w:rsidP="00C42EC7">
            <w:pPr>
              <w:spacing w:before="80" w:after="80" w:line="200" w:lineRule="exact"/>
              <w:jc w:val="right"/>
              <w:rPr>
                <w:i/>
                <w:sz w:val="16"/>
                <w:lang w:val="fr-FR"/>
              </w:rPr>
            </w:pPr>
            <w:r w:rsidRPr="000F7862">
              <w:rPr>
                <w:i/>
                <w:sz w:val="16"/>
                <w:lang w:val="fr-FR"/>
              </w:rPr>
              <w:t>2009</w:t>
            </w:r>
          </w:p>
        </w:tc>
        <w:tc>
          <w:tcPr>
            <w:tcW w:w="721" w:type="dxa"/>
            <w:tcBorders>
              <w:top w:val="single" w:sz="4" w:space="0" w:color="auto"/>
              <w:bottom w:val="single" w:sz="12" w:space="0" w:color="auto"/>
            </w:tcBorders>
            <w:shd w:val="clear" w:color="auto" w:fill="auto"/>
            <w:vAlign w:val="bottom"/>
          </w:tcPr>
          <w:p w:rsidR="00AE3930" w:rsidRPr="000F7862" w:rsidRDefault="00AE3930" w:rsidP="00C42EC7">
            <w:pPr>
              <w:spacing w:before="80" w:after="80" w:line="200" w:lineRule="exact"/>
              <w:jc w:val="right"/>
              <w:rPr>
                <w:i/>
                <w:sz w:val="16"/>
                <w:lang w:val="fr-FR"/>
              </w:rPr>
            </w:pPr>
            <w:r w:rsidRPr="000F7862">
              <w:rPr>
                <w:i/>
                <w:sz w:val="16"/>
                <w:lang w:val="fr-FR"/>
              </w:rPr>
              <w:t>2010</w:t>
            </w:r>
          </w:p>
        </w:tc>
        <w:tc>
          <w:tcPr>
            <w:tcW w:w="721" w:type="dxa"/>
            <w:tcBorders>
              <w:top w:val="single" w:sz="4" w:space="0" w:color="auto"/>
              <w:bottom w:val="single" w:sz="12" w:space="0" w:color="auto"/>
            </w:tcBorders>
            <w:shd w:val="clear" w:color="auto" w:fill="auto"/>
            <w:vAlign w:val="bottom"/>
          </w:tcPr>
          <w:p w:rsidR="00AE3930" w:rsidRPr="000F7862" w:rsidRDefault="00AE3930" w:rsidP="00C42EC7">
            <w:pPr>
              <w:spacing w:before="80" w:after="80" w:line="200" w:lineRule="exact"/>
              <w:jc w:val="right"/>
              <w:rPr>
                <w:i/>
                <w:sz w:val="16"/>
                <w:lang w:val="fr-FR"/>
              </w:rPr>
            </w:pPr>
            <w:r w:rsidRPr="000F7862">
              <w:rPr>
                <w:i/>
                <w:sz w:val="16"/>
                <w:lang w:val="fr-FR"/>
              </w:rPr>
              <w:t>2011</w:t>
            </w:r>
          </w:p>
        </w:tc>
        <w:tc>
          <w:tcPr>
            <w:tcW w:w="721" w:type="dxa"/>
            <w:tcBorders>
              <w:top w:val="single" w:sz="4" w:space="0" w:color="auto"/>
              <w:bottom w:val="single" w:sz="12" w:space="0" w:color="auto"/>
            </w:tcBorders>
            <w:shd w:val="clear" w:color="auto" w:fill="auto"/>
            <w:vAlign w:val="bottom"/>
          </w:tcPr>
          <w:p w:rsidR="00AE3930" w:rsidRPr="000F7862" w:rsidRDefault="00AE3930" w:rsidP="00C42EC7">
            <w:pPr>
              <w:spacing w:before="80" w:after="80" w:line="200" w:lineRule="exact"/>
              <w:jc w:val="right"/>
              <w:rPr>
                <w:i/>
                <w:sz w:val="16"/>
                <w:lang w:val="fr-FR"/>
              </w:rPr>
            </w:pPr>
            <w:r w:rsidRPr="000F7862">
              <w:rPr>
                <w:i/>
                <w:sz w:val="16"/>
                <w:lang w:val="fr-FR"/>
              </w:rPr>
              <w:t>2012</w:t>
            </w:r>
          </w:p>
        </w:tc>
        <w:tc>
          <w:tcPr>
            <w:tcW w:w="721" w:type="dxa"/>
            <w:tcBorders>
              <w:top w:val="single" w:sz="4" w:space="0" w:color="auto"/>
              <w:bottom w:val="single" w:sz="12" w:space="0" w:color="auto"/>
            </w:tcBorders>
            <w:shd w:val="clear" w:color="auto" w:fill="auto"/>
            <w:vAlign w:val="bottom"/>
          </w:tcPr>
          <w:p w:rsidR="00AE3930" w:rsidRPr="000F7862" w:rsidRDefault="00AE3930" w:rsidP="00C42EC7">
            <w:pPr>
              <w:spacing w:before="80" w:after="80" w:line="200" w:lineRule="exact"/>
              <w:jc w:val="right"/>
              <w:rPr>
                <w:i/>
                <w:sz w:val="16"/>
                <w:lang w:val="fr-FR"/>
              </w:rPr>
            </w:pPr>
            <w:r w:rsidRPr="000F7862">
              <w:rPr>
                <w:i/>
                <w:sz w:val="16"/>
                <w:lang w:val="fr-FR"/>
              </w:rPr>
              <w:t>2013</w:t>
            </w:r>
          </w:p>
        </w:tc>
      </w:tr>
      <w:tr w:rsidR="00AE3930" w:rsidRPr="000F7862" w:rsidTr="00C42EC7">
        <w:tc>
          <w:tcPr>
            <w:tcW w:w="3766" w:type="dxa"/>
            <w:tcBorders>
              <w:top w:val="single" w:sz="12" w:space="0" w:color="auto"/>
            </w:tcBorders>
            <w:shd w:val="clear" w:color="auto" w:fill="auto"/>
            <w:vAlign w:val="bottom"/>
          </w:tcPr>
          <w:p w:rsidR="00AE3930" w:rsidRPr="000F7862" w:rsidRDefault="00AE3930" w:rsidP="00AE3930">
            <w:pPr>
              <w:spacing w:before="40" w:after="40" w:line="220" w:lineRule="exact"/>
              <w:rPr>
                <w:sz w:val="18"/>
                <w:lang w:val="fr-FR"/>
              </w:rPr>
            </w:pPr>
            <w:r w:rsidRPr="000F7862">
              <w:rPr>
                <w:sz w:val="18"/>
                <w:lang w:val="fr-FR"/>
              </w:rPr>
              <w:t>Programme d</w:t>
            </w:r>
            <w:r w:rsidR="00120E2E" w:rsidRPr="000F7862">
              <w:rPr>
                <w:sz w:val="18"/>
                <w:lang w:val="fr-FR"/>
              </w:rPr>
              <w:t>’</w:t>
            </w:r>
            <w:r w:rsidRPr="000F7862">
              <w:rPr>
                <w:sz w:val="18"/>
                <w:lang w:val="fr-FR"/>
              </w:rPr>
              <w:t>amélioration de l</w:t>
            </w:r>
            <w:r w:rsidR="00120E2E" w:rsidRPr="000F7862">
              <w:rPr>
                <w:sz w:val="18"/>
                <w:lang w:val="fr-FR"/>
              </w:rPr>
              <w:t>’</w:t>
            </w:r>
            <w:r w:rsidRPr="000F7862">
              <w:rPr>
                <w:sz w:val="18"/>
                <w:lang w:val="fr-FR"/>
              </w:rPr>
              <w:t>accès aux centres médicaux</w:t>
            </w:r>
          </w:p>
        </w:tc>
        <w:tc>
          <w:tcPr>
            <w:tcW w:w="720" w:type="dxa"/>
            <w:tcBorders>
              <w:top w:val="single" w:sz="12" w:space="0" w:color="auto"/>
            </w:tcBorders>
            <w:shd w:val="clear" w:color="auto" w:fill="auto"/>
            <w:vAlign w:val="bottom"/>
          </w:tcPr>
          <w:p w:rsidR="00AE3930" w:rsidRPr="000F7862" w:rsidRDefault="00AE3930" w:rsidP="00C42EC7">
            <w:pPr>
              <w:spacing w:before="40" w:after="40" w:line="220" w:lineRule="exact"/>
              <w:jc w:val="right"/>
              <w:rPr>
                <w:sz w:val="18"/>
                <w:lang w:val="fr-FR"/>
              </w:rPr>
            </w:pPr>
            <w:r w:rsidRPr="000F7862">
              <w:rPr>
                <w:sz w:val="18"/>
                <w:lang w:val="fr-FR"/>
              </w:rPr>
              <w:t>2 073</w:t>
            </w:r>
          </w:p>
        </w:tc>
        <w:tc>
          <w:tcPr>
            <w:tcW w:w="721" w:type="dxa"/>
            <w:tcBorders>
              <w:top w:val="single" w:sz="12" w:space="0" w:color="auto"/>
            </w:tcBorders>
            <w:shd w:val="clear" w:color="auto" w:fill="auto"/>
            <w:vAlign w:val="bottom"/>
          </w:tcPr>
          <w:p w:rsidR="00AE3930" w:rsidRPr="000F7862" w:rsidRDefault="00AE3930" w:rsidP="00C42EC7">
            <w:pPr>
              <w:spacing w:before="40" w:after="40" w:line="220" w:lineRule="exact"/>
              <w:jc w:val="right"/>
              <w:rPr>
                <w:sz w:val="18"/>
                <w:lang w:val="fr-FR"/>
              </w:rPr>
            </w:pPr>
            <w:r w:rsidRPr="000F7862">
              <w:rPr>
                <w:sz w:val="18"/>
                <w:lang w:val="fr-FR"/>
              </w:rPr>
              <w:t>3 252</w:t>
            </w:r>
          </w:p>
        </w:tc>
        <w:tc>
          <w:tcPr>
            <w:tcW w:w="721" w:type="dxa"/>
            <w:tcBorders>
              <w:top w:val="single" w:sz="12" w:space="0" w:color="auto"/>
            </w:tcBorders>
            <w:shd w:val="clear" w:color="auto" w:fill="auto"/>
            <w:vAlign w:val="bottom"/>
          </w:tcPr>
          <w:p w:rsidR="00AE3930" w:rsidRPr="000F7862" w:rsidRDefault="00AE3930" w:rsidP="00C42EC7">
            <w:pPr>
              <w:spacing w:before="40" w:after="40" w:line="220" w:lineRule="exact"/>
              <w:jc w:val="right"/>
              <w:rPr>
                <w:sz w:val="18"/>
                <w:lang w:val="fr-FR"/>
              </w:rPr>
            </w:pPr>
            <w:r w:rsidRPr="000F7862">
              <w:rPr>
                <w:sz w:val="18"/>
                <w:lang w:val="fr-FR"/>
              </w:rPr>
              <w:t>7 144</w:t>
            </w:r>
          </w:p>
        </w:tc>
        <w:tc>
          <w:tcPr>
            <w:tcW w:w="721" w:type="dxa"/>
            <w:tcBorders>
              <w:top w:val="single" w:sz="12" w:space="0" w:color="auto"/>
            </w:tcBorders>
            <w:shd w:val="clear" w:color="auto" w:fill="auto"/>
            <w:vAlign w:val="bottom"/>
          </w:tcPr>
          <w:p w:rsidR="00AE3930" w:rsidRPr="000F7862" w:rsidRDefault="00AE3930" w:rsidP="00C42EC7">
            <w:pPr>
              <w:spacing w:before="40" w:after="40" w:line="220" w:lineRule="exact"/>
              <w:jc w:val="right"/>
              <w:rPr>
                <w:sz w:val="18"/>
                <w:lang w:val="fr-FR"/>
              </w:rPr>
            </w:pPr>
            <w:r w:rsidRPr="000F7862">
              <w:rPr>
                <w:sz w:val="18"/>
                <w:lang w:val="fr-FR"/>
              </w:rPr>
              <w:t>5 078</w:t>
            </w:r>
          </w:p>
        </w:tc>
        <w:tc>
          <w:tcPr>
            <w:tcW w:w="721" w:type="dxa"/>
            <w:tcBorders>
              <w:top w:val="single" w:sz="12" w:space="0" w:color="auto"/>
            </w:tcBorders>
            <w:shd w:val="clear" w:color="auto" w:fill="auto"/>
            <w:vAlign w:val="bottom"/>
          </w:tcPr>
          <w:p w:rsidR="00AE3930" w:rsidRPr="000F7862" w:rsidRDefault="00AE3930" w:rsidP="00C42EC7">
            <w:pPr>
              <w:spacing w:before="40" w:after="40" w:line="220" w:lineRule="exact"/>
              <w:jc w:val="right"/>
              <w:rPr>
                <w:sz w:val="18"/>
                <w:lang w:val="fr-FR"/>
              </w:rPr>
            </w:pPr>
            <w:r w:rsidRPr="000F7862">
              <w:rPr>
                <w:sz w:val="18"/>
                <w:lang w:val="fr-FR"/>
              </w:rPr>
              <w:t>13 558</w:t>
            </w:r>
          </w:p>
        </w:tc>
      </w:tr>
      <w:tr w:rsidR="00AE3930" w:rsidRPr="000F7862" w:rsidTr="00C42EC7">
        <w:tc>
          <w:tcPr>
            <w:tcW w:w="3766" w:type="dxa"/>
            <w:shd w:val="clear" w:color="auto" w:fill="auto"/>
            <w:vAlign w:val="bottom"/>
          </w:tcPr>
          <w:p w:rsidR="00AE3930" w:rsidRPr="000F7862" w:rsidRDefault="00AE3930" w:rsidP="00C42EC7">
            <w:pPr>
              <w:spacing w:before="40" w:after="40" w:line="220" w:lineRule="exact"/>
              <w:ind w:left="170"/>
              <w:rPr>
                <w:sz w:val="18"/>
                <w:lang w:val="fr-FR"/>
              </w:rPr>
            </w:pPr>
            <w:r w:rsidRPr="000F7862">
              <w:rPr>
                <w:sz w:val="18"/>
                <w:lang w:val="fr-FR"/>
              </w:rPr>
              <w:t>Croissance (%)</w:t>
            </w:r>
          </w:p>
        </w:tc>
        <w:tc>
          <w:tcPr>
            <w:tcW w:w="720" w:type="dxa"/>
            <w:shd w:val="clear" w:color="auto" w:fill="auto"/>
            <w:vAlign w:val="bottom"/>
          </w:tcPr>
          <w:p w:rsidR="00AE3930" w:rsidRPr="000F7862" w:rsidRDefault="00AE3930" w:rsidP="00C42EC7">
            <w:pPr>
              <w:spacing w:before="40" w:after="40" w:line="220" w:lineRule="exact"/>
              <w:jc w:val="right"/>
              <w:rPr>
                <w:sz w:val="18"/>
                <w:lang w:val="fr-FR"/>
              </w:rPr>
            </w:pPr>
          </w:p>
        </w:tc>
        <w:tc>
          <w:tcPr>
            <w:tcW w:w="721" w:type="dxa"/>
            <w:shd w:val="clear" w:color="auto" w:fill="auto"/>
            <w:vAlign w:val="bottom"/>
          </w:tcPr>
          <w:p w:rsidR="00AE3930" w:rsidRPr="000F7862" w:rsidRDefault="00AE3930" w:rsidP="00C42EC7">
            <w:pPr>
              <w:spacing w:before="40" w:after="40" w:line="220" w:lineRule="exact"/>
              <w:jc w:val="right"/>
              <w:rPr>
                <w:sz w:val="18"/>
                <w:lang w:val="fr-FR"/>
              </w:rPr>
            </w:pPr>
            <w:r w:rsidRPr="000F7862">
              <w:rPr>
                <w:sz w:val="18"/>
                <w:lang w:val="fr-FR"/>
              </w:rPr>
              <w:t>56,8</w:t>
            </w:r>
          </w:p>
        </w:tc>
        <w:tc>
          <w:tcPr>
            <w:tcW w:w="721" w:type="dxa"/>
            <w:shd w:val="clear" w:color="auto" w:fill="auto"/>
            <w:vAlign w:val="bottom"/>
          </w:tcPr>
          <w:p w:rsidR="00AE3930" w:rsidRPr="000F7862" w:rsidRDefault="00AE3930" w:rsidP="00C42EC7">
            <w:pPr>
              <w:spacing w:before="40" w:after="40" w:line="220" w:lineRule="exact"/>
              <w:jc w:val="right"/>
              <w:rPr>
                <w:sz w:val="18"/>
                <w:lang w:val="fr-FR"/>
              </w:rPr>
            </w:pPr>
            <w:r w:rsidRPr="000F7862">
              <w:rPr>
                <w:sz w:val="18"/>
                <w:lang w:val="fr-FR"/>
              </w:rPr>
              <w:t>119,7</w:t>
            </w:r>
          </w:p>
        </w:tc>
        <w:tc>
          <w:tcPr>
            <w:tcW w:w="721" w:type="dxa"/>
            <w:shd w:val="clear" w:color="auto" w:fill="auto"/>
            <w:vAlign w:val="bottom"/>
          </w:tcPr>
          <w:p w:rsidR="00AE3930" w:rsidRPr="000F7862" w:rsidRDefault="00AE3930" w:rsidP="00C42EC7">
            <w:pPr>
              <w:spacing w:before="40" w:after="40" w:line="220" w:lineRule="exact"/>
              <w:jc w:val="right"/>
              <w:rPr>
                <w:sz w:val="18"/>
                <w:lang w:val="fr-FR"/>
              </w:rPr>
            </w:pPr>
            <w:r w:rsidRPr="000F7862">
              <w:rPr>
                <w:sz w:val="18"/>
                <w:lang w:val="fr-FR"/>
              </w:rPr>
              <w:t>(28,9)</w:t>
            </w:r>
          </w:p>
        </w:tc>
        <w:tc>
          <w:tcPr>
            <w:tcW w:w="721" w:type="dxa"/>
            <w:shd w:val="clear" w:color="auto" w:fill="auto"/>
            <w:vAlign w:val="bottom"/>
          </w:tcPr>
          <w:p w:rsidR="00AE3930" w:rsidRPr="000F7862" w:rsidRDefault="00AE3930" w:rsidP="00C42EC7">
            <w:pPr>
              <w:spacing w:before="40" w:after="40" w:line="220" w:lineRule="exact"/>
              <w:jc w:val="right"/>
              <w:rPr>
                <w:sz w:val="18"/>
                <w:lang w:val="fr-FR"/>
              </w:rPr>
            </w:pPr>
            <w:r w:rsidRPr="000F7862">
              <w:rPr>
                <w:sz w:val="18"/>
                <w:lang w:val="fr-FR"/>
              </w:rPr>
              <w:t>167,0</w:t>
            </w:r>
          </w:p>
        </w:tc>
      </w:tr>
      <w:tr w:rsidR="00AE3930" w:rsidRPr="000F7862" w:rsidTr="00C42EC7">
        <w:tc>
          <w:tcPr>
            <w:tcW w:w="3766" w:type="dxa"/>
            <w:shd w:val="clear" w:color="auto" w:fill="auto"/>
            <w:vAlign w:val="bottom"/>
          </w:tcPr>
          <w:p w:rsidR="00AE3930" w:rsidRPr="000F7862" w:rsidRDefault="00AE3930" w:rsidP="00C42EC7">
            <w:pPr>
              <w:spacing w:before="40" w:after="40" w:line="220" w:lineRule="exact"/>
              <w:rPr>
                <w:sz w:val="18"/>
                <w:lang w:val="fr-FR"/>
              </w:rPr>
            </w:pPr>
            <w:r w:rsidRPr="000F7862">
              <w:rPr>
                <w:sz w:val="18"/>
                <w:lang w:val="fr-FR"/>
              </w:rPr>
              <w:t>Plan national d</w:t>
            </w:r>
            <w:r w:rsidR="00120E2E" w:rsidRPr="000F7862">
              <w:rPr>
                <w:sz w:val="18"/>
                <w:lang w:val="fr-FR"/>
              </w:rPr>
              <w:t>’</w:t>
            </w:r>
            <w:r w:rsidRPr="000F7862">
              <w:rPr>
                <w:sz w:val="18"/>
                <w:lang w:val="fr-FR"/>
              </w:rPr>
              <w:t>assurance maladie</w:t>
            </w:r>
          </w:p>
        </w:tc>
        <w:tc>
          <w:tcPr>
            <w:tcW w:w="720" w:type="dxa"/>
            <w:shd w:val="clear" w:color="auto" w:fill="auto"/>
            <w:vAlign w:val="bottom"/>
          </w:tcPr>
          <w:p w:rsidR="00AE3930" w:rsidRPr="000F7862" w:rsidRDefault="00AE3930" w:rsidP="00C42EC7">
            <w:pPr>
              <w:spacing w:before="40" w:after="40" w:line="220" w:lineRule="exact"/>
              <w:jc w:val="right"/>
              <w:rPr>
                <w:sz w:val="18"/>
                <w:lang w:val="fr-FR"/>
              </w:rPr>
            </w:pPr>
            <w:r w:rsidRPr="000F7862">
              <w:rPr>
                <w:sz w:val="18"/>
                <w:lang w:val="fr-FR"/>
              </w:rPr>
              <w:t>-</w:t>
            </w:r>
          </w:p>
        </w:tc>
        <w:tc>
          <w:tcPr>
            <w:tcW w:w="721" w:type="dxa"/>
            <w:shd w:val="clear" w:color="auto" w:fill="auto"/>
            <w:vAlign w:val="bottom"/>
          </w:tcPr>
          <w:p w:rsidR="00AE3930" w:rsidRPr="000F7862" w:rsidRDefault="00AE3930" w:rsidP="00C42EC7">
            <w:pPr>
              <w:spacing w:before="40" w:after="40" w:line="220" w:lineRule="exact"/>
              <w:jc w:val="right"/>
              <w:rPr>
                <w:sz w:val="18"/>
                <w:lang w:val="fr-FR"/>
              </w:rPr>
            </w:pPr>
            <w:r w:rsidRPr="000F7862">
              <w:rPr>
                <w:sz w:val="18"/>
                <w:lang w:val="fr-FR"/>
              </w:rPr>
              <w:t>-</w:t>
            </w:r>
          </w:p>
        </w:tc>
        <w:tc>
          <w:tcPr>
            <w:tcW w:w="721" w:type="dxa"/>
            <w:shd w:val="clear" w:color="auto" w:fill="auto"/>
            <w:vAlign w:val="bottom"/>
          </w:tcPr>
          <w:p w:rsidR="00AE3930" w:rsidRPr="000F7862" w:rsidRDefault="00AE3930" w:rsidP="00C42EC7">
            <w:pPr>
              <w:spacing w:before="40" w:after="40" w:line="220" w:lineRule="exact"/>
              <w:jc w:val="right"/>
              <w:rPr>
                <w:sz w:val="18"/>
                <w:lang w:val="fr-FR"/>
              </w:rPr>
            </w:pPr>
            <w:r w:rsidRPr="000F7862">
              <w:rPr>
                <w:sz w:val="18"/>
                <w:lang w:val="fr-FR"/>
              </w:rPr>
              <w:t>3 500</w:t>
            </w:r>
          </w:p>
        </w:tc>
        <w:tc>
          <w:tcPr>
            <w:tcW w:w="721" w:type="dxa"/>
            <w:shd w:val="clear" w:color="auto" w:fill="auto"/>
            <w:vAlign w:val="bottom"/>
          </w:tcPr>
          <w:p w:rsidR="00AE3930" w:rsidRPr="000F7862" w:rsidRDefault="00AE3930" w:rsidP="00C42EC7">
            <w:pPr>
              <w:spacing w:before="40" w:after="40" w:line="220" w:lineRule="exact"/>
              <w:jc w:val="right"/>
              <w:rPr>
                <w:sz w:val="18"/>
                <w:lang w:val="fr-FR"/>
              </w:rPr>
            </w:pPr>
            <w:r w:rsidRPr="000F7862">
              <w:rPr>
                <w:sz w:val="18"/>
                <w:lang w:val="fr-FR"/>
              </w:rPr>
              <w:t>12 028</w:t>
            </w:r>
          </w:p>
        </w:tc>
        <w:tc>
          <w:tcPr>
            <w:tcW w:w="721" w:type="dxa"/>
            <w:shd w:val="clear" w:color="auto" w:fill="auto"/>
            <w:vAlign w:val="bottom"/>
          </w:tcPr>
          <w:p w:rsidR="00AE3930" w:rsidRPr="000F7862" w:rsidRDefault="00AE3930" w:rsidP="00C42EC7">
            <w:pPr>
              <w:spacing w:before="40" w:after="40" w:line="220" w:lineRule="exact"/>
              <w:jc w:val="right"/>
              <w:rPr>
                <w:sz w:val="18"/>
                <w:lang w:val="fr-FR"/>
              </w:rPr>
            </w:pPr>
            <w:r w:rsidRPr="000F7862">
              <w:rPr>
                <w:sz w:val="18"/>
                <w:lang w:val="fr-FR"/>
              </w:rPr>
              <w:t>12 612</w:t>
            </w:r>
          </w:p>
        </w:tc>
      </w:tr>
      <w:tr w:rsidR="00AE3930" w:rsidRPr="000F7862" w:rsidTr="00C42EC7">
        <w:tc>
          <w:tcPr>
            <w:tcW w:w="3766" w:type="dxa"/>
            <w:shd w:val="clear" w:color="auto" w:fill="auto"/>
            <w:vAlign w:val="bottom"/>
          </w:tcPr>
          <w:p w:rsidR="00AE3930" w:rsidRPr="000F7862" w:rsidRDefault="00AE3930" w:rsidP="00C42EC7">
            <w:pPr>
              <w:spacing w:before="40" w:after="40" w:line="220" w:lineRule="exact"/>
              <w:ind w:left="170"/>
              <w:rPr>
                <w:sz w:val="18"/>
                <w:lang w:val="fr-FR"/>
              </w:rPr>
            </w:pPr>
            <w:r w:rsidRPr="000F7862">
              <w:rPr>
                <w:sz w:val="18"/>
                <w:lang w:val="fr-FR"/>
              </w:rPr>
              <w:t>Croissance (%)</w:t>
            </w:r>
          </w:p>
        </w:tc>
        <w:tc>
          <w:tcPr>
            <w:tcW w:w="720" w:type="dxa"/>
            <w:shd w:val="clear" w:color="auto" w:fill="auto"/>
            <w:vAlign w:val="bottom"/>
          </w:tcPr>
          <w:p w:rsidR="00AE3930" w:rsidRPr="000F7862" w:rsidRDefault="00AE3930" w:rsidP="00C42EC7">
            <w:pPr>
              <w:spacing w:before="40" w:after="40" w:line="220" w:lineRule="exact"/>
              <w:jc w:val="right"/>
              <w:rPr>
                <w:sz w:val="18"/>
                <w:lang w:val="fr-FR"/>
              </w:rPr>
            </w:pPr>
          </w:p>
        </w:tc>
        <w:tc>
          <w:tcPr>
            <w:tcW w:w="721" w:type="dxa"/>
            <w:shd w:val="clear" w:color="auto" w:fill="auto"/>
            <w:vAlign w:val="bottom"/>
          </w:tcPr>
          <w:p w:rsidR="00AE3930" w:rsidRPr="000F7862" w:rsidRDefault="00AE3930" w:rsidP="00C42EC7">
            <w:pPr>
              <w:spacing w:before="40" w:after="40" w:line="220" w:lineRule="exact"/>
              <w:jc w:val="right"/>
              <w:rPr>
                <w:sz w:val="18"/>
                <w:lang w:val="fr-FR"/>
              </w:rPr>
            </w:pPr>
          </w:p>
        </w:tc>
        <w:tc>
          <w:tcPr>
            <w:tcW w:w="721" w:type="dxa"/>
            <w:shd w:val="clear" w:color="auto" w:fill="auto"/>
            <w:vAlign w:val="bottom"/>
          </w:tcPr>
          <w:p w:rsidR="00AE3930" w:rsidRPr="000F7862" w:rsidRDefault="00AE3930" w:rsidP="00C42EC7">
            <w:pPr>
              <w:spacing w:before="40" w:after="40" w:line="220" w:lineRule="exact"/>
              <w:jc w:val="right"/>
              <w:rPr>
                <w:sz w:val="18"/>
                <w:lang w:val="fr-FR"/>
              </w:rPr>
            </w:pPr>
          </w:p>
        </w:tc>
        <w:tc>
          <w:tcPr>
            <w:tcW w:w="721" w:type="dxa"/>
            <w:shd w:val="clear" w:color="auto" w:fill="auto"/>
            <w:vAlign w:val="bottom"/>
          </w:tcPr>
          <w:p w:rsidR="00AE3930" w:rsidRPr="000F7862" w:rsidRDefault="00AE3930" w:rsidP="00C42EC7">
            <w:pPr>
              <w:spacing w:before="40" w:after="40" w:line="220" w:lineRule="exact"/>
              <w:jc w:val="right"/>
              <w:rPr>
                <w:sz w:val="18"/>
                <w:lang w:val="fr-FR"/>
              </w:rPr>
            </w:pPr>
            <w:r w:rsidRPr="000F7862">
              <w:rPr>
                <w:sz w:val="18"/>
                <w:lang w:val="fr-FR"/>
              </w:rPr>
              <w:t>243,7</w:t>
            </w:r>
          </w:p>
        </w:tc>
        <w:tc>
          <w:tcPr>
            <w:tcW w:w="721" w:type="dxa"/>
            <w:shd w:val="clear" w:color="auto" w:fill="auto"/>
            <w:vAlign w:val="bottom"/>
          </w:tcPr>
          <w:p w:rsidR="00AE3930" w:rsidRPr="000F7862" w:rsidRDefault="00AE3930" w:rsidP="00C42EC7">
            <w:pPr>
              <w:spacing w:before="40" w:after="40" w:line="220" w:lineRule="exact"/>
              <w:jc w:val="right"/>
              <w:rPr>
                <w:sz w:val="18"/>
                <w:lang w:val="fr-FR"/>
              </w:rPr>
            </w:pPr>
            <w:r w:rsidRPr="000F7862">
              <w:rPr>
                <w:sz w:val="18"/>
                <w:lang w:val="fr-FR"/>
              </w:rPr>
              <w:t>4,9</w:t>
            </w:r>
          </w:p>
        </w:tc>
      </w:tr>
      <w:tr w:rsidR="00AE3930" w:rsidRPr="000F7862" w:rsidTr="00C42EC7">
        <w:tc>
          <w:tcPr>
            <w:tcW w:w="3766" w:type="dxa"/>
            <w:shd w:val="clear" w:color="auto" w:fill="auto"/>
            <w:vAlign w:val="bottom"/>
          </w:tcPr>
          <w:p w:rsidR="00AE3930" w:rsidRPr="000F7862" w:rsidRDefault="00AE3930" w:rsidP="00C42EC7">
            <w:pPr>
              <w:spacing w:before="40" w:after="40" w:line="220" w:lineRule="exact"/>
              <w:rPr>
                <w:sz w:val="18"/>
                <w:lang w:val="fr-FR"/>
              </w:rPr>
            </w:pPr>
            <w:r w:rsidRPr="000F7862">
              <w:rPr>
                <w:sz w:val="18"/>
                <w:lang w:val="fr-FR"/>
              </w:rPr>
              <w:t>Exécution du Programme des médecins de quartier et d</w:t>
            </w:r>
            <w:r w:rsidR="00120E2E" w:rsidRPr="000F7862">
              <w:rPr>
                <w:sz w:val="18"/>
                <w:lang w:val="fr-FR"/>
              </w:rPr>
              <w:t>’</w:t>
            </w:r>
            <w:r w:rsidRPr="000F7862">
              <w:rPr>
                <w:sz w:val="18"/>
                <w:lang w:val="fr-FR"/>
              </w:rPr>
              <w:t>incitation à exercer en milieu rural</w:t>
            </w:r>
          </w:p>
        </w:tc>
        <w:tc>
          <w:tcPr>
            <w:tcW w:w="720" w:type="dxa"/>
            <w:shd w:val="clear" w:color="auto" w:fill="auto"/>
            <w:vAlign w:val="bottom"/>
          </w:tcPr>
          <w:p w:rsidR="00AE3930" w:rsidRPr="000F7862" w:rsidRDefault="00AE3930" w:rsidP="00C42EC7">
            <w:pPr>
              <w:spacing w:before="40" w:after="40" w:line="220" w:lineRule="exact"/>
              <w:jc w:val="right"/>
              <w:rPr>
                <w:sz w:val="18"/>
                <w:lang w:val="fr-FR"/>
              </w:rPr>
            </w:pPr>
            <w:r w:rsidRPr="000F7862">
              <w:rPr>
                <w:sz w:val="18"/>
                <w:lang w:val="fr-FR"/>
              </w:rPr>
              <w:t>73</w:t>
            </w:r>
          </w:p>
        </w:tc>
        <w:tc>
          <w:tcPr>
            <w:tcW w:w="721" w:type="dxa"/>
            <w:shd w:val="clear" w:color="auto" w:fill="auto"/>
            <w:vAlign w:val="bottom"/>
          </w:tcPr>
          <w:p w:rsidR="00AE3930" w:rsidRPr="000F7862" w:rsidRDefault="00AE3930" w:rsidP="00C42EC7">
            <w:pPr>
              <w:spacing w:before="40" w:after="40" w:line="220" w:lineRule="exact"/>
              <w:jc w:val="right"/>
              <w:rPr>
                <w:sz w:val="18"/>
                <w:lang w:val="fr-FR"/>
              </w:rPr>
            </w:pPr>
            <w:r w:rsidRPr="000F7862">
              <w:rPr>
                <w:sz w:val="18"/>
                <w:lang w:val="fr-FR"/>
              </w:rPr>
              <w:t>182</w:t>
            </w:r>
          </w:p>
        </w:tc>
        <w:tc>
          <w:tcPr>
            <w:tcW w:w="721" w:type="dxa"/>
            <w:shd w:val="clear" w:color="auto" w:fill="auto"/>
            <w:vAlign w:val="bottom"/>
          </w:tcPr>
          <w:p w:rsidR="00AE3930" w:rsidRPr="000F7862" w:rsidRDefault="00AE3930" w:rsidP="00C42EC7">
            <w:pPr>
              <w:spacing w:before="40" w:after="40" w:line="220" w:lineRule="exact"/>
              <w:jc w:val="right"/>
              <w:rPr>
                <w:sz w:val="18"/>
                <w:lang w:val="fr-FR"/>
              </w:rPr>
            </w:pPr>
            <w:r w:rsidRPr="000F7862">
              <w:rPr>
                <w:sz w:val="18"/>
                <w:lang w:val="fr-FR"/>
              </w:rPr>
              <w:t>123</w:t>
            </w:r>
          </w:p>
        </w:tc>
        <w:tc>
          <w:tcPr>
            <w:tcW w:w="721" w:type="dxa"/>
            <w:shd w:val="clear" w:color="auto" w:fill="auto"/>
            <w:vAlign w:val="bottom"/>
          </w:tcPr>
          <w:p w:rsidR="00AE3930" w:rsidRPr="000F7862" w:rsidRDefault="00AE3930" w:rsidP="00C42EC7">
            <w:pPr>
              <w:spacing w:before="40" w:after="40" w:line="220" w:lineRule="exact"/>
              <w:jc w:val="right"/>
              <w:rPr>
                <w:sz w:val="18"/>
                <w:lang w:val="fr-FR"/>
              </w:rPr>
            </w:pPr>
            <w:r w:rsidRPr="000F7862">
              <w:rPr>
                <w:sz w:val="18"/>
                <w:lang w:val="fr-FR"/>
              </w:rPr>
              <w:t>1 742</w:t>
            </w:r>
          </w:p>
        </w:tc>
        <w:tc>
          <w:tcPr>
            <w:tcW w:w="721" w:type="dxa"/>
            <w:shd w:val="clear" w:color="auto" w:fill="auto"/>
            <w:vAlign w:val="bottom"/>
          </w:tcPr>
          <w:p w:rsidR="00AE3930" w:rsidRPr="000F7862" w:rsidRDefault="00AE3930" w:rsidP="00C42EC7">
            <w:pPr>
              <w:spacing w:before="40" w:after="40" w:line="220" w:lineRule="exact"/>
              <w:jc w:val="right"/>
              <w:rPr>
                <w:sz w:val="18"/>
                <w:lang w:val="fr-FR"/>
              </w:rPr>
            </w:pPr>
            <w:r w:rsidRPr="000F7862">
              <w:rPr>
                <w:sz w:val="18"/>
                <w:lang w:val="fr-FR"/>
              </w:rPr>
              <w:t>2 779</w:t>
            </w:r>
          </w:p>
        </w:tc>
      </w:tr>
      <w:tr w:rsidR="00AE3930" w:rsidRPr="000F7862" w:rsidTr="00C42EC7">
        <w:tc>
          <w:tcPr>
            <w:tcW w:w="3766" w:type="dxa"/>
            <w:shd w:val="clear" w:color="auto" w:fill="auto"/>
            <w:vAlign w:val="bottom"/>
          </w:tcPr>
          <w:p w:rsidR="00AE3930" w:rsidRPr="000F7862" w:rsidRDefault="00AE3930" w:rsidP="00C42EC7">
            <w:pPr>
              <w:spacing w:before="40" w:after="40" w:line="220" w:lineRule="exact"/>
              <w:ind w:left="170"/>
              <w:rPr>
                <w:sz w:val="18"/>
                <w:lang w:val="fr-FR"/>
              </w:rPr>
            </w:pPr>
            <w:r w:rsidRPr="000F7862">
              <w:rPr>
                <w:sz w:val="18"/>
                <w:lang w:val="fr-FR"/>
              </w:rPr>
              <w:t>Croissance (%)</w:t>
            </w:r>
          </w:p>
        </w:tc>
        <w:tc>
          <w:tcPr>
            <w:tcW w:w="720" w:type="dxa"/>
            <w:shd w:val="clear" w:color="auto" w:fill="auto"/>
            <w:vAlign w:val="bottom"/>
          </w:tcPr>
          <w:p w:rsidR="00AE3930" w:rsidRPr="000F7862" w:rsidRDefault="00AE3930" w:rsidP="00C42EC7">
            <w:pPr>
              <w:spacing w:before="40" w:after="40" w:line="220" w:lineRule="exact"/>
              <w:jc w:val="right"/>
              <w:rPr>
                <w:sz w:val="18"/>
                <w:lang w:val="fr-FR"/>
              </w:rPr>
            </w:pPr>
          </w:p>
        </w:tc>
        <w:tc>
          <w:tcPr>
            <w:tcW w:w="721" w:type="dxa"/>
            <w:shd w:val="clear" w:color="auto" w:fill="auto"/>
            <w:vAlign w:val="bottom"/>
          </w:tcPr>
          <w:p w:rsidR="00AE3930" w:rsidRPr="000F7862" w:rsidRDefault="00AE3930" w:rsidP="00C42EC7">
            <w:pPr>
              <w:spacing w:before="40" w:after="40" w:line="220" w:lineRule="exact"/>
              <w:jc w:val="right"/>
              <w:rPr>
                <w:sz w:val="18"/>
                <w:lang w:val="fr-FR"/>
              </w:rPr>
            </w:pPr>
            <w:r w:rsidRPr="000F7862">
              <w:rPr>
                <w:sz w:val="18"/>
                <w:lang w:val="fr-FR"/>
              </w:rPr>
              <w:t>149,0</w:t>
            </w:r>
          </w:p>
        </w:tc>
        <w:tc>
          <w:tcPr>
            <w:tcW w:w="721" w:type="dxa"/>
            <w:shd w:val="clear" w:color="auto" w:fill="auto"/>
            <w:vAlign w:val="bottom"/>
          </w:tcPr>
          <w:p w:rsidR="00AE3930" w:rsidRPr="000F7862" w:rsidRDefault="00AE3930" w:rsidP="00C42EC7">
            <w:pPr>
              <w:spacing w:before="40" w:after="40" w:line="220" w:lineRule="exact"/>
              <w:jc w:val="right"/>
              <w:rPr>
                <w:sz w:val="18"/>
                <w:lang w:val="fr-FR"/>
              </w:rPr>
            </w:pPr>
            <w:r w:rsidRPr="000F7862">
              <w:rPr>
                <w:sz w:val="18"/>
                <w:lang w:val="fr-FR"/>
              </w:rPr>
              <w:t>(32,4)</w:t>
            </w:r>
          </w:p>
        </w:tc>
        <w:tc>
          <w:tcPr>
            <w:tcW w:w="721" w:type="dxa"/>
            <w:shd w:val="clear" w:color="auto" w:fill="auto"/>
            <w:vAlign w:val="bottom"/>
          </w:tcPr>
          <w:p w:rsidR="00AE3930" w:rsidRPr="000F7862" w:rsidRDefault="00AE3930" w:rsidP="00C42EC7">
            <w:pPr>
              <w:spacing w:before="40" w:after="40" w:line="220" w:lineRule="exact"/>
              <w:jc w:val="right"/>
              <w:rPr>
                <w:sz w:val="18"/>
                <w:lang w:val="fr-FR"/>
              </w:rPr>
            </w:pPr>
            <w:r w:rsidRPr="000F7862">
              <w:rPr>
                <w:sz w:val="18"/>
                <w:lang w:val="fr-FR"/>
              </w:rPr>
              <w:t>1 312,8</w:t>
            </w:r>
          </w:p>
        </w:tc>
        <w:tc>
          <w:tcPr>
            <w:tcW w:w="721" w:type="dxa"/>
            <w:shd w:val="clear" w:color="auto" w:fill="auto"/>
            <w:vAlign w:val="bottom"/>
          </w:tcPr>
          <w:p w:rsidR="00AE3930" w:rsidRPr="000F7862" w:rsidRDefault="00AE3930" w:rsidP="00C42EC7">
            <w:pPr>
              <w:spacing w:before="40" w:after="40" w:line="220" w:lineRule="exact"/>
              <w:jc w:val="right"/>
              <w:rPr>
                <w:sz w:val="18"/>
                <w:lang w:val="fr-FR"/>
              </w:rPr>
            </w:pPr>
            <w:r w:rsidRPr="000F7862">
              <w:rPr>
                <w:sz w:val="18"/>
                <w:lang w:val="fr-FR"/>
              </w:rPr>
              <w:t>59,6</w:t>
            </w:r>
          </w:p>
        </w:tc>
      </w:tr>
      <w:tr w:rsidR="00AE3930" w:rsidRPr="000F7862" w:rsidTr="00C42EC7">
        <w:tc>
          <w:tcPr>
            <w:tcW w:w="3766" w:type="dxa"/>
            <w:shd w:val="clear" w:color="auto" w:fill="auto"/>
            <w:vAlign w:val="bottom"/>
          </w:tcPr>
          <w:p w:rsidR="00AE3930" w:rsidRPr="000F7862" w:rsidRDefault="00AE3930" w:rsidP="00C42EC7">
            <w:pPr>
              <w:spacing w:before="40" w:after="40" w:line="220" w:lineRule="exact"/>
              <w:rPr>
                <w:sz w:val="18"/>
                <w:lang w:val="fr-FR"/>
              </w:rPr>
            </w:pPr>
            <w:r w:rsidRPr="000F7862">
              <w:rPr>
                <w:sz w:val="18"/>
                <w:lang w:val="fr-FR"/>
              </w:rPr>
              <w:t>Programme élargi de vaccination</w:t>
            </w:r>
          </w:p>
        </w:tc>
        <w:tc>
          <w:tcPr>
            <w:tcW w:w="720" w:type="dxa"/>
            <w:shd w:val="clear" w:color="auto" w:fill="auto"/>
            <w:vAlign w:val="bottom"/>
          </w:tcPr>
          <w:p w:rsidR="00AE3930" w:rsidRPr="000F7862" w:rsidRDefault="00AE3930" w:rsidP="00C42EC7">
            <w:pPr>
              <w:spacing w:before="40" w:after="40" w:line="220" w:lineRule="exact"/>
              <w:jc w:val="right"/>
              <w:rPr>
                <w:sz w:val="18"/>
                <w:lang w:val="fr-FR"/>
              </w:rPr>
            </w:pPr>
            <w:r w:rsidRPr="000F7862">
              <w:rPr>
                <w:sz w:val="18"/>
                <w:lang w:val="fr-FR"/>
              </w:rPr>
              <w:t>843</w:t>
            </w:r>
          </w:p>
        </w:tc>
        <w:tc>
          <w:tcPr>
            <w:tcW w:w="721" w:type="dxa"/>
            <w:shd w:val="clear" w:color="auto" w:fill="auto"/>
            <w:vAlign w:val="bottom"/>
          </w:tcPr>
          <w:p w:rsidR="00AE3930" w:rsidRPr="000F7862" w:rsidRDefault="00AE3930" w:rsidP="00C42EC7">
            <w:pPr>
              <w:spacing w:before="40" w:after="40" w:line="220" w:lineRule="exact"/>
              <w:jc w:val="right"/>
              <w:rPr>
                <w:sz w:val="18"/>
                <w:lang w:val="fr-FR"/>
              </w:rPr>
            </w:pPr>
            <w:r w:rsidRPr="000F7862">
              <w:rPr>
                <w:sz w:val="18"/>
                <w:lang w:val="fr-FR"/>
              </w:rPr>
              <w:t>991</w:t>
            </w:r>
          </w:p>
        </w:tc>
        <w:tc>
          <w:tcPr>
            <w:tcW w:w="721" w:type="dxa"/>
            <w:shd w:val="clear" w:color="auto" w:fill="auto"/>
            <w:vAlign w:val="bottom"/>
          </w:tcPr>
          <w:p w:rsidR="00AE3930" w:rsidRPr="000F7862" w:rsidRDefault="00AE3930" w:rsidP="00C42EC7">
            <w:pPr>
              <w:spacing w:before="40" w:after="40" w:line="220" w:lineRule="exact"/>
              <w:jc w:val="right"/>
              <w:rPr>
                <w:sz w:val="18"/>
                <w:lang w:val="fr-FR"/>
              </w:rPr>
            </w:pPr>
            <w:r w:rsidRPr="000F7862">
              <w:rPr>
                <w:sz w:val="18"/>
                <w:lang w:val="fr-FR"/>
              </w:rPr>
              <w:t>2 463</w:t>
            </w:r>
          </w:p>
        </w:tc>
        <w:tc>
          <w:tcPr>
            <w:tcW w:w="721" w:type="dxa"/>
            <w:shd w:val="clear" w:color="auto" w:fill="auto"/>
            <w:vAlign w:val="bottom"/>
          </w:tcPr>
          <w:p w:rsidR="00AE3930" w:rsidRPr="000F7862" w:rsidRDefault="00AE3930" w:rsidP="00C42EC7">
            <w:pPr>
              <w:spacing w:before="40" w:after="40" w:line="220" w:lineRule="exact"/>
              <w:jc w:val="right"/>
              <w:rPr>
                <w:sz w:val="18"/>
                <w:lang w:val="fr-FR"/>
              </w:rPr>
            </w:pPr>
            <w:r w:rsidRPr="000F7862">
              <w:rPr>
                <w:sz w:val="18"/>
                <w:lang w:val="fr-FR"/>
              </w:rPr>
              <w:t>1 875</w:t>
            </w:r>
          </w:p>
        </w:tc>
        <w:tc>
          <w:tcPr>
            <w:tcW w:w="721" w:type="dxa"/>
            <w:shd w:val="clear" w:color="auto" w:fill="auto"/>
            <w:vAlign w:val="bottom"/>
          </w:tcPr>
          <w:p w:rsidR="00AE3930" w:rsidRPr="000F7862" w:rsidRDefault="00AE3930" w:rsidP="00C42EC7">
            <w:pPr>
              <w:spacing w:before="40" w:after="40" w:line="220" w:lineRule="exact"/>
              <w:jc w:val="right"/>
              <w:rPr>
                <w:sz w:val="18"/>
                <w:lang w:val="fr-FR"/>
              </w:rPr>
            </w:pPr>
            <w:r w:rsidRPr="000F7862">
              <w:rPr>
                <w:sz w:val="18"/>
                <w:lang w:val="fr-FR"/>
              </w:rPr>
              <w:t>1 950</w:t>
            </w:r>
          </w:p>
        </w:tc>
      </w:tr>
      <w:tr w:rsidR="00AE3930" w:rsidRPr="000F7862" w:rsidTr="00C42EC7">
        <w:tc>
          <w:tcPr>
            <w:tcW w:w="3766" w:type="dxa"/>
            <w:tcBorders>
              <w:bottom w:val="single" w:sz="12" w:space="0" w:color="auto"/>
            </w:tcBorders>
            <w:shd w:val="clear" w:color="auto" w:fill="auto"/>
            <w:vAlign w:val="bottom"/>
          </w:tcPr>
          <w:p w:rsidR="00AE3930" w:rsidRPr="000F7862" w:rsidRDefault="00AE3930" w:rsidP="00C42EC7">
            <w:pPr>
              <w:spacing w:before="40" w:after="40" w:line="220" w:lineRule="exact"/>
              <w:ind w:left="170"/>
              <w:rPr>
                <w:sz w:val="18"/>
                <w:lang w:val="fr-FR"/>
              </w:rPr>
            </w:pPr>
            <w:r w:rsidRPr="000F7862">
              <w:rPr>
                <w:sz w:val="18"/>
                <w:lang w:val="fr-FR"/>
              </w:rPr>
              <w:t>Croissance (%)</w:t>
            </w:r>
          </w:p>
        </w:tc>
        <w:tc>
          <w:tcPr>
            <w:tcW w:w="720" w:type="dxa"/>
            <w:tcBorders>
              <w:bottom w:val="single" w:sz="12" w:space="0" w:color="auto"/>
            </w:tcBorders>
            <w:shd w:val="clear" w:color="auto" w:fill="auto"/>
            <w:vAlign w:val="bottom"/>
          </w:tcPr>
          <w:p w:rsidR="00AE3930" w:rsidRPr="000F7862" w:rsidRDefault="00AE3930" w:rsidP="00C42EC7">
            <w:pPr>
              <w:spacing w:before="40" w:after="40" w:line="220" w:lineRule="exact"/>
              <w:jc w:val="right"/>
              <w:rPr>
                <w:sz w:val="18"/>
                <w:lang w:val="fr-FR"/>
              </w:rPr>
            </w:pPr>
          </w:p>
        </w:tc>
        <w:tc>
          <w:tcPr>
            <w:tcW w:w="721" w:type="dxa"/>
            <w:tcBorders>
              <w:bottom w:val="single" w:sz="12" w:space="0" w:color="auto"/>
            </w:tcBorders>
            <w:shd w:val="clear" w:color="auto" w:fill="auto"/>
            <w:vAlign w:val="bottom"/>
          </w:tcPr>
          <w:p w:rsidR="00AE3930" w:rsidRPr="000F7862" w:rsidRDefault="00AE3930" w:rsidP="00C42EC7">
            <w:pPr>
              <w:spacing w:before="40" w:after="40" w:line="220" w:lineRule="exact"/>
              <w:jc w:val="right"/>
              <w:rPr>
                <w:sz w:val="18"/>
                <w:lang w:val="fr-FR"/>
              </w:rPr>
            </w:pPr>
            <w:r w:rsidRPr="000F7862">
              <w:rPr>
                <w:sz w:val="18"/>
                <w:lang w:val="fr-FR"/>
              </w:rPr>
              <w:t>17,5</w:t>
            </w:r>
          </w:p>
        </w:tc>
        <w:tc>
          <w:tcPr>
            <w:tcW w:w="721" w:type="dxa"/>
            <w:tcBorders>
              <w:bottom w:val="single" w:sz="12" w:space="0" w:color="auto"/>
            </w:tcBorders>
            <w:shd w:val="clear" w:color="auto" w:fill="auto"/>
            <w:vAlign w:val="bottom"/>
          </w:tcPr>
          <w:p w:rsidR="00AE3930" w:rsidRPr="000F7862" w:rsidRDefault="00AE3930" w:rsidP="00C42EC7">
            <w:pPr>
              <w:spacing w:before="40" w:after="40" w:line="220" w:lineRule="exact"/>
              <w:jc w:val="right"/>
              <w:rPr>
                <w:sz w:val="18"/>
                <w:lang w:val="fr-FR"/>
              </w:rPr>
            </w:pPr>
            <w:r w:rsidRPr="000F7862">
              <w:rPr>
                <w:sz w:val="18"/>
                <w:lang w:val="fr-FR"/>
              </w:rPr>
              <w:t>148,6</w:t>
            </w:r>
          </w:p>
        </w:tc>
        <w:tc>
          <w:tcPr>
            <w:tcW w:w="721" w:type="dxa"/>
            <w:tcBorders>
              <w:bottom w:val="single" w:sz="12" w:space="0" w:color="auto"/>
            </w:tcBorders>
            <w:shd w:val="clear" w:color="auto" w:fill="auto"/>
            <w:vAlign w:val="bottom"/>
          </w:tcPr>
          <w:p w:rsidR="00AE3930" w:rsidRPr="000F7862" w:rsidRDefault="00AE3930" w:rsidP="00C42EC7">
            <w:pPr>
              <w:spacing w:before="40" w:after="40" w:line="220" w:lineRule="exact"/>
              <w:jc w:val="right"/>
              <w:rPr>
                <w:sz w:val="18"/>
                <w:lang w:val="fr-FR"/>
              </w:rPr>
            </w:pPr>
            <w:r w:rsidRPr="000F7862">
              <w:rPr>
                <w:sz w:val="18"/>
                <w:lang w:val="fr-FR"/>
              </w:rPr>
              <w:t>(23,9)</w:t>
            </w:r>
          </w:p>
        </w:tc>
        <w:tc>
          <w:tcPr>
            <w:tcW w:w="721" w:type="dxa"/>
            <w:tcBorders>
              <w:bottom w:val="single" w:sz="12" w:space="0" w:color="auto"/>
            </w:tcBorders>
            <w:shd w:val="clear" w:color="auto" w:fill="auto"/>
            <w:vAlign w:val="bottom"/>
          </w:tcPr>
          <w:p w:rsidR="00AE3930" w:rsidRPr="000F7862" w:rsidRDefault="00AE3930" w:rsidP="00C42EC7">
            <w:pPr>
              <w:spacing w:before="40" w:after="40" w:line="220" w:lineRule="exact"/>
              <w:jc w:val="right"/>
              <w:rPr>
                <w:sz w:val="18"/>
                <w:lang w:val="fr-FR"/>
              </w:rPr>
            </w:pPr>
            <w:r w:rsidRPr="000F7862">
              <w:rPr>
                <w:sz w:val="18"/>
                <w:lang w:val="fr-FR"/>
              </w:rPr>
              <w:t>4,0</w:t>
            </w:r>
          </w:p>
        </w:tc>
      </w:tr>
    </w:tbl>
    <w:p w:rsidR="0086185C" w:rsidRPr="000F7862" w:rsidRDefault="00FD0FD7" w:rsidP="00FD0FD7">
      <w:pPr>
        <w:pStyle w:val="H23G"/>
        <w:rPr>
          <w:lang w:val="fr-FR"/>
        </w:rPr>
      </w:pPr>
      <w:r w:rsidRPr="000F7862">
        <w:rPr>
          <w:lang w:val="fr-FR"/>
        </w:rPr>
        <w:tab/>
      </w:r>
      <w:r w:rsidRPr="000F7862">
        <w:rPr>
          <w:lang w:val="fr-FR"/>
        </w:rPr>
        <w:tab/>
      </w:r>
      <w:r w:rsidR="009111E1" w:rsidRPr="000F7862">
        <w:rPr>
          <w:lang w:val="fr-FR"/>
        </w:rPr>
        <w:t>Logement</w:t>
      </w:r>
    </w:p>
    <w:p w:rsidR="0086185C" w:rsidRPr="000F7862" w:rsidRDefault="003F7F57" w:rsidP="003F7F57">
      <w:pPr>
        <w:pStyle w:val="SingleTxtG"/>
        <w:rPr>
          <w:lang w:val="fr-FR"/>
        </w:rPr>
      </w:pPr>
      <w:r w:rsidRPr="000F7862">
        <w:rPr>
          <w:lang w:val="fr-FR"/>
        </w:rPr>
        <w:t>42.</w:t>
      </w:r>
      <w:r w:rsidRPr="000F7862">
        <w:rPr>
          <w:lang w:val="fr-FR"/>
        </w:rPr>
        <w:tab/>
      </w:r>
      <w:r w:rsidR="00AF3388" w:rsidRPr="000F7862">
        <w:rPr>
          <w:lang w:val="fr-FR"/>
        </w:rPr>
        <w:t>Au cours des quatre dernières années, des progrès sensibles ont été enregistrés en ce qui concerne les fonds affectés au secteur du logement</w:t>
      </w:r>
      <w:r w:rsidR="0086185C" w:rsidRPr="000F7862">
        <w:rPr>
          <w:lang w:val="fr-FR"/>
        </w:rPr>
        <w:t>.</w:t>
      </w:r>
      <w:r w:rsidR="00446EA5" w:rsidRPr="000F7862">
        <w:rPr>
          <w:lang w:val="fr-FR"/>
        </w:rPr>
        <w:t xml:space="preserve"> </w:t>
      </w:r>
      <w:r w:rsidR="00AF3388" w:rsidRPr="000F7862">
        <w:rPr>
          <w:lang w:val="fr-FR"/>
        </w:rPr>
        <w:t>Le montant affecté au programme de logement</w:t>
      </w:r>
      <w:r w:rsidR="005961A6" w:rsidRPr="000F7862">
        <w:rPr>
          <w:lang w:val="fr-FR"/>
        </w:rPr>
        <w:t>s</w:t>
      </w:r>
      <w:r w:rsidR="00AF3388" w:rsidRPr="000F7862">
        <w:rPr>
          <w:lang w:val="fr-FR"/>
        </w:rPr>
        <w:t xml:space="preserve"> est passé de </w:t>
      </w:r>
      <w:r w:rsidR="0086185C" w:rsidRPr="000F7862">
        <w:rPr>
          <w:lang w:val="fr-FR"/>
        </w:rPr>
        <w:t>3</w:t>
      </w:r>
      <w:r w:rsidR="00AF3388" w:rsidRPr="000F7862">
        <w:rPr>
          <w:lang w:val="fr-FR"/>
        </w:rPr>
        <w:t>,</w:t>
      </w:r>
      <w:r w:rsidR="0086185C" w:rsidRPr="000F7862">
        <w:rPr>
          <w:lang w:val="fr-FR"/>
        </w:rPr>
        <w:t>7</w:t>
      </w:r>
      <w:r w:rsidR="00796D18" w:rsidRPr="000F7862">
        <w:rPr>
          <w:lang w:val="fr-FR"/>
        </w:rPr>
        <w:t> </w:t>
      </w:r>
      <w:r w:rsidR="00AF3388" w:rsidRPr="000F7862">
        <w:rPr>
          <w:lang w:val="fr-FR"/>
        </w:rPr>
        <w:t xml:space="preserve">milliards de pesos en </w:t>
      </w:r>
      <w:r w:rsidR="0086185C" w:rsidRPr="000F7862">
        <w:rPr>
          <w:lang w:val="fr-FR"/>
        </w:rPr>
        <w:t>2009</w:t>
      </w:r>
      <w:r w:rsidR="00AF3388" w:rsidRPr="000F7862">
        <w:rPr>
          <w:lang w:val="fr-FR"/>
        </w:rPr>
        <w:t xml:space="preserve"> à </w:t>
      </w:r>
      <w:r w:rsidR="0086185C" w:rsidRPr="000F7862">
        <w:rPr>
          <w:lang w:val="fr-FR"/>
        </w:rPr>
        <w:t>21</w:t>
      </w:r>
      <w:r w:rsidR="00AF3388" w:rsidRPr="000F7862">
        <w:rPr>
          <w:lang w:val="fr-FR"/>
        </w:rPr>
        <w:t>,</w:t>
      </w:r>
      <w:r w:rsidR="0086185C" w:rsidRPr="000F7862">
        <w:rPr>
          <w:lang w:val="fr-FR"/>
        </w:rPr>
        <w:t>8</w:t>
      </w:r>
      <w:r w:rsidR="00796D18" w:rsidRPr="000F7862">
        <w:rPr>
          <w:lang w:val="fr-FR"/>
        </w:rPr>
        <w:t> </w:t>
      </w:r>
      <w:r w:rsidR="00AF3388" w:rsidRPr="000F7862">
        <w:rPr>
          <w:lang w:val="fr-FR"/>
        </w:rPr>
        <w:t xml:space="preserve">milliards en </w:t>
      </w:r>
      <w:r w:rsidR="0086185C" w:rsidRPr="000F7862">
        <w:rPr>
          <w:lang w:val="fr-FR"/>
        </w:rPr>
        <w:t>2013.</w:t>
      </w:r>
      <w:r w:rsidR="00446EA5" w:rsidRPr="000F7862">
        <w:rPr>
          <w:lang w:val="fr-FR"/>
        </w:rPr>
        <w:t xml:space="preserve"> </w:t>
      </w:r>
      <w:r w:rsidR="00AF3388" w:rsidRPr="000F7862">
        <w:rPr>
          <w:lang w:val="fr-FR"/>
        </w:rPr>
        <w:t>Ce programme comprend les volets suivants</w:t>
      </w:r>
      <w:r w:rsidR="0005004C" w:rsidRPr="000F7862">
        <w:rPr>
          <w:lang w:val="fr-FR"/>
        </w:rPr>
        <w:t>:</w:t>
      </w:r>
      <w:r w:rsidR="00AF3388" w:rsidRPr="000F7862">
        <w:rPr>
          <w:lang w:val="fr-FR"/>
        </w:rPr>
        <w:t xml:space="preserve"> </w:t>
      </w:r>
      <w:r w:rsidR="0086185C" w:rsidRPr="000F7862">
        <w:rPr>
          <w:lang w:val="fr-FR"/>
        </w:rPr>
        <w:t>a)</w:t>
      </w:r>
      <w:r w:rsidR="006C06E3" w:rsidRPr="000F7862">
        <w:rPr>
          <w:lang w:val="fr-FR"/>
        </w:rPr>
        <w:t> </w:t>
      </w:r>
      <w:r w:rsidR="00AF3388" w:rsidRPr="000F7862">
        <w:rPr>
          <w:lang w:val="fr-FR"/>
        </w:rPr>
        <w:t xml:space="preserve">un </w:t>
      </w:r>
      <w:r w:rsidR="00867E43" w:rsidRPr="000F7862">
        <w:rPr>
          <w:lang w:val="fr-FR"/>
        </w:rPr>
        <w:t>programme</w:t>
      </w:r>
      <w:r w:rsidR="00AF3388" w:rsidRPr="000F7862">
        <w:rPr>
          <w:lang w:val="fr-FR"/>
        </w:rPr>
        <w:t xml:space="preserve"> de réinstallation</w:t>
      </w:r>
      <w:r w:rsidR="0086185C" w:rsidRPr="000F7862">
        <w:rPr>
          <w:lang w:val="fr-FR"/>
        </w:rPr>
        <w:t>; b)</w:t>
      </w:r>
      <w:r w:rsidR="006C06E3" w:rsidRPr="000F7862">
        <w:rPr>
          <w:lang w:val="fr-FR"/>
        </w:rPr>
        <w:t> </w:t>
      </w:r>
      <w:r w:rsidR="0032557D" w:rsidRPr="000F7862">
        <w:rPr>
          <w:lang w:val="fr-FR"/>
        </w:rPr>
        <w:t xml:space="preserve">un </w:t>
      </w:r>
      <w:r w:rsidR="00DB1D26" w:rsidRPr="000F7862">
        <w:rPr>
          <w:lang w:val="fr-FR"/>
        </w:rPr>
        <w:t>programme d</w:t>
      </w:r>
      <w:r w:rsidR="00120E2E" w:rsidRPr="000F7862">
        <w:rPr>
          <w:lang w:val="fr-FR"/>
        </w:rPr>
        <w:t>’</w:t>
      </w:r>
      <w:r w:rsidR="005961A6" w:rsidRPr="000F7862">
        <w:rPr>
          <w:lang w:val="fr-FR"/>
        </w:rPr>
        <w:t>assainissement des logements</w:t>
      </w:r>
      <w:r w:rsidR="0086185C" w:rsidRPr="000F7862">
        <w:rPr>
          <w:lang w:val="fr-FR"/>
        </w:rPr>
        <w:t>; c)</w:t>
      </w:r>
      <w:r w:rsidR="006C06E3" w:rsidRPr="000F7862">
        <w:rPr>
          <w:lang w:val="fr-FR"/>
        </w:rPr>
        <w:t> </w:t>
      </w:r>
      <w:r w:rsidR="0032557D" w:rsidRPr="000F7862">
        <w:rPr>
          <w:lang w:val="fr-FR"/>
        </w:rPr>
        <w:t>un</w:t>
      </w:r>
      <w:r w:rsidR="00AE3930" w:rsidRPr="000F7862">
        <w:rPr>
          <w:lang w:val="fr-FR"/>
        </w:rPr>
        <w:t xml:space="preserve"> </w:t>
      </w:r>
      <w:r w:rsidR="00DB1D26" w:rsidRPr="000F7862">
        <w:rPr>
          <w:lang w:val="fr-FR"/>
        </w:rPr>
        <w:t xml:space="preserve">programme de </w:t>
      </w:r>
      <w:r w:rsidR="005961A6" w:rsidRPr="000F7862">
        <w:rPr>
          <w:lang w:val="fr-FR"/>
        </w:rPr>
        <w:t>réinstallation des occupants sans titre</w:t>
      </w:r>
      <w:r w:rsidR="0086185C" w:rsidRPr="000F7862">
        <w:rPr>
          <w:lang w:val="fr-FR"/>
        </w:rPr>
        <w:t>; d)</w:t>
      </w:r>
      <w:r w:rsidR="004B3B1E" w:rsidRPr="000F7862">
        <w:rPr>
          <w:lang w:val="fr-FR"/>
        </w:rPr>
        <w:t> </w:t>
      </w:r>
      <w:r w:rsidR="0032557D" w:rsidRPr="000F7862">
        <w:rPr>
          <w:lang w:val="fr-FR"/>
        </w:rPr>
        <w:t xml:space="preserve">un </w:t>
      </w:r>
      <w:r w:rsidR="005961A6" w:rsidRPr="000F7862">
        <w:rPr>
          <w:lang w:val="fr-FR"/>
        </w:rPr>
        <w:t xml:space="preserve">programme de </w:t>
      </w:r>
      <w:r w:rsidR="005961A6" w:rsidRPr="000F7862">
        <w:rPr>
          <w:lang w:val="fr-FR" w:eastAsia="fr-FR"/>
        </w:rPr>
        <w:t>prêts hypothécaires communautaires</w:t>
      </w:r>
      <w:r w:rsidR="0086185C" w:rsidRPr="000F7862">
        <w:rPr>
          <w:lang w:val="fr-FR"/>
        </w:rPr>
        <w:t xml:space="preserve">; </w:t>
      </w:r>
      <w:r w:rsidR="005961A6" w:rsidRPr="000F7862">
        <w:rPr>
          <w:lang w:val="fr-FR"/>
        </w:rPr>
        <w:t>et</w:t>
      </w:r>
      <w:r w:rsidR="0086185C" w:rsidRPr="000F7862">
        <w:rPr>
          <w:lang w:val="fr-FR"/>
        </w:rPr>
        <w:t xml:space="preserve"> e)</w:t>
      </w:r>
      <w:r w:rsidR="004B3B1E" w:rsidRPr="000F7862">
        <w:rPr>
          <w:lang w:val="fr-FR"/>
        </w:rPr>
        <w:t> </w:t>
      </w:r>
      <w:r w:rsidR="005961A6" w:rsidRPr="000F7862">
        <w:rPr>
          <w:lang w:val="fr-FR"/>
        </w:rPr>
        <w:t>programme de logements des Forces armées et de la police nationale</w:t>
      </w:r>
      <w:r w:rsidR="0086185C" w:rsidRPr="000F7862">
        <w:rPr>
          <w:lang w:val="fr-FR"/>
        </w:rPr>
        <w:t>.</w:t>
      </w:r>
    </w:p>
    <w:p w:rsidR="0086185C" w:rsidRPr="000F7862" w:rsidRDefault="003F7F57" w:rsidP="003F7F57">
      <w:pPr>
        <w:pStyle w:val="SingleTxtG"/>
        <w:rPr>
          <w:lang w:val="fr-FR"/>
        </w:rPr>
      </w:pPr>
      <w:r w:rsidRPr="000F7862">
        <w:rPr>
          <w:lang w:val="fr-FR"/>
        </w:rPr>
        <w:t>43.</w:t>
      </w:r>
      <w:r w:rsidRPr="000F7862">
        <w:rPr>
          <w:lang w:val="fr-FR"/>
        </w:rPr>
        <w:tab/>
      </w:r>
      <w:r w:rsidR="005961A6" w:rsidRPr="000F7862">
        <w:rPr>
          <w:lang w:val="fr-FR"/>
        </w:rPr>
        <w:t xml:space="preserve">La forte augmentation du budget du logement à partir de </w:t>
      </w:r>
      <w:r w:rsidR="0086185C" w:rsidRPr="000F7862">
        <w:rPr>
          <w:lang w:val="fr-FR"/>
        </w:rPr>
        <w:t xml:space="preserve">2010 </w:t>
      </w:r>
      <w:r w:rsidR="005961A6" w:rsidRPr="000F7862">
        <w:rPr>
          <w:lang w:val="fr-FR"/>
        </w:rPr>
        <w:t>et</w:t>
      </w:r>
      <w:r w:rsidR="0086185C" w:rsidRPr="000F7862">
        <w:rPr>
          <w:lang w:val="fr-FR"/>
        </w:rPr>
        <w:t xml:space="preserve"> 2011 </w:t>
      </w:r>
      <w:r w:rsidR="005961A6" w:rsidRPr="000F7862">
        <w:rPr>
          <w:lang w:val="fr-FR"/>
        </w:rPr>
        <w:t>s</w:t>
      </w:r>
      <w:r w:rsidR="00120E2E" w:rsidRPr="000F7862">
        <w:rPr>
          <w:lang w:val="fr-FR"/>
        </w:rPr>
        <w:t>’</w:t>
      </w:r>
      <w:r w:rsidR="005961A6" w:rsidRPr="000F7862">
        <w:rPr>
          <w:lang w:val="fr-FR"/>
        </w:rPr>
        <w:t>explique principalement par</w:t>
      </w:r>
      <w:r w:rsidR="0005004C" w:rsidRPr="000F7862">
        <w:rPr>
          <w:lang w:val="fr-FR"/>
        </w:rPr>
        <w:t>:</w:t>
      </w:r>
      <w:r w:rsidR="0086185C" w:rsidRPr="000F7862">
        <w:rPr>
          <w:lang w:val="fr-FR"/>
        </w:rPr>
        <w:t xml:space="preserve"> </w:t>
      </w:r>
      <w:r w:rsidR="00172149" w:rsidRPr="000F7862">
        <w:rPr>
          <w:lang w:val="fr-FR"/>
        </w:rPr>
        <w:t>a</w:t>
      </w:r>
      <w:r w:rsidR="0086185C" w:rsidRPr="000F7862">
        <w:rPr>
          <w:lang w:val="fr-FR"/>
        </w:rPr>
        <w:t>)</w:t>
      </w:r>
      <w:r w:rsidR="004B3B1E" w:rsidRPr="000F7862">
        <w:rPr>
          <w:lang w:val="fr-FR"/>
        </w:rPr>
        <w:t> </w:t>
      </w:r>
      <w:r w:rsidR="005961A6" w:rsidRPr="000F7862">
        <w:rPr>
          <w:lang w:val="fr-FR"/>
        </w:rPr>
        <w:t>les fonds nouvellement affectés à la réinstallation des occupants sans titre et au programme de logements des Forces armées et de la police nationale</w:t>
      </w:r>
      <w:r w:rsidR="0086185C" w:rsidRPr="000F7862">
        <w:rPr>
          <w:lang w:val="fr-FR"/>
        </w:rPr>
        <w:t xml:space="preserve">; </w:t>
      </w:r>
      <w:r w:rsidR="005961A6" w:rsidRPr="000F7862">
        <w:rPr>
          <w:lang w:val="fr-FR"/>
        </w:rPr>
        <w:t>et</w:t>
      </w:r>
      <w:r w:rsidR="0086185C" w:rsidRPr="000F7862">
        <w:rPr>
          <w:lang w:val="fr-FR"/>
        </w:rPr>
        <w:t xml:space="preserve"> </w:t>
      </w:r>
      <w:r w:rsidR="00172149" w:rsidRPr="000F7862">
        <w:rPr>
          <w:lang w:val="fr-FR"/>
        </w:rPr>
        <w:t>b</w:t>
      </w:r>
      <w:r w:rsidR="0086185C" w:rsidRPr="000F7862">
        <w:rPr>
          <w:lang w:val="fr-FR"/>
        </w:rPr>
        <w:t>)</w:t>
      </w:r>
      <w:r w:rsidR="004B3B1E" w:rsidRPr="000F7862">
        <w:rPr>
          <w:lang w:val="fr-FR"/>
        </w:rPr>
        <w:t> </w:t>
      </w:r>
      <w:r w:rsidR="005961A6" w:rsidRPr="000F7862">
        <w:rPr>
          <w:lang w:val="fr-FR"/>
        </w:rPr>
        <w:t>l</w:t>
      </w:r>
      <w:r w:rsidR="00120E2E" w:rsidRPr="000F7862">
        <w:rPr>
          <w:lang w:val="fr-FR"/>
        </w:rPr>
        <w:t>’</w:t>
      </w:r>
      <w:r w:rsidR="005961A6" w:rsidRPr="000F7862">
        <w:rPr>
          <w:lang w:val="fr-FR"/>
        </w:rPr>
        <w:t xml:space="preserve">augmentation des fonds affectés au programme de réinstallation, </w:t>
      </w:r>
      <w:r w:rsidR="00DB1D26" w:rsidRPr="000F7862">
        <w:rPr>
          <w:lang w:val="fr-FR"/>
        </w:rPr>
        <w:t>au programme d</w:t>
      </w:r>
      <w:r w:rsidR="00120E2E" w:rsidRPr="000F7862">
        <w:rPr>
          <w:lang w:val="fr-FR"/>
        </w:rPr>
        <w:t>’</w:t>
      </w:r>
      <w:r w:rsidR="005961A6" w:rsidRPr="000F7862">
        <w:rPr>
          <w:lang w:val="fr-FR"/>
        </w:rPr>
        <w:t xml:space="preserve">assainissement des logements et au programme de </w:t>
      </w:r>
      <w:r w:rsidR="005961A6" w:rsidRPr="000F7862">
        <w:rPr>
          <w:lang w:val="fr-FR" w:eastAsia="fr-FR"/>
        </w:rPr>
        <w:t>prêts hypothécaires communautaires</w:t>
      </w:r>
      <w:r w:rsidR="0086185C" w:rsidRPr="000F7862">
        <w:rPr>
          <w:lang w:val="fr-FR"/>
        </w:rPr>
        <w:t>.</w:t>
      </w:r>
    </w:p>
    <w:p w:rsidR="0086185C" w:rsidRPr="000F7862" w:rsidRDefault="003F7F57" w:rsidP="003F7F57">
      <w:pPr>
        <w:pStyle w:val="SingleTxtG"/>
        <w:rPr>
          <w:lang w:val="fr-FR"/>
        </w:rPr>
      </w:pPr>
      <w:r w:rsidRPr="000F7862">
        <w:rPr>
          <w:lang w:val="fr-FR"/>
        </w:rPr>
        <w:t>44.</w:t>
      </w:r>
      <w:r w:rsidRPr="000F7862">
        <w:rPr>
          <w:lang w:val="fr-FR"/>
        </w:rPr>
        <w:tab/>
      </w:r>
      <w:r w:rsidR="005961A6" w:rsidRPr="000F7862">
        <w:rPr>
          <w:lang w:val="fr-FR"/>
        </w:rPr>
        <w:t>Pour l</w:t>
      </w:r>
      <w:r w:rsidR="00120E2E" w:rsidRPr="000F7862">
        <w:rPr>
          <w:lang w:val="fr-FR"/>
        </w:rPr>
        <w:t>’</w:t>
      </w:r>
      <w:r w:rsidR="005961A6" w:rsidRPr="000F7862">
        <w:rPr>
          <w:lang w:val="fr-FR"/>
        </w:rPr>
        <w:t xml:space="preserve">exercice en cours, le </w:t>
      </w:r>
      <w:r w:rsidR="008F023B" w:rsidRPr="000F7862">
        <w:rPr>
          <w:lang w:val="fr-FR"/>
        </w:rPr>
        <w:t>G</w:t>
      </w:r>
      <w:r w:rsidR="0086185C" w:rsidRPr="000F7862">
        <w:rPr>
          <w:lang w:val="fr-FR"/>
        </w:rPr>
        <w:t>o</w:t>
      </w:r>
      <w:r w:rsidR="005961A6" w:rsidRPr="000F7862">
        <w:rPr>
          <w:lang w:val="fr-FR"/>
        </w:rPr>
        <w:t>u</w:t>
      </w:r>
      <w:r w:rsidR="0086185C" w:rsidRPr="000F7862">
        <w:rPr>
          <w:lang w:val="fr-FR"/>
        </w:rPr>
        <w:t>vern</w:t>
      </w:r>
      <w:r w:rsidR="005961A6" w:rsidRPr="000F7862">
        <w:rPr>
          <w:lang w:val="fr-FR"/>
        </w:rPr>
        <w:t>e</w:t>
      </w:r>
      <w:r w:rsidR="0086185C" w:rsidRPr="000F7862">
        <w:rPr>
          <w:lang w:val="fr-FR"/>
        </w:rPr>
        <w:t xml:space="preserve">ment </w:t>
      </w:r>
      <w:r w:rsidR="005961A6" w:rsidRPr="000F7862">
        <w:rPr>
          <w:lang w:val="fr-FR"/>
        </w:rPr>
        <w:t xml:space="preserve">finance la réinstallation des occupants sans titre à hauteur de </w:t>
      </w:r>
      <w:r w:rsidR="0086185C" w:rsidRPr="000F7862">
        <w:rPr>
          <w:lang w:val="fr-FR"/>
        </w:rPr>
        <w:t>10</w:t>
      </w:r>
      <w:r w:rsidR="005961A6" w:rsidRPr="000F7862">
        <w:rPr>
          <w:lang w:val="fr-FR"/>
        </w:rPr>
        <w:t>,</w:t>
      </w:r>
      <w:r w:rsidR="0086185C" w:rsidRPr="000F7862">
        <w:rPr>
          <w:lang w:val="fr-FR"/>
        </w:rPr>
        <w:t>2</w:t>
      </w:r>
      <w:r w:rsidR="00796D18" w:rsidRPr="000F7862">
        <w:rPr>
          <w:lang w:val="fr-FR"/>
        </w:rPr>
        <w:t> </w:t>
      </w:r>
      <w:r w:rsidR="005961A6" w:rsidRPr="000F7862">
        <w:rPr>
          <w:lang w:val="fr-FR"/>
        </w:rPr>
        <w:t>milliards de pesos</w:t>
      </w:r>
      <w:r w:rsidR="0086185C" w:rsidRPr="000F7862">
        <w:rPr>
          <w:lang w:val="fr-FR"/>
        </w:rPr>
        <w:t>.</w:t>
      </w:r>
      <w:r w:rsidR="00446EA5" w:rsidRPr="000F7862">
        <w:rPr>
          <w:lang w:val="fr-FR"/>
        </w:rPr>
        <w:t xml:space="preserve"> </w:t>
      </w:r>
      <w:r w:rsidR="005961A6" w:rsidRPr="000F7862">
        <w:rPr>
          <w:lang w:val="fr-FR"/>
        </w:rPr>
        <w:t xml:space="preserve">De plus, il </w:t>
      </w:r>
      <w:r w:rsidR="00B25015" w:rsidRPr="000F7862">
        <w:rPr>
          <w:lang w:val="fr-FR"/>
        </w:rPr>
        <w:t>a construit un complexe résidentiel à l</w:t>
      </w:r>
      <w:r w:rsidR="00120E2E" w:rsidRPr="000F7862">
        <w:rPr>
          <w:lang w:val="fr-FR"/>
        </w:rPr>
        <w:t>’</w:t>
      </w:r>
      <w:r w:rsidR="00B25015" w:rsidRPr="000F7862">
        <w:rPr>
          <w:lang w:val="fr-FR"/>
        </w:rPr>
        <w:t>intention des membres à faibles revenus des Forces armées et de la police</w:t>
      </w:r>
      <w:r w:rsidR="0086185C" w:rsidRPr="000F7862">
        <w:rPr>
          <w:lang w:val="fr-FR"/>
        </w:rPr>
        <w:t xml:space="preserve">, </w:t>
      </w:r>
      <w:r w:rsidR="00B25015" w:rsidRPr="000F7862">
        <w:rPr>
          <w:lang w:val="fr-FR"/>
        </w:rPr>
        <w:t xml:space="preserve">auquel il a affecté </w:t>
      </w:r>
      <w:r w:rsidR="0086185C" w:rsidRPr="000F7862">
        <w:rPr>
          <w:lang w:val="fr-FR"/>
        </w:rPr>
        <w:t>5</w:t>
      </w:r>
      <w:r w:rsidR="00B25015" w:rsidRPr="000F7862">
        <w:rPr>
          <w:lang w:val="fr-FR"/>
        </w:rPr>
        <w:t>,</w:t>
      </w:r>
      <w:r w:rsidR="0086185C" w:rsidRPr="000F7862">
        <w:rPr>
          <w:lang w:val="fr-FR"/>
        </w:rPr>
        <w:t>6</w:t>
      </w:r>
      <w:r w:rsidR="00796D18" w:rsidRPr="000F7862">
        <w:rPr>
          <w:lang w:val="fr-FR"/>
        </w:rPr>
        <w:t> </w:t>
      </w:r>
      <w:r w:rsidR="00B25015" w:rsidRPr="000F7862">
        <w:rPr>
          <w:lang w:val="fr-FR"/>
        </w:rPr>
        <w:t>milliards de pesos</w:t>
      </w:r>
      <w:r w:rsidR="0086185C" w:rsidRPr="000F7862">
        <w:rPr>
          <w:lang w:val="fr-FR"/>
        </w:rPr>
        <w:t>.</w:t>
      </w:r>
    </w:p>
    <w:p w:rsidR="0086185C" w:rsidRPr="000F7862" w:rsidRDefault="003F7F57" w:rsidP="003F7F57">
      <w:pPr>
        <w:pStyle w:val="SingleTxtG"/>
        <w:rPr>
          <w:lang w:val="fr-FR"/>
        </w:rPr>
      </w:pPr>
      <w:r w:rsidRPr="000F7862">
        <w:rPr>
          <w:lang w:val="fr-FR"/>
        </w:rPr>
        <w:t>45.</w:t>
      </w:r>
      <w:r w:rsidRPr="000F7862">
        <w:rPr>
          <w:lang w:val="fr-FR"/>
        </w:rPr>
        <w:tab/>
      </w:r>
      <w:r w:rsidR="00B25015" w:rsidRPr="000F7862">
        <w:rPr>
          <w:lang w:val="fr-FR"/>
        </w:rPr>
        <w:t xml:space="preserve">Dans le même temps, les fonds affectés au </w:t>
      </w:r>
      <w:r w:rsidR="00867E43" w:rsidRPr="000F7862">
        <w:rPr>
          <w:lang w:val="fr-FR"/>
        </w:rPr>
        <w:t>programme</w:t>
      </w:r>
      <w:r w:rsidR="0086185C" w:rsidRPr="000F7862">
        <w:rPr>
          <w:lang w:val="fr-FR"/>
        </w:rPr>
        <w:t xml:space="preserve"> </w:t>
      </w:r>
      <w:r w:rsidR="00B25015" w:rsidRPr="000F7862">
        <w:rPr>
          <w:lang w:val="fr-FR"/>
        </w:rPr>
        <w:t xml:space="preserve">de réinstallation et </w:t>
      </w:r>
      <w:r w:rsidR="00DB1D26" w:rsidRPr="000F7862">
        <w:rPr>
          <w:lang w:val="fr-FR"/>
        </w:rPr>
        <w:t xml:space="preserve">au </w:t>
      </w:r>
      <w:r w:rsidR="003B2374" w:rsidRPr="000F7862">
        <w:rPr>
          <w:lang w:val="fr-FR"/>
        </w:rPr>
        <w:t>prog</w:t>
      </w:r>
      <w:r w:rsidR="00DB1D26" w:rsidRPr="000F7862">
        <w:rPr>
          <w:lang w:val="fr-FR"/>
        </w:rPr>
        <w:t>ramme d</w:t>
      </w:r>
      <w:r w:rsidR="00120E2E" w:rsidRPr="000F7862">
        <w:rPr>
          <w:lang w:val="fr-FR"/>
        </w:rPr>
        <w:t>’</w:t>
      </w:r>
      <w:r w:rsidR="00B25015" w:rsidRPr="000F7862">
        <w:rPr>
          <w:lang w:val="fr-FR"/>
        </w:rPr>
        <w:t xml:space="preserve">assainissement des logements ont, en 2012, augmenté de </w:t>
      </w:r>
      <w:r w:rsidR="0086185C" w:rsidRPr="000F7862">
        <w:rPr>
          <w:lang w:val="fr-FR"/>
        </w:rPr>
        <w:t>28</w:t>
      </w:r>
      <w:r w:rsidR="00B25015" w:rsidRPr="000F7862">
        <w:rPr>
          <w:lang w:val="fr-FR"/>
        </w:rPr>
        <w:t>,</w:t>
      </w:r>
      <w:r w:rsidR="0086185C" w:rsidRPr="000F7862">
        <w:rPr>
          <w:lang w:val="fr-FR"/>
        </w:rPr>
        <w:t>7</w:t>
      </w:r>
      <w:r w:rsidR="00DC1196" w:rsidRPr="000F7862">
        <w:rPr>
          <w:lang w:val="fr-FR"/>
        </w:rPr>
        <w:t> %</w:t>
      </w:r>
      <w:r w:rsidR="0086185C" w:rsidRPr="000F7862">
        <w:rPr>
          <w:lang w:val="fr-FR"/>
        </w:rPr>
        <w:t xml:space="preserve"> </w:t>
      </w:r>
      <w:r w:rsidR="00B25015" w:rsidRPr="000F7862">
        <w:rPr>
          <w:lang w:val="fr-FR"/>
        </w:rPr>
        <w:t xml:space="preserve">et de </w:t>
      </w:r>
      <w:r w:rsidR="0086185C" w:rsidRPr="000F7862">
        <w:rPr>
          <w:lang w:val="fr-FR"/>
        </w:rPr>
        <w:t>27</w:t>
      </w:r>
      <w:r w:rsidR="00B25015" w:rsidRPr="000F7862">
        <w:rPr>
          <w:lang w:val="fr-FR"/>
        </w:rPr>
        <w:t>,</w:t>
      </w:r>
      <w:r w:rsidR="0086185C" w:rsidRPr="000F7862">
        <w:rPr>
          <w:lang w:val="fr-FR"/>
        </w:rPr>
        <w:t>8</w:t>
      </w:r>
      <w:r w:rsidR="00DC1196" w:rsidRPr="000F7862">
        <w:rPr>
          <w:lang w:val="fr-FR"/>
        </w:rPr>
        <w:t> %</w:t>
      </w:r>
      <w:r w:rsidR="0086185C" w:rsidRPr="000F7862">
        <w:rPr>
          <w:lang w:val="fr-FR"/>
        </w:rPr>
        <w:t>, respective</w:t>
      </w:r>
      <w:r w:rsidR="00B25015" w:rsidRPr="000F7862">
        <w:rPr>
          <w:lang w:val="fr-FR"/>
        </w:rPr>
        <w:t>ment</w:t>
      </w:r>
      <w:r w:rsidR="0086185C" w:rsidRPr="000F7862">
        <w:rPr>
          <w:lang w:val="fr-FR"/>
        </w:rPr>
        <w:t xml:space="preserve">, </w:t>
      </w:r>
      <w:r w:rsidR="00B25015" w:rsidRPr="000F7862">
        <w:rPr>
          <w:lang w:val="fr-FR"/>
        </w:rPr>
        <w:t xml:space="preserve">par rapport à </w:t>
      </w:r>
      <w:r w:rsidR="0086185C" w:rsidRPr="000F7862">
        <w:rPr>
          <w:lang w:val="fr-FR"/>
        </w:rPr>
        <w:t>2011.</w:t>
      </w:r>
      <w:r w:rsidR="00446EA5" w:rsidRPr="000F7862">
        <w:rPr>
          <w:lang w:val="fr-FR"/>
        </w:rPr>
        <w:t xml:space="preserve"> </w:t>
      </w:r>
      <w:r w:rsidR="00B25015" w:rsidRPr="000F7862">
        <w:rPr>
          <w:lang w:val="fr-FR"/>
        </w:rPr>
        <w:t xml:space="preserve">Le programme de </w:t>
      </w:r>
      <w:r w:rsidR="00B25015" w:rsidRPr="000F7862">
        <w:rPr>
          <w:lang w:val="fr-FR" w:eastAsia="fr-FR"/>
        </w:rPr>
        <w:t>prêts hypothécaires communautaires, de son côté, s</w:t>
      </w:r>
      <w:r w:rsidR="00120E2E" w:rsidRPr="000F7862">
        <w:rPr>
          <w:lang w:val="fr-FR" w:eastAsia="fr-FR"/>
        </w:rPr>
        <w:t>’</w:t>
      </w:r>
      <w:r w:rsidR="00B25015" w:rsidRPr="000F7862">
        <w:rPr>
          <w:lang w:val="fr-FR" w:eastAsia="fr-FR"/>
        </w:rPr>
        <w:t xml:space="preserve">est vu affecter </w:t>
      </w:r>
      <w:r w:rsidR="00DB1D26" w:rsidRPr="000F7862">
        <w:rPr>
          <w:lang w:val="fr-FR" w:eastAsia="fr-FR"/>
        </w:rPr>
        <w:t xml:space="preserve">1 milliard de pesos par le budget de </w:t>
      </w:r>
      <w:r w:rsidR="0086185C" w:rsidRPr="000F7862">
        <w:rPr>
          <w:lang w:val="fr-FR"/>
        </w:rPr>
        <w:t xml:space="preserve">2013, </w:t>
      </w:r>
      <w:r w:rsidR="00DB1D26" w:rsidRPr="000F7862">
        <w:rPr>
          <w:lang w:val="fr-FR"/>
        </w:rPr>
        <w:t xml:space="preserve">ce qui représente une nette augmentation par rapport aux </w:t>
      </w:r>
      <w:r w:rsidR="0086185C" w:rsidRPr="000F7862">
        <w:rPr>
          <w:lang w:val="fr-FR"/>
        </w:rPr>
        <w:t>500</w:t>
      </w:r>
      <w:r w:rsidR="00796D18" w:rsidRPr="000F7862">
        <w:rPr>
          <w:lang w:val="fr-FR"/>
        </w:rPr>
        <w:t> million</w:t>
      </w:r>
      <w:r w:rsidR="00DB1D26" w:rsidRPr="000F7862">
        <w:rPr>
          <w:lang w:val="fr-FR"/>
        </w:rPr>
        <w:t xml:space="preserve">s de pesos qui étaient affectés chaque année à ce programme depuis </w:t>
      </w:r>
      <w:r w:rsidR="0086185C" w:rsidRPr="000F7862">
        <w:rPr>
          <w:lang w:val="fr-FR"/>
        </w:rPr>
        <w:t>2009 (</w:t>
      </w:r>
      <w:r w:rsidR="00DB1D26" w:rsidRPr="000F7862">
        <w:rPr>
          <w:lang w:val="fr-FR"/>
        </w:rPr>
        <w:t>t</w:t>
      </w:r>
      <w:r w:rsidR="0086185C" w:rsidRPr="000F7862">
        <w:rPr>
          <w:lang w:val="fr-FR"/>
        </w:rPr>
        <w:t>able</w:t>
      </w:r>
      <w:r w:rsidR="00DB1D26" w:rsidRPr="000F7862">
        <w:rPr>
          <w:lang w:val="fr-FR"/>
        </w:rPr>
        <w:t>au</w:t>
      </w:r>
      <w:r w:rsidR="004B3B1E" w:rsidRPr="000F7862">
        <w:rPr>
          <w:lang w:val="fr-FR"/>
        </w:rPr>
        <w:t> </w:t>
      </w:r>
      <w:r w:rsidR="0086185C" w:rsidRPr="000F7862">
        <w:rPr>
          <w:lang w:val="fr-FR"/>
        </w:rPr>
        <w:t>8).</w:t>
      </w:r>
    </w:p>
    <w:p w:rsidR="0086185C" w:rsidRPr="000F7862" w:rsidRDefault="00F8429C" w:rsidP="00CA416E">
      <w:pPr>
        <w:pStyle w:val="H23G"/>
        <w:rPr>
          <w:b w:val="0"/>
          <w:bCs/>
          <w:sz w:val="16"/>
          <w:szCs w:val="16"/>
          <w:lang w:val="fr-FR"/>
        </w:rPr>
      </w:pPr>
      <w:r w:rsidRPr="000F7862">
        <w:rPr>
          <w:lang w:val="fr-FR"/>
        </w:rPr>
        <w:tab/>
      </w:r>
      <w:r w:rsidRPr="000F7862">
        <w:rPr>
          <w:lang w:val="fr-FR"/>
        </w:rPr>
        <w:tab/>
      </w:r>
      <w:r w:rsidR="0086185C" w:rsidRPr="000F7862">
        <w:rPr>
          <w:b w:val="0"/>
          <w:bCs/>
          <w:lang w:val="fr-FR"/>
        </w:rPr>
        <w:t>Table</w:t>
      </w:r>
      <w:r w:rsidR="00DB1D26" w:rsidRPr="000F7862">
        <w:rPr>
          <w:b w:val="0"/>
          <w:bCs/>
          <w:lang w:val="fr-FR"/>
        </w:rPr>
        <w:t>au</w:t>
      </w:r>
      <w:r w:rsidR="0086185C" w:rsidRPr="000F7862">
        <w:rPr>
          <w:b w:val="0"/>
          <w:bCs/>
          <w:lang w:val="fr-FR"/>
        </w:rPr>
        <w:t xml:space="preserve"> 8</w:t>
      </w:r>
      <w:r w:rsidR="003A2862" w:rsidRPr="000F7862">
        <w:rPr>
          <w:b w:val="0"/>
          <w:bCs/>
          <w:lang w:val="fr-FR"/>
        </w:rPr>
        <w:br/>
      </w:r>
      <w:r w:rsidR="00DB1D26" w:rsidRPr="000F7862">
        <w:rPr>
          <w:lang w:val="fr-FR"/>
        </w:rPr>
        <w:t>Fonds affectés à divers programmes de logement, niveaux de la loi générale sur les crédits budgétaires</w:t>
      </w:r>
      <w:r w:rsidR="00DB1D26" w:rsidRPr="000F7862">
        <w:rPr>
          <w:lang w:val="fr-FR"/>
        </w:rPr>
        <w:br/>
      </w:r>
      <w:r w:rsidR="00DB1D26" w:rsidRPr="000F7862">
        <w:rPr>
          <w:b w:val="0"/>
          <w:bCs/>
          <w:sz w:val="16"/>
          <w:szCs w:val="16"/>
          <w:lang w:val="fr-FR"/>
        </w:rPr>
        <w:t>(En millions de pe</w:t>
      </w:r>
      <w:r w:rsidR="00AE3930" w:rsidRPr="000F7862">
        <w:rPr>
          <w:b w:val="0"/>
          <w:bCs/>
          <w:sz w:val="16"/>
          <w:szCs w:val="16"/>
          <w:lang w:val="fr-FR"/>
        </w:rPr>
        <w:t>sos, sauf indication contraire)</w:t>
      </w:r>
    </w:p>
    <w:tbl>
      <w:tblPr>
        <w:tblW w:w="7370" w:type="dxa"/>
        <w:tblInd w:w="1134" w:type="dxa"/>
        <w:tblLayout w:type="fixed"/>
        <w:tblCellMar>
          <w:left w:w="0" w:type="dxa"/>
          <w:right w:w="0" w:type="dxa"/>
        </w:tblCellMar>
        <w:tblLook w:val="01E0"/>
      </w:tblPr>
      <w:tblGrid>
        <w:gridCol w:w="3766"/>
        <w:gridCol w:w="720"/>
        <w:gridCol w:w="721"/>
        <w:gridCol w:w="721"/>
        <w:gridCol w:w="721"/>
        <w:gridCol w:w="721"/>
      </w:tblGrid>
      <w:tr w:rsidR="00C42EC7" w:rsidRPr="000F7862" w:rsidTr="00C42EC7">
        <w:trPr>
          <w:tblHeader/>
        </w:trPr>
        <w:tc>
          <w:tcPr>
            <w:tcW w:w="3766" w:type="dxa"/>
            <w:tcBorders>
              <w:top w:val="single" w:sz="4" w:space="0" w:color="auto"/>
              <w:bottom w:val="single" w:sz="12" w:space="0" w:color="auto"/>
            </w:tcBorders>
            <w:shd w:val="clear" w:color="auto" w:fill="auto"/>
            <w:vAlign w:val="bottom"/>
          </w:tcPr>
          <w:p w:rsidR="00C42EC7" w:rsidRPr="000F7862" w:rsidRDefault="00C42EC7" w:rsidP="00C42EC7">
            <w:pPr>
              <w:spacing w:before="80" w:after="80" w:line="200" w:lineRule="exact"/>
              <w:rPr>
                <w:i/>
                <w:sz w:val="16"/>
                <w:lang w:val="fr-FR"/>
              </w:rPr>
            </w:pPr>
            <w:r w:rsidRPr="000F7862">
              <w:rPr>
                <w:i/>
                <w:sz w:val="16"/>
                <w:lang w:val="fr-FR"/>
              </w:rPr>
              <w:t>Postes de dépenses</w:t>
            </w:r>
          </w:p>
        </w:tc>
        <w:tc>
          <w:tcPr>
            <w:tcW w:w="720" w:type="dxa"/>
            <w:tcBorders>
              <w:top w:val="single" w:sz="4" w:space="0" w:color="auto"/>
              <w:bottom w:val="single" w:sz="12" w:space="0" w:color="auto"/>
            </w:tcBorders>
            <w:shd w:val="clear" w:color="auto" w:fill="auto"/>
            <w:vAlign w:val="bottom"/>
          </w:tcPr>
          <w:p w:rsidR="00C42EC7" w:rsidRPr="000F7862" w:rsidRDefault="00C42EC7" w:rsidP="00C42EC7">
            <w:pPr>
              <w:spacing w:before="80" w:after="80" w:line="200" w:lineRule="exact"/>
              <w:jc w:val="right"/>
              <w:rPr>
                <w:i/>
                <w:sz w:val="16"/>
                <w:lang w:val="fr-FR"/>
              </w:rPr>
            </w:pPr>
            <w:r w:rsidRPr="000F7862">
              <w:rPr>
                <w:i/>
                <w:sz w:val="16"/>
                <w:lang w:val="fr-FR"/>
              </w:rPr>
              <w:t>2009</w:t>
            </w:r>
          </w:p>
        </w:tc>
        <w:tc>
          <w:tcPr>
            <w:tcW w:w="721" w:type="dxa"/>
            <w:tcBorders>
              <w:top w:val="single" w:sz="4" w:space="0" w:color="auto"/>
              <w:bottom w:val="single" w:sz="12" w:space="0" w:color="auto"/>
            </w:tcBorders>
            <w:shd w:val="clear" w:color="auto" w:fill="auto"/>
            <w:vAlign w:val="bottom"/>
          </w:tcPr>
          <w:p w:rsidR="00C42EC7" w:rsidRPr="000F7862" w:rsidRDefault="00C42EC7" w:rsidP="00C42EC7">
            <w:pPr>
              <w:spacing w:before="80" w:after="80" w:line="200" w:lineRule="exact"/>
              <w:jc w:val="right"/>
              <w:rPr>
                <w:i/>
                <w:sz w:val="16"/>
                <w:lang w:val="fr-FR"/>
              </w:rPr>
            </w:pPr>
            <w:r w:rsidRPr="000F7862">
              <w:rPr>
                <w:i/>
                <w:sz w:val="16"/>
                <w:lang w:val="fr-FR"/>
              </w:rPr>
              <w:t>2010</w:t>
            </w:r>
          </w:p>
        </w:tc>
        <w:tc>
          <w:tcPr>
            <w:tcW w:w="721" w:type="dxa"/>
            <w:tcBorders>
              <w:top w:val="single" w:sz="4" w:space="0" w:color="auto"/>
              <w:bottom w:val="single" w:sz="12" w:space="0" w:color="auto"/>
            </w:tcBorders>
            <w:shd w:val="clear" w:color="auto" w:fill="auto"/>
            <w:vAlign w:val="bottom"/>
          </w:tcPr>
          <w:p w:rsidR="00C42EC7" w:rsidRPr="000F7862" w:rsidRDefault="00C42EC7" w:rsidP="00C42EC7">
            <w:pPr>
              <w:spacing w:before="80" w:after="80" w:line="200" w:lineRule="exact"/>
              <w:jc w:val="right"/>
              <w:rPr>
                <w:i/>
                <w:sz w:val="16"/>
                <w:lang w:val="fr-FR"/>
              </w:rPr>
            </w:pPr>
            <w:r w:rsidRPr="000F7862">
              <w:rPr>
                <w:i/>
                <w:sz w:val="16"/>
                <w:lang w:val="fr-FR"/>
              </w:rPr>
              <w:t>2011</w:t>
            </w:r>
          </w:p>
        </w:tc>
        <w:tc>
          <w:tcPr>
            <w:tcW w:w="721" w:type="dxa"/>
            <w:tcBorders>
              <w:top w:val="single" w:sz="4" w:space="0" w:color="auto"/>
              <w:bottom w:val="single" w:sz="12" w:space="0" w:color="auto"/>
            </w:tcBorders>
            <w:shd w:val="clear" w:color="auto" w:fill="auto"/>
            <w:vAlign w:val="bottom"/>
          </w:tcPr>
          <w:p w:rsidR="00C42EC7" w:rsidRPr="000F7862" w:rsidRDefault="00C42EC7" w:rsidP="00C42EC7">
            <w:pPr>
              <w:spacing w:before="80" w:after="80" w:line="200" w:lineRule="exact"/>
              <w:jc w:val="right"/>
              <w:rPr>
                <w:i/>
                <w:sz w:val="16"/>
                <w:lang w:val="fr-FR"/>
              </w:rPr>
            </w:pPr>
            <w:r w:rsidRPr="000F7862">
              <w:rPr>
                <w:i/>
                <w:sz w:val="16"/>
                <w:lang w:val="fr-FR"/>
              </w:rPr>
              <w:t>2012</w:t>
            </w:r>
          </w:p>
        </w:tc>
        <w:tc>
          <w:tcPr>
            <w:tcW w:w="721" w:type="dxa"/>
            <w:tcBorders>
              <w:top w:val="single" w:sz="4" w:space="0" w:color="auto"/>
              <w:bottom w:val="single" w:sz="12" w:space="0" w:color="auto"/>
            </w:tcBorders>
            <w:shd w:val="clear" w:color="auto" w:fill="auto"/>
            <w:vAlign w:val="bottom"/>
          </w:tcPr>
          <w:p w:rsidR="00C42EC7" w:rsidRPr="000F7862" w:rsidRDefault="00C42EC7" w:rsidP="00C42EC7">
            <w:pPr>
              <w:spacing w:before="80" w:after="80" w:line="200" w:lineRule="exact"/>
              <w:jc w:val="right"/>
              <w:rPr>
                <w:i/>
                <w:sz w:val="16"/>
                <w:lang w:val="fr-FR"/>
              </w:rPr>
            </w:pPr>
            <w:r w:rsidRPr="000F7862">
              <w:rPr>
                <w:i/>
                <w:sz w:val="16"/>
                <w:lang w:val="fr-FR"/>
              </w:rPr>
              <w:t>2013</w:t>
            </w:r>
          </w:p>
        </w:tc>
      </w:tr>
      <w:tr w:rsidR="00C42EC7" w:rsidRPr="000F7862" w:rsidTr="00C42EC7">
        <w:tc>
          <w:tcPr>
            <w:tcW w:w="3766" w:type="dxa"/>
            <w:tcBorders>
              <w:top w:val="single" w:sz="12" w:space="0" w:color="auto"/>
            </w:tcBorders>
            <w:shd w:val="clear" w:color="auto" w:fill="auto"/>
            <w:vAlign w:val="bottom"/>
          </w:tcPr>
          <w:p w:rsidR="00C42EC7" w:rsidRPr="000F7862" w:rsidRDefault="00C42EC7" w:rsidP="00C42EC7">
            <w:pPr>
              <w:spacing w:before="40" w:after="40" w:line="220" w:lineRule="exact"/>
              <w:rPr>
                <w:sz w:val="18"/>
                <w:lang w:val="fr-FR"/>
              </w:rPr>
            </w:pPr>
            <w:r w:rsidRPr="000F7862">
              <w:rPr>
                <w:sz w:val="18"/>
                <w:lang w:val="fr-FR"/>
              </w:rPr>
              <w:t>Programme de réinstallation</w:t>
            </w:r>
          </w:p>
        </w:tc>
        <w:tc>
          <w:tcPr>
            <w:tcW w:w="720" w:type="dxa"/>
            <w:tcBorders>
              <w:top w:val="single" w:sz="12" w:space="0" w:color="auto"/>
            </w:tcBorders>
            <w:shd w:val="clear" w:color="auto" w:fill="auto"/>
            <w:vAlign w:val="bottom"/>
          </w:tcPr>
          <w:p w:rsidR="00C42EC7" w:rsidRPr="000F7862" w:rsidRDefault="00C42EC7" w:rsidP="00C42EC7">
            <w:pPr>
              <w:spacing w:before="40" w:after="40" w:line="220" w:lineRule="exact"/>
              <w:jc w:val="right"/>
              <w:rPr>
                <w:sz w:val="18"/>
                <w:lang w:val="fr-FR"/>
              </w:rPr>
            </w:pPr>
            <w:r w:rsidRPr="000F7862">
              <w:rPr>
                <w:sz w:val="18"/>
                <w:lang w:val="fr-FR"/>
              </w:rPr>
              <w:t>3 200</w:t>
            </w:r>
          </w:p>
        </w:tc>
        <w:tc>
          <w:tcPr>
            <w:tcW w:w="721" w:type="dxa"/>
            <w:tcBorders>
              <w:top w:val="single" w:sz="12" w:space="0" w:color="auto"/>
            </w:tcBorders>
            <w:shd w:val="clear" w:color="auto" w:fill="auto"/>
            <w:vAlign w:val="bottom"/>
          </w:tcPr>
          <w:p w:rsidR="00C42EC7" w:rsidRPr="000F7862" w:rsidRDefault="00C42EC7" w:rsidP="00C42EC7">
            <w:pPr>
              <w:spacing w:before="40" w:after="40" w:line="220" w:lineRule="exact"/>
              <w:jc w:val="right"/>
              <w:rPr>
                <w:sz w:val="18"/>
                <w:lang w:val="fr-FR"/>
              </w:rPr>
            </w:pPr>
            <w:r w:rsidRPr="000F7862">
              <w:rPr>
                <w:sz w:val="18"/>
                <w:lang w:val="fr-FR"/>
              </w:rPr>
              <w:t>3 230</w:t>
            </w:r>
          </w:p>
        </w:tc>
        <w:tc>
          <w:tcPr>
            <w:tcW w:w="721" w:type="dxa"/>
            <w:tcBorders>
              <w:top w:val="single" w:sz="12" w:space="0" w:color="auto"/>
            </w:tcBorders>
            <w:shd w:val="clear" w:color="auto" w:fill="auto"/>
            <w:vAlign w:val="bottom"/>
          </w:tcPr>
          <w:p w:rsidR="00C42EC7" w:rsidRPr="000F7862" w:rsidRDefault="00C42EC7" w:rsidP="00C42EC7">
            <w:pPr>
              <w:spacing w:before="40" w:after="40" w:line="220" w:lineRule="exact"/>
              <w:jc w:val="right"/>
              <w:rPr>
                <w:sz w:val="18"/>
                <w:lang w:val="fr-FR"/>
              </w:rPr>
            </w:pPr>
            <w:r w:rsidRPr="000F7862">
              <w:rPr>
                <w:sz w:val="18"/>
                <w:lang w:val="fr-FR"/>
              </w:rPr>
              <w:t>4 275</w:t>
            </w:r>
          </w:p>
        </w:tc>
        <w:tc>
          <w:tcPr>
            <w:tcW w:w="721" w:type="dxa"/>
            <w:tcBorders>
              <w:top w:val="single" w:sz="12" w:space="0" w:color="auto"/>
            </w:tcBorders>
            <w:shd w:val="clear" w:color="auto" w:fill="auto"/>
            <w:vAlign w:val="bottom"/>
          </w:tcPr>
          <w:p w:rsidR="00C42EC7" w:rsidRPr="000F7862" w:rsidRDefault="00C42EC7" w:rsidP="00C42EC7">
            <w:pPr>
              <w:spacing w:before="40" w:after="40" w:line="220" w:lineRule="exact"/>
              <w:jc w:val="right"/>
              <w:rPr>
                <w:sz w:val="18"/>
                <w:lang w:val="fr-FR"/>
              </w:rPr>
            </w:pPr>
            <w:r w:rsidRPr="000F7862">
              <w:rPr>
                <w:sz w:val="18"/>
                <w:lang w:val="fr-FR"/>
              </w:rPr>
              <w:t>5 503</w:t>
            </w:r>
          </w:p>
        </w:tc>
        <w:tc>
          <w:tcPr>
            <w:tcW w:w="721" w:type="dxa"/>
            <w:tcBorders>
              <w:top w:val="single" w:sz="12" w:space="0" w:color="auto"/>
            </w:tcBorders>
            <w:shd w:val="clear" w:color="auto" w:fill="auto"/>
            <w:vAlign w:val="bottom"/>
          </w:tcPr>
          <w:p w:rsidR="00C42EC7" w:rsidRPr="000F7862" w:rsidRDefault="00C42EC7" w:rsidP="00C42EC7">
            <w:pPr>
              <w:spacing w:before="40" w:after="40" w:line="220" w:lineRule="exact"/>
              <w:jc w:val="right"/>
              <w:rPr>
                <w:sz w:val="18"/>
                <w:lang w:val="fr-FR"/>
              </w:rPr>
            </w:pPr>
            <w:r w:rsidRPr="000F7862">
              <w:rPr>
                <w:sz w:val="18"/>
                <w:lang w:val="fr-FR"/>
              </w:rPr>
              <w:t>4 882</w:t>
            </w:r>
          </w:p>
        </w:tc>
      </w:tr>
      <w:tr w:rsidR="00C42EC7" w:rsidRPr="000F7862" w:rsidTr="00C42EC7">
        <w:tc>
          <w:tcPr>
            <w:tcW w:w="3766" w:type="dxa"/>
            <w:shd w:val="clear" w:color="auto" w:fill="auto"/>
            <w:vAlign w:val="bottom"/>
          </w:tcPr>
          <w:p w:rsidR="00C42EC7" w:rsidRPr="000F7862" w:rsidRDefault="00C42EC7" w:rsidP="00C42EC7">
            <w:pPr>
              <w:spacing w:before="40" w:after="40" w:line="220" w:lineRule="exact"/>
              <w:ind w:left="170"/>
              <w:rPr>
                <w:sz w:val="18"/>
                <w:lang w:val="fr-FR"/>
              </w:rPr>
            </w:pPr>
            <w:r w:rsidRPr="000F7862">
              <w:rPr>
                <w:sz w:val="18"/>
                <w:lang w:val="fr-FR"/>
              </w:rPr>
              <w:t>Croissance (%)</w:t>
            </w:r>
          </w:p>
        </w:tc>
        <w:tc>
          <w:tcPr>
            <w:tcW w:w="720" w:type="dxa"/>
            <w:shd w:val="clear" w:color="auto" w:fill="auto"/>
            <w:vAlign w:val="bottom"/>
          </w:tcPr>
          <w:p w:rsidR="00C42EC7" w:rsidRPr="000F7862" w:rsidRDefault="00C42EC7" w:rsidP="00C42EC7">
            <w:pPr>
              <w:spacing w:before="40" w:after="40" w:line="220" w:lineRule="exact"/>
              <w:jc w:val="right"/>
              <w:rPr>
                <w:sz w:val="18"/>
                <w:lang w:val="fr-FR"/>
              </w:rPr>
            </w:pPr>
          </w:p>
        </w:tc>
        <w:tc>
          <w:tcPr>
            <w:tcW w:w="721" w:type="dxa"/>
            <w:shd w:val="clear" w:color="auto" w:fill="auto"/>
            <w:vAlign w:val="bottom"/>
          </w:tcPr>
          <w:p w:rsidR="00C42EC7" w:rsidRPr="000F7862" w:rsidRDefault="00C42EC7" w:rsidP="00C42EC7">
            <w:pPr>
              <w:spacing w:before="40" w:after="40" w:line="220" w:lineRule="exact"/>
              <w:jc w:val="right"/>
              <w:rPr>
                <w:sz w:val="18"/>
                <w:lang w:val="fr-FR"/>
              </w:rPr>
            </w:pPr>
            <w:r w:rsidRPr="000F7862">
              <w:rPr>
                <w:sz w:val="18"/>
                <w:lang w:val="fr-FR"/>
              </w:rPr>
              <w:t>0,9</w:t>
            </w:r>
          </w:p>
        </w:tc>
        <w:tc>
          <w:tcPr>
            <w:tcW w:w="721" w:type="dxa"/>
            <w:shd w:val="clear" w:color="auto" w:fill="auto"/>
            <w:vAlign w:val="bottom"/>
          </w:tcPr>
          <w:p w:rsidR="00C42EC7" w:rsidRPr="000F7862" w:rsidRDefault="00C42EC7" w:rsidP="00C42EC7">
            <w:pPr>
              <w:spacing w:before="40" w:after="40" w:line="220" w:lineRule="exact"/>
              <w:jc w:val="right"/>
              <w:rPr>
                <w:sz w:val="18"/>
                <w:lang w:val="fr-FR"/>
              </w:rPr>
            </w:pPr>
            <w:r w:rsidRPr="000F7862">
              <w:rPr>
                <w:sz w:val="18"/>
                <w:lang w:val="fr-FR"/>
              </w:rPr>
              <w:t>32,4</w:t>
            </w:r>
          </w:p>
        </w:tc>
        <w:tc>
          <w:tcPr>
            <w:tcW w:w="721" w:type="dxa"/>
            <w:shd w:val="clear" w:color="auto" w:fill="auto"/>
            <w:vAlign w:val="bottom"/>
          </w:tcPr>
          <w:p w:rsidR="00C42EC7" w:rsidRPr="000F7862" w:rsidRDefault="00C42EC7" w:rsidP="00C42EC7">
            <w:pPr>
              <w:spacing w:before="40" w:after="40" w:line="220" w:lineRule="exact"/>
              <w:jc w:val="right"/>
              <w:rPr>
                <w:sz w:val="18"/>
                <w:lang w:val="fr-FR"/>
              </w:rPr>
            </w:pPr>
            <w:r w:rsidRPr="000F7862">
              <w:rPr>
                <w:sz w:val="18"/>
                <w:lang w:val="fr-FR"/>
              </w:rPr>
              <w:t>28,7</w:t>
            </w:r>
          </w:p>
        </w:tc>
        <w:tc>
          <w:tcPr>
            <w:tcW w:w="721" w:type="dxa"/>
            <w:shd w:val="clear" w:color="auto" w:fill="auto"/>
            <w:vAlign w:val="bottom"/>
          </w:tcPr>
          <w:p w:rsidR="00C42EC7" w:rsidRPr="000F7862" w:rsidRDefault="00C42EC7" w:rsidP="00C42EC7">
            <w:pPr>
              <w:spacing w:before="40" w:after="40" w:line="220" w:lineRule="exact"/>
              <w:jc w:val="right"/>
              <w:rPr>
                <w:sz w:val="18"/>
                <w:lang w:val="fr-FR"/>
              </w:rPr>
            </w:pPr>
            <w:r w:rsidRPr="000F7862">
              <w:rPr>
                <w:sz w:val="18"/>
                <w:lang w:val="fr-FR"/>
              </w:rPr>
              <w:t>-11,3</w:t>
            </w:r>
          </w:p>
        </w:tc>
      </w:tr>
      <w:tr w:rsidR="00C42EC7" w:rsidRPr="000F7862" w:rsidTr="00C42EC7">
        <w:tc>
          <w:tcPr>
            <w:tcW w:w="3766" w:type="dxa"/>
            <w:shd w:val="clear" w:color="auto" w:fill="auto"/>
            <w:vAlign w:val="bottom"/>
          </w:tcPr>
          <w:p w:rsidR="00C42EC7" w:rsidRPr="000F7862" w:rsidRDefault="00C42EC7" w:rsidP="00C42EC7">
            <w:pPr>
              <w:spacing w:before="40" w:after="40" w:line="220" w:lineRule="exact"/>
              <w:rPr>
                <w:sz w:val="18"/>
                <w:lang w:val="fr-FR"/>
              </w:rPr>
            </w:pPr>
            <w:r w:rsidRPr="000F7862">
              <w:rPr>
                <w:sz w:val="18"/>
                <w:lang w:val="fr-FR"/>
              </w:rPr>
              <w:t>Programme d</w:t>
            </w:r>
            <w:r w:rsidR="00120E2E" w:rsidRPr="000F7862">
              <w:rPr>
                <w:sz w:val="18"/>
                <w:lang w:val="fr-FR"/>
              </w:rPr>
              <w:t>’</w:t>
            </w:r>
            <w:r w:rsidRPr="000F7862">
              <w:rPr>
                <w:sz w:val="18"/>
                <w:lang w:val="fr-FR"/>
              </w:rPr>
              <w:t>assainissement des logements</w:t>
            </w:r>
          </w:p>
        </w:tc>
        <w:tc>
          <w:tcPr>
            <w:tcW w:w="720" w:type="dxa"/>
            <w:shd w:val="clear" w:color="auto" w:fill="auto"/>
            <w:vAlign w:val="bottom"/>
          </w:tcPr>
          <w:p w:rsidR="00C42EC7" w:rsidRPr="000F7862" w:rsidRDefault="00C42EC7" w:rsidP="00C42EC7">
            <w:pPr>
              <w:spacing w:before="40" w:after="40" w:line="220" w:lineRule="exact"/>
              <w:jc w:val="right"/>
              <w:rPr>
                <w:sz w:val="18"/>
                <w:lang w:val="fr-FR"/>
              </w:rPr>
            </w:pPr>
          </w:p>
        </w:tc>
        <w:tc>
          <w:tcPr>
            <w:tcW w:w="721" w:type="dxa"/>
            <w:shd w:val="clear" w:color="auto" w:fill="auto"/>
            <w:vAlign w:val="bottom"/>
          </w:tcPr>
          <w:p w:rsidR="00C42EC7" w:rsidRPr="000F7862" w:rsidRDefault="00C42EC7" w:rsidP="00C42EC7">
            <w:pPr>
              <w:spacing w:before="40" w:after="40" w:line="220" w:lineRule="exact"/>
              <w:jc w:val="right"/>
              <w:rPr>
                <w:sz w:val="18"/>
                <w:lang w:val="fr-FR"/>
              </w:rPr>
            </w:pPr>
            <w:r w:rsidRPr="000F7862">
              <w:rPr>
                <w:sz w:val="18"/>
                <w:lang w:val="fr-FR"/>
              </w:rPr>
              <w:t>100</w:t>
            </w:r>
          </w:p>
        </w:tc>
        <w:tc>
          <w:tcPr>
            <w:tcW w:w="721" w:type="dxa"/>
            <w:shd w:val="clear" w:color="auto" w:fill="auto"/>
            <w:vAlign w:val="bottom"/>
          </w:tcPr>
          <w:p w:rsidR="00C42EC7" w:rsidRPr="000F7862" w:rsidRDefault="00C42EC7" w:rsidP="00C42EC7">
            <w:pPr>
              <w:spacing w:before="40" w:after="40" w:line="220" w:lineRule="exact"/>
              <w:jc w:val="right"/>
              <w:rPr>
                <w:sz w:val="18"/>
                <w:lang w:val="fr-FR"/>
              </w:rPr>
            </w:pPr>
            <w:r w:rsidRPr="000F7862">
              <w:rPr>
                <w:sz w:val="18"/>
                <w:lang w:val="fr-FR"/>
              </w:rPr>
              <w:t>100</w:t>
            </w:r>
          </w:p>
        </w:tc>
        <w:tc>
          <w:tcPr>
            <w:tcW w:w="721" w:type="dxa"/>
            <w:shd w:val="clear" w:color="auto" w:fill="auto"/>
            <w:vAlign w:val="bottom"/>
          </w:tcPr>
          <w:p w:rsidR="00C42EC7" w:rsidRPr="000F7862" w:rsidRDefault="00C42EC7" w:rsidP="00C42EC7">
            <w:pPr>
              <w:spacing w:before="40" w:after="40" w:line="220" w:lineRule="exact"/>
              <w:jc w:val="right"/>
              <w:rPr>
                <w:sz w:val="18"/>
                <w:lang w:val="fr-FR"/>
              </w:rPr>
            </w:pPr>
            <w:r w:rsidRPr="000F7862">
              <w:rPr>
                <w:sz w:val="18"/>
                <w:lang w:val="fr-FR"/>
              </w:rPr>
              <w:t>128</w:t>
            </w:r>
          </w:p>
        </w:tc>
        <w:tc>
          <w:tcPr>
            <w:tcW w:w="721" w:type="dxa"/>
            <w:shd w:val="clear" w:color="auto" w:fill="auto"/>
            <w:vAlign w:val="bottom"/>
          </w:tcPr>
          <w:p w:rsidR="00C42EC7" w:rsidRPr="000F7862" w:rsidRDefault="00C42EC7" w:rsidP="00C42EC7">
            <w:pPr>
              <w:spacing w:before="40" w:after="40" w:line="220" w:lineRule="exact"/>
              <w:jc w:val="right"/>
              <w:rPr>
                <w:sz w:val="18"/>
                <w:lang w:val="fr-FR"/>
              </w:rPr>
            </w:pPr>
            <w:r w:rsidRPr="000F7862">
              <w:rPr>
                <w:sz w:val="18"/>
                <w:lang w:val="fr-FR"/>
              </w:rPr>
              <w:t>128</w:t>
            </w:r>
          </w:p>
        </w:tc>
      </w:tr>
      <w:tr w:rsidR="00C42EC7" w:rsidRPr="000F7862" w:rsidTr="00C42EC7">
        <w:tc>
          <w:tcPr>
            <w:tcW w:w="3766" w:type="dxa"/>
            <w:shd w:val="clear" w:color="auto" w:fill="auto"/>
            <w:vAlign w:val="bottom"/>
          </w:tcPr>
          <w:p w:rsidR="00C42EC7" w:rsidRPr="000F7862" w:rsidRDefault="00C42EC7" w:rsidP="00C42EC7">
            <w:pPr>
              <w:spacing w:before="40" w:after="40" w:line="220" w:lineRule="exact"/>
              <w:ind w:left="170"/>
              <w:rPr>
                <w:sz w:val="18"/>
                <w:lang w:val="fr-FR"/>
              </w:rPr>
            </w:pPr>
            <w:r w:rsidRPr="000F7862">
              <w:rPr>
                <w:sz w:val="18"/>
                <w:lang w:val="fr-FR"/>
              </w:rPr>
              <w:t>Croissance (%)</w:t>
            </w:r>
          </w:p>
        </w:tc>
        <w:tc>
          <w:tcPr>
            <w:tcW w:w="720" w:type="dxa"/>
            <w:shd w:val="clear" w:color="auto" w:fill="auto"/>
            <w:vAlign w:val="bottom"/>
          </w:tcPr>
          <w:p w:rsidR="00C42EC7" w:rsidRPr="000F7862" w:rsidRDefault="00C42EC7" w:rsidP="00C42EC7">
            <w:pPr>
              <w:spacing w:before="40" w:after="40" w:line="220" w:lineRule="exact"/>
              <w:jc w:val="right"/>
              <w:rPr>
                <w:sz w:val="18"/>
                <w:lang w:val="fr-FR"/>
              </w:rPr>
            </w:pPr>
          </w:p>
        </w:tc>
        <w:tc>
          <w:tcPr>
            <w:tcW w:w="721" w:type="dxa"/>
            <w:shd w:val="clear" w:color="auto" w:fill="auto"/>
            <w:vAlign w:val="bottom"/>
          </w:tcPr>
          <w:p w:rsidR="00C42EC7" w:rsidRPr="000F7862" w:rsidRDefault="00C42EC7" w:rsidP="00C42EC7">
            <w:pPr>
              <w:spacing w:before="40" w:after="40" w:line="220" w:lineRule="exact"/>
              <w:jc w:val="right"/>
              <w:rPr>
                <w:sz w:val="18"/>
                <w:lang w:val="fr-FR"/>
              </w:rPr>
            </w:pPr>
          </w:p>
        </w:tc>
        <w:tc>
          <w:tcPr>
            <w:tcW w:w="721" w:type="dxa"/>
            <w:shd w:val="clear" w:color="auto" w:fill="auto"/>
            <w:vAlign w:val="bottom"/>
          </w:tcPr>
          <w:p w:rsidR="00C42EC7" w:rsidRPr="000F7862" w:rsidRDefault="00C42EC7" w:rsidP="00C42EC7">
            <w:pPr>
              <w:spacing w:before="40" w:after="40" w:line="220" w:lineRule="exact"/>
              <w:jc w:val="right"/>
              <w:rPr>
                <w:sz w:val="18"/>
                <w:lang w:val="fr-FR"/>
              </w:rPr>
            </w:pPr>
          </w:p>
        </w:tc>
        <w:tc>
          <w:tcPr>
            <w:tcW w:w="721" w:type="dxa"/>
            <w:shd w:val="clear" w:color="auto" w:fill="auto"/>
            <w:vAlign w:val="bottom"/>
          </w:tcPr>
          <w:p w:rsidR="00C42EC7" w:rsidRPr="000F7862" w:rsidRDefault="00C42EC7" w:rsidP="00C42EC7">
            <w:pPr>
              <w:spacing w:before="40" w:after="40" w:line="220" w:lineRule="exact"/>
              <w:jc w:val="right"/>
              <w:rPr>
                <w:sz w:val="18"/>
                <w:lang w:val="fr-FR"/>
              </w:rPr>
            </w:pPr>
            <w:r w:rsidRPr="000F7862">
              <w:rPr>
                <w:sz w:val="18"/>
                <w:lang w:val="fr-FR"/>
              </w:rPr>
              <w:t>27,8</w:t>
            </w:r>
          </w:p>
        </w:tc>
        <w:tc>
          <w:tcPr>
            <w:tcW w:w="721" w:type="dxa"/>
            <w:shd w:val="clear" w:color="auto" w:fill="auto"/>
            <w:vAlign w:val="bottom"/>
          </w:tcPr>
          <w:p w:rsidR="00C42EC7" w:rsidRPr="000F7862" w:rsidRDefault="00C42EC7" w:rsidP="00C42EC7">
            <w:pPr>
              <w:spacing w:before="40" w:after="40" w:line="220" w:lineRule="exact"/>
              <w:jc w:val="right"/>
              <w:rPr>
                <w:sz w:val="18"/>
                <w:lang w:val="fr-FR"/>
              </w:rPr>
            </w:pPr>
            <w:r w:rsidRPr="000F7862">
              <w:rPr>
                <w:sz w:val="18"/>
                <w:lang w:val="fr-FR"/>
              </w:rPr>
              <w:t>-</w:t>
            </w:r>
          </w:p>
        </w:tc>
      </w:tr>
      <w:tr w:rsidR="00C42EC7" w:rsidRPr="000F7862" w:rsidTr="00C42EC7">
        <w:tc>
          <w:tcPr>
            <w:tcW w:w="3766" w:type="dxa"/>
            <w:shd w:val="clear" w:color="auto" w:fill="auto"/>
            <w:vAlign w:val="bottom"/>
          </w:tcPr>
          <w:p w:rsidR="00C42EC7" w:rsidRPr="000F7862" w:rsidRDefault="00C42EC7" w:rsidP="00C42EC7">
            <w:pPr>
              <w:keepNext/>
              <w:spacing w:before="40" w:after="40" w:line="220" w:lineRule="exact"/>
              <w:rPr>
                <w:sz w:val="18"/>
                <w:lang w:val="fr-FR"/>
              </w:rPr>
            </w:pPr>
            <w:r w:rsidRPr="000F7862">
              <w:rPr>
                <w:sz w:val="18"/>
                <w:lang w:val="fr-FR"/>
              </w:rPr>
              <w:t>Programme de réinstallation des occupants sans titre</w:t>
            </w:r>
          </w:p>
        </w:tc>
        <w:tc>
          <w:tcPr>
            <w:tcW w:w="720" w:type="dxa"/>
            <w:shd w:val="clear" w:color="auto" w:fill="auto"/>
            <w:vAlign w:val="bottom"/>
          </w:tcPr>
          <w:p w:rsidR="00C42EC7" w:rsidRPr="000F7862" w:rsidRDefault="00C42EC7" w:rsidP="00C42EC7">
            <w:pPr>
              <w:keepNext/>
              <w:spacing w:before="40" w:after="40" w:line="220" w:lineRule="exact"/>
              <w:jc w:val="right"/>
              <w:rPr>
                <w:sz w:val="18"/>
                <w:lang w:val="fr-FR"/>
              </w:rPr>
            </w:pPr>
          </w:p>
        </w:tc>
        <w:tc>
          <w:tcPr>
            <w:tcW w:w="721" w:type="dxa"/>
            <w:shd w:val="clear" w:color="auto" w:fill="auto"/>
            <w:vAlign w:val="bottom"/>
          </w:tcPr>
          <w:p w:rsidR="00C42EC7" w:rsidRPr="000F7862" w:rsidRDefault="00C42EC7" w:rsidP="00C42EC7">
            <w:pPr>
              <w:keepNext/>
              <w:spacing w:before="40" w:after="40" w:line="220" w:lineRule="exact"/>
              <w:jc w:val="right"/>
              <w:rPr>
                <w:sz w:val="18"/>
                <w:lang w:val="fr-FR"/>
              </w:rPr>
            </w:pPr>
          </w:p>
        </w:tc>
        <w:tc>
          <w:tcPr>
            <w:tcW w:w="721" w:type="dxa"/>
            <w:shd w:val="clear" w:color="auto" w:fill="auto"/>
            <w:vAlign w:val="bottom"/>
          </w:tcPr>
          <w:p w:rsidR="00C42EC7" w:rsidRPr="000F7862" w:rsidRDefault="00C42EC7" w:rsidP="00C42EC7">
            <w:pPr>
              <w:keepNext/>
              <w:spacing w:before="40" w:after="40" w:line="220" w:lineRule="exact"/>
              <w:jc w:val="right"/>
              <w:rPr>
                <w:sz w:val="18"/>
                <w:lang w:val="fr-FR"/>
              </w:rPr>
            </w:pPr>
            <w:r w:rsidRPr="000F7862">
              <w:rPr>
                <w:sz w:val="18"/>
                <w:lang w:val="fr-FR"/>
              </w:rPr>
              <w:t>10 000</w:t>
            </w:r>
            <w:r w:rsidRPr="000F7862">
              <w:rPr>
                <w:i/>
                <w:sz w:val="18"/>
                <w:vertAlign w:val="superscript"/>
                <w:lang w:val="fr-FR"/>
              </w:rPr>
              <w:t>1</w:t>
            </w:r>
          </w:p>
        </w:tc>
        <w:tc>
          <w:tcPr>
            <w:tcW w:w="721" w:type="dxa"/>
            <w:shd w:val="clear" w:color="auto" w:fill="auto"/>
            <w:vAlign w:val="bottom"/>
          </w:tcPr>
          <w:p w:rsidR="00C42EC7" w:rsidRPr="000F7862" w:rsidRDefault="00C42EC7" w:rsidP="00C42EC7">
            <w:pPr>
              <w:keepNext/>
              <w:spacing w:before="40" w:after="40" w:line="220" w:lineRule="exact"/>
              <w:jc w:val="right"/>
              <w:rPr>
                <w:sz w:val="18"/>
                <w:lang w:val="fr-FR"/>
              </w:rPr>
            </w:pPr>
            <w:r w:rsidRPr="000F7862">
              <w:rPr>
                <w:sz w:val="18"/>
                <w:lang w:val="fr-FR"/>
              </w:rPr>
              <w:t>7 645</w:t>
            </w:r>
            <w:r w:rsidRPr="000F7862">
              <w:rPr>
                <w:i/>
                <w:sz w:val="18"/>
                <w:vertAlign w:val="superscript"/>
                <w:lang w:val="fr-FR"/>
              </w:rPr>
              <w:t>2</w:t>
            </w:r>
          </w:p>
        </w:tc>
        <w:tc>
          <w:tcPr>
            <w:tcW w:w="721" w:type="dxa"/>
            <w:shd w:val="clear" w:color="auto" w:fill="auto"/>
            <w:vAlign w:val="bottom"/>
          </w:tcPr>
          <w:p w:rsidR="00C42EC7" w:rsidRPr="000F7862" w:rsidRDefault="00C42EC7" w:rsidP="00C42EC7">
            <w:pPr>
              <w:keepNext/>
              <w:spacing w:before="40" w:after="40" w:line="220" w:lineRule="exact"/>
              <w:jc w:val="right"/>
              <w:rPr>
                <w:sz w:val="18"/>
                <w:lang w:val="fr-FR"/>
              </w:rPr>
            </w:pPr>
            <w:r w:rsidRPr="000F7862">
              <w:rPr>
                <w:sz w:val="18"/>
                <w:lang w:val="fr-FR"/>
              </w:rPr>
              <w:t>10 201</w:t>
            </w:r>
            <w:r w:rsidRPr="000F7862">
              <w:rPr>
                <w:i/>
                <w:sz w:val="18"/>
                <w:vertAlign w:val="superscript"/>
                <w:lang w:val="fr-FR"/>
              </w:rPr>
              <w:t>3</w:t>
            </w:r>
          </w:p>
        </w:tc>
      </w:tr>
      <w:tr w:rsidR="00C42EC7" w:rsidRPr="000F7862" w:rsidTr="00C42EC7">
        <w:tc>
          <w:tcPr>
            <w:tcW w:w="3766" w:type="dxa"/>
            <w:shd w:val="clear" w:color="auto" w:fill="auto"/>
            <w:vAlign w:val="bottom"/>
          </w:tcPr>
          <w:p w:rsidR="00C42EC7" w:rsidRPr="000F7862" w:rsidRDefault="00C42EC7" w:rsidP="00C42EC7">
            <w:pPr>
              <w:spacing w:before="40" w:after="40" w:line="220" w:lineRule="exact"/>
              <w:ind w:left="170"/>
              <w:rPr>
                <w:sz w:val="18"/>
                <w:lang w:val="fr-FR"/>
              </w:rPr>
            </w:pPr>
            <w:r w:rsidRPr="000F7862">
              <w:rPr>
                <w:sz w:val="18"/>
                <w:lang w:val="fr-FR"/>
              </w:rPr>
              <w:t>Croissance (%)</w:t>
            </w:r>
          </w:p>
        </w:tc>
        <w:tc>
          <w:tcPr>
            <w:tcW w:w="720" w:type="dxa"/>
            <w:shd w:val="clear" w:color="auto" w:fill="auto"/>
            <w:vAlign w:val="bottom"/>
          </w:tcPr>
          <w:p w:rsidR="00C42EC7" w:rsidRPr="000F7862" w:rsidRDefault="00C42EC7" w:rsidP="00C42EC7">
            <w:pPr>
              <w:spacing w:before="40" w:after="40" w:line="220" w:lineRule="exact"/>
              <w:jc w:val="right"/>
              <w:rPr>
                <w:sz w:val="18"/>
                <w:lang w:val="fr-FR"/>
              </w:rPr>
            </w:pPr>
          </w:p>
        </w:tc>
        <w:tc>
          <w:tcPr>
            <w:tcW w:w="721" w:type="dxa"/>
            <w:shd w:val="clear" w:color="auto" w:fill="auto"/>
            <w:vAlign w:val="bottom"/>
          </w:tcPr>
          <w:p w:rsidR="00C42EC7" w:rsidRPr="000F7862" w:rsidRDefault="00C42EC7" w:rsidP="00C42EC7">
            <w:pPr>
              <w:spacing w:before="40" w:after="40" w:line="220" w:lineRule="exact"/>
              <w:jc w:val="right"/>
              <w:rPr>
                <w:sz w:val="18"/>
                <w:lang w:val="fr-FR"/>
              </w:rPr>
            </w:pPr>
          </w:p>
        </w:tc>
        <w:tc>
          <w:tcPr>
            <w:tcW w:w="721" w:type="dxa"/>
            <w:shd w:val="clear" w:color="auto" w:fill="auto"/>
            <w:vAlign w:val="bottom"/>
          </w:tcPr>
          <w:p w:rsidR="00C42EC7" w:rsidRPr="000F7862" w:rsidRDefault="00C42EC7" w:rsidP="00C42EC7">
            <w:pPr>
              <w:spacing w:before="40" w:after="40" w:line="220" w:lineRule="exact"/>
              <w:jc w:val="right"/>
              <w:rPr>
                <w:sz w:val="18"/>
                <w:lang w:val="fr-FR"/>
              </w:rPr>
            </w:pPr>
          </w:p>
        </w:tc>
        <w:tc>
          <w:tcPr>
            <w:tcW w:w="721" w:type="dxa"/>
            <w:shd w:val="clear" w:color="auto" w:fill="auto"/>
            <w:vAlign w:val="bottom"/>
          </w:tcPr>
          <w:p w:rsidR="00C42EC7" w:rsidRPr="000F7862" w:rsidRDefault="00C42EC7" w:rsidP="00C42EC7">
            <w:pPr>
              <w:spacing w:before="40" w:after="40" w:line="220" w:lineRule="exact"/>
              <w:jc w:val="right"/>
              <w:rPr>
                <w:sz w:val="18"/>
                <w:lang w:val="fr-FR"/>
              </w:rPr>
            </w:pPr>
            <w:r w:rsidRPr="000F7862">
              <w:rPr>
                <w:sz w:val="18"/>
                <w:lang w:val="fr-FR"/>
              </w:rPr>
              <w:t>(23,6)</w:t>
            </w:r>
          </w:p>
        </w:tc>
        <w:tc>
          <w:tcPr>
            <w:tcW w:w="721" w:type="dxa"/>
            <w:shd w:val="clear" w:color="auto" w:fill="auto"/>
            <w:vAlign w:val="bottom"/>
          </w:tcPr>
          <w:p w:rsidR="00C42EC7" w:rsidRPr="000F7862" w:rsidRDefault="00C42EC7" w:rsidP="00C42EC7">
            <w:pPr>
              <w:spacing w:before="40" w:after="40" w:line="220" w:lineRule="exact"/>
              <w:jc w:val="right"/>
              <w:rPr>
                <w:sz w:val="18"/>
                <w:lang w:val="fr-FR"/>
              </w:rPr>
            </w:pPr>
            <w:r w:rsidRPr="000F7862">
              <w:rPr>
                <w:sz w:val="18"/>
                <w:lang w:val="fr-FR"/>
              </w:rPr>
              <w:t>33,4</w:t>
            </w:r>
          </w:p>
        </w:tc>
      </w:tr>
      <w:tr w:rsidR="00C42EC7" w:rsidRPr="000F7862" w:rsidTr="00C42EC7">
        <w:tc>
          <w:tcPr>
            <w:tcW w:w="3766" w:type="dxa"/>
            <w:shd w:val="clear" w:color="auto" w:fill="auto"/>
            <w:vAlign w:val="bottom"/>
          </w:tcPr>
          <w:p w:rsidR="00C42EC7" w:rsidRPr="000F7862" w:rsidRDefault="00C42EC7" w:rsidP="00C42EC7">
            <w:pPr>
              <w:spacing w:before="40" w:after="40" w:line="220" w:lineRule="exact"/>
              <w:rPr>
                <w:sz w:val="18"/>
                <w:lang w:val="fr-FR"/>
              </w:rPr>
            </w:pPr>
            <w:r w:rsidRPr="000F7862">
              <w:rPr>
                <w:sz w:val="18"/>
                <w:lang w:val="fr-FR"/>
              </w:rPr>
              <w:t>Programme de prêts hypothécaires communautaires</w:t>
            </w:r>
          </w:p>
        </w:tc>
        <w:tc>
          <w:tcPr>
            <w:tcW w:w="720" w:type="dxa"/>
            <w:shd w:val="clear" w:color="auto" w:fill="auto"/>
            <w:vAlign w:val="bottom"/>
          </w:tcPr>
          <w:p w:rsidR="00C42EC7" w:rsidRPr="000F7862" w:rsidRDefault="00C42EC7" w:rsidP="00C42EC7">
            <w:pPr>
              <w:spacing w:before="40" w:after="40" w:line="220" w:lineRule="exact"/>
              <w:jc w:val="right"/>
              <w:rPr>
                <w:sz w:val="18"/>
                <w:lang w:val="fr-FR"/>
              </w:rPr>
            </w:pPr>
            <w:r w:rsidRPr="000F7862">
              <w:rPr>
                <w:sz w:val="18"/>
                <w:lang w:val="fr-FR"/>
              </w:rPr>
              <w:t>500</w:t>
            </w:r>
          </w:p>
        </w:tc>
        <w:tc>
          <w:tcPr>
            <w:tcW w:w="721" w:type="dxa"/>
            <w:shd w:val="clear" w:color="auto" w:fill="auto"/>
            <w:vAlign w:val="bottom"/>
          </w:tcPr>
          <w:p w:rsidR="00C42EC7" w:rsidRPr="000F7862" w:rsidRDefault="00C42EC7" w:rsidP="00C42EC7">
            <w:pPr>
              <w:spacing w:before="40" w:after="40" w:line="220" w:lineRule="exact"/>
              <w:jc w:val="right"/>
              <w:rPr>
                <w:sz w:val="18"/>
                <w:lang w:val="fr-FR"/>
              </w:rPr>
            </w:pPr>
            <w:r w:rsidRPr="000F7862">
              <w:rPr>
                <w:sz w:val="18"/>
                <w:lang w:val="fr-FR"/>
              </w:rPr>
              <w:t>500</w:t>
            </w:r>
          </w:p>
        </w:tc>
        <w:tc>
          <w:tcPr>
            <w:tcW w:w="721" w:type="dxa"/>
            <w:shd w:val="clear" w:color="auto" w:fill="auto"/>
            <w:vAlign w:val="bottom"/>
          </w:tcPr>
          <w:p w:rsidR="00C42EC7" w:rsidRPr="000F7862" w:rsidRDefault="00C42EC7" w:rsidP="00C42EC7">
            <w:pPr>
              <w:spacing w:before="40" w:after="40" w:line="220" w:lineRule="exact"/>
              <w:jc w:val="right"/>
              <w:rPr>
                <w:sz w:val="18"/>
                <w:lang w:val="fr-FR"/>
              </w:rPr>
            </w:pPr>
            <w:r w:rsidRPr="000F7862">
              <w:rPr>
                <w:sz w:val="18"/>
                <w:lang w:val="fr-FR"/>
              </w:rPr>
              <w:t>500</w:t>
            </w:r>
          </w:p>
        </w:tc>
        <w:tc>
          <w:tcPr>
            <w:tcW w:w="721" w:type="dxa"/>
            <w:shd w:val="clear" w:color="auto" w:fill="auto"/>
            <w:vAlign w:val="bottom"/>
          </w:tcPr>
          <w:p w:rsidR="00C42EC7" w:rsidRPr="000F7862" w:rsidRDefault="00C42EC7" w:rsidP="00C42EC7">
            <w:pPr>
              <w:spacing w:before="40" w:after="40" w:line="220" w:lineRule="exact"/>
              <w:jc w:val="right"/>
              <w:rPr>
                <w:sz w:val="18"/>
                <w:lang w:val="fr-FR"/>
              </w:rPr>
            </w:pPr>
            <w:r w:rsidRPr="000F7862">
              <w:rPr>
                <w:sz w:val="18"/>
                <w:lang w:val="fr-FR"/>
              </w:rPr>
              <w:t>500</w:t>
            </w:r>
          </w:p>
        </w:tc>
        <w:tc>
          <w:tcPr>
            <w:tcW w:w="721" w:type="dxa"/>
            <w:shd w:val="clear" w:color="auto" w:fill="auto"/>
            <w:vAlign w:val="bottom"/>
          </w:tcPr>
          <w:p w:rsidR="00C42EC7" w:rsidRPr="000F7862" w:rsidRDefault="00C42EC7" w:rsidP="00C42EC7">
            <w:pPr>
              <w:spacing w:before="40" w:after="40" w:line="220" w:lineRule="exact"/>
              <w:jc w:val="right"/>
              <w:rPr>
                <w:sz w:val="18"/>
                <w:lang w:val="fr-FR"/>
              </w:rPr>
            </w:pPr>
            <w:r w:rsidRPr="000F7862">
              <w:rPr>
                <w:sz w:val="18"/>
                <w:lang w:val="fr-FR"/>
              </w:rPr>
              <w:t>1 000</w:t>
            </w:r>
          </w:p>
        </w:tc>
      </w:tr>
      <w:tr w:rsidR="00C42EC7" w:rsidRPr="000F7862" w:rsidTr="00C42EC7">
        <w:tc>
          <w:tcPr>
            <w:tcW w:w="3766" w:type="dxa"/>
            <w:shd w:val="clear" w:color="auto" w:fill="auto"/>
            <w:vAlign w:val="bottom"/>
          </w:tcPr>
          <w:p w:rsidR="00C42EC7" w:rsidRPr="000F7862" w:rsidRDefault="00C42EC7" w:rsidP="00C42EC7">
            <w:pPr>
              <w:spacing w:before="40" w:after="40" w:line="220" w:lineRule="exact"/>
              <w:ind w:left="170"/>
              <w:rPr>
                <w:sz w:val="18"/>
                <w:lang w:val="fr-FR"/>
              </w:rPr>
            </w:pPr>
            <w:r w:rsidRPr="000F7862">
              <w:rPr>
                <w:sz w:val="18"/>
                <w:lang w:val="fr-FR"/>
              </w:rPr>
              <w:t>Croissance (%)</w:t>
            </w:r>
          </w:p>
        </w:tc>
        <w:tc>
          <w:tcPr>
            <w:tcW w:w="720" w:type="dxa"/>
            <w:shd w:val="clear" w:color="auto" w:fill="auto"/>
            <w:vAlign w:val="bottom"/>
          </w:tcPr>
          <w:p w:rsidR="00C42EC7" w:rsidRPr="000F7862" w:rsidRDefault="00C42EC7" w:rsidP="00C42EC7">
            <w:pPr>
              <w:spacing w:before="40" w:after="40" w:line="220" w:lineRule="exact"/>
              <w:jc w:val="right"/>
              <w:rPr>
                <w:sz w:val="18"/>
                <w:lang w:val="fr-FR"/>
              </w:rPr>
            </w:pPr>
          </w:p>
        </w:tc>
        <w:tc>
          <w:tcPr>
            <w:tcW w:w="721" w:type="dxa"/>
            <w:shd w:val="clear" w:color="auto" w:fill="auto"/>
            <w:vAlign w:val="bottom"/>
          </w:tcPr>
          <w:p w:rsidR="00C42EC7" w:rsidRPr="000F7862" w:rsidRDefault="00C42EC7" w:rsidP="00C42EC7">
            <w:pPr>
              <w:spacing w:before="40" w:after="40" w:line="220" w:lineRule="exact"/>
              <w:jc w:val="right"/>
              <w:rPr>
                <w:sz w:val="18"/>
                <w:lang w:val="fr-FR"/>
              </w:rPr>
            </w:pPr>
            <w:r w:rsidRPr="000F7862">
              <w:rPr>
                <w:sz w:val="18"/>
                <w:lang w:val="fr-FR"/>
              </w:rPr>
              <w:t>-</w:t>
            </w:r>
          </w:p>
        </w:tc>
        <w:tc>
          <w:tcPr>
            <w:tcW w:w="721" w:type="dxa"/>
            <w:shd w:val="clear" w:color="auto" w:fill="auto"/>
            <w:vAlign w:val="bottom"/>
          </w:tcPr>
          <w:p w:rsidR="00C42EC7" w:rsidRPr="000F7862" w:rsidRDefault="00C42EC7" w:rsidP="00C42EC7">
            <w:pPr>
              <w:spacing w:before="40" w:after="40" w:line="220" w:lineRule="exact"/>
              <w:jc w:val="right"/>
              <w:rPr>
                <w:sz w:val="18"/>
                <w:lang w:val="fr-FR"/>
              </w:rPr>
            </w:pPr>
            <w:r w:rsidRPr="000F7862">
              <w:rPr>
                <w:sz w:val="18"/>
                <w:lang w:val="fr-FR"/>
              </w:rPr>
              <w:t>-</w:t>
            </w:r>
          </w:p>
        </w:tc>
        <w:tc>
          <w:tcPr>
            <w:tcW w:w="721" w:type="dxa"/>
            <w:shd w:val="clear" w:color="auto" w:fill="auto"/>
            <w:vAlign w:val="bottom"/>
          </w:tcPr>
          <w:p w:rsidR="00C42EC7" w:rsidRPr="000F7862" w:rsidRDefault="00C42EC7" w:rsidP="00C42EC7">
            <w:pPr>
              <w:spacing w:before="40" w:after="40" w:line="220" w:lineRule="exact"/>
              <w:jc w:val="right"/>
              <w:rPr>
                <w:sz w:val="18"/>
                <w:lang w:val="fr-FR"/>
              </w:rPr>
            </w:pPr>
            <w:r w:rsidRPr="000F7862">
              <w:rPr>
                <w:sz w:val="18"/>
                <w:lang w:val="fr-FR"/>
              </w:rPr>
              <w:t>-</w:t>
            </w:r>
          </w:p>
        </w:tc>
        <w:tc>
          <w:tcPr>
            <w:tcW w:w="721" w:type="dxa"/>
            <w:shd w:val="clear" w:color="auto" w:fill="auto"/>
            <w:vAlign w:val="bottom"/>
          </w:tcPr>
          <w:p w:rsidR="00C42EC7" w:rsidRPr="000F7862" w:rsidRDefault="00C42EC7" w:rsidP="00C42EC7">
            <w:pPr>
              <w:spacing w:before="40" w:after="40" w:line="220" w:lineRule="exact"/>
              <w:jc w:val="right"/>
              <w:rPr>
                <w:sz w:val="18"/>
                <w:lang w:val="fr-FR"/>
              </w:rPr>
            </w:pPr>
            <w:r w:rsidRPr="000F7862">
              <w:rPr>
                <w:sz w:val="18"/>
                <w:lang w:val="fr-FR"/>
              </w:rPr>
              <w:t>100,0</w:t>
            </w:r>
          </w:p>
        </w:tc>
      </w:tr>
      <w:tr w:rsidR="00C42EC7" w:rsidRPr="000F7862" w:rsidTr="00C42EC7">
        <w:tc>
          <w:tcPr>
            <w:tcW w:w="3766" w:type="dxa"/>
            <w:shd w:val="clear" w:color="auto" w:fill="auto"/>
            <w:vAlign w:val="bottom"/>
          </w:tcPr>
          <w:p w:rsidR="00C42EC7" w:rsidRPr="000F7862" w:rsidRDefault="00C42EC7" w:rsidP="00C42EC7">
            <w:pPr>
              <w:spacing w:before="40" w:after="40" w:line="220" w:lineRule="exact"/>
              <w:rPr>
                <w:sz w:val="18"/>
                <w:lang w:val="fr-FR"/>
              </w:rPr>
            </w:pPr>
            <w:r w:rsidRPr="000F7862">
              <w:rPr>
                <w:sz w:val="18"/>
                <w:lang w:val="fr-FR"/>
              </w:rPr>
              <w:t>Programme de logements des Forces armées et de la police</w:t>
            </w:r>
          </w:p>
        </w:tc>
        <w:tc>
          <w:tcPr>
            <w:tcW w:w="720" w:type="dxa"/>
            <w:shd w:val="clear" w:color="auto" w:fill="auto"/>
            <w:vAlign w:val="bottom"/>
          </w:tcPr>
          <w:p w:rsidR="00C42EC7" w:rsidRPr="000F7862" w:rsidRDefault="00C42EC7" w:rsidP="00C42EC7">
            <w:pPr>
              <w:spacing w:before="40" w:after="40" w:line="220" w:lineRule="exact"/>
              <w:jc w:val="right"/>
              <w:rPr>
                <w:sz w:val="18"/>
                <w:lang w:val="fr-FR"/>
              </w:rPr>
            </w:pPr>
          </w:p>
        </w:tc>
        <w:tc>
          <w:tcPr>
            <w:tcW w:w="721" w:type="dxa"/>
            <w:shd w:val="clear" w:color="auto" w:fill="auto"/>
            <w:vAlign w:val="bottom"/>
          </w:tcPr>
          <w:p w:rsidR="00C42EC7" w:rsidRPr="000F7862" w:rsidRDefault="00C42EC7" w:rsidP="00C42EC7">
            <w:pPr>
              <w:spacing w:before="40" w:after="40" w:line="220" w:lineRule="exact"/>
              <w:jc w:val="right"/>
              <w:rPr>
                <w:sz w:val="18"/>
                <w:lang w:val="fr-FR"/>
              </w:rPr>
            </w:pPr>
          </w:p>
        </w:tc>
        <w:tc>
          <w:tcPr>
            <w:tcW w:w="721" w:type="dxa"/>
            <w:shd w:val="clear" w:color="auto" w:fill="auto"/>
            <w:vAlign w:val="bottom"/>
          </w:tcPr>
          <w:p w:rsidR="00C42EC7" w:rsidRPr="000F7862" w:rsidRDefault="00C42EC7" w:rsidP="00C42EC7">
            <w:pPr>
              <w:spacing w:before="40" w:after="40" w:line="220" w:lineRule="exact"/>
              <w:jc w:val="right"/>
              <w:rPr>
                <w:sz w:val="18"/>
                <w:lang w:val="fr-FR"/>
              </w:rPr>
            </w:pPr>
            <w:r w:rsidRPr="000F7862">
              <w:rPr>
                <w:sz w:val="18"/>
                <w:lang w:val="fr-FR"/>
              </w:rPr>
              <w:t>4 676</w:t>
            </w:r>
          </w:p>
        </w:tc>
        <w:tc>
          <w:tcPr>
            <w:tcW w:w="721" w:type="dxa"/>
            <w:shd w:val="clear" w:color="auto" w:fill="auto"/>
            <w:vAlign w:val="bottom"/>
          </w:tcPr>
          <w:p w:rsidR="00C42EC7" w:rsidRPr="000F7862" w:rsidRDefault="00C42EC7" w:rsidP="00C42EC7">
            <w:pPr>
              <w:spacing w:before="40" w:after="40" w:line="220" w:lineRule="exact"/>
              <w:jc w:val="right"/>
              <w:rPr>
                <w:sz w:val="18"/>
                <w:lang w:val="fr-FR"/>
              </w:rPr>
            </w:pPr>
            <w:r w:rsidRPr="000F7862">
              <w:rPr>
                <w:sz w:val="18"/>
                <w:lang w:val="fr-FR"/>
              </w:rPr>
              <w:t>8 514</w:t>
            </w:r>
          </w:p>
        </w:tc>
        <w:tc>
          <w:tcPr>
            <w:tcW w:w="721" w:type="dxa"/>
            <w:shd w:val="clear" w:color="auto" w:fill="auto"/>
            <w:vAlign w:val="bottom"/>
          </w:tcPr>
          <w:p w:rsidR="00C42EC7" w:rsidRPr="000F7862" w:rsidRDefault="00C42EC7" w:rsidP="00C42EC7">
            <w:pPr>
              <w:spacing w:before="40" w:after="40" w:line="220" w:lineRule="exact"/>
              <w:jc w:val="right"/>
              <w:rPr>
                <w:sz w:val="18"/>
                <w:lang w:val="fr-FR"/>
              </w:rPr>
            </w:pPr>
            <w:r w:rsidRPr="000F7862">
              <w:rPr>
                <w:sz w:val="18"/>
                <w:lang w:val="fr-FR"/>
              </w:rPr>
              <w:t>5 621,7</w:t>
            </w:r>
          </w:p>
        </w:tc>
      </w:tr>
      <w:tr w:rsidR="00C42EC7" w:rsidRPr="000F7862" w:rsidTr="00C42EC7">
        <w:tc>
          <w:tcPr>
            <w:tcW w:w="3766" w:type="dxa"/>
            <w:tcBorders>
              <w:bottom w:val="single" w:sz="12" w:space="0" w:color="auto"/>
            </w:tcBorders>
            <w:shd w:val="clear" w:color="auto" w:fill="auto"/>
            <w:vAlign w:val="bottom"/>
          </w:tcPr>
          <w:p w:rsidR="00C42EC7" w:rsidRPr="000F7862" w:rsidRDefault="00C42EC7" w:rsidP="00C42EC7">
            <w:pPr>
              <w:spacing w:before="40" w:after="40" w:line="220" w:lineRule="exact"/>
              <w:ind w:left="170"/>
              <w:rPr>
                <w:sz w:val="18"/>
                <w:lang w:val="fr-FR"/>
              </w:rPr>
            </w:pPr>
            <w:r w:rsidRPr="000F7862">
              <w:rPr>
                <w:sz w:val="18"/>
                <w:lang w:val="fr-FR"/>
              </w:rPr>
              <w:t>Croissance (%)</w:t>
            </w:r>
          </w:p>
        </w:tc>
        <w:tc>
          <w:tcPr>
            <w:tcW w:w="720" w:type="dxa"/>
            <w:tcBorders>
              <w:bottom w:val="single" w:sz="12" w:space="0" w:color="auto"/>
            </w:tcBorders>
            <w:shd w:val="clear" w:color="auto" w:fill="auto"/>
            <w:vAlign w:val="bottom"/>
          </w:tcPr>
          <w:p w:rsidR="00C42EC7" w:rsidRPr="000F7862" w:rsidRDefault="00C42EC7" w:rsidP="00C42EC7">
            <w:pPr>
              <w:spacing w:before="40" w:after="40" w:line="220" w:lineRule="exact"/>
              <w:jc w:val="right"/>
              <w:rPr>
                <w:sz w:val="18"/>
                <w:lang w:val="fr-FR"/>
              </w:rPr>
            </w:pPr>
          </w:p>
        </w:tc>
        <w:tc>
          <w:tcPr>
            <w:tcW w:w="721" w:type="dxa"/>
            <w:tcBorders>
              <w:bottom w:val="single" w:sz="12" w:space="0" w:color="auto"/>
            </w:tcBorders>
            <w:shd w:val="clear" w:color="auto" w:fill="auto"/>
            <w:vAlign w:val="bottom"/>
          </w:tcPr>
          <w:p w:rsidR="00C42EC7" w:rsidRPr="000F7862" w:rsidRDefault="00C42EC7" w:rsidP="00C42EC7">
            <w:pPr>
              <w:spacing w:before="40" w:after="40" w:line="220" w:lineRule="exact"/>
              <w:jc w:val="right"/>
              <w:rPr>
                <w:sz w:val="18"/>
                <w:lang w:val="fr-FR"/>
              </w:rPr>
            </w:pPr>
          </w:p>
        </w:tc>
        <w:tc>
          <w:tcPr>
            <w:tcW w:w="721" w:type="dxa"/>
            <w:tcBorders>
              <w:bottom w:val="single" w:sz="12" w:space="0" w:color="auto"/>
            </w:tcBorders>
            <w:shd w:val="clear" w:color="auto" w:fill="auto"/>
            <w:vAlign w:val="bottom"/>
          </w:tcPr>
          <w:p w:rsidR="00C42EC7" w:rsidRPr="000F7862" w:rsidRDefault="00C42EC7" w:rsidP="00C42EC7">
            <w:pPr>
              <w:spacing w:before="40" w:after="40" w:line="220" w:lineRule="exact"/>
              <w:jc w:val="right"/>
              <w:rPr>
                <w:sz w:val="18"/>
                <w:lang w:val="fr-FR"/>
              </w:rPr>
            </w:pPr>
          </w:p>
        </w:tc>
        <w:tc>
          <w:tcPr>
            <w:tcW w:w="721" w:type="dxa"/>
            <w:tcBorders>
              <w:bottom w:val="single" w:sz="12" w:space="0" w:color="auto"/>
            </w:tcBorders>
            <w:shd w:val="clear" w:color="auto" w:fill="auto"/>
            <w:vAlign w:val="bottom"/>
          </w:tcPr>
          <w:p w:rsidR="00C42EC7" w:rsidRPr="000F7862" w:rsidRDefault="00C42EC7" w:rsidP="00C42EC7">
            <w:pPr>
              <w:spacing w:before="40" w:after="40" w:line="220" w:lineRule="exact"/>
              <w:jc w:val="right"/>
              <w:rPr>
                <w:sz w:val="18"/>
                <w:lang w:val="fr-FR"/>
              </w:rPr>
            </w:pPr>
            <w:r w:rsidRPr="000F7862">
              <w:rPr>
                <w:sz w:val="18"/>
                <w:lang w:val="fr-FR"/>
              </w:rPr>
              <w:t>82,1</w:t>
            </w:r>
          </w:p>
        </w:tc>
        <w:tc>
          <w:tcPr>
            <w:tcW w:w="721" w:type="dxa"/>
            <w:tcBorders>
              <w:bottom w:val="single" w:sz="12" w:space="0" w:color="auto"/>
            </w:tcBorders>
            <w:shd w:val="clear" w:color="auto" w:fill="auto"/>
            <w:vAlign w:val="bottom"/>
          </w:tcPr>
          <w:p w:rsidR="00C42EC7" w:rsidRPr="000F7862" w:rsidRDefault="00C42EC7" w:rsidP="00C42EC7">
            <w:pPr>
              <w:spacing w:before="40" w:after="40" w:line="220" w:lineRule="exact"/>
              <w:jc w:val="right"/>
              <w:rPr>
                <w:sz w:val="18"/>
                <w:lang w:val="fr-FR"/>
              </w:rPr>
            </w:pPr>
            <w:r w:rsidRPr="000F7862">
              <w:rPr>
                <w:sz w:val="18"/>
                <w:lang w:val="fr-FR"/>
              </w:rPr>
              <w:t>(34,0)</w:t>
            </w:r>
          </w:p>
        </w:tc>
      </w:tr>
    </w:tbl>
    <w:p w:rsidR="0086185C" w:rsidRPr="000F7862" w:rsidRDefault="00FD0FD7" w:rsidP="00B53507">
      <w:pPr>
        <w:pStyle w:val="HChG"/>
        <w:rPr>
          <w:lang w:val="fr-FR"/>
        </w:rPr>
      </w:pPr>
      <w:r w:rsidRPr="000F7862">
        <w:rPr>
          <w:lang w:val="fr-FR"/>
        </w:rPr>
        <w:tab/>
      </w:r>
      <w:r w:rsidR="00B53507" w:rsidRPr="000F7862">
        <w:rPr>
          <w:lang w:val="fr-FR"/>
        </w:rPr>
        <w:t>IV</w:t>
      </w:r>
      <w:r w:rsidRPr="000F7862">
        <w:rPr>
          <w:lang w:val="fr-FR"/>
        </w:rPr>
        <w:t>.</w:t>
      </w:r>
      <w:r w:rsidRPr="000F7862">
        <w:rPr>
          <w:lang w:val="fr-FR"/>
        </w:rPr>
        <w:tab/>
      </w:r>
      <w:r w:rsidR="0041541E" w:rsidRPr="000F7862">
        <w:rPr>
          <w:lang w:val="fr-FR"/>
        </w:rPr>
        <w:t>Renseignements relatifs aux article</w:t>
      </w:r>
      <w:r w:rsidR="00660FE7" w:rsidRPr="000F7862">
        <w:rPr>
          <w:lang w:val="fr-FR"/>
        </w:rPr>
        <w:t>s</w:t>
      </w:r>
      <w:r w:rsidR="0041541E" w:rsidRPr="000F7862">
        <w:rPr>
          <w:lang w:val="fr-FR"/>
        </w:rPr>
        <w:t xml:space="preserve"> 2 et 10 du Pacte</w:t>
      </w:r>
    </w:p>
    <w:p w:rsidR="0086185C" w:rsidRPr="000F7862" w:rsidRDefault="003F7F57" w:rsidP="003F7F57">
      <w:pPr>
        <w:pStyle w:val="SingleTxtG"/>
        <w:rPr>
          <w:u w:color="0000FF"/>
          <w:lang w:val="fr-FR"/>
        </w:rPr>
      </w:pPr>
      <w:r w:rsidRPr="000F7862">
        <w:rPr>
          <w:u w:color="0000FF"/>
          <w:lang w:val="fr-FR"/>
        </w:rPr>
        <w:t>46.</w:t>
      </w:r>
      <w:r w:rsidRPr="000F7862">
        <w:rPr>
          <w:u w:color="0000FF"/>
          <w:lang w:val="fr-FR"/>
        </w:rPr>
        <w:tab/>
      </w:r>
      <w:r w:rsidR="0041541E" w:rsidRPr="000F7862">
        <w:rPr>
          <w:lang w:val="fr-FR"/>
        </w:rPr>
        <w:t>Le législateur philippin s</w:t>
      </w:r>
      <w:r w:rsidR="00120E2E" w:rsidRPr="000F7862">
        <w:rPr>
          <w:lang w:val="fr-FR"/>
        </w:rPr>
        <w:t>’</w:t>
      </w:r>
      <w:r w:rsidR="0041541E" w:rsidRPr="000F7862">
        <w:rPr>
          <w:lang w:val="fr-FR"/>
        </w:rPr>
        <w:t xml:space="preserve">est employé à abroger et/ou à modifier certaines dispositions des lois nationales qui étaient considérées comme </w:t>
      </w:r>
      <w:r w:rsidR="0086185C" w:rsidRPr="000F7862">
        <w:rPr>
          <w:u w:color="0000FF"/>
          <w:lang w:val="fr-FR"/>
        </w:rPr>
        <w:t>discriminato</w:t>
      </w:r>
      <w:r w:rsidR="0041541E" w:rsidRPr="000F7862">
        <w:rPr>
          <w:u w:color="0000FF"/>
          <w:lang w:val="fr-FR"/>
        </w:rPr>
        <w:t>ires à l</w:t>
      </w:r>
      <w:r w:rsidR="00120E2E" w:rsidRPr="000F7862">
        <w:rPr>
          <w:u w:color="0000FF"/>
          <w:lang w:val="fr-FR"/>
        </w:rPr>
        <w:t>’</w:t>
      </w:r>
      <w:r w:rsidR="0041541E" w:rsidRPr="000F7862">
        <w:rPr>
          <w:u w:color="0000FF"/>
          <w:lang w:val="fr-FR"/>
        </w:rPr>
        <w:t>égard des femmes</w:t>
      </w:r>
      <w:r w:rsidR="0086185C" w:rsidRPr="000F7862">
        <w:rPr>
          <w:u w:color="0000FF"/>
          <w:lang w:val="fr-FR"/>
        </w:rPr>
        <w:t>.</w:t>
      </w:r>
      <w:r w:rsidR="00446EA5" w:rsidRPr="000F7862">
        <w:rPr>
          <w:u w:color="0000FF"/>
          <w:lang w:val="fr-FR"/>
        </w:rPr>
        <w:t xml:space="preserve"> </w:t>
      </w:r>
      <w:r w:rsidR="0041541E" w:rsidRPr="000F7862">
        <w:rPr>
          <w:u w:color="0000FF"/>
          <w:lang w:val="fr-FR"/>
        </w:rPr>
        <w:t>Il s</w:t>
      </w:r>
      <w:r w:rsidR="00120E2E" w:rsidRPr="000F7862">
        <w:rPr>
          <w:u w:color="0000FF"/>
          <w:lang w:val="fr-FR"/>
        </w:rPr>
        <w:t>’</w:t>
      </w:r>
      <w:r w:rsidR="0041541E" w:rsidRPr="000F7862">
        <w:rPr>
          <w:u w:color="0000FF"/>
          <w:lang w:val="fr-FR"/>
        </w:rPr>
        <w:t>agit notamment des lois ci-après</w:t>
      </w:r>
      <w:r w:rsidR="0005004C" w:rsidRPr="000F7862">
        <w:rPr>
          <w:u w:color="0000FF"/>
          <w:lang w:val="fr-FR"/>
        </w:rPr>
        <w:t>:</w:t>
      </w:r>
    </w:p>
    <w:p w:rsidR="0086185C" w:rsidRPr="000F7862" w:rsidRDefault="0041541E" w:rsidP="009111E1">
      <w:pPr>
        <w:pStyle w:val="Bullet1G"/>
      </w:pPr>
      <w:r w:rsidRPr="000F7862">
        <w:t xml:space="preserve">La loi de la </w:t>
      </w:r>
      <w:r w:rsidR="0086185C" w:rsidRPr="000F7862">
        <w:t>R</w:t>
      </w:r>
      <w:r w:rsidRPr="000F7862">
        <w:t>é</w:t>
      </w:r>
      <w:r w:rsidR="0086185C" w:rsidRPr="000F7862">
        <w:t>publi</w:t>
      </w:r>
      <w:r w:rsidRPr="000F7862">
        <w:t>que</w:t>
      </w:r>
      <w:r w:rsidR="0086185C" w:rsidRPr="000F7862">
        <w:t xml:space="preserve"> </w:t>
      </w:r>
      <w:r w:rsidR="006C06E3" w:rsidRPr="000F7862">
        <w:t>n</w:t>
      </w:r>
      <w:r w:rsidR="006C06E3" w:rsidRPr="000F7862">
        <w:rPr>
          <w:vertAlign w:val="superscript"/>
        </w:rPr>
        <w:t>o</w:t>
      </w:r>
      <w:r w:rsidR="006C06E3" w:rsidRPr="000F7862">
        <w:t> </w:t>
      </w:r>
      <w:r w:rsidR="0086185C" w:rsidRPr="000F7862">
        <w:t>10151 o</w:t>
      </w:r>
      <w:r w:rsidRPr="000F7862">
        <w:t>u</w:t>
      </w:r>
      <w:r w:rsidR="0086185C" w:rsidRPr="000F7862">
        <w:t xml:space="preserve"> </w:t>
      </w:r>
      <w:r w:rsidRPr="000F7862">
        <w:t xml:space="preserve">loi de 2011 </w:t>
      </w:r>
      <w:r w:rsidR="00E30337" w:rsidRPr="000F7862">
        <w:t>portant autorisation</w:t>
      </w:r>
      <w:r w:rsidRPr="000F7862">
        <w:t xml:space="preserve"> l</w:t>
      </w:r>
      <w:r w:rsidR="00120E2E" w:rsidRPr="000F7862">
        <w:t>’</w:t>
      </w:r>
      <w:r w:rsidRPr="000F7862">
        <w:t xml:space="preserve">emploi de travailleurs de nuit a abrogé les </w:t>
      </w:r>
      <w:r w:rsidR="001C088C" w:rsidRPr="000F7862">
        <w:t>a</w:t>
      </w:r>
      <w:r w:rsidR="00B63BFB" w:rsidRPr="000F7862">
        <w:t>rt</w:t>
      </w:r>
      <w:r w:rsidR="00443779" w:rsidRPr="000F7862">
        <w:t xml:space="preserve">icles </w:t>
      </w:r>
      <w:r w:rsidR="0086185C" w:rsidRPr="000F7862">
        <w:t xml:space="preserve">130 </w:t>
      </w:r>
      <w:r w:rsidRPr="000F7862">
        <w:t>et</w:t>
      </w:r>
      <w:r w:rsidR="0086185C" w:rsidRPr="000F7862">
        <w:t xml:space="preserve"> 131 </w:t>
      </w:r>
      <w:r w:rsidRPr="000F7862">
        <w:t xml:space="preserve">du Code du travail </w:t>
      </w:r>
      <w:r w:rsidR="0086185C" w:rsidRPr="000F7862">
        <w:t>(</w:t>
      </w:r>
      <w:r w:rsidRPr="000F7862">
        <w:t xml:space="preserve">décret présidentiel </w:t>
      </w:r>
      <w:r w:rsidR="0086185C" w:rsidRPr="000F7862">
        <w:t>442)</w:t>
      </w:r>
      <w:r w:rsidRPr="000F7862">
        <w:t>,</w:t>
      </w:r>
      <w:r w:rsidR="0086185C" w:rsidRPr="000F7862">
        <w:t xml:space="preserve"> </w:t>
      </w:r>
      <w:r w:rsidRPr="000F7862">
        <w:t>qui interdisaient aux femmes de travailler de nuit, et a, de ce fait, élargi leurs possibilités d</w:t>
      </w:r>
      <w:r w:rsidR="00120E2E" w:rsidRPr="000F7862">
        <w:t>’</w:t>
      </w:r>
      <w:r w:rsidRPr="000F7862">
        <w:t>emploi ou de travail</w:t>
      </w:r>
      <w:r w:rsidR="003A2862" w:rsidRPr="000F7862">
        <w:t>;</w:t>
      </w:r>
    </w:p>
    <w:p w:rsidR="0086185C" w:rsidRPr="000F7862" w:rsidRDefault="0041541E" w:rsidP="009B71DB">
      <w:pPr>
        <w:pStyle w:val="Bullet1G"/>
        <w:rPr>
          <w:u w:val="single" w:color="0000FF"/>
        </w:rPr>
      </w:pPr>
      <w:r w:rsidRPr="000F7862">
        <w:t xml:space="preserve">La loi de la République </w:t>
      </w:r>
      <w:r w:rsidR="006C06E3" w:rsidRPr="000F7862">
        <w:t>n</w:t>
      </w:r>
      <w:r w:rsidR="006C06E3" w:rsidRPr="000F7862">
        <w:rPr>
          <w:vertAlign w:val="superscript"/>
        </w:rPr>
        <w:t>o</w:t>
      </w:r>
      <w:r w:rsidR="006C06E3" w:rsidRPr="000F7862">
        <w:t> </w:t>
      </w:r>
      <w:r w:rsidR="0086185C" w:rsidRPr="000F7862">
        <w:t>10364 o</w:t>
      </w:r>
      <w:r w:rsidRPr="000F7862">
        <w:t>u</w:t>
      </w:r>
      <w:r w:rsidR="0086185C" w:rsidRPr="000F7862">
        <w:t xml:space="preserve"> </w:t>
      </w:r>
      <w:r w:rsidR="00575014" w:rsidRPr="000F7862">
        <w:t xml:space="preserve">loi </w:t>
      </w:r>
      <w:r w:rsidR="006B7F7E" w:rsidRPr="000F7862">
        <w:t xml:space="preserve">élargie </w:t>
      </w:r>
      <w:r w:rsidR="00575014" w:rsidRPr="000F7862">
        <w:t>de 2012 sur la lutte contre la traite des êtres humains a modifié et renforcé la loi de 2003 sur la lutte contre la traite des êtres humains</w:t>
      </w:r>
      <w:r w:rsidR="0086185C" w:rsidRPr="000F7862">
        <w:t>.</w:t>
      </w:r>
      <w:r w:rsidR="00446EA5" w:rsidRPr="000F7862">
        <w:t xml:space="preserve"> </w:t>
      </w:r>
      <w:r w:rsidR="00575014" w:rsidRPr="000F7862">
        <w:t>La nouvelle loi élargit la liste des actes considérés comme favorisant la traite de manière à y inclure</w:t>
      </w:r>
      <w:r w:rsidR="0005004C" w:rsidRPr="000F7862">
        <w:t>:</w:t>
      </w:r>
      <w:r w:rsidR="00575014" w:rsidRPr="000F7862">
        <w:t xml:space="preserve"> a) la destruction ou l</w:t>
      </w:r>
      <w:r w:rsidR="00120E2E" w:rsidRPr="000F7862">
        <w:t>’</w:t>
      </w:r>
      <w:r w:rsidR="004E54DA" w:rsidRPr="000F7862">
        <w:t>altération</w:t>
      </w:r>
      <w:r w:rsidR="00575014" w:rsidRPr="000F7862">
        <w:t xml:space="preserve"> de preuves; b) l</w:t>
      </w:r>
      <w:r w:rsidR="00BC4A04" w:rsidRPr="000F7862">
        <w:t>a subornation de</w:t>
      </w:r>
      <w:r w:rsidR="00575014" w:rsidRPr="000F7862">
        <w:t xml:space="preserve"> témoins lors d</w:t>
      </w:r>
      <w:r w:rsidR="00120E2E" w:rsidRPr="000F7862">
        <w:t>’</w:t>
      </w:r>
      <w:r w:rsidR="00BC4A04" w:rsidRPr="000F7862">
        <w:t>une</w:t>
      </w:r>
      <w:r w:rsidR="00575014" w:rsidRPr="000F7862">
        <w:t xml:space="preserve"> l</w:t>
      </w:r>
      <w:r w:rsidR="00120E2E" w:rsidRPr="000F7862">
        <w:t>’</w:t>
      </w:r>
      <w:r w:rsidR="00575014" w:rsidRPr="000F7862">
        <w:t>enquête; et c) l</w:t>
      </w:r>
      <w:r w:rsidR="00120E2E" w:rsidRPr="000F7862">
        <w:t>’</w:t>
      </w:r>
      <w:r w:rsidR="00575014" w:rsidRPr="000F7862">
        <w:t>utilisation d</w:t>
      </w:r>
      <w:r w:rsidR="00120E2E" w:rsidRPr="000F7862">
        <w:t>’</w:t>
      </w:r>
      <w:r w:rsidR="0077123B" w:rsidRPr="000F7862">
        <w:t>une</w:t>
      </w:r>
      <w:r w:rsidR="00575014" w:rsidRPr="000F7862">
        <w:t xml:space="preserve"> fonction </w:t>
      </w:r>
      <w:r w:rsidR="0077123B" w:rsidRPr="000F7862">
        <w:t xml:space="preserve">publique </w:t>
      </w:r>
      <w:r w:rsidR="00575014" w:rsidRPr="000F7862">
        <w:t xml:space="preserve">pour </w:t>
      </w:r>
      <w:r w:rsidR="006E027C" w:rsidRPr="000F7862">
        <w:t>faire obstruction à</w:t>
      </w:r>
      <w:r w:rsidR="00575014" w:rsidRPr="000F7862">
        <w:t xml:space="preserve"> une enquête ou empêcher l</w:t>
      </w:r>
      <w:r w:rsidR="00120E2E" w:rsidRPr="000F7862">
        <w:t>’</w:t>
      </w:r>
      <w:r w:rsidR="00575014" w:rsidRPr="000F7862">
        <w:t>exécution d</w:t>
      </w:r>
      <w:r w:rsidR="00120E2E" w:rsidRPr="000F7862">
        <w:t>’</w:t>
      </w:r>
      <w:r w:rsidR="00A003CF" w:rsidRPr="000F7862">
        <w:t>une</w:t>
      </w:r>
      <w:r w:rsidR="00575014" w:rsidRPr="000F7862">
        <w:t xml:space="preserve"> décision </w:t>
      </w:r>
      <w:r w:rsidR="00A003CF" w:rsidRPr="000F7862">
        <w:t>prise conformément à la loi</w:t>
      </w:r>
      <w:r w:rsidR="0086185C" w:rsidRPr="000F7862">
        <w:rPr>
          <w:u w:color="0000FF"/>
        </w:rPr>
        <w:t>.</w:t>
      </w:r>
      <w:r w:rsidR="00446EA5" w:rsidRPr="000F7862">
        <w:rPr>
          <w:u w:color="0000FF"/>
        </w:rPr>
        <w:t xml:space="preserve"> </w:t>
      </w:r>
      <w:r w:rsidR="00575014" w:rsidRPr="000F7862">
        <w:t>Parmi les dispositions importantes de cette loi figure la prestation</w:t>
      </w:r>
      <w:r w:rsidR="00EB3DDC" w:rsidRPr="000F7862">
        <w:t>, avant le départ,</w:t>
      </w:r>
      <w:r w:rsidR="00575014" w:rsidRPr="000F7862">
        <w:t xml:space="preserve"> de services de conseil aux Philippines qui</w:t>
      </w:r>
      <w:r w:rsidR="00DE7F3E" w:rsidRPr="000F7862">
        <w:t xml:space="preserve"> contractent</w:t>
      </w:r>
      <w:r w:rsidR="00575014" w:rsidRPr="000F7862">
        <w:t xml:space="preserve"> un mariage</w:t>
      </w:r>
      <w:r w:rsidR="00DE7F3E" w:rsidRPr="000F7862">
        <w:t xml:space="preserve"> avec un ressortissant étranger</w:t>
      </w:r>
      <w:r w:rsidR="00575014" w:rsidRPr="000F7862">
        <w:t>, afin</w:t>
      </w:r>
      <w:r w:rsidR="007314AC" w:rsidRPr="000F7862">
        <w:t xml:space="preserve"> d</w:t>
      </w:r>
      <w:r w:rsidR="00120E2E" w:rsidRPr="000F7862">
        <w:t>’</w:t>
      </w:r>
      <w:r w:rsidR="007314AC" w:rsidRPr="000F7862">
        <w:t>éviter</w:t>
      </w:r>
      <w:r w:rsidR="00575014" w:rsidRPr="000F7862">
        <w:t xml:space="preserve"> que </w:t>
      </w:r>
      <w:r w:rsidR="007314AC" w:rsidRPr="000F7862">
        <w:t>c</w:t>
      </w:r>
      <w:r w:rsidR="00575014" w:rsidRPr="000F7862">
        <w:t xml:space="preserve">es femmes </w:t>
      </w:r>
      <w:r w:rsidR="009601D1" w:rsidRPr="000F7862">
        <w:t xml:space="preserve">ne </w:t>
      </w:r>
      <w:r w:rsidR="007314AC" w:rsidRPr="000F7862">
        <w:t>deviennent</w:t>
      </w:r>
      <w:r w:rsidR="00575014" w:rsidRPr="000F7862">
        <w:t xml:space="preserve"> victimes de traite d</w:t>
      </w:r>
      <w:r w:rsidR="004C1A7A" w:rsidRPr="000F7862">
        <w:t xml:space="preserve">es </w:t>
      </w:r>
      <w:r w:rsidR="00575014" w:rsidRPr="000F7862">
        <w:t>êtres humains sous le couvert de ce mariage</w:t>
      </w:r>
      <w:r w:rsidR="0086185C" w:rsidRPr="000F7862">
        <w:rPr>
          <w:u w:color="0000FF"/>
        </w:rPr>
        <w:t>.</w:t>
      </w:r>
      <w:r w:rsidR="00446EA5" w:rsidRPr="000F7862">
        <w:rPr>
          <w:u w:color="0000FF"/>
        </w:rPr>
        <w:t xml:space="preserve"> </w:t>
      </w:r>
      <w:r w:rsidR="00575014" w:rsidRPr="000F7862">
        <w:t xml:space="preserve">Cette nouvelle loi </w:t>
      </w:r>
      <w:r w:rsidR="001F36EA" w:rsidRPr="000F7862">
        <w:t>érige</w:t>
      </w:r>
      <w:r w:rsidR="00575014" w:rsidRPr="000F7862">
        <w:t xml:space="preserve"> également l</w:t>
      </w:r>
      <w:r w:rsidR="001F36EA" w:rsidRPr="000F7862">
        <w:t>a</w:t>
      </w:r>
      <w:r w:rsidR="00575014" w:rsidRPr="000F7862">
        <w:t xml:space="preserve"> tentative de traite d</w:t>
      </w:r>
      <w:r w:rsidR="00120E2E" w:rsidRPr="000F7862">
        <w:t>’</w:t>
      </w:r>
      <w:r w:rsidR="00575014" w:rsidRPr="000F7862">
        <w:t xml:space="preserve">être humain </w:t>
      </w:r>
      <w:r w:rsidR="001F36EA" w:rsidRPr="000F7862">
        <w:t>en</w:t>
      </w:r>
      <w:r w:rsidR="00575014" w:rsidRPr="000F7862">
        <w:t xml:space="preserve"> infraction passible d</w:t>
      </w:r>
      <w:r w:rsidR="00120E2E" w:rsidRPr="000F7862">
        <w:t>’</w:t>
      </w:r>
      <w:r w:rsidR="00575014" w:rsidRPr="000F7862">
        <w:t>une peine d</w:t>
      </w:r>
      <w:r w:rsidR="00120E2E" w:rsidRPr="000F7862">
        <w:t>’</w:t>
      </w:r>
      <w:r w:rsidR="00575014" w:rsidRPr="000F7862">
        <w:t xml:space="preserve">emprisonnement de </w:t>
      </w:r>
      <w:r w:rsidR="009B71DB" w:rsidRPr="000F7862">
        <w:t>quinze</w:t>
      </w:r>
      <w:r w:rsidR="00575014" w:rsidRPr="000F7862">
        <w:t xml:space="preserve"> ans et d</w:t>
      </w:r>
      <w:r w:rsidR="00120E2E" w:rsidRPr="000F7862">
        <w:t>’</w:t>
      </w:r>
      <w:r w:rsidR="00575014" w:rsidRPr="000F7862">
        <w:t>une amende de 500 000 à 1 million de pesos</w:t>
      </w:r>
      <w:r w:rsidR="0086185C" w:rsidRPr="000F7862">
        <w:rPr>
          <w:u w:color="0000FF"/>
          <w:shd w:val="clear" w:color="auto" w:fill="FFFFFF"/>
        </w:rPr>
        <w:t>.</w:t>
      </w:r>
      <w:r w:rsidR="00446EA5" w:rsidRPr="000F7862">
        <w:rPr>
          <w:u w:color="0000FF"/>
          <w:shd w:val="clear" w:color="auto" w:fill="FFFFFF"/>
        </w:rPr>
        <w:t xml:space="preserve"> </w:t>
      </w:r>
      <w:r w:rsidR="00575014" w:rsidRPr="000F7862">
        <w:rPr>
          <w:u w:color="0000FF"/>
          <w:shd w:val="clear" w:color="auto" w:fill="FFFFFF"/>
        </w:rPr>
        <w:t xml:space="preserve">Elle augmente par ailleurs le financement des organismes publics </w:t>
      </w:r>
      <w:r w:rsidR="00DD4276" w:rsidRPr="000F7862">
        <w:rPr>
          <w:u w:color="0000FF"/>
          <w:shd w:val="clear" w:color="auto" w:fill="FFFFFF"/>
        </w:rPr>
        <w:t>impliqués dans</w:t>
      </w:r>
      <w:r w:rsidR="00575014" w:rsidRPr="000F7862">
        <w:rPr>
          <w:u w:color="0000FF"/>
          <w:shd w:val="clear" w:color="auto" w:fill="FFFFFF"/>
        </w:rPr>
        <w:t xml:space="preserve"> la lutte contre la traite des êtres humains</w:t>
      </w:r>
      <w:r w:rsidR="0086185C" w:rsidRPr="000F7862">
        <w:rPr>
          <w:u w:color="0000FF"/>
        </w:rPr>
        <w:t>.</w:t>
      </w:r>
    </w:p>
    <w:p w:rsidR="0086185C" w:rsidRPr="000F7862" w:rsidRDefault="003F7F57" w:rsidP="003F7F57">
      <w:pPr>
        <w:pStyle w:val="SingleTxtG"/>
        <w:rPr>
          <w:lang w:val="fr-FR"/>
        </w:rPr>
      </w:pPr>
      <w:r w:rsidRPr="000F7862">
        <w:rPr>
          <w:lang w:val="fr-FR"/>
        </w:rPr>
        <w:t>47.</w:t>
      </w:r>
      <w:r w:rsidRPr="000F7862">
        <w:rPr>
          <w:lang w:val="fr-FR"/>
        </w:rPr>
        <w:tab/>
      </w:r>
      <w:r w:rsidR="00575014" w:rsidRPr="000F7862">
        <w:rPr>
          <w:lang w:val="fr-FR"/>
        </w:rPr>
        <w:t xml:space="preserve">Au nombre des priorités </w:t>
      </w:r>
      <w:r w:rsidR="00DD4276" w:rsidRPr="000F7862">
        <w:rPr>
          <w:lang w:val="fr-FR"/>
        </w:rPr>
        <w:t>fixées par le</w:t>
      </w:r>
      <w:r w:rsidR="00575014" w:rsidRPr="000F7862">
        <w:rPr>
          <w:lang w:val="fr-FR"/>
        </w:rPr>
        <w:t xml:space="preserve"> </w:t>
      </w:r>
      <w:r w:rsidR="00575014" w:rsidRPr="000F7862">
        <w:rPr>
          <w:color w:val="000000"/>
          <w:lang w:val="fr-FR"/>
        </w:rPr>
        <w:t xml:space="preserve">programme législatif prioritaire </w:t>
      </w:r>
      <w:r w:rsidR="00A55A68" w:rsidRPr="000F7862">
        <w:rPr>
          <w:color w:val="000000"/>
          <w:lang w:val="fr-FR"/>
        </w:rPr>
        <w:t>relatif aux</w:t>
      </w:r>
      <w:r w:rsidR="00575014" w:rsidRPr="000F7862">
        <w:rPr>
          <w:color w:val="000000"/>
          <w:lang w:val="fr-FR"/>
        </w:rPr>
        <w:t xml:space="preserve"> femmes</w:t>
      </w:r>
      <w:r w:rsidR="00575014" w:rsidRPr="000F7862">
        <w:rPr>
          <w:lang w:val="fr-FR"/>
        </w:rPr>
        <w:t xml:space="preserve"> </w:t>
      </w:r>
      <w:r w:rsidR="008D2676" w:rsidRPr="000F7862">
        <w:rPr>
          <w:lang w:val="fr-FR"/>
        </w:rPr>
        <w:t>de la quinzième législature figurait l</w:t>
      </w:r>
      <w:r w:rsidR="00120E2E" w:rsidRPr="000F7862">
        <w:rPr>
          <w:lang w:val="fr-FR"/>
        </w:rPr>
        <w:t>’</w:t>
      </w:r>
      <w:r w:rsidR="008D2676" w:rsidRPr="000F7862">
        <w:rPr>
          <w:lang w:val="fr-FR"/>
        </w:rPr>
        <w:t>adoption du projet de loi qui modifierait ou abrogerait les dispositions discriminatoires du Code pénal révisé, notamment celles qui concernent l</w:t>
      </w:r>
      <w:r w:rsidR="00120E2E" w:rsidRPr="000F7862">
        <w:rPr>
          <w:lang w:val="fr-FR"/>
        </w:rPr>
        <w:t>’</w:t>
      </w:r>
      <w:r w:rsidR="008D2676" w:rsidRPr="000F7862">
        <w:rPr>
          <w:lang w:val="fr-FR"/>
        </w:rPr>
        <w:t>écart entre les sanctions prévues pour l</w:t>
      </w:r>
      <w:r w:rsidR="00120E2E" w:rsidRPr="000F7862">
        <w:rPr>
          <w:lang w:val="fr-FR"/>
        </w:rPr>
        <w:t>’</w:t>
      </w:r>
      <w:r w:rsidR="008D2676" w:rsidRPr="000F7862">
        <w:rPr>
          <w:lang w:val="fr-FR"/>
        </w:rPr>
        <w:t>infraction d</w:t>
      </w:r>
      <w:r w:rsidR="00120E2E" w:rsidRPr="000F7862">
        <w:rPr>
          <w:lang w:val="fr-FR"/>
        </w:rPr>
        <w:t>’</w:t>
      </w:r>
      <w:r w:rsidR="0086185C" w:rsidRPr="000F7862">
        <w:rPr>
          <w:lang w:val="fr-FR"/>
        </w:rPr>
        <w:t>adult</w:t>
      </w:r>
      <w:r w:rsidR="008D2676" w:rsidRPr="000F7862">
        <w:rPr>
          <w:lang w:val="fr-FR"/>
        </w:rPr>
        <w:t xml:space="preserve">ère et celle de </w:t>
      </w:r>
      <w:r w:rsidR="0086185C" w:rsidRPr="000F7862">
        <w:rPr>
          <w:lang w:val="fr-FR"/>
        </w:rPr>
        <w:t xml:space="preserve">concubinage. </w:t>
      </w:r>
    </w:p>
    <w:p w:rsidR="0086185C" w:rsidRPr="000F7862" w:rsidRDefault="003F7F57" w:rsidP="003F7F57">
      <w:pPr>
        <w:pStyle w:val="SingleTxtG"/>
        <w:rPr>
          <w:u w:color="0000FF"/>
          <w:lang w:val="fr-FR"/>
        </w:rPr>
      </w:pPr>
      <w:r w:rsidRPr="000F7862">
        <w:rPr>
          <w:u w:color="0000FF"/>
          <w:lang w:val="fr-FR"/>
        </w:rPr>
        <w:t>48.</w:t>
      </w:r>
      <w:r w:rsidRPr="000F7862">
        <w:rPr>
          <w:u w:color="0000FF"/>
          <w:lang w:val="fr-FR"/>
        </w:rPr>
        <w:tab/>
      </w:r>
      <w:r w:rsidR="008D2676" w:rsidRPr="000F7862">
        <w:rPr>
          <w:lang w:val="fr-FR"/>
        </w:rPr>
        <w:t>Afin d</w:t>
      </w:r>
      <w:r w:rsidR="00120E2E" w:rsidRPr="000F7862">
        <w:rPr>
          <w:lang w:val="fr-FR"/>
        </w:rPr>
        <w:t>’</w:t>
      </w:r>
      <w:r w:rsidR="008D2676" w:rsidRPr="000F7862">
        <w:rPr>
          <w:lang w:val="fr-FR"/>
        </w:rPr>
        <w:t>éliminer l</w:t>
      </w:r>
      <w:r w:rsidR="00120E2E" w:rsidRPr="000F7862">
        <w:rPr>
          <w:lang w:val="fr-FR"/>
        </w:rPr>
        <w:t>’</w:t>
      </w:r>
      <w:r w:rsidR="008D2676" w:rsidRPr="000F7862">
        <w:rPr>
          <w:lang w:val="fr-FR"/>
        </w:rPr>
        <w:t xml:space="preserve">écart entre les sanctions prévues par la législation en vigueur pour les infractions de </w:t>
      </w:r>
      <w:r w:rsidR="0086185C" w:rsidRPr="000F7862">
        <w:rPr>
          <w:lang w:val="fr-FR"/>
        </w:rPr>
        <w:t xml:space="preserve">concubinage </w:t>
      </w:r>
      <w:r w:rsidR="008D2676" w:rsidRPr="000F7862">
        <w:rPr>
          <w:lang w:val="fr-FR"/>
        </w:rPr>
        <w:t>et</w:t>
      </w:r>
      <w:r w:rsidR="0086185C" w:rsidRPr="000F7862">
        <w:rPr>
          <w:lang w:val="fr-FR"/>
        </w:rPr>
        <w:t xml:space="preserve"> </w:t>
      </w:r>
      <w:r w:rsidR="008D2676" w:rsidRPr="000F7862">
        <w:rPr>
          <w:lang w:val="fr-FR"/>
        </w:rPr>
        <w:t>d</w:t>
      </w:r>
      <w:r w:rsidR="00120E2E" w:rsidRPr="000F7862">
        <w:rPr>
          <w:lang w:val="fr-FR"/>
        </w:rPr>
        <w:t>’</w:t>
      </w:r>
      <w:r w:rsidR="0086185C" w:rsidRPr="000F7862">
        <w:rPr>
          <w:lang w:val="fr-FR"/>
        </w:rPr>
        <w:t>adult</w:t>
      </w:r>
      <w:r w:rsidR="008D2676" w:rsidRPr="000F7862">
        <w:rPr>
          <w:lang w:val="fr-FR"/>
        </w:rPr>
        <w:t xml:space="preserve">ère et </w:t>
      </w:r>
      <w:r w:rsidR="00997981" w:rsidRPr="000F7862">
        <w:rPr>
          <w:lang w:val="fr-FR"/>
        </w:rPr>
        <w:t xml:space="preserve">de </w:t>
      </w:r>
      <w:r w:rsidR="008D2676" w:rsidRPr="000F7862">
        <w:rPr>
          <w:lang w:val="fr-FR"/>
        </w:rPr>
        <w:t xml:space="preserve">traiter ces deux infractions comme des </w:t>
      </w:r>
      <w:r w:rsidR="00DE5823" w:rsidRPr="000F7862">
        <w:rPr>
          <w:lang w:val="fr-FR"/>
        </w:rPr>
        <w:t>actes identiques constitutifs</w:t>
      </w:r>
      <w:r w:rsidR="00F551B7" w:rsidRPr="000F7862">
        <w:rPr>
          <w:lang w:val="fr-FR"/>
        </w:rPr>
        <w:t xml:space="preserve"> d</w:t>
      </w:r>
      <w:r w:rsidR="00120E2E" w:rsidRPr="000F7862">
        <w:rPr>
          <w:lang w:val="fr-FR"/>
        </w:rPr>
        <w:t>’</w:t>
      </w:r>
      <w:r w:rsidR="00F551B7" w:rsidRPr="000F7862">
        <w:rPr>
          <w:lang w:val="fr-FR"/>
        </w:rPr>
        <w:t>infidélité conjugale</w:t>
      </w:r>
      <w:r w:rsidR="0086185C" w:rsidRPr="000F7862">
        <w:rPr>
          <w:lang w:val="fr-FR"/>
        </w:rPr>
        <w:t xml:space="preserve">, </w:t>
      </w:r>
      <w:r w:rsidR="00F551B7" w:rsidRPr="000F7862">
        <w:rPr>
          <w:lang w:val="fr-FR"/>
        </w:rPr>
        <w:t xml:space="preserve">le projet de loi </w:t>
      </w:r>
      <w:r w:rsidR="00730F8F" w:rsidRPr="000F7862">
        <w:rPr>
          <w:lang w:val="fr-FR"/>
        </w:rPr>
        <w:t>n</w:t>
      </w:r>
      <w:r w:rsidR="00730F8F" w:rsidRPr="000F7862">
        <w:rPr>
          <w:vertAlign w:val="superscript"/>
          <w:lang w:val="fr-FR"/>
        </w:rPr>
        <w:t>o</w:t>
      </w:r>
      <w:r w:rsidR="00730F8F" w:rsidRPr="000F7862">
        <w:rPr>
          <w:lang w:val="fr-FR"/>
        </w:rPr>
        <w:t> </w:t>
      </w:r>
      <w:r w:rsidR="0086185C" w:rsidRPr="000F7862">
        <w:rPr>
          <w:lang w:val="fr-FR"/>
        </w:rPr>
        <w:t>5734 o</w:t>
      </w:r>
      <w:r w:rsidR="00F551B7" w:rsidRPr="000F7862">
        <w:rPr>
          <w:lang w:val="fr-FR"/>
        </w:rPr>
        <w:t>u projet de loi contre</w:t>
      </w:r>
      <w:r w:rsidR="0005004C" w:rsidRPr="000F7862">
        <w:rPr>
          <w:lang w:val="fr-FR"/>
        </w:rPr>
        <w:t xml:space="preserve"> </w:t>
      </w:r>
      <w:r w:rsidR="00F551B7" w:rsidRPr="000F7862">
        <w:rPr>
          <w:lang w:val="fr-FR"/>
        </w:rPr>
        <w:t>l</w:t>
      </w:r>
      <w:r w:rsidR="00120E2E" w:rsidRPr="000F7862">
        <w:rPr>
          <w:lang w:val="fr-FR"/>
        </w:rPr>
        <w:t>’</w:t>
      </w:r>
      <w:r w:rsidR="00F551B7" w:rsidRPr="000F7862">
        <w:rPr>
          <w:lang w:val="fr-FR"/>
        </w:rPr>
        <w:t>infidé</w:t>
      </w:r>
      <w:r w:rsidR="0086185C" w:rsidRPr="000F7862">
        <w:rPr>
          <w:lang w:val="fr-FR"/>
        </w:rPr>
        <w:t>lit</w:t>
      </w:r>
      <w:r w:rsidR="00F551B7" w:rsidRPr="000F7862">
        <w:rPr>
          <w:lang w:val="fr-FR"/>
        </w:rPr>
        <w:t xml:space="preserve">é sexuelle a été déposé et la Commission </w:t>
      </w:r>
      <w:r w:rsidR="00A27AF1" w:rsidRPr="000F7862">
        <w:rPr>
          <w:lang w:val="fr-FR"/>
        </w:rPr>
        <w:t>d</w:t>
      </w:r>
      <w:r w:rsidR="00AD2660" w:rsidRPr="000F7862">
        <w:rPr>
          <w:lang w:val="fr-FR"/>
        </w:rPr>
        <w:t>es normes</w:t>
      </w:r>
      <w:r w:rsidR="00A27AF1" w:rsidRPr="000F7862">
        <w:rPr>
          <w:lang w:val="fr-FR"/>
        </w:rPr>
        <w:t xml:space="preserve"> </w:t>
      </w:r>
      <w:r w:rsidR="00F551B7" w:rsidRPr="000F7862">
        <w:rPr>
          <w:lang w:val="fr-FR"/>
        </w:rPr>
        <w:t xml:space="preserve">en est restée saisie </w:t>
      </w:r>
      <w:r w:rsidR="00642426" w:rsidRPr="000F7862">
        <w:rPr>
          <w:lang w:val="fr-FR"/>
        </w:rPr>
        <w:t>j</w:t>
      </w:r>
      <w:r w:rsidR="00A27AF1" w:rsidRPr="000F7862">
        <w:rPr>
          <w:lang w:val="fr-FR"/>
        </w:rPr>
        <w:t>u</w:t>
      </w:r>
      <w:r w:rsidR="00642426" w:rsidRPr="000F7862">
        <w:rPr>
          <w:lang w:val="fr-FR"/>
        </w:rPr>
        <w:t>s</w:t>
      </w:r>
      <w:r w:rsidR="00A27AF1" w:rsidRPr="000F7862">
        <w:rPr>
          <w:lang w:val="fr-FR"/>
        </w:rPr>
        <w:t>qu</w:t>
      </w:r>
      <w:r w:rsidR="00120E2E" w:rsidRPr="000F7862">
        <w:rPr>
          <w:lang w:val="fr-FR"/>
        </w:rPr>
        <w:t>’</w:t>
      </w:r>
      <w:r w:rsidR="00A27AF1" w:rsidRPr="000F7862">
        <w:rPr>
          <w:lang w:val="fr-FR"/>
        </w:rPr>
        <w:t>à la fin de la quinzième législature.</w:t>
      </w:r>
      <w:r w:rsidR="00446EA5" w:rsidRPr="000F7862">
        <w:rPr>
          <w:lang w:val="fr-FR"/>
        </w:rPr>
        <w:t xml:space="preserve"> </w:t>
      </w:r>
      <w:r w:rsidR="00A27AF1" w:rsidRPr="000F7862">
        <w:rPr>
          <w:lang w:val="fr-FR"/>
        </w:rPr>
        <w:t xml:space="preserve">Ce projet de loi supprime la définition distincte des infractions de </w:t>
      </w:r>
      <w:r w:rsidR="0086185C" w:rsidRPr="000F7862">
        <w:rPr>
          <w:lang w:val="fr-FR"/>
        </w:rPr>
        <w:t xml:space="preserve">concubinage </w:t>
      </w:r>
      <w:r w:rsidR="00A27AF1" w:rsidRPr="000F7862">
        <w:rPr>
          <w:lang w:val="fr-FR"/>
        </w:rPr>
        <w:t>et d</w:t>
      </w:r>
      <w:r w:rsidR="00120E2E" w:rsidRPr="000F7862">
        <w:rPr>
          <w:lang w:val="fr-FR"/>
        </w:rPr>
        <w:t>’</w:t>
      </w:r>
      <w:r w:rsidR="0086185C" w:rsidRPr="000F7862">
        <w:rPr>
          <w:lang w:val="fr-FR"/>
        </w:rPr>
        <w:t>adult</w:t>
      </w:r>
      <w:r w:rsidR="00A27AF1" w:rsidRPr="000F7862">
        <w:rPr>
          <w:lang w:val="fr-FR"/>
        </w:rPr>
        <w:t>ère donn</w:t>
      </w:r>
      <w:r w:rsidR="00775AEF" w:rsidRPr="000F7862">
        <w:rPr>
          <w:lang w:val="fr-FR"/>
        </w:rPr>
        <w:t>ée da</w:t>
      </w:r>
      <w:r w:rsidR="006C06E3" w:rsidRPr="000F7862">
        <w:rPr>
          <w:lang w:val="fr-FR"/>
        </w:rPr>
        <w:t>n</w:t>
      </w:r>
      <w:r w:rsidR="00775AEF" w:rsidRPr="000F7862">
        <w:rPr>
          <w:lang w:val="fr-FR"/>
        </w:rPr>
        <w:t>s</w:t>
      </w:r>
      <w:r w:rsidR="00A27AF1" w:rsidRPr="000F7862">
        <w:rPr>
          <w:lang w:val="fr-FR"/>
        </w:rPr>
        <w:t xml:space="preserve"> le Code pénal révisé et leur substitue l</w:t>
      </w:r>
      <w:r w:rsidR="00120E2E" w:rsidRPr="000F7862">
        <w:rPr>
          <w:lang w:val="fr-FR"/>
        </w:rPr>
        <w:t>’</w:t>
      </w:r>
      <w:r w:rsidR="00A27AF1" w:rsidRPr="000F7862">
        <w:rPr>
          <w:lang w:val="fr-FR"/>
        </w:rPr>
        <w:t>infraction d</w:t>
      </w:r>
      <w:r w:rsidR="00120E2E" w:rsidRPr="000F7862">
        <w:rPr>
          <w:lang w:val="fr-FR"/>
        </w:rPr>
        <w:t>’</w:t>
      </w:r>
      <w:r w:rsidR="00A27AF1" w:rsidRPr="000F7862">
        <w:rPr>
          <w:lang w:val="fr-FR"/>
        </w:rPr>
        <w:t xml:space="preserve">infidélité sexuelle, entendue comme </w:t>
      </w:r>
      <w:r w:rsidR="002E7607" w:rsidRPr="000F7862">
        <w:rPr>
          <w:lang w:val="fr-FR"/>
        </w:rPr>
        <w:t>«</w:t>
      </w:r>
      <w:r w:rsidR="00DF27B6" w:rsidRPr="000F7862">
        <w:rPr>
          <w:lang w:val="fr-FR"/>
        </w:rPr>
        <w:t>le fait, pour une personne légalement mariée, d</w:t>
      </w:r>
      <w:r w:rsidR="00120E2E" w:rsidRPr="000F7862">
        <w:rPr>
          <w:lang w:val="fr-FR"/>
        </w:rPr>
        <w:t>’</w:t>
      </w:r>
      <w:r w:rsidR="00DF27B6" w:rsidRPr="000F7862">
        <w:rPr>
          <w:lang w:val="fr-FR"/>
        </w:rPr>
        <w:t xml:space="preserve">avoir des rapports sexuels avec une personne autre que </w:t>
      </w:r>
      <w:r w:rsidR="00A368D3" w:rsidRPr="000F7862">
        <w:rPr>
          <w:lang w:val="fr-FR"/>
        </w:rPr>
        <w:t>son</w:t>
      </w:r>
      <w:r w:rsidR="00DF27B6" w:rsidRPr="000F7862">
        <w:rPr>
          <w:lang w:val="fr-FR"/>
        </w:rPr>
        <w:t xml:space="preserve"> conjoint et le fait, pour cette autre personne, d</w:t>
      </w:r>
      <w:r w:rsidR="00120E2E" w:rsidRPr="000F7862">
        <w:rPr>
          <w:lang w:val="fr-FR"/>
        </w:rPr>
        <w:t>’</w:t>
      </w:r>
      <w:r w:rsidR="00DF27B6" w:rsidRPr="000F7862">
        <w:rPr>
          <w:lang w:val="fr-FR"/>
        </w:rPr>
        <w:t>avoir des rapports sexuels avec la personne mariée en sachant que celle-ci est légalement mariée</w:t>
      </w:r>
      <w:r w:rsidR="0086185C" w:rsidRPr="000F7862">
        <w:rPr>
          <w:lang w:val="fr-FR"/>
        </w:rPr>
        <w:t xml:space="preserve">, </w:t>
      </w:r>
      <w:r w:rsidR="00DF27B6" w:rsidRPr="000F7862">
        <w:rPr>
          <w:lang w:val="fr-FR"/>
        </w:rPr>
        <w:t>même si le mariage est ultérieurement déclaré nul</w:t>
      </w:r>
      <w:r w:rsidR="002E7607" w:rsidRPr="000F7862">
        <w:rPr>
          <w:lang w:val="fr-FR"/>
        </w:rPr>
        <w:t>»</w:t>
      </w:r>
      <w:r w:rsidR="0086185C" w:rsidRPr="000F7862">
        <w:rPr>
          <w:lang w:val="fr-FR"/>
        </w:rPr>
        <w:t>.</w:t>
      </w:r>
      <w:r w:rsidR="00446EA5" w:rsidRPr="000F7862">
        <w:rPr>
          <w:lang w:val="fr-FR"/>
        </w:rPr>
        <w:t xml:space="preserve"> </w:t>
      </w:r>
      <w:r w:rsidR="00DF27B6" w:rsidRPr="000F7862">
        <w:rPr>
          <w:lang w:val="fr-FR"/>
        </w:rPr>
        <w:t>En tant que fait punissable</w:t>
      </w:r>
      <w:r w:rsidR="0086185C" w:rsidRPr="000F7862">
        <w:rPr>
          <w:lang w:val="fr-FR"/>
        </w:rPr>
        <w:t xml:space="preserve">, </w:t>
      </w:r>
      <w:r w:rsidR="00DF27B6" w:rsidRPr="000F7862">
        <w:rPr>
          <w:lang w:val="fr-FR"/>
        </w:rPr>
        <w:t>l</w:t>
      </w:r>
      <w:r w:rsidR="00120E2E" w:rsidRPr="000F7862">
        <w:rPr>
          <w:lang w:val="fr-FR"/>
        </w:rPr>
        <w:t>’</w:t>
      </w:r>
      <w:r w:rsidR="0086185C" w:rsidRPr="000F7862">
        <w:rPr>
          <w:lang w:val="fr-FR"/>
        </w:rPr>
        <w:t>infid</w:t>
      </w:r>
      <w:r w:rsidR="00DF27B6" w:rsidRPr="000F7862">
        <w:rPr>
          <w:lang w:val="fr-FR"/>
        </w:rPr>
        <w:t>é</w:t>
      </w:r>
      <w:r w:rsidR="0086185C" w:rsidRPr="000F7862">
        <w:rPr>
          <w:lang w:val="fr-FR"/>
        </w:rPr>
        <w:t>lit</w:t>
      </w:r>
      <w:r w:rsidR="00DF27B6" w:rsidRPr="000F7862">
        <w:rPr>
          <w:lang w:val="fr-FR"/>
        </w:rPr>
        <w:t>é sexuelle ne s</w:t>
      </w:r>
      <w:r w:rsidR="00120E2E" w:rsidRPr="000F7862">
        <w:rPr>
          <w:lang w:val="fr-FR"/>
        </w:rPr>
        <w:t>’</w:t>
      </w:r>
      <w:r w:rsidR="00DF27B6" w:rsidRPr="000F7862">
        <w:rPr>
          <w:lang w:val="fr-FR"/>
        </w:rPr>
        <w:t>applique, dans ce projet, qu</w:t>
      </w:r>
      <w:r w:rsidR="00120E2E" w:rsidRPr="000F7862">
        <w:rPr>
          <w:lang w:val="fr-FR"/>
        </w:rPr>
        <w:t>’</w:t>
      </w:r>
      <w:r w:rsidR="00DF27B6" w:rsidRPr="000F7862">
        <w:rPr>
          <w:lang w:val="fr-FR"/>
        </w:rPr>
        <w:t>au conjoint ou au couple légalement marié</w:t>
      </w:r>
      <w:r w:rsidR="0086185C" w:rsidRPr="000F7862">
        <w:rPr>
          <w:lang w:val="fr-FR"/>
        </w:rPr>
        <w:t xml:space="preserve">. </w:t>
      </w:r>
      <w:r w:rsidR="00DF27B6" w:rsidRPr="000F7862">
        <w:rPr>
          <w:lang w:val="fr-FR"/>
        </w:rPr>
        <w:t>E</w:t>
      </w:r>
      <w:r w:rsidR="006D733F" w:rsidRPr="000F7862">
        <w:rPr>
          <w:lang w:val="fr-FR"/>
        </w:rPr>
        <w:t>n outre,</w:t>
      </w:r>
      <w:r w:rsidR="00DF27B6" w:rsidRPr="000F7862">
        <w:rPr>
          <w:lang w:val="fr-FR"/>
        </w:rPr>
        <w:t xml:space="preserve"> la même sanction est prévue </w:t>
      </w:r>
      <w:r w:rsidR="0086185C" w:rsidRPr="000F7862">
        <w:rPr>
          <w:lang w:val="fr-FR"/>
        </w:rPr>
        <w:t>(</w:t>
      </w:r>
      <w:r w:rsidR="0086185C" w:rsidRPr="000F7862">
        <w:rPr>
          <w:i/>
          <w:iCs/>
          <w:lang w:val="fr-FR"/>
        </w:rPr>
        <w:t>prisi</w:t>
      </w:r>
      <w:r w:rsidR="004D5855" w:rsidRPr="000F7862">
        <w:rPr>
          <w:i/>
          <w:iCs/>
          <w:lang w:val="fr-FR"/>
        </w:rPr>
        <w:t>ó</w:t>
      </w:r>
      <w:r w:rsidR="00DF27B6" w:rsidRPr="000F7862">
        <w:rPr>
          <w:i/>
          <w:iCs/>
          <w:lang w:val="fr-FR"/>
        </w:rPr>
        <w:t>n correccional</w:t>
      </w:r>
      <w:r w:rsidR="00DF27B6" w:rsidRPr="000F7862">
        <w:rPr>
          <w:lang w:val="fr-FR"/>
        </w:rPr>
        <w:t>) quel que soit le m</w:t>
      </w:r>
      <w:r w:rsidR="0086185C" w:rsidRPr="000F7862">
        <w:rPr>
          <w:lang w:val="fr-FR"/>
        </w:rPr>
        <w:t>e</w:t>
      </w:r>
      <w:r w:rsidR="00D37C14" w:rsidRPr="000F7862">
        <w:rPr>
          <w:lang w:val="fr-FR"/>
        </w:rPr>
        <w:t>mbre du couple qui ait commis ce fait punissable</w:t>
      </w:r>
      <w:r w:rsidR="0086185C" w:rsidRPr="000F7862">
        <w:rPr>
          <w:color w:val="0000FF"/>
          <w:u w:color="0000FF"/>
          <w:lang w:val="fr-FR"/>
        </w:rPr>
        <w:t xml:space="preserve">. </w:t>
      </w:r>
      <w:r w:rsidR="00642426" w:rsidRPr="000F7862">
        <w:rPr>
          <w:color w:val="0D0D0D"/>
          <w:u w:color="0000FF"/>
          <w:lang w:val="fr-FR"/>
        </w:rPr>
        <w:t xml:space="preserve">Le même projet de loi a été redéposé pendant la seizième législature en tant que projets de loi </w:t>
      </w:r>
      <w:r w:rsidR="00642426" w:rsidRPr="000F7862">
        <w:rPr>
          <w:lang w:val="fr-FR"/>
        </w:rPr>
        <w:t>n</w:t>
      </w:r>
      <w:r w:rsidR="00642426" w:rsidRPr="000F7862">
        <w:rPr>
          <w:vertAlign w:val="superscript"/>
          <w:lang w:val="fr-FR"/>
        </w:rPr>
        <w:t>os</w:t>
      </w:r>
      <w:r w:rsidR="006C06E3" w:rsidRPr="000F7862">
        <w:rPr>
          <w:u w:color="0000FF"/>
          <w:lang w:val="fr-FR"/>
        </w:rPr>
        <w:t> </w:t>
      </w:r>
      <w:r w:rsidR="0086185C" w:rsidRPr="000F7862">
        <w:rPr>
          <w:u w:color="0000FF"/>
          <w:lang w:val="fr-FR"/>
        </w:rPr>
        <w:t xml:space="preserve">405 </w:t>
      </w:r>
      <w:r w:rsidR="00642426" w:rsidRPr="000F7862">
        <w:rPr>
          <w:u w:color="0000FF"/>
          <w:lang w:val="fr-FR"/>
        </w:rPr>
        <w:t>et</w:t>
      </w:r>
      <w:r w:rsidR="0086185C" w:rsidRPr="000F7862">
        <w:rPr>
          <w:u w:color="0000FF"/>
          <w:lang w:val="fr-FR"/>
        </w:rPr>
        <w:t xml:space="preserve"> 1168.</w:t>
      </w:r>
      <w:r w:rsidR="00446EA5" w:rsidRPr="000F7862">
        <w:rPr>
          <w:u w:color="0000FF"/>
          <w:lang w:val="fr-FR"/>
        </w:rPr>
        <w:t xml:space="preserve"> </w:t>
      </w:r>
    </w:p>
    <w:p w:rsidR="0086185C" w:rsidRPr="000F7862" w:rsidRDefault="003F7F57" w:rsidP="003F7F57">
      <w:pPr>
        <w:pStyle w:val="SingleTxtG"/>
        <w:rPr>
          <w:lang w:val="fr-FR"/>
        </w:rPr>
      </w:pPr>
      <w:r w:rsidRPr="000F7862">
        <w:rPr>
          <w:lang w:val="fr-FR"/>
        </w:rPr>
        <w:t>49.</w:t>
      </w:r>
      <w:r w:rsidRPr="000F7862">
        <w:rPr>
          <w:lang w:val="fr-FR"/>
        </w:rPr>
        <w:tab/>
      </w:r>
      <w:r w:rsidR="000652A0" w:rsidRPr="000F7862">
        <w:rPr>
          <w:lang w:val="fr-FR"/>
        </w:rPr>
        <w:t>P</w:t>
      </w:r>
      <w:r w:rsidR="0086185C" w:rsidRPr="000F7862">
        <w:rPr>
          <w:lang w:val="fr-FR"/>
        </w:rPr>
        <w:t>arall</w:t>
      </w:r>
      <w:r w:rsidR="000652A0" w:rsidRPr="000F7862">
        <w:rPr>
          <w:lang w:val="fr-FR"/>
        </w:rPr>
        <w:t xml:space="preserve">èlement, le Comité du Code pénal du Ministère de la justice, qui a été créé en avril </w:t>
      </w:r>
      <w:r w:rsidR="0086185C" w:rsidRPr="000F7862">
        <w:rPr>
          <w:lang w:val="fr-FR"/>
        </w:rPr>
        <w:t>2011</w:t>
      </w:r>
      <w:r w:rsidR="000652A0" w:rsidRPr="000F7862">
        <w:rPr>
          <w:lang w:val="fr-FR"/>
        </w:rPr>
        <w:t xml:space="preserve">, a entrepris de rédiger le nouveau Code pénal </w:t>
      </w:r>
      <w:r w:rsidR="007D6602" w:rsidRPr="000F7862">
        <w:rPr>
          <w:lang w:val="fr-FR"/>
        </w:rPr>
        <w:t xml:space="preserve">des Philippines </w:t>
      </w:r>
      <w:r w:rsidR="000652A0" w:rsidRPr="000F7862">
        <w:rPr>
          <w:lang w:val="fr-FR"/>
        </w:rPr>
        <w:t>afin de rendre la législation pénale pertinente et utile pour la population</w:t>
      </w:r>
      <w:r w:rsidR="0086185C" w:rsidRPr="000F7862">
        <w:rPr>
          <w:lang w:val="fr-FR"/>
        </w:rPr>
        <w:t xml:space="preserve"> </w:t>
      </w:r>
      <w:r w:rsidR="000652A0" w:rsidRPr="000F7862">
        <w:rPr>
          <w:lang w:val="fr-FR"/>
        </w:rPr>
        <w:t>et d</w:t>
      </w:r>
      <w:r w:rsidR="00120E2E" w:rsidRPr="000F7862">
        <w:rPr>
          <w:lang w:val="fr-FR"/>
        </w:rPr>
        <w:t>’</w:t>
      </w:r>
      <w:r w:rsidR="000652A0" w:rsidRPr="000F7862">
        <w:rPr>
          <w:lang w:val="fr-FR"/>
        </w:rPr>
        <w:t>améliorer l</w:t>
      </w:r>
      <w:r w:rsidR="00120E2E" w:rsidRPr="000F7862">
        <w:rPr>
          <w:lang w:val="fr-FR"/>
        </w:rPr>
        <w:t>’</w:t>
      </w:r>
      <w:r w:rsidR="0086185C" w:rsidRPr="000F7862">
        <w:rPr>
          <w:lang w:val="fr-FR"/>
        </w:rPr>
        <w:t xml:space="preserve">administration </w:t>
      </w:r>
      <w:r w:rsidR="000652A0" w:rsidRPr="000F7862">
        <w:rPr>
          <w:lang w:val="fr-FR"/>
        </w:rPr>
        <w:t xml:space="preserve">de la </w:t>
      </w:r>
      <w:r w:rsidR="0086185C" w:rsidRPr="000F7862">
        <w:rPr>
          <w:lang w:val="fr-FR"/>
        </w:rPr>
        <w:t xml:space="preserve">justice </w:t>
      </w:r>
      <w:r w:rsidR="000652A0" w:rsidRPr="000F7862">
        <w:rPr>
          <w:lang w:val="fr-FR"/>
        </w:rPr>
        <w:t>dans le pays</w:t>
      </w:r>
      <w:r w:rsidR="0086185C" w:rsidRPr="000F7862">
        <w:rPr>
          <w:lang w:val="fr-FR"/>
        </w:rPr>
        <w:t xml:space="preserve">. </w:t>
      </w:r>
      <w:r w:rsidR="000652A0" w:rsidRPr="000F7862">
        <w:rPr>
          <w:lang w:val="fr-FR"/>
        </w:rPr>
        <w:t>Sou</w:t>
      </w:r>
      <w:r w:rsidR="00A9032F" w:rsidRPr="000F7862">
        <w:rPr>
          <w:lang w:val="fr-FR"/>
        </w:rPr>
        <w:t>cieux d</w:t>
      </w:r>
      <w:r w:rsidR="00120E2E" w:rsidRPr="000F7862">
        <w:rPr>
          <w:lang w:val="fr-FR"/>
        </w:rPr>
        <w:t>’</w:t>
      </w:r>
      <w:r w:rsidR="0086185C" w:rsidRPr="000F7862">
        <w:rPr>
          <w:lang w:val="fr-FR"/>
        </w:rPr>
        <w:t>harmoni</w:t>
      </w:r>
      <w:r w:rsidR="000652A0" w:rsidRPr="000F7862">
        <w:rPr>
          <w:lang w:val="fr-FR"/>
        </w:rPr>
        <w:t xml:space="preserve">ser les dispositions du Code et </w:t>
      </w:r>
      <w:r w:rsidR="00A9032F" w:rsidRPr="000F7862">
        <w:rPr>
          <w:lang w:val="fr-FR"/>
        </w:rPr>
        <w:t>d</w:t>
      </w:r>
      <w:r w:rsidR="00120E2E" w:rsidRPr="000F7862">
        <w:rPr>
          <w:lang w:val="fr-FR"/>
        </w:rPr>
        <w:t>’</w:t>
      </w:r>
      <w:r w:rsidR="000652A0" w:rsidRPr="000F7862">
        <w:rPr>
          <w:lang w:val="fr-FR"/>
        </w:rPr>
        <w:t xml:space="preserve">en éliminer celles qui sont discriminatoires, le Comité </w:t>
      </w:r>
      <w:r w:rsidR="000B04F3" w:rsidRPr="000F7862">
        <w:rPr>
          <w:lang w:val="fr-FR"/>
        </w:rPr>
        <w:t>se</w:t>
      </w:r>
      <w:r w:rsidR="000652A0" w:rsidRPr="000F7862">
        <w:rPr>
          <w:lang w:val="fr-FR"/>
        </w:rPr>
        <w:t xml:space="preserve"> préoccup</w:t>
      </w:r>
      <w:r w:rsidR="000B04F3" w:rsidRPr="000F7862">
        <w:rPr>
          <w:lang w:val="fr-FR"/>
        </w:rPr>
        <w:t>e également de</w:t>
      </w:r>
      <w:r w:rsidR="000652A0" w:rsidRPr="000F7862">
        <w:rPr>
          <w:lang w:val="fr-FR"/>
        </w:rPr>
        <w:t xml:space="preserve"> l</w:t>
      </w:r>
      <w:r w:rsidR="00120E2E" w:rsidRPr="000F7862">
        <w:rPr>
          <w:lang w:val="fr-FR"/>
        </w:rPr>
        <w:t>’</w:t>
      </w:r>
      <w:r w:rsidR="000652A0" w:rsidRPr="000F7862">
        <w:rPr>
          <w:lang w:val="fr-FR"/>
        </w:rPr>
        <w:t xml:space="preserve">écart existant entre les </w:t>
      </w:r>
      <w:r w:rsidR="004A2BBD" w:rsidRPr="000F7862">
        <w:rPr>
          <w:lang w:val="fr-FR"/>
        </w:rPr>
        <w:t xml:space="preserve">bases </w:t>
      </w:r>
      <w:r w:rsidR="000652A0" w:rsidRPr="000F7862">
        <w:rPr>
          <w:lang w:val="fr-FR"/>
        </w:rPr>
        <w:t xml:space="preserve">et les sanctions </w:t>
      </w:r>
      <w:r w:rsidR="00176E92" w:rsidRPr="000F7862">
        <w:rPr>
          <w:lang w:val="fr-FR"/>
        </w:rPr>
        <w:t>prévues</w:t>
      </w:r>
      <w:r w:rsidR="000652A0" w:rsidRPr="000F7862">
        <w:rPr>
          <w:lang w:val="fr-FR"/>
        </w:rPr>
        <w:t xml:space="preserve"> par le Code pénal révisé pour les infractions de </w:t>
      </w:r>
      <w:r w:rsidR="0086185C" w:rsidRPr="000F7862">
        <w:rPr>
          <w:lang w:val="fr-FR"/>
        </w:rPr>
        <w:t xml:space="preserve">concubinage </w:t>
      </w:r>
      <w:r w:rsidR="000652A0" w:rsidRPr="000F7862">
        <w:rPr>
          <w:lang w:val="fr-FR"/>
        </w:rPr>
        <w:t>et d</w:t>
      </w:r>
      <w:r w:rsidR="00120E2E" w:rsidRPr="000F7862">
        <w:rPr>
          <w:lang w:val="fr-FR"/>
        </w:rPr>
        <w:t>’</w:t>
      </w:r>
      <w:r w:rsidR="000652A0" w:rsidRPr="000F7862">
        <w:rPr>
          <w:lang w:val="fr-FR"/>
        </w:rPr>
        <w:t>a</w:t>
      </w:r>
      <w:r w:rsidR="0086185C" w:rsidRPr="000F7862">
        <w:rPr>
          <w:lang w:val="fr-FR"/>
        </w:rPr>
        <w:t>dult</w:t>
      </w:r>
      <w:r w:rsidR="000652A0" w:rsidRPr="000F7862">
        <w:rPr>
          <w:lang w:val="fr-FR"/>
        </w:rPr>
        <w:t>ère et</w:t>
      </w:r>
      <w:r w:rsidR="0086185C" w:rsidRPr="000F7862">
        <w:rPr>
          <w:lang w:val="fr-FR"/>
        </w:rPr>
        <w:t xml:space="preserve">, </w:t>
      </w:r>
      <w:r w:rsidR="008E6BF4" w:rsidRPr="000F7862">
        <w:rPr>
          <w:lang w:val="fr-FR"/>
        </w:rPr>
        <w:t>partant, veillera à</w:t>
      </w:r>
      <w:r w:rsidR="00072745" w:rsidRPr="000F7862">
        <w:rPr>
          <w:lang w:val="fr-FR"/>
        </w:rPr>
        <w:t xml:space="preserve"> en</w:t>
      </w:r>
      <w:r w:rsidR="008E6BF4" w:rsidRPr="000F7862">
        <w:rPr>
          <w:lang w:val="fr-FR"/>
        </w:rPr>
        <w:t xml:space="preserve"> éliminer </w:t>
      </w:r>
      <w:r w:rsidR="00072745" w:rsidRPr="000F7862">
        <w:rPr>
          <w:lang w:val="fr-FR"/>
        </w:rPr>
        <w:t>tout parti pris sexiste</w:t>
      </w:r>
      <w:r w:rsidR="008E6BF4" w:rsidRPr="000F7862">
        <w:rPr>
          <w:lang w:val="fr-FR"/>
        </w:rPr>
        <w:t xml:space="preserve"> en prévoyant </w:t>
      </w:r>
      <w:r w:rsidR="004A2BBD" w:rsidRPr="000F7862">
        <w:rPr>
          <w:lang w:val="fr-FR"/>
        </w:rPr>
        <w:t xml:space="preserve">pour les deux infractions </w:t>
      </w:r>
      <w:r w:rsidR="008E6BF4" w:rsidRPr="000F7862">
        <w:rPr>
          <w:lang w:val="fr-FR"/>
        </w:rPr>
        <w:t xml:space="preserve">les mêmes </w:t>
      </w:r>
      <w:r w:rsidR="004A2BBD" w:rsidRPr="000F7862">
        <w:rPr>
          <w:lang w:val="fr-FR"/>
        </w:rPr>
        <w:t>bases</w:t>
      </w:r>
      <w:r w:rsidR="008E6BF4" w:rsidRPr="000F7862">
        <w:rPr>
          <w:lang w:val="fr-FR"/>
        </w:rPr>
        <w:t xml:space="preserve"> et les mêmes </w:t>
      </w:r>
      <w:r w:rsidR="004A2BBD" w:rsidRPr="000F7862">
        <w:rPr>
          <w:lang w:val="fr-FR"/>
        </w:rPr>
        <w:t xml:space="preserve">sanctions </w:t>
      </w:r>
      <w:r w:rsidR="008E6BF4" w:rsidRPr="000F7862">
        <w:rPr>
          <w:lang w:val="fr-FR"/>
        </w:rPr>
        <w:t xml:space="preserve">en </w:t>
      </w:r>
      <w:r w:rsidR="004A2BBD" w:rsidRPr="000F7862">
        <w:rPr>
          <w:lang w:val="fr-FR"/>
        </w:rPr>
        <w:t xml:space="preserve">les classant toutes les deux comme des infractions </w:t>
      </w:r>
      <w:r w:rsidR="008E6BF4" w:rsidRPr="000F7862">
        <w:rPr>
          <w:lang w:val="fr-FR"/>
        </w:rPr>
        <w:t>d</w:t>
      </w:r>
      <w:r w:rsidR="00120E2E" w:rsidRPr="000F7862">
        <w:rPr>
          <w:lang w:val="fr-FR"/>
        </w:rPr>
        <w:t>’</w:t>
      </w:r>
      <w:r w:rsidR="008E6BF4" w:rsidRPr="000F7862">
        <w:rPr>
          <w:lang w:val="fr-FR"/>
        </w:rPr>
        <w:t>infidélité sexuelle</w:t>
      </w:r>
      <w:r w:rsidR="0086185C" w:rsidRPr="000F7862">
        <w:rPr>
          <w:lang w:val="fr-FR"/>
        </w:rPr>
        <w:t>.</w:t>
      </w:r>
    </w:p>
    <w:p w:rsidR="0086185C" w:rsidRPr="000F7862" w:rsidRDefault="003F7F57" w:rsidP="003F7F57">
      <w:pPr>
        <w:pStyle w:val="SingleTxtG"/>
        <w:rPr>
          <w:u w:color="0000FF"/>
          <w:lang w:val="fr-FR"/>
        </w:rPr>
      </w:pPr>
      <w:r w:rsidRPr="000F7862">
        <w:rPr>
          <w:u w:color="0000FF"/>
          <w:lang w:val="fr-FR"/>
        </w:rPr>
        <w:t>50.</w:t>
      </w:r>
      <w:r w:rsidRPr="000F7862">
        <w:rPr>
          <w:u w:color="0000FF"/>
          <w:lang w:val="fr-FR"/>
        </w:rPr>
        <w:tab/>
      </w:r>
      <w:r w:rsidR="008E6BF4" w:rsidRPr="000F7862">
        <w:rPr>
          <w:u w:color="0000FF"/>
          <w:lang w:val="fr-FR"/>
        </w:rPr>
        <w:t xml:space="preserve">Un certain nombre de projets de loi </w:t>
      </w:r>
      <w:r w:rsidR="00BF0350" w:rsidRPr="000F7862">
        <w:rPr>
          <w:u w:color="0000FF"/>
          <w:lang w:val="fr-FR"/>
        </w:rPr>
        <w:t>visant à</w:t>
      </w:r>
      <w:r w:rsidR="008E6BF4" w:rsidRPr="000F7862">
        <w:rPr>
          <w:u w:color="0000FF"/>
          <w:lang w:val="fr-FR"/>
        </w:rPr>
        <w:t xml:space="preserve"> modifier des lois en vigueur qui étaient discriminatoires à l</w:t>
      </w:r>
      <w:r w:rsidR="00120E2E" w:rsidRPr="000F7862">
        <w:rPr>
          <w:u w:color="0000FF"/>
          <w:lang w:val="fr-FR"/>
        </w:rPr>
        <w:t>’</w:t>
      </w:r>
      <w:r w:rsidR="008E6BF4" w:rsidRPr="000F7862">
        <w:rPr>
          <w:u w:color="0000FF"/>
          <w:lang w:val="fr-FR"/>
        </w:rPr>
        <w:t>égard des femmes ont également été déposés pendant la seizième législature</w:t>
      </w:r>
      <w:r w:rsidR="0086185C" w:rsidRPr="000F7862">
        <w:rPr>
          <w:u w:color="0000FF"/>
          <w:lang w:val="fr-FR"/>
        </w:rPr>
        <w:t>.</w:t>
      </w:r>
      <w:r w:rsidR="00446EA5" w:rsidRPr="000F7862">
        <w:rPr>
          <w:u w:color="0000FF"/>
          <w:lang w:val="fr-FR"/>
        </w:rPr>
        <w:t xml:space="preserve"> </w:t>
      </w:r>
      <w:r w:rsidR="00BF0350" w:rsidRPr="000F7862">
        <w:rPr>
          <w:u w:color="0000FF"/>
          <w:lang w:val="fr-FR"/>
        </w:rPr>
        <w:t>Au nombre de c</w:t>
      </w:r>
      <w:r w:rsidR="008E6BF4" w:rsidRPr="000F7862">
        <w:rPr>
          <w:u w:color="0000FF"/>
          <w:lang w:val="fr-FR"/>
        </w:rPr>
        <w:t xml:space="preserve">es projets </w:t>
      </w:r>
      <w:r w:rsidR="00BF0350" w:rsidRPr="000F7862">
        <w:rPr>
          <w:u w:color="0000FF"/>
          <w:lang w:val="fr-FR"/>
        </w:rPr>
        <w:t>figurent</w:t>
      </w:r>
      <w:r w:rsidR="0005004C" w:rsidRPr="000F7862">
        <w:rPr>
          <w:u w:color="0000FF"/>
          <w:lang w:val="fr-FR"/>
        </w:rPr>
        <w:t>:</w:t>
      </w:r>
    </w:p>
    <w:p w:rsidR="0086185C" w:rsidRPr="000F7862" w:rsidRDefault="004A2BBD" w:rsidP="009111E1">
      <w:pPr>
        <w:pStyle w:val="Bullet1G"/>
        <w:rPr>
          <w:u w:color="0000FF"/>
        </w:rPr>
      </w:pPr>
      <w:r w:rsidRPr="000F7862">
        <w:rPr>
          <w:u w:color="0000FF"/>
        </w:rPr>
        <w:t xml:space="preserve">Le projet de loi </w:t>
      </w:r>
      <w:r w:rsidR="00730F8F" w:rsidRPr="000F7862">
        <w:rPr>
          <w:u w:color="0000FF"/>
        </w:rPr>
        <w:t>n</w:t>
      </w:r>
      <w:r w:rsidR="00730F8F" w:rsidRPr="000F7862">
        <w:rPr>
          <w:u w:color="0000FF"/>
          <w:vertAlign w:val="superscript"/>
        </w:rPr>
        <w:t>o</w:t>
      </w:r>
      <w:r w:rsidR="00730F8F" w:rsidRPr="000F7862">
        <w:rPr>
          <w:u w:color="0000FF"/>
        </w:rPr>
        <w:t> </w:t>
      </w:r>
      <w:r w:rsidR="0086185C" w:rsidRPr="000F7862">
        <w:rPr>
          <w:u w:color="0000FF"/>
        </w:rPr>
        <w:t>812 o</w:t>
      </w:r>
      <w:r w:rsidRPr="000F7862">
        <w:rPr>
          <w:u w:color="0000FF"/>
        </w:rPr>
        <w:t>u loi portant modification du c</w:t>
      </w:r>
      <w:r w:rsidR="0086185C" w:rsidRPr="000F7862">
        <w:rPr>
          <w:u w:color="0000FF"/>
        </w:rPr>
        <w:t>hap</w:t>
      </w:r>
      <w:r w:rsidRPr="000F7862">
        <w:rPr>
          <w:u w:color="0000FF"/>
        </w:rPr>
        <w:t xml:space="preserve">itre </w:t>
      </w:r>
      <w:r w:rsidR="0086185C" w:rsidRPr="000F7862">
        <w:rPr>
          <w:u w:color="0000FF"/>
        </w:rPr>
        <w:t xml:space="preserve">3 </w:t>
      </w:r>
      <w:r w:rsidRPr="000F7862">
        <w:rPr>
          <w:u w:color="0000FF"/>
        </w:rPr>
        <w:t xml:space="preserve">de la loi de la </w:t>
      </w:r>
      <w:r w:rsidR="0086185C" w:rsidRPr="000F7862">
        <w:rPr>
          <w:u w:color="0000FF"/>
        </w:rPr>
        <w:t>R</w:t>
      </w:r>
      <w:r w:rsidRPr="000F7862">
        <w:rPr>
          <w:u w:color="0000FF"/>
        </w:rPr>
        <w:t>é</w:t>
      </w:r>
      <w:r w:rsidR="0086185C" w:rsidRPr="000F7862">
        <w:rPr>
          <w:u w:color="0000FF"/>
        </w:rPr>
        <w:t>publi</w:t>
      </w:r>
      <w:r w:rsidRPr="000F7862">
        <w:rPr>
          <w:u w:color="0000FF"/>
        </w:rPr>
        <w:t xml:space="preserve">que </w:t>
      </w:r>
      <w:r w:rsidR="006C06E3" w:rsidRPr="000F7862">
        <w:rPr>
          <w:u w:color="0000FF"/>
        </w:rPr>
        <w:t>n</w:t>
      </w:r>
      <w:r w:rsidR="006C06E3" w:rsidRPr="000F7862">
        <w:rPr>
          <w:u w:color="0000FF"/>
          <w:vertAlign w:val="superscript"/>
        </w:rPr>
        <w:t>o</w:t>
      </w:r>
      <w:r w:rsidR="006C06E3" w:rsidRPr="000F7862">
        <w:rPr>
          <w:u w:color="0000FF"/>
        </w:rPr>
        <w:t> </w:t>
      </w:r>
      <w:r w:rsidR="0086185C" w:rsidRPr="000F7862">
        <w:rPr>
          <w:u w:color="0000FF"/>
        </w:rPr>
        <w:t xml:space="preserve">8353, </w:t>
      </w:r>
      <w:r w:rsidR="002E4784" w:rsidRPr="000F7862">
        <w:rPr>
          <w:u w:color="0000FF"/>
        </w:rPr>
        <w:t xml:space="preserve">également appelée loi de 1997 </w:t>
      </w:r>
      <w:r w:rsidR="00275447" w:rsidRPr="000F7862">
        <w:rPr>
          <w:u w:color="0000FF"/>
        </w:rPr>
        <w:t>contre</w:t>
      </w:r>
      <w:r w:rsidR="002E4784" w:rsidRPr="000F7862">
        <w:rPr>
          <w:u w:color="0000FF"/>
        </w:rPr>
        <w:t xml:space="preserve"> le viol, </w:t>
      </w:r>
      <w:r w:rsidR="006D0677" w:rsidRPr="000F7862">
        <w:rPr>
          <w:u w:color="0000FF"/>
        </w:rPr>
        <w:t xml:space="preserve">qui </w:t>
      </w:r>
      <w:r w:rsidR="002E4784" w:rsidRPr="000F7862">
        <w:rPr>
          <w:u w:color="0000FF"/>
        </w:rPr>
        <w:t xml:space="preserve">vise à </w:t>
      </w:r>
      <w:r w:rsidR="0086185C" w:rsidRPr="000F7862">
        <w:rPr>
          <w:u w:color="0000FF"/>
        </w:rPr>
        <w:t>red</w:t>
      </w:r>
      <w:r w:rsidR="002E4784" w:rsidRPr="000F7862">
        <w:rPr>
          <w:u w:color="0000FF"/>
        </w:rPr>
        <w:t>é</w:t>
      </w:r>
      <w:r w:rsidR="0086185C" w:rsidRPr="000F7862">
        <w:rPr>
          <w:u w:color="0000FF"/>
        </w:rPr>
        <w:t>fin</w:t>
      </w:r>
      <w:r w:rsidR="00304E96" w:rsidRPr="000F7862">
        <w:rPr>
          <w:u w:color="0000FF"/>
        </w:rPr>
        <w:t>ir l</w:t>
      </w:r>
      <w:r w:rsidR="00120E2E" w:rsidRPr="000F7862">
        <w:rPr>
          <w:u w:color="0000FF"/>
        </w:rPr>
        <w:t>’</w:t>
      </w:r>
      <w:r w:rsidR="00304E96" w:rsidRPr="000F7862">
        <w:rPr>
          <w:u w:color="0000FF"/>
        </w:rPr>
        <w:t xml:space="preserve">infraction de viol en </w:t>
      </w:r>
      <w:r w:rsidR="00791B9C" w:rsidRPr="000F7862">
        <w:rPr>
          <w:u w:color="0000FF"/>
        </w:rPr>
        <w:t>inscrivant</w:t>
      </w:r>
      <w:r w:rsidR="00304E96" w:rsidRPr="000F7862">
        <w:rPr>
          <w:u w:color="0000FF"/>
        </w:rPr>
        <w:t xml:space="preserve"> </w:t>
      </w:r>
      <w:r w:rsidR="0005004C" w:rsidRPr="000F7862">
        <w:t>«</w:t>
      </w:r>
      <w:r w:rsidR="00304E96" w:rsidRPr="000F7862">
        <w:t>l</w:t>
      </w:r>
      <w:r w:rsidR="00120E2E" w:rsidRPr="000F7862">
        <w:t>’</w:t>
      </w:r>
      <w:r w:rsidR="00304E96" w:rsidRPr="000F7862">
        <w:t xml:space="preserve">absence ou </w:t>
      </w:r>
      <w:r w:rsidR="00791B9C" w:rsidRPr="000F7862">
        <w:t>le</w:t>
      </w:r>
      <w:r w:rsidR="00304E96" w:rsidRPr="000F7862">
        <w:t xml:space="preserve"> manque de consentement</w:t>
      </w:r>
      <w:r w:rsidR="0005004C" w:rsidRPr="000F7862">
        <w:t>»</w:t>
      </w:r>
      <w:r w:rsidR="00304E96" w:rsidRPr="000F7862">
        <w:t xml:space="preserve"> </w:t>
      </w:r>
      <w:r w:rsidR="00791B9C" w:rsidRPr="000F7862">
        <w:t xml:space="preserve">au nombre des </w:t>
      </w:r>
      <w:r w:rsidR="00304E96" w:rsidRPr="000F7862">
        <w:t>élément</w:t>
      </w:r>
      <w:r w:rsidR="00791B9C" w:rsidRPr="000F7862">
        <w:t>s</w:t>
      </w:r>
      <w:r w:rsidR="00304E96" w:rsidRPr="000F7862">
        <w:t xml:space="preserve"> </w:t>
      </w:r>
      <w:r w:rsidR="00791B9C" w:rsidRPr="000F7862">
        <w:t xml:space="preserve">fondamentaux </w:t>
      </w:r>
      <w:r w:rsidR="00304E96" w:rsidRPr="000F7862">
        <w:t xml:space="preserve">de la définition du viol; en abrogeant la </w:t>
      </w:r>
      <w:r w:rsidR="00386502" w:rsidRPr="000F7862">
        <w:t>disposition relative au pardon</w:t>
      </w:r>
      <w:r w:rsidR="00304E96" w:rsidRPr="000F7862">
        <w:t xml:space="preserve"> </w:t>
      </w:r>
      <w:r w:rsidR="00760BB6" w:rsidRPr="000F7862">
        <w:t>s</w:t>
      </w:r>
      <w:r w:rsidR="00120E2E" w:rsidRPr="000F7862">
        <w:t>’</w:t>
      </w:r>
      <w:r w:rsidR="00760BB6" w:rsidRPr="000F7862">
        <w:t>agissant du</w:t>
      </w:r>
      <w:r w:rsidR="00304E96" w:rsidRPr="000F7862">
        <w:t xml:space="preserve"> viol conjugal; et en </w:t>
      </w:r>
      <w:r w:rsidR="00DA2A82" w:rsidRPr="000F7862">
        <w:t>portant</w:t>
      </w:r>
      <w:r w:rsidR="00304E96" w:rsidRPr="000F7862">
        <w:t xml:space="preserve"> de 12 à 16 ans l</w:t>
      </w:r>
      <w:r w:rsidR="00120E2E" w:rsidRPr="000F7862">
        <w:t>’</w:t>
      </w:r>
      <w:r w:rsidR="00304E96" w:rsidRPr="000F7862">
        <w:t xml:space="preserve">âge </w:t>
      </w:r>
      <w:r w:rsidR="00DA2A82" w:rsidRPr="000F7862">
        <w:t>en deçà duquel la loi considère qu</w:t>
      </w:r>
      <w:r w:rsidR="00120E2E" w:rsidRPr="000F7862">
        <w:t>’</w:t>
      </w:r>
      <w:r w:rsidR="00DA2A82" w:rsidRPr="000F7862">
        <w:t>il y a atteinte sexuelle sur mineur</w:t>
      </w:r>
      <w:r w:rsidR="003A2862" w:rsidRPr="000F7862">
        <w:rPr>
          <w:u w:color="0000FF"/>
        </w:rPr>
        <w:t>;</w:t>
      </w:r>
    </w:p>
    <w:p w:rsidR="0086185C" w:rsidRPr="000F7862" w:rsidRDefault="00304E96" w:rsidP="009111E1">
      <w:pPr>
        <w:pStyle w:val="Bullet1G"/>
        <w:rPr>
          <w:u w:color="0000FF"/>
        </w:rPr>
      </w:pPr>
      <w:r w:rsidRPr="000F7862">
        <w:rPr>
          <w:u w:color="0000FF"/>
        </w:rPr>
        <w:t xml:space="preserve">Le projet de loi </w:t>
      </w:r>
      <w:r w:rsidR="00730F8F" w:rsidRPr="000F7862">
        <w:rPr>
          <w:u w:color="0000FF"/>
        </w:rPr>
        <w:t>n</w:t>
      </w:r>
      <w:r w:rsidR="00730F8F" w:rsidRPr="000F7862">
        <w:rPr>
          <w:u w:color="0000FF"/>
          <w:vertAlign w:val="superscript"/>
        </w:rPr>
        <w:t>o</w:t>
      </w:r>
      <w:r w:rsidR="00730F8F" w:rsidRPr="000F7862">
        <w:rPr>
          <w:u w:color="0000FF"/>
        </w:rPr>
        <w:t> </w:t>
      </w:r>
      <w:r w:rsidR="0086185C" w:rsidRPr="000F7862">
        <w:rPr>
          <w:u w:color="0000FF"/>
        </w:rPr>
        <w:t>85 o</w:t>
      </w:r>
      <w:r w:rsidRPr="000F7862">
        <w:rPr>
          <w:u w:color="0000FF"/>
        </w:rPr>
        <w:t xml:space="preserve">u loi </w:t>
      </w:r>
      <w:r w:rsidR="001D7739" w:rsidRPr="000F7862">
        <w:rPr>
          <w:u w:color="0000FF"/>
        </w:rPr>
        <w:t>portant renforcement du</w:t>
      </w:r>
      <w:r w:rsidRPr="000F7862">
        <w:rPr>
          <w:u w:color="0000FF"/>
        </w:rPr>
        <w:t xml:space="preserve"> partenariat fondé sur l</w:t>
      </w:r>
      <w:r w:rsidR="00120E2E" w:rsidRPr="000F7862">
        <w:rPr>
          <w:u w:color="0000FF"/>
        </w:rPr>
        <w:t>’</w:t>
      </w:r>
      <w:r w:rsidRPr="000F7862">
        <w:rPr>
          <w:u w:color="0000FF"/>
        </w:rPr>
        <w:t xml:space="preserve">égalité entre la femme et le mari </w:t>
      </w:r>
      <w:r w:rsidR="009821F9" w:rsidRPr="000F7862">
        <w:rPr>
          <w:u w:color="0000FF"/>
        </w:rPr>
        <w:t>en matière</w:t>
      </w:r>
      <w:r w:rsidRPr="000F7862">
        <w:rPr>
          <w:u w:color="0000FF"/>
        </w:rPr>
        <w:t xml:space="preserve"> </w:t>
      </w:r>
      <w:r w:rsidR="009821F9" w:rsidRPr="000F7862">
        <w:rPr>
          <w:u w:color="0000FF"/>
        </w:rPr>
        <w:t>d</w:t>
      </w:r>
      <w:r w:rsidR="00120E2E" w:rsidRPr="000F7862">
        <w:rPr>
          <w:u w:color="0000FF"/>
        </w:rPr>
        <w:t>’</w:t>
      </w:r>
      <w:r w:rsidRPr="000F7862">
        <w:rPr>
          <w:u w:color="0000FF"/>
        </w:rPr>
        <w:t>affaires familiales</w:t>
      </w:r>
      <w:r w:rsidR="00F55E38" w:rsidRPr="000F7862">
        <w:rPr>
          <w:u w:color="0000FF"/>
        </w:rPr>
        <w:t>, qui vise à</w:t>
      </w:r>
      <w:r w:rsidRPr="000F7862">
        <w:rPr>
          <w:u w:color="0000FF"/>
        </w:rPr>
        <w:t xml:space="preserve"> modifier les </w:t>
      </w:r>
      <w:r w:rsidR="001C088C" w:rsidRPr="000F7862">
        <w:rPr>
          <w:u w:color="0000FF"/>
        </w:rPr>
        <w:t>a</w:t>
      </w:r>
      <w:r w:rsidR="00B63BFB" w:rsidRPr="000F7862">
        <w:rPr>
          <w:u w:color="0000FF"/>
        </w:rPr>
        <w:t>rticles </w:t>
      </w:r>
      <w:r w:rsidR="0086185C" w:rsidRPr="000F7862">
        <w:rPr>
          <w:u w:color="0000FF"/>
        </w:rPr>
        <w:t>14, 96, 124, 211</w:t>
      </w:r>
      <w:r w:rsidRPr="000F7862">
        <w:rPr>
          <w:u w:color="0000FF"/>
        </w:rPr>
        <w:t xml:space="preserve"> et</w:t>
      </w:r>
      <w:r w:rsidR="0086185C" w:rsidRPr="000F7862">
        <w:rPr>
          <w:u w:color="0000FF"/>
        </w:rPr>
        <w:t xml:space="preserve"> 225 </w:t>
      </w:r>
      <w:r w:rsidRPr="000F7862">
        <w:rPr>
          <w:u w:color="0000FF"/>
        </w:rPr>
        <w:t>du Code de la famille</w:t>
      </w:r>
      <w:r w:rsidR="003A2862" w:rsidRPr="000F7862">
        <w:rPr>
          <w:u w:color="0000FF"/>
        </w:rPr>
        <w:t>;</w:t>
      </w:r>
    </w:p>
    <w:p w:rsidR="0086185C" w:rsidRPr="000F7862" w:rsidRDefault="003D4E7E" w:rsidP="009111E1">
      <w:pPr>
        <w:pStyle w:val="Bullet1G"/>
        <w:rPr>
          <w:u w:color="0000FF"/>
        </w:rPr>
      </w:pPr>
      <w:r w:rsidRPr="000F7862">
        <w:rPr>
          <w:u w:color="0000FF"/>
        </w:rPr>
        <w:t xml:space="preserve">Le projet de loi du </w:t>
      </w:r>
      <w:r w:rsidR="0086185C" w:rsidRPr="000F7862">
        <w:rPr>
          <w:u w:color="0000FF"/>
        </w:rPr>
        <w:t>S</w:t>
      </w:r>
      <w:r w:rsidRPr="000F7862">
        <w:rPr>
          <w:u w:color="0000FF"/>
        </w:rPr>
        <w:t>é</w:t>
      </w:r>
      <w:r w:rsidR="0086185C" w:rsidRPr="000F7862">
        <w:rPr>
          <w:u w:color="0000FF"/>
        </w:rPr>
        <w:t xml:space="preserve">nat </w:t>
      </w:r>
      <w:r w:rsidR="006C06E3" w:rsidRPr="000F7862">
        <w:rPr>
          <w:u w:color="0000FF"/>
        </w:rPr>
        <w:t>n</w:t>
      </w:r>
      <w:r w:rsidR="006C06E3" w:rsidRPr="000F7862">
        <w:rPr>
          <w:u w:color="0000FF"/>
          <w:vertAlign w:val="superscript"/>
        </w:rPr>
        <w:t>o</w:t>
      </w:r>
      <w:r w:rsidR="006C06E3" w:rsidRPr="000F7862">
        <w:rPr>
          <w:u w:color="0000FF"/>
        </w:rPr>
        <w:t> </w:t>
      </w:r>
      <w:r w:rsidR="0086185C" w:rsidRPr="000F7862">
        <w:rPr>
          <w:u w:color="0000FF"/>
        </w:rPr>
        <w:t>1260 o</w:t>
      </w:r>
      <w:r w:rsidRPr="000F7862">
        <w:rPr>
          <w:u w:color="0000FF"/>
        </w:rPr>
        <w:t>u loi garantissant l</w:t>
      </w:r>
      <w:r w:rsidR="00120E2E" w:rsidRPr="000F7862">
        <w:rPr>
          <w:u w:color="0000FF"/>
        </w:rPr>
        <w:t>’</w:t>
      </w:r>
      <w:r w:rsidRPr="000F7862">
        <w:rPr>
          <w:u w:color="0000FF"/>
        </w:rPr>
        <w:t xml:space="preserve">égalité fondamentale des hommes et des femmes en application des lois </w:t>
      </w:r>
      <w:r w:rsidR="00181E5F" w:rsidRPr="000F7862">
        <w:rPr>
          <w:u w:color="0000FF"/>
        </w:rPr>
        <w:t>relatives au</w:t>
      </w:r>
      <w:r w:rsidRPr="000F7862">
        <w:rPr>
          <w:u w:color="0000FF"/>
        </w:rPr>
        <w:t xml:space="preserve"> mariage et </w:t>
      </w:r>
      <w:r w:rsidR="00181E5F" w:rsidRPr="000F7862">
        <w:rPr>
          <w:u w:color="0000FF"/>
        </w:rPr>
        <w:t>aux</w:t>
      </w:r>
      <w:r w:rsidRPr="000F7862">
        <w:rPr>
          <w:u w:color="0000FF"/>
        </w:rPr>
        <w:t xml:space="preserve"> relations familiales</w:t>
      </w:r>
      <w:r w:rsidR="00181E5F" w:rsidRPr="000F7862">
        <w:rPr>
          <w:u w:color="0000FF"/>
        </w:rPr>
        <w:t>, qui</w:t>
      </w:r>
      <w:r w:rsidRPr="000F7862">
        <w:rPr>
          <w:u w:color="0000FF"/>
        </w:rPr>
        <w:t xml:space="preserve"> établit l</w:t>
      </w:r>
      <w:r w:rsidR="00120E2E" w:rsidRPr="000F7862">
        <w:rPr>
          <w:u w:color="0000FF"/>
        </w:rPr>
        <w:t>’</w:t>
      </w:r>
      <w:r w:rsidRPr="000F7862">
        <w:rPr>
          <w:u w:color="0000FF"/>
        </w:rPr>
        <w:t>égalité entre hommes et femmes en matière d</w:t>
      </w:r>
      <w:r w:rsidR="00120E2E" w:rsidRPr="000F7862">
        <w:rPr>
          <w:u w:color="0000FF"/>
        </w:rPr>
        <w:t>’</w:t>
      </w:r>
      <w:r w:rsidRPr="000F7862">
        <w:rPr>
          <w:u w:color="0000FF"/>
        </w:rPr>
        <w:t>administration des biens et d</w:t>
      </w:r>
      <w:r w:rsidR="00120E2E" w:rsidRPr="000F7862">
        <w:rPr>
          <w:u w:color="0000FF"/>
        </w:rPr>
        <w:t>’</w:t>
      </w:r>
      <w:r w:rsidRPr="000F7862">
        <w:rPr>
          <w:u w:color="0000FF"/>
        </w:rPr>
        <w:t>autorité parentale sur les enfants communs</w:t>
      </w:r>
      <w:r w:rsidR="0086185C" w:rsidRPr="000F7862">
        <w:rPr>
          <w:u w:color="0000FF"/>
        </w:rPr>
        <w:t>.</w:t>
      </w:r>
      <w:r w:rsidR="00446EA5" w:rsidRPr="000F7862">
        <w:rPr>
          <w:u w:color="0000FF"/>
        </w:rPr>
        <w:t xml:space="preserve"> </w:t>
      </w:r>
      <w:r w:rsidRPr="000F7862">
        <w:rPr>
          <w:u w:color="0000FF"/>
        </w:rPr>
        <w:t xml:space="preserve">Il </w:t>
      </w:r>
      <w:r w:rsidR="00FC5E95" w:rsidRPr="000F7862">
        <w:rPr>
          <w:u w:color="0000FF"/>
        </w:rPr>
        <w:t>modifierait</w:t>
      </w:r>
      <w:r w:rsidRPr="000F7862">
        <w:rPr>
          <w:u w:color="0000FF"/>
        </w:rPr>
        <w:t xml:space="preserve"> également</w:t>
      </w:r>
      <w:r w:rsidR="0005004C" w:rsidRPr="000F7862">
        <w:rPr>
          <w:u w:color="0000FF"/>
        </w:rPr>
        <w:t xml:space="preserve"> </w:t>
      </w:r>
      <w:r w:rsidRPr="000F7862">
        <w:rPr>
          <w:u w:color="0000FF"/>
        </w:rPr>
        <w:t>le Code de la famille</w:t>
      </w:r>
      <w:r w:rsidR="003A2862" w:rsidRPr="000F7862">
        <w:rPr>
          <w:u w:color="0000FF"/>
        </w:rPr>
        <w:t>;</w:t>
      </w:r>
    </w:p>
    <w:p w:rsidR="0086185C" w:rsidRPr="000F7862" w:rsidRDefault="003D4E7E" w:rsidP="009111E1">
      <w:pPr>
        <w:pStyle w:val="Bullet1G"/>
        <w:rPr>
          <w:u w:color="0000FF"/>
        </w:rPr>
      </w:pPr>
      <w:r w:rsidRPr="000F7862">
        <w:rPr>
          <w:u w:color="0000FF"/>
        </w:rPr>
        <w:t xml:space="preserve">Le projet de loi du Sénat </w:t>
      </w:r>
      <w:r w:rsidR="006C06E3" w:rsidRPr="000F7862">
        <w:rPr>
          <w:u w:color="0000FF"/>
        </w:rPr>
        <w:t>n</w:t>
      </w:r>
      <w:r w:rsidR="006C06E3" w:rsidRPr="000F7862">
        <w:rPr>
          <w:u w:color="0000FF"/>
          <w:vertAlign w:val="superscript"/>
        </w:rPr>
        <w:t>o</w:t>
      </w:r>
      <w:r w:rsidR="006C06E3" w:rsidRPr="000F7862">
        <w:rPr>
          <w:u w:color="0000FF"/>
        </w:rPr>
        <w:t> </w:t>
      </w:r>
      <w:r w:rsidR="0086185C" w:rsidRPr="000F7862">
        <w:rPr>
          <w:u w:color="0000FF"/>
        </w:rPr>
        <w:t>773 o</w:t>
      </w:r>
      <w:r w:rsidRPr="000F7862">
        <w:rPr>
          <w:u w:color="0000FF"/>
        </w:rPr>
        <w:t>u loi définissant c</w:t>
      </w:r>
      <w:r w:rsidR="0086185C" w:rsidRPr="000F7862">
        <w:rPr>
          <w:u w:color="0000FF"/>
        </w:rPr>
        <w:t>ertain</w:t>
      </w:r>
      <w:r w:rsidRPr="000F7862">
        <w:rPr>
          <w:u w:color="0000FF"/>
        </w:rPr>
        <w:t>es</w:t>
      </w:r>
      <w:r w:rsidR="0086185C" w:rsidRPr="000F7862">
        <w:rPr>
          <w:u w:color="0000FF"/>
        </w:rPr>
        <w:t xml:space="preserve"> </w:t>
      </w:r>
      <w:r w:rsidRPr="000F7862">
        <w:rPr>
          <w:u w:color="0000FF"/>
        </w:rPr>
        <w:t>i</w:t>
      </w:r>
      <w:r w:rsidR="0086185C" w:rsidRPr="000F7862">
        <w:rPr>
          <w:u w:color="0000FF"/>
        </w:rPr>
        <w:t xml:space="preserve">ndications </w:t>
      </w:r>
      <w:r w:rsidRPr="000F7862">
        <w:rPr>
          <w:u w:color="0000FF"/>
        </w:rPr>
        <w:t>d</w:t>
      </w:r>
      <w:r w:rsidR="00120E2E" w:rsidRPr="000F7862">
        <w:rPr>
          <w:u w:color="0000FF"/>
        </w:rPr>
        <w:t>’</w:t>
      </w:r>
      <w:r w:rsidRPr="000F7862">
        <w:rPr>
          <w:u w:color="0000FF"/>
        </w:rPr>
        <w:t xml:space="preserve">incapacité psychologique </w:t>
      </w:r>
      <w:r w:rsidR="00154BA4" w:rsidRPr="000F7862">
        <w:rPr>
          <w:u w:color="0000FF"/>
        </w:rPr>
        <w:t>en tant que motif</w:t>
      </w:r>
      <w:r w:rsidR="00792454" w:rsidRPr="000F7862">
        <w:rPr>
          <w:u w:color="0000FF"/>
        </w:rPr>
        <w:t>s</w:t>
      </w:r>
      <w:r w:rsidR="00154BA4" w:rsidRPr="000F7862">
        <w:rPr>
          <w:u w:color="0000FF"/>
        </w:rPr>
        <w:t xml:space="preserve"> de</w:t>
      </w:r>
      <w:r w:rsidR="00F760B0" w:rsidRPr="000F7862">
        <w:rPr>
          <w:u w:color="0000FF"/>
        </w:rPr>
        <w:t xml:space="preserve"> dé</w:t>
      </w:r>
      <w:r w:rsidR="0086185C" w:rsidRPr="000F7862">
        <w:rPr>
          <w:u w:color="0000FF"/>
        </w:rPr>
        <w:t xml:space="preserve">claration </w:t>
      </w:r>
      <w:r w:rsidR="00F760B0" w:rsidRPr="000F7862">
        <w:rPr>
          <w:u w:color="0000FF"/>
        </w:rPr>
        <w:t>de</w:t>
      </w:r>
      <w:r w:rsidR="0086185C" w:rsidRPr="000F7862">
        <w:rPr>
          <w:u w:color="0000FF"/>
        </w:rPr>
        <w:t xml:space="preserve"> </w:t>
      </w:r>
      <w:r w:rsidR="00F760B0" w:rsidRPr="000F7862">
        <w:rPr>
          <w:u w:color="0000FF"/>
        </w:rPr>
        <w:t>n</w:t>
      </w:r>
      <w:r w:rsidR="0086185C" w:rsidRPr="000F7862">
        <w:rPr>
          <w:u w:color="0000FF"/>
        </w:rPr>
        <w:t>ullit</w:t>
      </w:r>
      <w:r w:rsidR="00F760B0" w:rsidRPr="000F7862">
        <w:rPr>
          <w:u w:color="0000FF"/>
        </w:rPr>
        <w:t>é du mariage</w:t>
      </w:r>
      <w:r w:rsidR="00154BA4" w:rsidRPr="000F7862">
        <w:rPr>
          <w:u w:color="0000FF"/>
        </w:rPr>
        <w:t>, qui</w:t>
      </w:r>
      <w:r w:rsidR="0005004C" w:rsidRPr="000F7862">
        <w:rPr>
          <w:u w:color="0000FF"/>
        </w:rPr>
        <w:t xml:space="preserve"> </w:t>
      </w:r>
      <w:r w:rsidR="00F760B0" w:rsidRPr="000F7862">
        <w:rPr>
          <w:u w:color="0000FF"/>
        </w:rPr>
        <w:t>modifie</w:t>
      </w:r>
      <w:r w:rsidR="00FC5E95" w:rsidRPr="000F7862">
        <w:rPr>
          <w:u w:color="0000FF"/>
        </w:rPr>
        <w:t>rait</w:t>
      </w:r>
      <w:r w:rsidR="00F760B0" w:rsidRPr="000F7862">
        <w:rPr>
          <w:u w:color="0000FF"/>
        </w:rPr>
        <w:t xml:space="preserve"> </w:t>
      </w:r>
      <w:r w:rsidR="00FC5E95" w:rsidRPr="000F7862">
        <w:rPr>
          <w:u w:color="0000FF"/>
        </w:rPr>
        <w:t>lui aussi</w:t>
      </w:r>
      <w:r w:rsidR="00F760B0" w:rsidRPr="000F7862">
        <w:rPr>
          <w:u w:color="0000FF"/>
        </w:rPr>
        <w:t xml:space="preserve"> le Code de la famille</w:t>
      </w:r>
      <w:r w:rsidR="0086185C" w:rsidRPr="000F7862">
        <w:rPr>
          <w:u w:color="0000FF"/>
        </w:rPr>
        <w:t>.</w:t>
      </w:r>
    </w:p>
    <w:p w:rsidR="0086185C" w:rsidRPr="000F7862" w:rsidRDefault="00FD0FD7" w:rsidP="00FB1A70">
      <w:pPr>
        <w:pStyle w:val="H23G"/>
        <w:rPr>
          <w:lang w:val="fr-FR"/>
        </w:rPr>
      </w:pPr>
      <w:r w:rsidRPr="000F7862">
        <w:rPr>
          <w:lang w:val="fr-FR"/>
        </w:rPr>
        <w:tab/>
      </w:r>
      <w:r w:rsidRPr="000F7862">
        <w:rPr>
          <w:lang w:val="fr-FR"/>
        </w:rPr>
        <w:tab/>
      </w:r>
      <w:r w:rsidR="00F760B0" w:rsidRPr="000F7862">
        <w:rPr>
          <w:lang w:val="fr-FR"/>
        </w:rPr>
        <w:t>Droit égal de l</w:t>
      </w:r>
      <w:r w:rsidR="00120E2E" w:rsidRPr="000F7862">
        <w:rPr>
          <w:lang w:val="fr-FR"/>
        </w:rPr>
        <w:t>’</w:t>
      </w:r>
      <w:r w:rsidR="00F760B0" w:rsidRPr="000F7862">
        <w:rPr>
          <w:lang w:val="fr-FR"/>
        </w:rPr>
        <w:t>homme et de la femme au bénéfice de tous les droits économiques, sociaux et culturels</w:t>
      </w:r>
    </w:p>
    <w:p w:rsidR="0086185C" w:rsidRPr="000F7862" w:rsidRDefault="003F7F57" w:rsidP="009B71DB">
      <w:pPr>
        <w:pStyle w:val="SingleTxtG"/>
        <w:rPr>
          <w:lang w:val="fr-FR"/>
        </w:rPr>
      </w:pPr>
      <w:r w:rsidRPr="000F7862">
        <w:rPr>
          <w:lang w:val="fr-FR"/>
        </w:rPr>
        <w:t>51.</w:t>
      </w:r>
      <w:r w:rsidRPr="000F7862">
        <w:rPr>
          <w:lang w:val="fr-FR"/>
        </w:rPr>
        <w:tab/>
      </w:r>
      <w:r w:rsidR="00F760B0" w:rsidRPr="000F7862">
        <w:rPr>
          <w:lang w:val="fr-FR"/>
        </w:rPr>
        <w:t>Le Gouvernement met actuellement la dernière main au Plan pour l</w:t>
      </w:r>
      <w:r w:rsidR="00120E2E" w:rsidRPr="000F7862">
        <w:rPr>
          <w:lang w:val="fr-FR"/>
        </w:rPr>
        <w:t>’</w:t>
      </w:r>
      <w:r w:rsidR="00F760B0" w:rsidRPr="000F7862">
        <w:rPr>
          <w:lang w:val="fr-FR"/>
        </w:rPr>
        <w:t>autonomisation des femmes et pour l</w:t>
      </w:r>
      <w:r w:rsidR="00120E2E" w:rsidRPr="000F7862">
        <w:rPr>
          <w:lang w:val="fr-FR"/>
        </w:rPr>
        <w:t>’</w:t>
      </w:r>
      <w:r w:rsidR="00F760B0" w:rsidRPr="000F7862">
        <w:rPr>
          <w:lang w:val="fr-FR"/>
        </w:rPr>
        <w:t xml:space="preserve">égalité des sexes </w:t>
      </w:r>
      <w:r w:rsidR="0086185C" w:rsidRPr="000F7862">
        <w:rPr>
          <w:lang w:val="fr-FR"/>
        </w:rPr>
        <w:t>(</w:t>
      </w:r>
      <w:r w:rsidR="00F760B0" w:rsidRPr="000F7862">
        <w:rPr>
          <w:lang w:val="fr-FR"/>
        </w:rPr>
        <w:t xml:space="preserve">Plan </w:t>
      </w:r>
      <w:r w:rsidR="0086185C" w:rsidRPr="000F7862">
        <w:rPr>
          <w:lang w:val="fr-FR"/>
        </w:rPr>
        <w:t xml:space="preserve">EDGE </w:t>
      </w:r>
      <w:r w:rsidR="00F760B0" w:rsidRPr="000F7862">
        <w:rPr>
          <w:lang w:val="fr-FR"/>
        </w:rPr>
        <w:t>en faveur des femmes</w:t>
      </w:r>
      <w:r w:rsidR="0086185C" w:rsidRPr="000F7862">
        <w:rPr>
          <w:lang w:val="fr-FR"/>
        </w:rPr>
        <w:t xml:space="preserve">) </w:t>
      </w:r>
      <w:r w:rsidR="00F760B0" w:rsidRPr="000F7862">
        <w:rPr>
          <w:lang w:val="fr-FR"/>
        </w:rPr>
        <w:t xml:space="preserve">pour la période </w:t>
      </w:r>
      <w:r w:rsidR="0086185C" w:rsidRPr="000F7862">
        <w:rPr>
          <w:lang w:val="fr-FR"/>
        </w:rPr>
        <w:t>2013</w:t>
      </w:r>
      <w:r w:rsidR="00F760B0" w:rsidRPr="000F7862">
        <w:rPr>
          <w:lang w:val="fr-FR"/>
        </w:rPr>
        <w:t>-</w:t>
      </w:r>
      <w:r w:rsidR="0086185C" w:rsidRPr="000F7862">
        <w:rPr>
          <w:lang w:val="fr-FR"/>
        </w:rPr>
        <w:t>2016</w:t>
      </w:r>
      <w:r w:rsidR="00F760B0" w:rsidRPr="000F7862">
        <w:rPr>
          <w:lang w:val="fr-FR"/>
        </w:rPr>
        <w:t>, qui fait partie du Plan philippin de d</w:t>
      </w:r>
      <w:r w:rsidR="004D5855" w:rsidRPr="000F7862">
        <w:rPr>
          <w:lang w:val="fr-FR"/>
        </w:rPr>
        <w:t>éveloppement non sexiste</w:t>
      </w:r>
      <w:r w:rsidR="00F760B0" w:rsidRPr="000F7862">
        <w:rPr>
          <w:lang w:val="fr-FR"/>
        </w:rPr>
        <w:t xml:space="preserve">, prévu sur </w:t>
      </w:r>
      <w:r w:rsidR="009B71DB" w:rsidRPr="000F7862">
        <w:rPr>
          <w:lang w:val="fr-FR"/>
        </w:rPr>
        <w:t xml:space="preserve">trente </w:t>
      </w:r>
      <w:r w:rsidR="00F760B0" w:rsidRPr="000F7862">
        <w:rPr>
          <w:lang w:val="fr-FR"/>
        </w:rPr>
        <w:t>ans (1995-2025)</w:t>
      </w:r>
      <w:r w:rsidR="0086185C" w:rsidRPr="000F7862">
        <w:rPr>
          <w:lang w:val="fr-FR"/>
        </w:rPr>
        <w:t>.</w:t>
      </w:r>
      <w:r w:rsidR="00446EA5" w:rsidRPr="000F7862">
        <w:rPr>
          <w:lang w:val="fr-FR"/>
        </w:rPr>
        <w:t xml:space="preserve"> </w:t>
      </w:r>
      <w:r w:rsidR="00F760B0" w:rsidRPr="000F7862">
        <w:rPr>
          <w:lang w:val="fr-FR"/>
        </w:rPr>
        <w:t xml:space="preserve">Le Plan EDGE en faveur des femmes est le pendant du Plan de développement des </w:t>
      </w:r>
      <w:r w:rsidR="0086185C" w:rsidRPr="000F7862">
        <w:rPr>
          <w:lang w:val="fr-FR"/>
        </w:rPr>
        <w:t>Philippine</w:t>
      </w:r>
      <w:r w:rsidR="00F760B0" w:rsidRPr="000F7862">
        <w:rPr>
          <w:lang w:val="fr-FR"/>
        </w:rPr>
        <w:t xml:space="preserve">s pour la période </w:t>
      </w:r>
      <w:r w:rsidR="0086185C" w:rsidRPr="000F7862">
        <w:rPr>
          <w:lang w:val="fr-FR"/>
        </w:rPr>
        <w:t>2012</w:t>
      </w:r>
      <w:r w:rsidR="00F760B0" w:rsidRPr="000F7862">
        <w:rPr>
          <w:lang w:val="fr-FR"/>
        </w:rPr>
        <w:t>-</w:t>
      </w:r>
      <w:r w:rsidR="0086185C" w:rsidRPr="000F7862">
        <w:rPr>
          <w:lang w:val="fr-FR"/>
        </w:rPr>
        <w:t>2016. I</w:t>
      </w:r>
      <w:r w:rsidR="00F30A9A" w:rsidRPr="000F7862">
        <w:rPr>
          <w:lang w:val="fr-FR"/>
        </w:rPr>
        <w:t xml:space="preserve">l fournit aux pouvoirs publics des orientations pour définir les </w:t>
      </w:r>
      <w:r w:rsidR="0086185C" w:rsidRPr="000F7862">
        <w:rPr>
          <w:lang w:val="fr-FR"/>
        </w:rPr>
        <w:t xml:space="preserve">interventions </w:t>
      </w:r>
      <w:r w:rsidR="00F30A9A" w:rsidRPr="000F7862">
        <w:rPr>
          <w:lang w:val="fr-FR"/>
        </w:rPr>
        <w:t xml:space="preserve">et les </w:t>
      </w:r>
      <w:r w:rsidR="0086185C" w:rsidRPr="000F7862">
        <w:rPr>
          <w:lang w:val="fr-FR"/>
        </w:rPr>
        <w:t>strat</w:t>
      </w:r>
      <w:r w:rsidR="00F30A9A" w:rsidRPr="000F7862">
        <w:rPr>
          <w:lang w:val="fr-FR"/>
        </w:rPr>
        <w:t>é</w:t>
      </w:r>
      <w:r w:rsidR="0086185C" w:rsidRPr="000F7862">
        <w:rPr>
          <w:lang w:val="fr-FR"/>
        </w:rPr>
        <w:t xml:space="preserve">gies </w:t>
      </w:r>
      <w:r w:rsidR="00F30A9A" w:rsidRPr="000F7862">
        <w:rPr>
          <w:lang w:val="fr-FR"/>
        </w:rPr>
        <w:t>permettant</w:t>
      </w:r>
      <w:r w:rsidR="008F740C" w:rsidRPr="000F7862">
        <w:rPr>
          <w:lang w:val="fr-FR"/>
        </w:rPr>
        <w:t xml:space="preserve"> de traiter des questions d</w:t>
      </w:r>
      <w:r w:rsidR="00120E2E" w:rsidRPr="000F7862">
        <w:rPr>
          <w:lang w:val="fr-FR"/>
        </w:rPr>
        <w:t>’</w:t>
      </w:r>
      <w:r w:rsidR="008F740C" w:rsidRPr="000F7862">
        <w:rPr>
          <w:lang w:val="fr-FR"/>
        </w:rPr>
        <w:t>égalité des sexes.</w:t>
      </w:r>
      <w:r w:rsidR="0086185C" w:rsidRPr="000F7862">
        <w:rPr>
          <w:lang w:val="fr-FR"/>
        </w:rPr>
        <w:t xml:space="preserve"> I</w:t>
      </w:r>
      <w:r w:rsidR="008F740C" w:rsidRPr="000F7862">
        <w:rPr>
          <w:lang w:val="fr-FR"/>
        </w:rPr>
        <w:t>l donne un contenu concret à la Charte des droits des femmes par le biais de ses objectifs stratégiques</w:t>
      </w:r>
      <w:r w:rsidR="0086185C" w:rsidRPr="000F7862">
        <w:rPr>
          <w:lang w:val="fr-FR"/>
        </w:rPr>
        <w:t xml:space="preserve">, </w:t>
      </w:r>
      <w:r w:rsidR="008F740C" w:rsidRPr="000F7862">
        <w:rPr>
          <w:lang w:val="fr-FR"/>
        </w:rPr>
        <w:t>à savoir</w:t>
      </w:r>
      <w:r w:rsidR="0086185C" w:rsidRPr="000F7862">
        <w:rPr>
          <w:lang w:val="fr-FR"/>
        </w:rPr>
        <w:t xml:space="preserve"> </w:t>
      </w:r>
      <w:r w:rsidR="00952C9B" w:rsidRPr="000F7862">
        <w:rPr>
          <w:lang w:val="fr-FR"/>
        </w:rPr>
        <w:t>l</w:t>
      </w:r>
      <w:r w:rsidR="00120E2E" w:rsidRPr="000F7862">
        <w:rPr>
          <w:lang w:val="fr-FR"/>
        </w:rPr>
        <w:t>’</w:t>
      </w:r>
      <w:r w:rsidR="00952C9B" w:rsidRPr="000F7862">
        <w:rPr>
          <w:lang w:val="fr-FR"/>
        </w:rPr>
        <w:t>autonomisation économique, le droit au développement social, sécurité, justice et paix, genre et environnement et changements climatiques et gouvernance tenant compte des sexospécificités</w:t>
      </w:r>
      <w:r w:rsidR="0086185C" w:rsidRPr="000F7862">
        <w:rPr>
          <w:lang w:val="fr-FR"/>
        </w:rPr>
        <w:t xml:space="preserve">. </w:t>
      </w:r>
      <w:r w:rsidR="00952C9B" w:rsidRPr="000F7862">
        <w:rPr>
          <w:lang w:val="fr-FR"/>
        </w:rPr>
        <w:t>Ce Plan est le fruit d</w:t>
      </w:r>
      <w:r w:rsidR="00120E2E" w:rsidRPr="000F7862">
        <w:rPr>
          <w:lang w:val="fr-FR"/>
        </w:rPr>
        <w:t>’</w:t>
      </w:r>
      <w:r w:rsidR="00952C9B" w:rsidRPr="000F7862">
        <w:rPr>
          <w:lang w:val="fr-FR"/>
        </w:rPr>
        <w:t xml:space="preserve">une série de </w:t>
      </w:r>
      <w:r w:rsidR="0086185C" w:rsidRPr="000F7862">
        <w:rPr>
          <w:lang w:val="fr-FR"/>
        </w:rPr>
        <w:t xml:space="preserve">consultations </w:t>
      </w:r>
      <w:r w:rsidR="00952C9B" w:rsidRPr="000F7862">
        <w:rPr>
          <w:lang w:val="fr-FR"/>
        </w:rPr>
        <w:t>menées auprès des organismes publics, des organes administratifs locaux et des organisations non gouvernementales féminines</w:t>
      </w:r>
      <w:r w:rsidR="0086185C" w:rsidRPr="000F7862">
        <w:rPr>
          <w:lang w:val="fr-FR"/>
        </w:rPr>
        <w:t>.</w:t>
      </w:r>
      <w:r w:rsidR="00446EA5" w:rsidRPr="000F7862">
        <w:rPr>
          <w:lang w:val="fr-FR"/>
        </w:rPr>
        <w:t xml:space="preserve"> </w:t>
      </w:r>
    </w:p>
    <w:p w:rsidR="0086185C" w:rsidRPr="000F7862" w:rsidRDefault="006C06E3" w:rsidP="006C06E3">
      <w:pPr>
        <w:pStyle w:val="H23G"/>
        <w:rPr>
          <w:lang w:val="fr-FR"/>
        </w:rPr>
      </w:pPr>
      <w:r w:rsidRPr="000F7862">
        <w:rPr>
          <w:lang w:val="fr-FR"/>
        </w:rPr>
        <w:tab/>
      </w:r>
      <w:r w:rsidRPr="000F7862">
        <w:rPr>
          <w:lang w:val="fr-FR"/>
        </w:rPr>
        <w:tab/>
      </w:r>
      <w:r w:rsidR="00952C9B" w:rsidRPr="000F7862">
        <w:rPr>
          <w:lang w:val="fr-FR"/>
        </w:rPr>
        <w:t xml:space="preserve">Droits économiques </w:t>
      </w:r>
    </w:p>
    <w:p w:rsidR="0086185C" w:rsidRPr="000F7862" w:rsidRDefault="003F7F57" w:rsidP="003F7F57">
      <w:pPr>
        <w:pStyle w:val="SingleTxtG"/>
        <w:rPr>
          <w:lang w:val="fr-FR"/>
        </w:rPr>
      </w:pPr>
      <w:r w:rsidRPr="000F7862">
        <w:rPr>
          <w:lang w:val="fr-FR"/>
        </w:rPr>
        <w:t>52.</w:t>
      </w:r>
      <w:r w:rsidRPr="000F7862">
        <w:rPr>
          <w:lang w:val="fr-FR"/>
        </w:rPr>
        <w:tab/>
      </w:r>
      <w:r w:rsidR="00DE1CA5" w:rsidRPr="000F7862">
        <w:rPr>
          <w:lang w:val="fr-FR"/>
        </w:rPr>
        <w:t xml:space="preserve">Depuis </w:t>
      </w:r>
      <w:r w:rsidR="0086185C" w:rsidRPr="000F7862">
        <w:rPr>
          <w:lang w:val="fr-FR"/>
        </w:rPr>
        <w:t xml:space="preserve">2006, </w:t>
      </w:r>
      <w:r w:rsidR="00972314" w:rsidRPr="000F7862">
        <w:rPr>
          <w:lang w:val="fr-FR"/>
        </w:rPr>
        <w:t>les</w:t>
      </w:r>
      <w:r w:rsidR="0086185C" w:rsidRPr="000F7862">
        <w:rPr>
          <w:lang w:val="fr-FR"/>
        </w:rPr>
        <w:t xml:space="preserve"> Philippines </w:t>
      </w:r>
      <w:r w:rsidR="009A174D" w:rsidRPr="000F7862">
        <w:rPr>
          <w:lang w:val="fr-FR"/>
        </w:rPr>
        <w:t xml:space="preserve">exécutent le projet </w:t>
      </w:r>
      <w:r w:rsidR="009A174D" w:rsidRPr="000F7862">
        <w:rPr>
          <w:w w:val="101"/>
          <w:lang w:val="fr-FR"/>
        </w:rPr>
        <w:t>concernant des actions économiques favorisant l</w:t>
      </w:r>
      <w:r w:rsidR="00120E2E" w:rsidRPr="000F7862">
        <w:rPr>
          <w:w w:val="101"/>
          <w:lang w:val="fr-FR"/>
        </w:rPr>
        <w:t>’</w:t>
      </w:r>
      <w:r w:rsidR="009A174D" w:rsidRPr="000F7862">
        <w:rPr>
          <w:w w:val="101"/>
          <w:lang w:val="fr-FR"/>
        </w:rPr>
        <w:t>égalité des sexes et visant la transformation des femmes (</w:t>
      </w:r>
      <w:r w:rsidR="00905257" w:rsidRPr="000F7862">
        <w:rPr>
          <w:w w:val="101"/>
          <w:lang w:val="fr-FR"/>
        </w:rPr>
        <w:t xml:space="preserve">projet </w:t>
      </w:r>
      <w:r w:rsidR="009A174D" w:rsidRPr="000F7862">
        <w:rPr>
          <w:w w:val="101"/>
          <w:lang w:val="fr-FR"/>
        </w:rPr>
        <w:t>GREAT</w:t>
      </w:r>
      <w:r w:rsidR="00905257" w:rsidRPr="000F7862">
        <w:rPr>
          <w:w w:val="101"/>
          <w:lang w:val="fr-FR"/>
        </w:rPr>
        <w:t xml:space="preserve"> Women</w:t>
      </w:r>
      <w:r w:rsidR="009A174D" w:rsidRPr="000F7862">
        <w:rPr>
          <w:w w:val="101"/>
          <w:lang w:val="fr-FR"/>
        </w:rPr>
        <w:t>)</w:t>
      </w:r>
      <w:r w:rsidR="0086185C" w:rsidRPr="000F7862">
        <w:rPr>
          <w:lang w:val="fr-FR"/>
        </w:rPr>
        <w:t xml:space="preserve">, </w:t>
      </w:r>
      <w:r w:rsidR="009A174D" w:rsidRPr="000F7862">
        <w:rPr>
          <w:lang w:val="fr-FR"/>
        </w:rPr>
        <w:t xml:space="preserve">qui est un projet relatif à la gouvernance et au renforcement des capacités qui entend promouvoir et </w:t>
      </w:r>
      <w:r w:rsidR="00FC7F5E" w:rsidRPr="000F7862">
        <w:rPr>
          <w:lang w:val="fr-FR"/>
        </w:rPr>
        <w:t xml:space="preserve">appuyer </w:t>
      </w:r>
      <w:r w:rsidR="00FC7F5E" w:rsidRPr="000F7862">
        <w:rPr>
          <w:w w:val="101"/>
          <w:lang w:val="fr-FR"/>
        </w:rPr>
        <w:t>un climat favorisant l</w:t>
      </w:r>
      <w:r w:rsidR="00120E2E" w:rsidRPr="000F7862">
        <w:rPr>
          <w:w w:val="101"/>
          <w:lang w:val="fr-FR"/>
        </w:rPr>
        <w:t>’</w:t>
      </w:r>
      <w:r w:rsidR="00FC7F5E" w:rsidRPr="000F7862">
        <w:rPr>
          <w:w w:val="101"/>
          <w:lang w:val="fr-FR"/>
        </w:rPr>
        <w:t>autonomisation économique des femmes</w:t>
      </w:r>
      <w:r w:rsidR="0086185C" w:rsidRPr="000F7862">
        <w:rPr>
          <w:lang w:val="fr-FR"/>
        </w:rPr>
        <w:t xml:space="preserve">, </w:t>
      </w:r>
      <w:r w:rsidR="00FC7F5E" w:rsidRPr="000F7862">
        <w:rPr>
          <w:lang w:val="fr-FR"/>
        </w:rPr>
        <w:t xml:space="preserve">en particulier les </w:t>
      </w:r>
      <w:r w:rsidR="00FC7F5E" w:rsidRPr="000F7862">
        <w:rPr>
          <w:w w:val="101"/>
          <w:lang w:val="fr-FR"/>
        </w:rPr>
        <w:t>femmes microentrepreneurs</w:t>
      </w:r>
      <w:r w:rsidR="0086185C" w:rsidRPr="000F7862">
        <w:rPr>
          <w:lang w:val="fr-FR"/>
        </w:rPr>
        <w:t xml:space="preserve">, </w:t>
      </w:r>
      <w:r w:rsidR="00FC7F5E" w:rsidRPr="000F7862">
        <w:rPr>
          <w:lang w:val="fr-FR"/>
        </w:rPr>
        <w:t>par le biais de politiques</w:t>
      </w:r>
      <w:r w:rsidR="0086185C" w:rsidRPr="000F7862">
        <w:rPr>
          <w:lang w:val="fr-FR"/>
        </w:rPr>
        <w:t xml:space="preserve">, </w:t>
      </w:r>
      <w:r w:rsidR="00867E43" w:rsidRPr="000F7862">
        <w:rPr>
          <w:lang w:val="fr-FR"/>
        </w:rPr>
        <w:t>programmes</w:t>
      </w:r>
      <w:r w:rsidR="0086185C" w:rsidRPr="000F7862">
        <w:rPr>
          <w:lang w:val="fr-FR"/>
        </w:rPr>
        <w:t xml:space="preserve"> </w:t>
      </w:r>
      <w:r w:rsidR="00FC7F5E" w:rsidRPr="000F7862">
        <w:rPr>
          <w:lang w:val="fr-FR"/>
        </w:rPr>
        <w:t xml:space="preserve">et mécanismes </w:t>
      </w:r>
      <w:r w:rsidR="0086185C" w:rsidRPr="000F7862">
        <w:rPr>
          <w:lang w:val="fr-FR"/>
        </w:rPr>
        <w:t>institution</w:t>
      </w:r>
      <w:r w:rsidR="00FC7F5E" w:rsidRPr="000F7862">
        <w:rPr>
          <w:lang w:val="fr-FR"/>
        </w:rPr>
        <w:t>nels qui promeuvent et favorisent le développement des moyens d</w:t>
      </w:r>
      <w:r w:rsidR="00120E2E" w:rsidRPr="000F7862">
        <w:rPr>
          <w:lang w:val="fr-FR"/>
        </w:rPr>
        <w:t>’</w:t>
      </w:r>
      <w:r w:rsidR="00FC7F5E" w:rsidRPr="000F7862">
        <w:rPr>
          <w:lang w:val="fr-FR"/>
        </w:rPr>
        <w:t>existence et des microentreprises des femmes jusqu</w:t>
      </w:r>
      <w:r w:rsidR="00120E2E" w:rsidRPr="000F7862">
        <w:rPr>
          <w:lang w:val="fr-FR"/>
        </w:rPr>
        <w:t>’</w:t>
      </w:r>
      <w:r w:rsidR="00FC7F5E" w:rsidRPr="000F7862">
        <w:rPr>
          <w:lang w:val="fr-FR"/>
        </w:rPr>
        <w:t>à ce que ces dernières se transforment en petites et moyennes entreprises</w:t>
      </w:r>
      <w:r w:rsidR="0086185C" w:rsidRPr="000F7862">
        <w:rPr>
          <w:lang w:val="fr-FR"/>
        </w:rPr>
        <w:t>.</w:t>
      </w:r>
      <w:r w:rsidR="00446EA5" w:rsidRPr="000F7862">
        <w:rPr>
          <w:lang w:val="fr-FR"/>
        </w:rPr>
        <w:t xml:space="preserve"> </w:t>
      </w:r>
      <w:r w:rsidR="00FC7F5E" w:rsidRPr="000F7862">
        <w:rPr>
          <w:lang w:val="fr-FR"/>
        </w:rPr>
        <w:t xml:space="preserve">Ce projet </w:t>
      </w:r>
      <w:r w:rsidR="00905257" w:rsidRPr="000F7862">
        <w:rPr>
          <w:lang w:val="fr-FR"/>
        </w:rPr>
        <w:t>traite au plan straté</w:t>
      </w:r>
      <w:r w:rsidR="0086185C" w:rsidRPr="000F7862">
        <w:rPr>
          <w:lang w:val="fr-FR"/>
        </w:rPr>
        <w:t>gi</w:t>
      </w:r>
      <w:r w:rsidR="00905257" w:rsidRPr="000F7862">
        <w:rPr>
          <w:lang w:val="fr-FR"/>
        </w:rPr>
        <w:t>que des questions d</w:t>
      </w:r>
      <w:r w:rsidR="00120E2E" w:rsidRPr="000F7862">
        <w:rPr>
          <w:lang w:val="fr-FR"/>
        </w:rPr>
        <w:t>’</w:t>
      </w:r>
      <w:r w:rsidR="00905257" w:rsidRPr="000F7862">
        <w:rPr>
          <w:lang w:val="fr-FR"/>
        </w:rPr>
        <w:t xml:space="preserve">égalité des sexes et de </w:t>
      </w:r>
      <w:r w:rsidR="0086185C" w:rsidRPr="000F7862">
        <w:rPr>
          <w:lang w:val="fr-FR"/>
        </w:rPr>
        <w:t>d</w:t>
      </w:r>
      <w:r w:rsidR="00905257" w:rsidRPr="000F7862">
        <w:rPr>
          <w:lang w:val="fr-FR"/>
        </w:rPr>
        <w:t>é</w:t>
      </w:r>
      <w:r w:rsidR="0086185C" w:rsidRPr="000F7862">
        <w:rPr>
          <w:lang w:val="fr-FR"/>
        </w:rPr>
        <w:t>velop</w:t>
      </w:r>
      <w:r w:rsidR="00905257" w:rsidRPr="000F7862">
        <w:rPr>
          <w:lang w:val="fr-FR"/>
        </w:rPr>
        <w:t>pe</w:t>
      </w:r>
      <w:r w:rsidR="0086185C" w:rsidRPr="000F7862">
        <w:rPr>
          <w:lang w:val="fr-FR"/>
        </w:rPr>
        <w:t xml:space="preserve">ment </w:t>
      </w:r>
      <w:r w:rsidR="00905257" w:rsidRPr="000F7862">
        <w:rPr>
          <w:lang w:val="fr-FR"/>
        </w:rPr>
        <w:t>dans l</w:t>
      </w:r>
      <w:r w:rsidR="00120E2E" w:rsidRPr="000F7862">
        <w:rPr>
          <w:lang w:val="fr-FR"/>
        </w:rPr>
        <w:t>’</w:t>
      </w:r>
      <w:r w:rsidR="00905257" w:rsidRPr="000F7862">
        <w:rPr>
          <w:lang w:val="fr-FR"/>
        </w:rPr>
        <w:t>entreprise à l</w:t>
      </w:r>
      <w:r w:rsidR="00120E2E" w:rsidRPr="000F7862">
        <w:rPr>
          <w:lang w:val="fr-FR"/>
        </w:rPr>
        <w:t>’</w:t>
      </w:r>
      <w:r w:rsidR="00905257" w:rsidRPr="000F7862">
        <w:rPr>
          <w:lang w:val="fr-FR"/>
        </w:rPr>
        <w:t xml:space="preserve">aide de politiques économiques, de programmes de création de </w:t>
      </w:r>
      <w:r w:rsidR="0086185C" w:rsidRPr="000F7862">
        <w:rPr>
          <w:lang w:val="fr-FR"/>
        </w:rPr>
        <w:t>microent</w:t>
      </w:r>
      <w:r w:rsidR="006C06E3" w:rsidRPr="000F7862">
        <w:rPr>
          <w:lang w:val="fr-FR"/>
        </w:rPr>
        <w:t>re</w:t>
      </w:r>
      <w:r w:rsidR="0086185C" w:rsidRPr="000F7862">
        <w:rPr>
          <w:lang w:val="fr-FR"/>
        </w:rPr>
        <w:t>prise</w:t>
      </w:r>
      <w:r w:rsidR="00905257" w:rsidRPr="000F7862">
        <w:rPr>
          <w:lang w:val="fr-FR"/>
        </w:rPr>
        <w:t>s</w:t>
      </w:r>
      <w:r w:rsidR="0086185C" w:rsidRPr="000F7862">
        <w:rPr>
          <w:lang w:val="fr-FR"/>
        </w:rPr>
        <w:t xml:space="preserve"> </w:t>
      </w:r>
      <w:r w:rsidR="00905257" w:rsidRPr="000F7862">
        <w:rPr>
          <w:lang w:val="fr-FR"/>
        </w:rPr>
        <w:t xml:space="preserve">et de </w:t>
      </w:r>
      <w:r w:rsidR="0086185C" w:rsidRPr="000F7862">
        <w:rPr>
          <w:lang w:val="fr-FR"/>
        </w:rPr>
        <w:t>services (</w:t>
      </w:r>
      <w:r w:rsidR="00905257" w:rsidRPr="000F7862">
        <w:rPr>
          <w:lang w:val="fr-FR"/>
        </w:rPr>
        <w:t>par exemple, immatriculation des entreprises au registre du commerce,</w:t>
      </w:r>
      <w:r w:rsidR="0086185C" w:rsidRPr="000F7862">
        <w:rPr>
          <w:lang w:val="fr-FR"/>
        </w:rPr>
        <w:t xml:space="preserve"> protection</w:t>
      </w:r>
      <w:r w:rsidR="00905257" w:rsidRPr="000F7862">
        <w:rPr>
          <w:lang w:val="fr-FR"/>
        </w:rPr>
        <w:t xml:space="preserve"> sociale</w:t>
      </w:r>
      <w:r w:rsidR="0086185C" w:rsidRPr="000F7862">
        <w:rPr>
          <w:lang w:val="fr-FR"/>
        </w:rPr>
        <w:t xml:space="preserve">, </w:t>
      </w:r>
      <w:r w:rsidR="00905257" w:rsidRPr="000F7862">
        <w:rPr>
          <w:lang w:val="fr-FR"/>
        </w:rPr>
        <w:t>sécurité du travail et questions concernant la santé et l</w:t>
      </w:r>
      <w:r w:rsidR="00120E2E" w:rsidRPr="000F7862">
        <w:rPr>
          <w:lang w:val="fr-FR"/>
        </w:rPr>
        <w:t>’</w:t>
      </w:r>
      <w:r w:rsidR="0086185C" w:rsidRPr="000F7862">
        <w:rPr>
          <w:lang w:val="fr-FR"/>
        </w:rPr>
        <w:t>environ</w:t>
      </w:r>
      <w:r w:rsidR="00905257" w:rsidRPr="000F7862">
        <w:rPr>
          <w:lang w:val="fr-FR"/>
        </w:rPr>
        <w:t>ne</w:t>
      </w:r>
      <w:r w:rsidR="0086185C" w:rsidRPr="000F7862">
        <w:rPr>
          <w:lang w:val="fr-FR"/>
        </w:rPr>
        <w:t xml:space="preserve">ment) </w:t>
      </w:r>
      <w:r w:rsidR="00905257" w:rsidRPr="000F7862">
        <w:rPr>
          <w:lang w:val="fr-FR"/>
        </w:rPr>
        <w:t xml:space="preserve">dans le cadre de la promotion de </w:t>
      </w:r>
      <w:r w:rsidR="00905257" w:rsidRPr="000F7862">
        <w:rPr>
          <w:w w:val="101"/>
          <w:lang w:val="fr-FR"/>
        </w:rPr>
        <w:t>l</w:t>
      </w:r>
      <w:r w:rsidR="00120E2E" w:rsidRPr="000F7862">
        <w:rPr>
          <w:w w:val="101"/>
          <w:lang w:val="fr-FR"/>
        </w:rPr>
        <w:t>’</w:t>
      </w:r>
      <w:r w:rsidR="00905257" w:rsidRPr="000F7862">
        <w:rPr>
          <w:w w:val="101"/>
          <w:lang w:val="fr-FR"/>
        </w:rPr>
        <w:t>autonomisation économique des femmes</w:t>
      </w:r>
      <w:r w:rsidR="0086185C" w:rsidRPr="000F7862">
        <w:rPr>
          <w:lang w:val="fr-FR"/>
        </w:rPr>
        <w:t>.</w:t>
      </w:r>
      <w:r w:rsidR="00446EA5" w:rsidRPr="000F7862">
        <w:rPr>
          <w:lang w:val="fr-FR"/>
        </w:rPr>
        <w:t xml:space="preserve"> </w:t>
      </w:r>
      <w:r w:rsidR="00905257" w:rsidRPr="000F7862">
        <w:rPr>
          <w:lang w:val="fr-FR"/>
        </w:rPr>
        <w:t xml:space="preserve">Il a mobilisé </w:t>
      </w:r>
      <w:r w:rsidR="0086185C" w:rsidRPr="000F7862">
        <w:rPr>
          <w:lang w:val="fr-FR"/>
        </w:rPr>
        <w:t xml:space="preserve">19 </w:t>
      </w:r>
      <w:r w:rsidR="00905257" w:rsidRPr="000F7862">
        <w:rPr>
          <w:lang w:val="fr-FR"/>
        </w:rPr>
        <w:t xml:space="preserve">organismes économiques nationaux et six organes administratifs provinciaux, </w:t>
      </w:r>
      <w:r w:rsidR="0086185C" w:rsidRPr="000F7862">
        <w:rPr>
          <w:lang w:val="fr-FR"/>
        </w:rPr>
        <w:t xml:space="preserve">26 </w:t>
      </w:r>
      <w:r w:rsidR="00905257" w:rsidRPr="000F7862">
        <w:rPr>
          <w:lang w:val="fr-FR"/>
        </w:rPr>
        <w:t>organes administratifs municipaux</w:t>
      </w:r>
      <w:r w:rsidR="0086185C" w:rsidRPr="000F7862">
        <w:rPr>
          <w:lang w:val="fr-FR"/>
        </w:rPr>
        <w:t xml:space="preserve"> </w:t>
      </w:r>
      <w:r w:rsidR="00905257" w:rsidRPr="000F7862">
        <w:rPr>
          <w:lang w:val="fr-FR"/>
        </w:rPr>
        <w:t xml:space="preserve">et deux </w:t>
      </w:r>
      <w:r w:rsidR="0086185C" w:rsidRPr="000F7862">
        <w:rPr>
          <w:lang w:val="fr-FR"/>
        </w:rPr>
        <w:t>alliances compos</w:t>
      </w:r>
      <w:r w:rsidR="00905257" w:rsidRPr="000F7862">
        <w:rPr>
          <w:lang w:val="fr-FR"/>
        </w:rPr>
        <w:t xml:space="preserve">ées de </w:t>
      </w:r>
      <w:r w:rsidR="0086185C" w:rsidRPr="000F7862">
        <w:rPr>
          <w:lang w:val="fr-FR"/>
        </w:rPr>
        <w:t xml:space="preserve">14 </w:t>
      </w:r>
      <w:r w:rsidR="00905257" w:rsidRPr="000F7862">
        <w:rPr>
          <w:lang w:val="fr-FR"/>
        </w:rPr>
        <w:t>organes administratifs municipaux</w:t>
      </w:r>
      <w:r w:rsidR="0086185C" w:rsidRPr="000F7862">
        <w:rPr>
          <w:lang w:val="fr-FR"/>
        </w:rPr>
        <w:t xml:space="preserve">. </w:t>
      </w:r>
    </w:p>
    <w:p w:rsidR="0086185C" w:rsidRPr="000F7862" w:rsidRDefault="003F7F57" w:rsidP="003F7F57">
      <w:pPr>
        <w:pStyle w:val="SingleTxtG"/>
        <w:rPr>
          <w:lang w:val="fr-FR"/>
        </w:rPr>
      </w:pPr>
      <w:r w:rsidRPr="000F7862">
        <w:rPr>
          <w:lang w:val="fr-FR"/>
        </w:rPr>
        <w:t>53.</w:t>
      </w:r>
      <w:r w:rsidRPr="000F7862">
        <w:rPr>
          <w:lang w:val="fr-FR"/>
        </w:rPr>
        <w:tab/>
      </w:r>
      <w:r w:rsidR="00905257" w:rsidRPr="000F7862">
        <w:rPr>
          <w:lang w:val="fr-FR"/>
        </w:rPr>
        <w:t xml:space="preserve">Le </w:t>
      </w:r>
      <w:r w:rsidR="00905257" w:rsidRPr="000F7862">
        <w:rPr>
          <w:w w:val="101"/>
          <w:lang w:val="fr-FR"/>
        </w:rPr>
        <w:t>projet GREAT Women</w:t>
      </w:r>
      <w:r w:rsidR="00905257" w:rsidRPr="000F7862">
        <w:rPr>
          <w:lang w:val="fr-FR"/>
        </w:rPr>
        <w:t xml:space="preserve"> a obtenu des résultats importants </w:t>
      </w:r>
      <w:r w:rsidR="002416A0" w:rsidRPr="000F7862">
        <w:rPr>
          <w:lang w:val="fr-FR"/>
        </w:rPr>
        <w:t>en aidant les femmes à exercer leurs droits économiques</w:t>
      </w:r>
      <w:r w:rsidR="0086185C" w:rsidRPr="000F7862">
        <w:rPr>
          <w:lang w:val="fr-FR"/>
        </w:rPr>
        <w:t>. A</w:t>
      </w:r>
      <w:r w:rsidR="002416A0" w:rsidRPr="000F7862">
        <w:rPr>
          <w:lang w:val="fr-FR"/>
        </w:rPr>
        <w:t xml:space="preserve">u niveau </w:t>
      </w:r>
      <w:r w:rsidR="0086185C" w:rsidRPr="000F7862">
        <w:rPr>
          <w:lang w:val="fr-FR"/>
        </w:rPr>
        <w:t xml:space="preserve">national, </w:t>
      </w:r>
      <w:r w:rsidR="002416A0" w:rsidRPr="000F7862">
        <w:rPr>
          <w:lang w:val="fr-FR"/>
        </w:rPr>
        <w:t>les organismes ont publié leurs politiques, plans et outils d</w:t>
      </w:r>
      <w:r w:rsidR="00120E2E" w:rsidRPr="000F7862">
        <w:rPr>
          <w:lang w:val="fr-FR"/>
        </w:rPr>
        <w:t>’</w:t>
      </w:r>
      <w:r w:rsidR="002416A0" w:rsidRPr="000F7862">
        <w:rPr>
          <w:lang w:val="fr-FR"/>
        </w:rPr>
        <w:t>intégration d</w:t>
      </w:r>
      <w:r w:rsidR="00120E2E" w:rsidRPr="000F7862">
        <w:rPr>
          <w:lang w:val="fr-FR"/>
        </w:rPr>
        <w:t>’</w:t>
      </w:r>
      <w:r w:rsidR="002416A0" w:rsidRPr="000F7862">
        <w:rPr>
          <w:lang w:val="fr-FR"/>
        </w:rPr>
        <w:t>une perspective sexospécifique ou ont amélioré leurs politiques, plans et outils existants</w:t>
      </w:r>
      <w:r w:rsidR="0086185C" w:rsidRPr="000F7862">
        <w:rPr>
          <w:lang w:val="fr-FR"/>
        </w:rPr>
        <w:t xml:space="preserve">. </w:t>
      </w:r>
      <w:r w:rsidR="002416A0" w:rsidRPr="000F7862">
        <w:rPr>
          <w:lang w:val="fr-FR"/>
        </w:rPr>
        <w:t>Il a ainsi été possible d</w:t>
      </w:r>
      <w:r w:rsidR="00120E2E" w:rsidRPr="000F7862">
        <w:rPr>
          <w:lang w:val="fr-FR"/>
        </w:rPr>
        <w:t>’</w:t>
      </w:r>
      <w:r w:rsidR="002416A0" w:rsidRPr="000F7862">
        <w:rPr>
          <w:lang w:val="fr-FR"/>
        </w:rPr>
        <w:t xml:space="preserve">améliorer les programmes et services mis à la disposition des </w:t>
      </w:r>
      <w:r w:rsidR="002416A0" w:rsidRPr="000F7862">
        <w:rPr>
          <w:w w:val="101"/>
          <w:lang w:val="fr-FR"/>
        </w:rPr>
        <w:t>femmes microentrepreneurs</w:t>
      </w:r>
      <w:r w:rsidR="005D0CA9" w:rsidRPr="000F7862">
        <w:rPr>
          <w:lang w:val="fr-FR"/>
        </w:rPr>
        <w:t>, à savoir, notamment, le Plan national de création de microentreprises et de petites et moyennes entreprises (2011-2016) dirigé par le Ministère du commerce et de l</w:t>
      </w:r>
      <w:r w:rsidR="00120E2E" w:rsidRPr="000F7862">
        <w:rPr>
          <w:lang w:val="fr-FR"/>
        </w:rPr>
        <w:t>’</w:t>
      </w:r>
      <w:r w:rsidR="005D0CA9" w:rsidRPr="000F7862">
        <w:rPr>
          <w:lang w:val="fr-FR"/>
        </w:rPr>
        <w:t>industrie, qui faisait figurer des dispositions relatives à l</w:t>
      </w:r>
      <w:r w:rsidR="00120E2E" w:rsidRPr="000F7862">
        <w:rPr>
          <w:lang w:val="fr-FR"/>
        </w:rPr>
        <w:t>’</w:t>
      </w:r>
      <w:r w:rsidR="005D0CA9" w:rsidRPr="000F7862">
        <w:rPr>
          <w:lang w:val="fr-FR"/>
        </w:rPr>
        <w:t>intégration du genre et à la gestion durable de l</w:t>
      </w:r>
      <w:r w:rsidR="00120E2E" w:rsidRPr="000F7862">
        <w:rPr>
          <w:lang w:val="fr-FR"/>
        </w:rPr>
        <w:t>’</w:t>
      </w:r>
      <w:r w:rsidR="005D0CA9" w:rsidRPr="000F7862">
        <w:rPr>
          <w:lang w:val="fr-FR"/>
        </w:rPr>
        <w:t xml:space="preserve">environnement dans ses </w:t>
      </w:r>
      <w:r w:rsidR="00867E43" w:rsidRPr="000F7862">
        <w:rPr>
          <w:lang w:val="fr-FR"/>
        </w:rPr>
        <w:t>programmes</w:t>
      </w:r>
      <w:r w:rsidR="0086185C" w:rsidRPr="000F7862">
        <w:rPr>
          <w:lang w:val="fr-FR"/>
        </w:rPr>
        <w:t xml:space="preserve"> </w:t>
      </w:r>
      <w:r w:rsidR="005D0CA9" w:rsidRPr="000F7862">
        <w:rPr>
          <w:lang w:val="fr-FR"/>
        </w:rPr>
        <w:t xml:space="preserve">concernant </w:t>
      </w:r>
      <w:r w:rsidR="0012738C" w:rsidRPr="000F7862">
        <w:rPr>
          <w:lang w:val="fr-FR"/>
        </w:rPr>
        <w:t>l</w:t>
      </w:r>
      <w:r w:rsidR="00120E2E" w:rsidRPr="000F7862">
        <w:rPr>
          <w:lang w:val="fr-FR"/>
        </w:rPr>
        <w:t>’</w:t>
      </w:r>
      <w:r w:rsidR="0012738C" w:rsidRPr="000F7862">
        <w:rPr>
          <w:lang w:val="fr-FR"/>
        </w:rPr>
        <w:t>environnement commercial, l</w:t>
      </w:r>
      <w:r w:rsidR="00120E2E" w:rsidRPr="000F7862">
        <w:rPr>
          <w:lang w:val="fr-FR"/>
        </w:rPr>
        <w:t>’</w:t>
      </w:r>
      <w:r w:rsidR="0012738C" w:rsidRPr="000F7862">
        <w:rPr>
          <w:lang w:val="fr-FR"/>
        </w:rPr>
        <w:t xml:space="preserve">accès aux moyens de </w:t>
      </w:r>
      <w:r w:rsidR="0086185C" w:rsidRPr="000F7862">
        <w:rPr>
          <w:lang w:val="fr-FR"/>
        </w:rPr>
        <w:t>finance</w:t>
      </w:r>
      <w:r w:rsidR="0012738C" w:rsidRPr="000F7862">
        <w:rPr>
          <w:lang w:val="fr-FR"/>
        </w:rPr>
        <w:t>ment</w:t>
      </w:r>
      <w:r w:rsidR="0086185C" w:rsidRPr="000F7862">
        <w:rPr>
          <w:lang w:val="fr-FR"/>
        </w:rPr>
        <w:t xml:space="preserve">, </w:t>
      </w:r>
      <w:r w:rsidR="0012738C" w:rsidRPr="000F7862">
        <w:rPr>
          <w:lang w:val="fr-FR"/>
        </w:rPr>
        <w:t>l</w:t>
      </w:r>
      <w:r w:rsidR="00120E2E" w:rsidRPr="000F7862">
        <w:rPr>
          <w:lang w:val="fr-FR"/>
        </w:rPr>
        <w:t>’</w:t>
      </w:r>
      <w:r w:rsidR="0012738C" w:rsidRPr="000F7862">
        <w:rPr>
          <w:lang w:val="fr-FR"/>
        </w:rPr>
        <w:t xml:space="preserve">accès aux </w:t>
      </w:r>
      <w:r w:rsidR="0086185C" w:rsidRPr="000F7862">
        <w:rPr>
          <w:lang w:val="fr-FR"/>
        </w:rPr>
        <w:t>mar</w:t>
      </w:r>
      <w:r w:rsidR="0012738C" w:rsidRPr="000F7862">
        <w:rPr>
          <w:lang w:val="fr-FR"/>
        </w:rPr>
        <w:t>chés</w:t>
      </w:r>
      <w:r w:rsidR="0086185C" w:rsidRPr="000F7862">
        <w:rPr>
          <w:lang w:val="fr-FR"/>
        </w:rPr>
        <w:t xml:space="preserve"> </w:t>
      </w:r>
      <w:r w:rsidR="0012738C" w:rsidRPr="000F7862">
        <w:rPr>
          <w:lang w:val="fr-FR"/>
        </w:rPr>
        <w:t>et la productivité</w:t>
      </w:r>
      <w:r w:rsidR="0086185C" w:rsidRPr="000F7862">
        <w:rPr>
          <w:lang w:val="fr-FR"/>
        </w:rPr>
        <w:t xml:space="preserve"> </w:t>
      </w:r>
      <w:r w:rsidR="0012738C" w:rsidRPr="000F7862">
        <w:rPr>
          <w:lang w:val="fr-FR"/>
        </w:rPr>
        <w:t>et l</w:t>
      </w:r>
      <w:r w:rsidR="00120E2E" w:rsidRPr="000F7862">
        <w:rPr>
          <w:lang w:val="fr-FR"/>
        </w:rPr>
        <w:t>’</w:t>
      </w:r>
      <w:r w:rsidR="0012738C" w:rsidRPr="000F7862">
        <w:rPr>
          <w:lang w:val="fr-FR"/>
        </w:rPr>
        <w:t>efficacité des microentreprises et des petites et moyennes entreprises</w:t>
      </w:r>
      <w:r w:rsidR="0086185C" w:rsidRPr="000F7862">
        <w:rPr>
          <w:lang w:val="fr-FR"/>
        </w:rPr>
        <w:t xml:space="preserve"> </w:t>
      </w:r>
      <w:r w:rsidR="0012738C" w:rsidRPr="000F7862">
        <w:rPr>
          <w:lang w:val="fr-FR"/>
        </w:rPr>
        <w:t>dans l</w:t>
      </w:r>
      <w:r w:rsidR="00120E2E" w:rsidRPr="000F7862">
        <w:rPr>
          <w:lang w:val="fr-FR"/>
        </w:rPr>
        <w:t>’</w:t>
      </w:r>
      <w:r w:rsidR="0012738C" w:rsidRPr="000F7862">
        <w:rPr>
          <w:lang w:val="fr-FR"/>
        </w:rPr>
        <w:t>ensemble du pays;</w:t>
      </w:r>
      <w:r w:rsidR="0086185C" w:rsidRPr="000F7862">
        <w:rPr>
          <w:lang w:val="fr-FR"/>
        </w:rPr>
        <w:t xml:space="preserve"> </w:t>
      </w:r>
      <w:r w:rsidR="0012738C" w:rsidRPr="000F7862">
        <w:rPr>
          <w:lang w:val="fr-FR"/>
        </w:rPr>
        <w:t>le Plan philippin pour le travail et l</w:t>
      </w:r>
      <w:r w:rsidR="00120E2E" w:rsidRPr="000F7862">
        <w:rPr>
          <w:lang w:val="fr-FR"/>
        </w:rPr>
        <w:t>’</w:t>
      </w:r>
      <w:r w:rsidR="0012738C" w:rsidRPr="000F7862">
        <w:rPr>
          <w:lang w:val="fr-FR"/>
        </w:rPr>
        <w:t>emploi (2011-2016), qui a reconnu le besoin croissant du secteur non structuré en matière d</w:t>
      </w:r>
      <w:r w:rsidR="00120E2E" w:rsidRPr="000F7862">
        <w:rPr>
          <w:lang w:val="fr-FR"/>
        </w:rPr>
        <w:t>’</w:t>
      </w:r>
      <w:r w:rsidR="0012738C" w:rsidRPr="000F7862">
        <w:rPr>
          <w:lang w:val="fr-FR"/>
        </w:rPr>
        <w:t>interventions relatives à la sécurité du travail et à la santé au travail;</w:t>
      </w:r>
      <w:r w:rsidR="0086185C" w:rsidRPr="000F7862">
        <w:rPr>
          <w:lang w:val="fr-FR"/>
        </w:rPr>
        <w:t xml:space="preserve"> </w:t>
      </w:r>
      <w:r w:rsidR="0012738C" w:rsidRPr="000F7862">
        <w:rPr>
          <w:lang w:val="fr-FR"/>
        </w:rPr>
        <w:t>le Programme élargi de visites d</w:t>
      </w:r>
      <w:r w:rsidR="00120E2E" w:rsidRPr="000F7862">
        <w:rPr>
          <w:lang w:val="fr-FR"/>
        </w:rPr>
        <w:t>’</w:t>
      </w:r>
      <w:r w:rsidR="0012738C" w:rsidRPr="000F7862">
        <w:rPr>
          <w:lang w:val="fr-FR"/>
        </w:rPr>
        <w:t>assistance technique</w:t>
      </w:r>
      <w:r w:rsidR="0086185C" w:rsidRPr="000F7862">
        <w:rPr>
          <w:lang w:val="fr-FR"/>
        </w:rPr>
        <w:t xml:space="preserve"> </w:t>
      </w:r>
      <w:r w:rsidR="0012738C" w:rsidRPr="000F7862">
        <w:rPr>
          <w:lang w:val="fr-FR"/>
        </w:rPr>
        <w:t>du Centre pour la sécurité du travail et la santé au travail d</w:t>
      </w:r>
      <w:r w:rsidR="00195E07" w:rsidRPr="000F7862">
        <w:rPr>
          <w:lang w:val="fr-FR"/>
        </w:rPr>
        <w:t>u Ministère du travail et de l</w:t>
      </w:r>
      <w:r w:rsidR="00120E2E" w:rsidRPr="000F7862">
        <w:rPr>
          <w:lang w:val="fr-FR"/>
        </w:rPr>
        <w:t>’</w:t>
      </w:r>
      <w:r w:rsidR="00195E07" w:rsidRPr="000F7862">
        <w:rPr>
          <w:lang w:val="fr-FR"/>
        </w:rPr>
        <w:t xml:space="preserve">emploi, qui veille à ce que les </w:t>
      </w:r>
      <w:r w:rsidR="0086185C" w:rsidRPr="000F7862">
        <w:rPr>
          <w:lang w:val="fr-FR"/>
        </w:rPr>
        <w:t>microent</w:t>
      </w:r>
      <w:r w:rsidR="00195E07" w:rsidRPr="000F7862">
        <w:rPr>
          <w:lang w:val="fr-FR"/>
        </w:rPr>
        <w:t>re</w:t>
      </w:r>
      <w:r w:rsidR="0086185C" w:rsidRPr="000F7862">
        <w:rPr>
          <w:lang w:val="fr-FR"/>
        </w:rPr>
        <w:t xml:space="preserve">prises </w:t>
      </w:r>
      <w:r w:rsidR="00195E07" w:rsidRPr="000F7862">
        <w:rPr>
          <w:lang w:val="fr-FR"/>
        </w:rPr>
        <w:t xml:space="preserve">aient accès non seulement aux services de santé au travail, mais aussi aux autres prestataires de services utiles </w:t>
      </w:r>
      <w:r w:rsidR="0086185C" w:rsidRPr="000F7862">
        <w:rPr>
          <w:lang w:val="fr-FR"/>
        </w:rPr>
        <w:t>(</w:t>
      </w:r>
      <w:r w:rsidR="00195E07" w:rsidRPr="000F7862">
        <w:rPr>
          <w:lang w:val="fr-FR"/>
        </w:rPr>
        <w:t>notamment les services de commercialisation</w:t>
      </w:r>
      <w:r w:rsidR="0086185C" w:rsidRPr="000F7862">
        <w:rPr>
          <w:lang w:val="fr-FR"/>
        </w:rPr>
        <w:t xml:space="preserve">, </w:t>
      </w:r>
      <w:r w:rsidR="00195E07" w:rsidRPr="000F7862">
        <w:rPr>
          <w:lang w:val="fr-FR"/>
        </w:rPr>
        <w:t>de mise au point de produits</w:t>
      </w:r>
      <w:r w:rsidR="0086185C" w:rsidRPr="000F7862">
        <w:rPr>
          <w:lang w:val="fr-FR"/>
        </w:rPr>
        <w:t xml:space="preserve">, </w:t>
      </w:r>
      <w:r w:rsidR="00195E07" w:rsidRPr="000F7862">
        <w:rPr>
          <w:lang w:val="fr-FR"/>
        </w:rPr>
        <w:t>de conditionnement et d</w:t>
      </w:r>
      <w:r w:rsidR="00120E2E" w:rsidRPr="000F7862">
        <w:rPr>
          <w:lang w:val="fr-FR"/>
        </w:rPr>
        <w:t>’</w:t>
      </w:r>
      <w:r w:rsidR="00195E07" w:rsidRPr="000F7862">
        <w:rPr>
          <w:lang w:val="fr-FR"/>
        </w:rPr>
        <w:t>étiquetage</w:t>
      </w:r>
      <w:r w:rsidR="0086185C" w:rsidRPr="000F7862">
        <w:rPr>
          <w:lang w:val="fr-FR"/>
        </w:rPr>
        <w:t xml:space="preserve">). </w:t>
      </w:r>
    </w:p>
    <w:p w:rsidR="0086185C" w:rsidRPr="000F7862" w:rsidRDefault="003F7F57" w:rsidP="003F7F57">
      <w:pPr>
        <w:pStyle w:val="SingleTxtG"/>
        <w:rPr>
          <w:lang w:val="fr-FR"/>
        </w:rPr>
      </w:pPr>
      <w:r w:rsidRPr="000F7862">
        <w:rPr>
          <w:lang w:val="fr-FR"/>
        </w:rPr>
        <w:t>54.</w:t>
      </w:r>
      <w:r w:rsidRPr="000F7862">
        <w:rPr>
          <w:lang w:val="fr-FR"/>
        </w:rPr>
        <w:tab/>
      </w:r>
      <w:r w:rsidR="00195E07" w:rsidRPr="000F7862">
        <w:rPr>
          <w:lang w:val="fr-FR"/>
        </w:rPr>
        <w:t>Par ailleurs, le Ministère de la</w:t>
      </w:r>
      <w:r w:rsidR="0086185C" w:rsidRPr="000F7862">
        <w:rPr>
          <w:lang w:val="fr-FR"/>
        </w:rPr>
        <w:t xml:space="preserve"> </w:t>
      </w:r>
      <w:r w:rsidR="00195E07" w:rsidRPr="000F7862">
        <w:rPr>
          <w:lang w:val="fr-FR"/>
        </w:rPr>
        <w:t>s</w:t>
      </w:r>
      <w:r w:rsidR="0086185C" w:rsidRPr="000F7862">
        <w:rPr>
          <w:lang w:val="fr-FR"/>
        </w:rPr>
        <w:t xml:space="preserve">cience </w:t>
      </w:r>
      <w:r w:rsidR="00195E07" w:rsidRPr="000F7862">
        <w:rPr>
          <w:lang w:val="fr-FR"/>
        </w:rPr>
        <w:t>et de la technologie</w:t>
      </w:r>
      <w:r w:rsidR="0086185C" w:rsidRPr="000F7862">
        <w:rPr>
          <w:lang w:val="fr-FR"/>
        </w:rPr>
        <w:t xml:space="preserve"> </w:t>
      </w:r>
      <w:r w:rsidR="00195E07" w:rsidRPr="000F7862">
        <w:rPr>
          <w:lang w:val="fr-FR"/>
        </w:rPr>
        <w:t>a mis au point un outil d</w:t>
      </w:r>
      <w:r w:rsidR="00120E2E" w:rsidRPr="000F7862">
        <w:rPr>
          <w:lang w:val="fr-FR"/>
        </w:rPr>
        <w:t>’</w:t>
      </w:r>
      <w:r w:rsidR="00195E07" w:rsidRPr="000F7862">
        <w:rPr>
          <w:lang w:val="fr-FR"/>
        </w:rPr>
        <w:t>évaluation permettant de s</w:t>
      </w:r>
      <w:r w:rsidR="00120E2E" w:rsidRPr="000F7862">
        <w:rPr>
          <w:lang w:val="fr-FR"/>
        </w:rPr>
        <w:t>’</w:t>
      </w:r>
      <w:r w:rsidR="00195E07" w:rsidRPr="000F7862">
        <w:rPr>
          <w:lang w:val="fr-FR"/>
        </w:rPr>
        <w:t xml:space="preserve">assurer que les </w:t>
      </w:r>
      <w:r w:rsidR="0086185C" w:rsidRPr="000F7862">
        <w:rPr>
          <w:lang w:val="fr-FR"/>
        </w:rPr>
        <w:t xml:space="preserve">technologies </w:t>
      </w:r>
      <w:r w:rsidR="00195E07" w:rsidRPr="000F7862">
        <w:rPr>
          <w:lang w:val="fr-FR"/>
        </w:rPr>
        <w:t>intéressant les microentreprises et des petites et moyennes entreprises sont bien adaptées aux fe</w:t>
      </w:r>
      <w:r w:rsidR="002E7E8B" w:rsidRPr="000F7862">
        <w:rPr>
          <w:lang w:val="fr-FR"/>
        </w:rPr>
        <w:t>mmes</w:t>
      </w:r>
      <w:r w:rsidR="0086185C" w:rsidRPr="000F7862">
        <w:rPr>
          <w:lang w:val="fr-FR"/>
        </w:rPr>
        <w:t>.</w:t>
      </w:r>
      <w:r w:rsidR="00446EA5" w:rsidRPr="000F7862">
        <w:rPr>
          <w:lang w:val="fr-FR"/>
        </w:rPr>
        <w:t xml:space="preserve"> </w:t>
      </w:r>
      <w:r w:rsidR="002E7E8B" w:rsidRPr="000F7862">
        <w:rPr>
          <w:lang w:val="fr-FR"/>
        </w:rPr>
        <w:t xml:space="preserve">La </w:t>
      </w:r>
      <w:r w:rsidR="00DE1519" w:rsidRPr="000F7862">
        <w:rPr>
          <w:lang w:val="fr-FR"/>
        </w:rPr>
        <w:t>Société philippine d</w:t>
      </w:r>
      <w:r w:rsidR="00120E2E" w:rsidRPr="000F7862">
        <w:rPr>
          <w:lang w:val="fr-FR"/>
        </w:rPr>
        <w:t>’</w:t>
      </w:r>
      <w:r w:rsidR="00DE1519" w:rsidRPr="000F7862">
        <w:rPr>
          <w:lang w:val="fr-FR"/>
        </w:rPr>
        <w:t>assurance maladie a approuvé la mise en œuvre d</w:t>
      </w:r>
      <w:r w:rsidR="00120E2E" w:rsidRPr="000F7862">
        <w:rPr>
          <w:lang w:val="fr-FR"/>
        </w:rPr>
        <w:t>’</w:t>
      </w:r>
      <w:r w:rsidR="00DE1519" w:rsidRPr="000F7862">
        <w:rPr>
          <w:lang w:val="fr-FR"/>
        </w:rPr>
        <w:t xml:space="preserve">une subvention partielle concernant la couverture des femmes microentrepreneurs, des femmes exerçant une petite activité indépendante et des travailleuses </w:t>
      </w:r>
      <w:r w:rsidR="00345528" w:rsidRPr="000F7862">
        <w:rPr>
          <w:lang w:val="fr-FR"/>
        </w:rPr>
        <w:t>de l</w:t>
      </w:r>
      <w:r w:rsidR="00120E2E" w:rsidRPr="000F7862">
        <w:rPr>
          <w:lang w:val="fr-FR"/>
        </w:rPr>
        <w:t>’</w:t>
      </w:r>
      <w:r w:rsidR="00345528" w:rsidRPr="000F7862">
        <w:rPr>
          <w:lang w:val="fr-FR"/>
        </w:rPr>
        <w:t>économie parallèle</w:t>
      </w:r>
      <w:r w:rsidR="0086185C" w:rsidRPr="000F7862">
        <w:rPr>
          <w:i/>
          <w:iCs/>
          <w:lang w:val="fr-FR"/>
        </w:rPr>
        <w:t>.</w:t>
      </w:r>
      <w:r w:rsidR="00446EA5" w:rsidRPr="000F7862">
        <w:rPr>
          <w:i/>
          <w:iCs/>
          <w:lang w:val="fr-FR"/>
        </w:rPr>
        <w:t xml:space="preserve"> </w:t>
      </w:r>
    </w:p>
    <w:p w:rsidR="0086185C" w:rsidRPr="000F7862" w:rsidRDefault="003F7F57" w:rsidP="003F7F57">
      <w:pPr>
        <w:pStyle w:val="SingleTxtG"/>
        <w:rPr>
          <w:lang w:val="fr-FR"/>
        </w:rPr>
      </w:pPr>
      <w:r w:rsidRPr="000F7862">
        <w:rPr>
          <w:lang w:val="fr-FR"/>
        </w:rPr>
        <w:t>55.</w:t>
      </w:r>
      <w:r w:rsidRPr="000F7862">
        <w:rPr>
          <w:lang w:val="fr-FR"/>
        </w:rPr>
        <w:tab/>
      </w:r>
      <w:r w:rsidR="00345528" w:rsidRPr="000F7862">
        <w:rPr>
          <w:lang w:val="fr-FR"/>
        </w:rPr>
        <w:t>De même, les services du Ministère de l</w:t>
      </w:r>
      <w:r w:rsidR="00120E2E" w:rsidRPr="000F7862">
        <w:rPr>
          <w:lang w:val="fr-FR"/>
        </w:rPr>
        <w:t>’</w:t>
      </w:r>
      <w:r w:rsidR="00345528" w:rsidRPr="000F7862">
        <w:rPr>
          <w:lang w:val="fr-FR"/>
        </w:rPr>
        <w:t>environnement et des ressources naturelles ont fait prévaloir une gestion durable de l</w:t>
      </w:r>
      <w:r w:rsidR="00120E2E" w:rsidRPr="000F7862">
        <w:rPr>
          <w:lang w:val="fr-FR"/>
        </w:rPr>
        <w:t>’</w:t>
      </w:r>
      <w:r w:rsidR="00345528" w:rsidRPr="000F7862">
        <w:rPr>
          <w:lang w:val="fr-FR"/>
        </w:rPr>
        <w:t>environnement dans les entreprises tributaires de l</w:t>
      </w:r>
      <w:r w:rsidR="00120E2E" w:rsidRPr="000F7862">
        <w:rPr>
          <w:lang w:val="fr-FR"/>
        </w:rPr>
        <w:t>’</w:t>
      </w:r>
      <w:r w:rsidR="00345528" w:rsidRPr="000F7862">
        <w:rPr>
          <w:lang w:val="fr-FR"/>
        </w:rPr>
        <w:t>environnement pour leurs matières premières. C</w:t>
      </w:r>
      <w:r w:rsidR="00120E2E" w:rsidRPr="000F7862">
        <w:rPr>
          <w:lang w:val="fr-FR"/>
        </w:rPr>
        <w:t>’</w:t>
      </w:r>
      <w:r w:rsidR="00345528" w:rsidRPr="000F7862">
        <w:rPr>
          <w:lang w:val="fr-FR"/>
        </w:rPr>
        <w:t>est ainsi que son Bureau de la gestion de l</w:t>
      </w:r>
      <w:r w:rsidR="00120E2E" w:rsidRPr="000F7862">
        <w:rPr>
          <w:lang w:val="fr-FR"/>
        </w:rPr>
        <w:t>’</w:t>
      </w:r>
      <w:r w:rsidR="00345528" w:rsidRPr="000F7862">
        <w:rPr>
          <w:lang w:val="fr-FR"/>
        </w:rPr>
        <w:t>environnement</w:t>
      </w:r>
      <w:r w:rsidR="008D2C6F" w:rsidRPr="000F7862">
        <w:rPr>
          <w:lang w:val="fr-FR"/>
        </w:rPr>
        <w:t xml:space="preserve"> </w:t>
      </w:r>
      <w:r w:rsidR="00345528" w:rsidRPr="000F7862">
        <w:rPr>
          <w:lang w:val="fr-FR"/>
        </w:rPr>
        <w:t xml:space="preserve">a établi une circulaire sur la priorité à accorder aux femmes </w:t>
      </w:r>
      <w:r w:rsidR="0086185C" w:rsidRPr="000F7862">
        <w:rPr>
          <w:lang w:val="fr-FR"/>
        </w:rPr>
        <w:t xml:space="preserve">microentrepreneurs </w:t>
      </w:r>
      <w:r w:rsidR="00345528" w:rsidRPr="000F7862">
        <w:rPr>
          <w:lang w:val="fr-FR"/>
        </w:rPr>
        <w:t>e</w:t>
      </w:r>
      <w:r w:rsidR="0086185C" w:rsidRPr="000F7862">
        <w:rPr>
          <w:lang w:val="fr-FR"/>
        </w:rPr>
        <w:t xml:space="preserve">n </w:t>
      </w:r>
      <w:r w:rsidR="00345528" w:rsidRPr="000F7862">
        <w:rPr>
          <w:lang w:val="fr-FR"/>
        </w:rPr>
        <w:t>matière d</w:t>
      </w:r>
      <w:r w:rsidR="00120E2E" w:rsidRPr="000F7862">
        <w:rPr>
          <w:lang w:val="fr-FR"/>
        </w:rPr>
        <w:t>’</w:t>
      </w:r>
      <w:r w:rsidR="00345528" w:rsidRPr="000F7862">
        <w:rPr>
          <w:lang w:val="fr-FR"/>
        </w:rPr>
        <w:t xml:space="preserve">assistance </w:t>
      </w:r>
      <w:r w:rsidR="0086185C" w:rsidRPr="000F7862">
        <w:rPr>
          <w:lang w:val="fr-FR"/>
        </w:rPr>
        <w:t>techni</w:t>
      </w:r>
      <w:r w:rsidR="00345528" w:rsidRPr="000F7862">
        <w:rPr>
          <w:lang w:val="fr-FR"/>
        </w:rPr>
        <w:t>que</w:t>
      </w:r>
      <w:r w:rsidR="0086185C" w:rsidRPr="000F7862">
        <w:rPr>
          <w:lang w:val="fr-FR"/>
        </w:rPr>
        <w:t xml:space="preserve"> </w:t>
      </w:r>
      <w:r w:rsidR="00345528" w:rsidRPr="000F7862">
        <w:rPr>
          <w:lang w:val="fr-FR"/>
        </w:rPr>
        <w:t xml:space="preserve">et son Bureau de la gestion des forêts a </w:t>
      </w:r>
      <w:r w:rsidR="00F0795C" w:rsidRPr="000F7862">
        <w:rPr>
          <w:lang w:val="fr-FR"/>
        </w:rPr>
        <w:t>publié une ordonnance a</w:t>
      </w:r>
      <w:r w:rsidR="0086185C" w:rsidRPr="000F7862">
        <w:rPr>
          <w:lang w:val="fr-FR"/>
        </w:rPr>
        <w:t>dministrative prescri</w:t>
      </w:r>
      <w:r w:rsidR="00F0795C" w:rsidRPr="000F7862">
        <w:rPr>
          <w:lang w:val="fr-FR"/>
        </w:rPr>
        <w:t>vant l</w:t>
      </w:r>
      <w:r w:rsidR="00120E2E" w:rsidRPr="000F7862">
        <w:rPr>
          <w:lang w:val="fr-FR"/>
        </w:rPr>
        <w:t>’</w:t>
      </w:r>
      <w:r w:rsidR="00F0795C" w:rsidRPr="000F7862">
        <w:rPr>
          <w:lang w:val="fr-FR"/>
        </w:rPr>
        <w:t>utilisation du dossier relatif aux entreprises spécialisées dans la protection de l</w:t>
      </w:r>
      <w:r w:rsidR="00120E2E" w:rsidRPr="000F7862">
        <w:rPr>
          <w:lang w:val="fr-FR"/>
        </w:rPr>
        <w:t>’</w:t>
      </w:r>
      <w:r w:rsidR="00F0795C" w:rsidRPr="000F7862">
        <w:rPr>
          <w:lang w:val="fr-FR"/>
        </w:rPr>
        <w:t xml:space="preserve">environnement et des ressources naturelles </w:t>
      </w:r>
      <w:r w:rsidR="009067D9" w:rsidRPr="000F7862">
        <w:rPr>
          <w:lang w:val="fr-FR"/>
        </w:rPr>
        <w:t>et</w:t>
      </w:r>
      <w:r w:rsidR="00F0795C" w:rsidRPr="000F7862">
        <w:rPr>
          <w:lang w:val="fr-FR"/>
        </w:rPr>
        <w:t xml:space="preserve"> tenant compte des questions de genre aux fi</w:t>
      </w:r>
      <w:r w:rsidR="009067D9" w:rsidRPr="000F7862">
        <w:rPr>
          <w:lang w:val="fr-FR"/>
        </w:rPr>
        <w:t>n</w:t>
      </w:r>
      <w:r w:rsidR="00F0795C" w:rsidRPr="000F7862">
        <w:rPr>
          <w:lang w:val="fr-FR"/>
        </w:rPr>
        <w:t>s de l</w:t>
      </w:r>
      <w:r w:rsidR="00120E2E" w:rsidRPr="000F7862">
        <w:rPr>
          <w:lang w:val="fr-FR"/>
        </w:rPr>
        <w:t>’</w:t>
      </w:r>
      <w:r w:rsidR="00F0795C" w:rsidRPr="000F7862">
        <w:rPr>
          <w:lang w:val="fr-FR"/>
        </w:rPr>
        <w:t>assistance technique à fournir aux parties prenantes</w:t>
      </w:r>
      <w:r w:rsidR="0086185C" w:rsidRPr="000F7862">
        <w:rPr>
          <w:lang w:val="fr-FR"/>
        </w:rPr>
        <w:t>.</w:t>
      </w:r>
    </w:p>
    <w:p w:rsidR="0086185C" w:rsidRPr="000F7862" w:rsidRDefault="003F7F57" w:rsidP="003F7F57">
      <w:pPr>
        <w:pStyle w:val="SingleTxtG"/>
        <w:rPr>
          <w:lang w:val="fr-FR"/>
        </w:rPr>
      </w:pPr>
      <w:r w:rsidRPr="000F7862">
        <w:rPr>
          <w:lang w:val="fr-FR"/>
        </w:rPr>
        <w:t>56.</w:t>
      </w:r>
      <w:r w:rsidRPr="000F7862">
        <w:rPr>
          <w:lang w:val="fr-FR"/>
        </w:rPr>
        <w:tab/>
      </w:r>
      <w:r w:rsidR="0022165A" w:rsidRPr="000F7862">
        <w:rPr>
          <w:lang w:val="fr-FR"/>
        </w:rPr>
        <w:t xml:space="preserve">Au niveau </w:t>
      </w:r>
      <w:r w:rsidR="0086185C" w:rsidRPr="000F7862">
        <w:rPr>
          <w:lang w:val="fr-FR"/>
        </w:rPr>
        <w:t xml:space="preserve">local, </w:t>
      </w:r>
      <w:r w:rsidR="0057054E" w:rsidRPr="000F7862">
        <w:rPr>
          <w:lang w:val="fr-FR"/>
        </w:rPr>
        <w:t xml:space="preserve">les partenaires des organes administratifs locaux ont élaboré ou renforcé des politiques telles que le </w:t>
      </w:r>
      <w:r w:rsidR="00FA7062" w:rsidRPr="000F7862">
        <w:rPr>
          <w:lang w:val="fr-FR"/>
        </w:rPr>
        <w:t>Code de l</w:t>
      </w:r>
      <w:r w:rsidR="00120E2E" w:rsidRPr="000F7862">
        <w:rPr>
          <w:lang w:val="fr-FR"/>
        </w:rPr>
        <w:t>’</w:t>
      </w:r>
      <w:r w:rsidR="00FA7062" w:rsidRPr="000F7862">
        <w:rPr>
          <w:lang w:val="fr-FR"/>
        </w:rPr>
        <w:t xml:space="preserve">intégration des femmes dans le développement pour répondre aux besoins économiques des </w:t>
      </w:r>
      <w:r w:rsidR="00FA7062" w:rsidRPr="000F7862">
        <w:rPr>
          <w:w w:val="101"/>
          <w:lang w:val="fr-FR"/>
        </w:rPr>
        <w:t>femmes microentrepreneurs</w:t>
      </w:r>
      <w:r w:rsidR="0086185C" w:rsidRPr="000F7862">
        <w:rPr>
          <w:lang w:val="fr-FR"/>
        </w:rPr>
        <w:t>.</w:t>
      </w:r>
      <w:r w:rsidR="00446EA5" w:rsidRPr="000F7862">
        <w:rPr>
          <w:lang w:val="fr-FR"/>
        </w:rPr>
        <w:t xml:space="preserve"> </w:t>
      </w:r>
      <w:r w:rsidR="00FA7062" w:rsidRPr="000F7862">
        <w:rPr>
          <w:lang w:val="fr-FR"/>
        </w:rPr>
        <w:t>Sur la base des codes de l</w:t>
      </w:r>
      <w:r w:rsidR="00120E2E" w:rsidRPr="000F7862">
        <w:rPr>
          <w:lang w:val="fr-FR"/>
        </w:rPr>
        <w:t>’</w:t>
      </w:r>
      <w:r w:rsidR="00FA7062" w:rsidRPr="000F7862">
        <w:rPr>
          <w:lang w:val="fr-FR"/>
        </w:rPr>
        <w:t>intégration des femmes dans le développement</w:t>
      </w:r>
      <w:r w:rsidR="0086185C" w:rsidRPr="000F7862">
        <w:rPr>
          <w:lang w:val="fr-FR"/>
        </w:rPr>
        <w:t xml:space="preserve"> </w:t>
      </w:r>
      <w:r w:rsidR="00FA7062" w:rsidRPr="000F7862">
        <w:rPr>
          <w:lang w:val="fr-FR"/>
        </w:rPr>
        <w:t xml:space="preserve">devant faciliter </w:t>
      </w:r>
      <w:r w:rsidR="00FA7062" w:rsidRPr="000F7862">
        <w:rPr>
          <w:w w:val="101"/>
          <w:lang w:val="fr-FR"/>
        </w:rPr>
        <w:t>l</w:t>
      </w:r>
      <w:r w:rsidR="00120E2E" w:rsidRPr="000F7862">
        <w:rPr>
          <w:w w:val="101"/>
          <w:lang w:val="fr-FR"/>
        </w:rPr>
        <w:t>’</w:t>
      </w:r>
      <w:r w:rsidR="00FA7062" w:rsidRPr="000F7862">
        <w:rPr>
          <w:w w:val="101"/>
          <w:lang w:val="fr-FR"/>
        </w:rPr>
        <w:t>autonomisation économique des femmes</w:t>
      </w:r>
      <w:r w:rsidR="0086185C" w:rsidRPr="000F7862">
        <w:rPr>
          <w:lang w:val="fr-FR"/>
        </w:rPr>
        <w:t xml:space="preserve">, </w:t>
      </w:r>
      <w:r w:rsidR="00FA7062" w:rsidRPr="000F7862">
        <w:rPr>
          <w:lang w:val="fr-FR"/>
        </w:rPr>
        <w:t xml:space="preserve">les organes administratifs locaux ont publié des politiques à même de créer un climat favorable ou ont élaboré/renforcé des programmes économiques et des </w:t>
      </w:r>
      <w:r w:rsidR="0086185C" w:rsidRPr="000F7862">
        <w:rPr>
          <w:lang w:val="fr-FR"/>
        </w:rPr>
        <w:t>services.</w:t>
      </w:r>
      <w:r w:rsidR="00446EA5" w:rsidRPr="000F7862">
        <w:rPr>
          <w:lang w:val="fr-FR"/>
        </w:rPr>
        <w:t xml:space="preserve"> </w:t>
      </w:r>
      <w:r w:rsidR="00FA7062" w:rsidRPr="000F7862">
        <w:rPr>
          <w:lang w:val="fr-FR"/>
        </w:rPr>
        <w:t xml:space="preserve">Certains de ces organes ont renforcé leur </w:t>
      </w:r>
      <w:r w:rsidR="0024598B" w:rsidRPr="000F7862">
        <w:rPr>
          <w:lang w:val="fr-FR"/>
        </w:rPr>
        <w:t xml:space="preserve">Code des impôts ou élaboré des Codes des investissements qui </w:t>
      </w:r>
      <w:r w:rsidR="00197B0E" w:rsidRPr="000F7862">
        <w:rPr>
          <w:lang w:val="fr-FR"/>
        </w:rPr>
        <w:t>fais</w:t>
      </w:r>
      <w:r w:rsidR="0024598B" w:rsidRPr="000F7862">
        <w:rPr>
          <w:lang w:val="fr-FR"/>
        </w:rPr>
        <w:t xml:space="preserve">aient </w:t>
      </w:r>
      <w:r w:rsidR="00197B0E" w:rsidRPr="000F7862">
        <w:rPr>
          <w:lang w:val="fr-FR"/>
        </w:rPr>
        <w:t>bénéficier de remises spéciales d</w:t>
      </w:r>
      <w:r w:rsidR="00120E2E" w:rsidRPr="000F7862">
        <w:rPr>
          <w:lang w:val="fr-FR"/>
        </w:rPr>
        <w:t>’</w:t>
      </w:r>
      <w:r w:rsidR="00197B0E" w:rsidRPr="000F7862">
        <w:rPr>
          <w:lang w:val="fr-FR"/>
        </w:rPr>
        <w:t xml:space="preserve">impôts les microentreprises </w:t>
      </w:r>
      <w:r w:rsidR="0024598B" w:rsidRPr="000F7862">
        <w:rPr>
          <w:lang w:val="fr-FR"/>
        </w:rPr>
        <w:t xml:space="preserve">des </w:t>
      </w:r>
      <w:r w:rsidR="00197B0E" w:rsidRPr="000F7862">
        <w:rPr>
          <w:w w:val="101"/>
          <w:lang w:val="fr-FR"/>
        </w:rPr>
        <w:t>femmes microentrepreneurs</w:t>
      </w:r>
      <w:r w:rsidR="002C3008" w:rsidRPr="000F7862">
        <w:rPr>
          <w:lang w:val="fr-FR"/>
        </w:rPr>
        <w:t xml:space="preserve"> nouvellement créées</w:t>
      </w:r>
      <w:r w:rsidR="0086185C" w:rsidRPr="000F7862">
        <w:rPr>
          <w:lang w:val="fr-FR"/>
        </w:rPr>
        <w:t xml:space="preserve">. </w:t>
      </w:r>
      <w:r w:rsidR="00197B0E" w:rsidRPr="000F7862">
        <w:rPr>
          <w:lang w:val="fr-FR"/>
        </w:rPr>
        <w:t xml:space="preserve">Huit dispositifs communs de prestation de </w:t>
      </w:r>
      <w:r w:rsidR="0086185C" w:rsidRPr="000F7862">
        <w:rPr>
          <w:lang w:val="fr-FR"/>
        </w:rPr>
        <w:t>service</w:t>
      </w:r>
      <w:r w:rsidR="00197B0E" w:rsidRPr="000F7862">
        <w:rPr>
          <w:lang w:val="fr-FR"/>
        </w:rPr>
        <w:t>s</w:t>
      </w:r>
      <w:r w:rsidR="0086185C" w:rsidRPr="000F7862">
        <w:rPr>
          <w:lang w:val="fr-FR"/>
        </w:rPr>
        <w:t xml:space="preserve"> </w:t>
      </w:r>
      <w:r w:rsidR="00197B0E" w:rsidRPr="000F7862">
        <w:rPr>
          <w:lang w:val="fr-FR"/>
        </w:rPr>
        <w:t xml:space="preserve">ont été mis en place sur les sites de projets pilotes servant de zones de </w:t>
      </w:r>
      <w:r w:rsidR="0086185C" w:rsidRPr="000F7862">
        <w:rPr>
          <w:lang w:val="fr-FR"/>
        </w:rPr>
        <w:t xml:space="preserve">production </w:t>
      </w:r>
      <w:r w:rsidR="00197B0E" w:rsidRPr="000F7862">
        <w:rPr>
          <w:lang w:val="fr-FR"/>
        </w:rPr>
        <w:t xml:space="preserve">pour les </w:t>
      </w:r>
      <w:r w:rsidR="00197B0E" w:rsidRPr="000F7862">
        <w:rPr>
          <w:w w:val="101"/>
          <w:lang w:val="fr-FR"/>
        </w:rPr>
        <w:t>femmes microentrepreneurs</w:t>
      </w:r>
      <w:r w:rsidR="00197B0E" w:rsidRPr="000F7862">
        <w:rPr>
          <w:lang w:val="fr-FR"/>
        </w:rPr>
        <w:t xml:space="preserve"> équipées d</w:t>
      </w:r>
      <w:r w:rsidR="00120E2E" w:rsidRPr="000F7862">
        <w:rPr>
          <w:lang w:val="fr-FR"/>
        </w:rPr>
        <w:t>’</w:t>
      </w:r>
      <w:r w:rsidR="00197B0E" w:rsidRPr="000F7862">
        <w:rPr>
          <w:lang w:val="fr-FR"/>
        </w:rPr>
        <w:t xml:space="preserve">outils </w:t>
      </w:r>
      <w:r w:rsidR="00EE4326" w:rsidRPr="000F7862">
        <w:rPr>
          <w:lang w:val="fr-FR"/>
        </w:rPr>
        <w:t>tenant compte de la problématique hommes-femmes</w:t>
      </w:r>
      <w:r w:rsidR="0086185C" w:rsidRPr="000F7862">
        <w:rPr>
          <w:lang w:val="fr-FR"/>
        </w:rPr>
        <w:t>.</w:t>
      </w:r>
      <w:r w:rsidR="00446EA5" w:rsidRPr="000F7862">
        <w:rPr>
          <w:lang w:val="fr-FR"/>
        </w:rPr>
        <w:t xml:space="preserve"> </w:t>
      </w:r>
      <w:r w:rsidR="00EE4326" w:rsidRPr="000F7862">
        <w:rPr>
          <w:lang w:val="fr-FR"/>
        </w:rPr>
        <w:t xml:space="preserve">Ces dispositifs ont été le fruit de la </w:t>
      </w:r>
      <w:r w:rsidR="002E7607" w:rsidRPr="000F7862">
        <w:rPr>
          <w:lang w:val="fr-FR"/>
        </w:rPr>
        <w:t>«</w:t>
      </w:r>
      <w:r w:rsidR="0086185C" w:rsidRPr="000F7862">
        <w:rPr>
          <w:lang w:val="fr-FR"/>
        </w:rPr>
        <w:t>convergence</w:t>
      </w:r>
      <w:r w:rsidR="002E7607" w:rsidRPr="000F7862">
        <w:rPr>
          <w:lang w:val="fr-FR"/>
        </w:rPr>
        <w:t>»</w:t>
      </w:r>
      <w:r w:rsidR="0086185C" w:rsidRPr="000F7862">
        <w:rPr>
          <w:lang w:val="fr-FR"/>
        </w:rPr>
        <w:t xml:space="preserve"> </w:t>
      </w:r>
      <w:r w:rsidR="00EE4326" w:rsidRPr="000F7862">
        <w:rPr>
          <w:lang w:val="fr-FR"/>
        </w:rPr>
        <w:t>réalisée au niveau local avec différents organismes publics tels q</w:t>
      </w:r>
      <w:r w:rsidR="008D2C6F" w:rsidRPr="000F7862">
        <w:rPr>
          <w:lang w:val="fr-FR"/>
        </w:rPr>
        <w:t>ue le Ministère de l</w:t>
      </w:r>
      <w:r w:rsidR="00120E2E" w:rsidRPr="000F7862">
        <w:rPr>
          <w:lang w:val="fr-FR"/>
        </w:rPr>
        <w:t>’</w:t>
      </w:r>
      <w:r w:rsidR="008D2C6F" w:rsidRPr="000F7862">
        <w:rPr>
          <w:lang w:val="fr-FR"/>
        </w:rPr>
        <w:t>industrie</w:t>
      </w:r>
      <w:r w:rsidR="0086185C" w:rsidRPr="000F7862">
        <w:rPr>
          <w:lang w:val="fr-FR"/>
        </w:rPr>
        <w:t xml:space="preserve">, </w:t>
      </w:r>
      <w:r w:rsidR="00EE4326" w:rsidRPr="000F7862">
        <w:rPr>
          <w:lang w:val="fr-FR"/>
        </w:rPr>
        <w:t>le Ministère de la science et de la technologie et le Ministère du travail et de l</w:t>
      </w:r>
      <w:r w:rsidR="00120E2E" w:rsidRPr="000F7862">
        <w:rPr>
          <w:lang w:val="fr-FR"/>
        </w:rPr>
        <w:t>’</w:t>
      </w:r>
      <w:r w:rsidR="00EE4326" w:rsidRPr="000F7862">
        <w:rPr>
          <w:lang w:val="fr-FR"/>
        </w:rPr>
        <w:t>emploi</w:t>
      </w:r>
      <w:r w:rsidR="0086185C" w:rsidRPr="000F7862">
        <w:rPr>
          <w:lang w:val="fr-FR"/>
        </w:rPr>
        <w:t>.</w:t>
      </w:r>
      <w:r w:rsidR="00446EA5" w:rsidRPr="000F7862">
        <w:rPr>
          <w:lang w:val="fr-FR"/>
        </w:rPr>
        <w:t xml:space="preserve"> </w:t>
      </w:r>
      <w:r w:rsidR="00EE4326" w:rsidRPr="000F7862">
        <w:rPr>
          <w:lang w:val="fr-FR"/>
        </w:rPr>
        <w:t>Les autres programmes et services exécutés et assurés par les organes administratifs locaux à l</w:t>
      </w:r>
      <w:r w:rsidR="00120E2E" w:rsidRPr="000F7862">
        <w:rPr>
          <w:lang w:val="fr-FR"/>
        </w:rPr>
        <w:t>’</w:t>
      </w:r>
      <w:r w:rsidR="00EE4326" w:rsidRPr="000F7862">
        <w:rPr>
          <w:lang w:val="fr-FR"/>
        </w:rPr>
        <w:t xml:space="preserve">intention des </w:t>
      </w:r>
      <w:r w:rsidR="00EE4326" w:rsidRPr="000F7862">
        <w:rPr>
          <w:w w:val="101"/>
          <w:lang w:val="fr-FR"/>
        </w:rPr>
        <w:t>femmes microentrepreneurs</w:t>
      </w:r>
      <w:r w:rsidR="00EE4326" w:rsidRPr="000F7862">
        <w:rPr>
          <w:lang w:val="fr-FR"/>
        </w:rPr>
        <w:t xml:space="preserve"> sont notamment les suivants</w:t>
      </w:r>
      <w:r w:rsidR="0005004C" w:rsidRPr="000F7862">
        <w:rPr>
          <w:lang w:val="fr-FR"/>
        </w:rPr>
        <w:t>:</w:t>
      </w:r>
      <w:r w:rsidR="00EE4326" w:rsidRPr="000F7862">
        <w:rPr>
          <w:lang w:val="fr-FR"/>
        </w:rPr>
        <w:t xml:space="preserve"> </w:t>
      </w:r>
      <w:r w:rsidR="0086185C" w:rsidRPr="000F7862">
        <w:rPr>
          <w:lang w:val="fr-FR"/>
        </w:rPr>
        <w:t>a)</w:t>
      </w:r>
      <w:r w:rsidR="00DF17A8" w:rsidRPr="000F7862">
        <w:rPr>
          <w:lang w:val="fr-FR"/>
        </w:rPr>
        <w:t> </w:t>
      </w:r>
      <w:r w:rsidR="002A3F74" w:rsidRPr="000F7862">
        <w:rPr>
          <w:lang w:val="fr-FR"/>
        </w:rPr>
        <w:t xml:space="preserve">création de services ou bureaux des </w:t>
      </w:r>
      <w:r w:rsidR="006C06E3" w:rsidRPr="000F7862">
        <w:rPr>
          <w:lang w:val="fr-FR"/>
        </w:rPr>
        <w:t>microentre</w:t>
      </w:r>
      <w:r w:rsidR="0086185C" w:rsidRPr="000F7862">
        <w:rPr>
          <w:lang w:val="fr-FR"/>
        </w:rPr>
        <w:t>prise</w:t>
      </w:r>
      <w:r w:rsidR="002A3F74" w:rsidRPr="000F7862">
        <w:rPr>
          <w:lang w:val="fr-FR"/>
        </w:rPr>
        <w:t>s</w:t>
      </w:r>
      <w:r w:rsidR="0086185C" w:rsidRPr="000F7862">
        <w:rPr>
          <w:lang w:val="fr-FR"/>
        </w:rPr>
        <w:t xml:space="preserve"> </w:t>
      </w:r>
      <w:r w:rsidR="002A3F74" w:rsidRPr="000F7862">
        <w:rPr>
          <w:lang w:val="fr-FR"/>
        </w:rPr>
        <w:t>s</w:t>
      </w:r>
      <w:r w:rsidR="00120E2E" w:rsidRPr="000F7862">
        <w:rPr>
          <w:lang w:val="fr-FR"/>
        </w:rPr>
        <w:t>’</w:t>
      </w:r>
      <w:r w:rsidR="002A3F74" w:rsidRPr="000F7862">
        <w:rPr>
          <w:lang w:val="fr-FR"/>
        </w:rPr>
        <w:t xml:space="preserve">occupant des </w:t>
      </w:r>
      <w:r w:rsidR="002A3F74" w:rsidRPr="000F7862">
        <w:rPr>
          <w:w w:val="101"/>
          <w:lang w:val="fr-FR"/>
        </w:rPr>
        <w:t>femmes microentrepreneurs</w:t>
      </w:r>
      <w:r w:rsidR="002A3F74" w:rsidRPr="000F7862">
        <w:rPr>
          <w:lang w:val="fr-FR"/>
        </w:rPr>
        <w:t xml:space="preserve"> et des autres </w:t>
      </w:r>
      <w:r w:rsidR="002A3F74" w:rsidRPr="000F7862">
        <w:rPr>
          <w:w w:val="101"/>
          <w:lang w:val="fr-FR"/>
        </w:rPr>
        <w:t>microentrepreneurs</w:t>
      </w:r>
      <w:r w:rsidR="0086185C" w:rsidRPr="000F7862">
        <w:rPr>
          <w:lang w:val="fr-FR"/>
        </w:rPr>
        <w:t>; b)</w:t>
      </w:r>
      <w:r w:rsidR="00DF17A8" w:rsidRPr="000F7862">
        <w:rPr>
          <w:lang w:val="fr-FR"/>
        </w:rPr>
        <w:t> </w:t>
      </w:r>
      <w:r w:rsidR="002A3F74" w:rsidRPr="000F7862">
        <w:rPr>
          <w:lang w:val="fr-FR"/>
        </w:rPr>
        <w:t xml:space="preserve">mise à la disposition des </w:t>
      </w:r>
      <w:r w:rsidR="002A3F74" w:rsidRPr="000F7862">
        <w:rPr>
          <w:w w:val="101"/>
          <w:lang w:val="fr-FR"/>
        </w:rPr>
        <w:t>femmes microentrepreneurs</w:t>
      </w:r>
      <w:r w:rsidR="002A3F74" w:rsidRPr="000F7862">
        <w:rPr>
          <w:lang w:val="fr-FR"/>
        </w:rPr>
        <w:t xml:space="preserve"> de bâtiments et d</w:t>
      </w:r>
      <w:r w:rsidR="00120E2E" w:rsidRPr="000F7862">
        <w:rPr>
          <w:lang w:val="fr-FR"/>
        </w:rPr>
        <w:t>’</w:t>
      </w:r>
      <w:r w:rsidR="002A3F74" w:rsidRPr="000F7862">
        <w:rPr>
          <w:lang w:val="fr-FR"/>
        </w:rPr>
        <w:t>installations leur servant de zones de production</w:t>
      </w:r>
      <w:r w:rsidR="0086185C" w:rsidRPr="000F7862">
        <w:rPr>
          <w:lang w:val="fr-FR"/>
        </w:rPr>
        <w:t>; c)</w:t>
      </w:r>
      <w:r w:rsidR="00DF17A8" w:rsidRPr="000F7862">
        <w:rPr>
          <w:lang w:val="fr-FR"/>
        </w:rPr>
        <w:t> </w:t>
      </w:r>
      <w:r w:rsidR="002A3F74" w:rsidRPr="000F7862">
        <w:rPr>
          <w:lang w:val="fr-FR"/>
        </w:rPr>
        <w:t>mise en place d</w:t>
      </w:r>
      <w:r w:rsidR="00120E2E" w:rsidRPr="000F7862">
        <w:rPr>
          <w:lang w:val="fr-FR"/>
        </w:rPr>
        <w:t>’</w:t>
      </w:r>
      <w:r w:rsidR="002A3F74" w:rsidRPr="000F7862">
        <w:rPr>
          <w:lang w:val="fr-FR"/>
        </w:rPr>
        <w:t>un système unique de services aux entreprises et d</w:t>
      </w:r>
      <w:r w:rsidR="00120E2E" w:rsidRPr="000F7862">
        <w:rPr>
          <w:lang w:val="fr-FR"/>
        </w:rPr>
        <w:t>’</w:t>
      </w:r>
      <w:r w:rsidR="002A3F74" w:rsidRPr="000F7862">
        <w:rPr>
          <w:lang w:val="fr-FR"/>
        </w:rPr>
        <w:t>autorisations d</w:t>
      </w:r>
      <w:r w:rsidR="00120E2E" w:rsidRPr="000F7862">
        <w:rPr>
          <w:lang w:val="fr-FR"/>
        </w:rPr>
        <w:t>’</w:t>
      </w:r>
      <w:r w:rsidR="002A3F74" w:rsidRPr="000F7862">
        <w:rPr>
          <w:lang w:val="fr-FR"/>
        </w:rPr>
        <w:t>exploitation</w:t>
      </w:r>
      <w:r w:rsidR="0086185C" w:rsidRPr="000F7862">
        <w:rPr>
          <w:lang w:val="fr-FR"/>
        </w:rPr>
        <w:t>; d)</w:t>
      </w:r>
      <w:r w:rsidR="00DF17A8" w:rsidRPr="000F7862">
        <w:rPr>
          <w:lang w:val="fr-FR"/>
        </w:rPr>
        <w:t> </w:t>
      </w:r>
      <w:r w:rsidR="002A3F74" w:rsidRPr="000F7862">
        <w:rPr>
          <w:lang w:val="fr-FR"/>
        </w:rPr>
        <w:t xml:space="preserve">fourniture de </w:t>
      </w:r>
      <w:r w:rsidR="0086185C" w:rsidRPr="000F7862">
        <w:rPr>
          <w:lang w:val="fr-FR"/>
        </w:rPr>
        <w:t>cr</w:t>
      </w:r>
      <w:r w:rsidR="002A3F74" w:rsidRPr="000F7862">
        <w:rPr>
          <w:lang w:val="fr-FR"/>
        </w:rPr>
        <w:t>édits et d</w:t>
      </w:r>
      <w:r w:rsidR="00120E2E" w:rsidRPr="000F7862">
        <w:rPr>
          <w:lang w:val="fr-FR"/>
        </w:rPr>
        <w:t>’</w:t>
      </w:r>
      <w:r w:rsidR="002A3F74" w:rsidRPr="000F7862">
        <w:rPr>
          <w:lang w:val="fr-FR"/>
        </w:rPr>
        <w:t xml:space="preserve">une </w:t>
      </w:r>
      <w:r w:rsidR="008D2C6F" w:rsidRPr="000F7862">
        <w:rPr>
          <w:lang w:val="fr-FR"/>
        </w:rPr>
        <w:t>aid</w:t>
      </w:r>
      <w:r w:rsidR="002A3F74" w:rsidRPr="000F7862">
        <w:rPr>
          <w:lang w:val="fr-FR"/>
        </w:rPr>
        <w:t xml:space="preserve">e financière </w:t>
      </w:r>
      <w:r w:rsidR="00190F19" w:rsidRPr="000F7862">
        <w:rPr>
          <w:lang w:val="fr-FR"/>
        </w:rPr>
        <w:t xml:space="preserve">aux </w:t>
      </w:r>
      <w:r w:rsidR="00190F19" w:rsidRPr="000F7862">
        <w:rPr>
          <w:w w:val="101"/>
          <w:lang w:val="fr-FR"/>
        </w:rPr>
        <w:t>femmes microentrepreneurs</w:t>
      </w:r>
      <w:r w:rsidR="0086185C" w:rsidRPr="000F7862">
        <w:rPr>
          <w:lang w:val="fr-FR"/>
        </w:rPr>
        <w:t>; e)</w:t>
      </w:r>
      <w:r w:rsidR="00D85A3E" w:rsidRPr="000F7862">
        <w:rPr>
          <w:lang w:val="fr-FR"/>
        </w:rPr>
        <w:t> </w:t>
      </w:r>
      <w:r w:rsidR="00190F19" w:rsidRPr="000F7862">
        <w:rPr>
          <w:lang w:val="fr-FR"/>
        </w:rPr>
        <w:t xml:space="preserve">réseautage et </w:t>
      </w:r>
      <w:r w:rsidR="0086185C" w:rsidRPr="000F7862">
        <w:rPr>
          <w:lang w:val="fr-FR"/>
        </w:rPr>
        <w:t xml:space="preserve">convergence </w:t>
      </w:r>
      <w:r w:rsidR="00190F19" w:rsidRPr="000F7862">
        <w:rPr>
          <w:lang w:val="fr-FR"/>
        </w:rPr>
        <w:t>des organismes publics à l</w:t>
      </w:r>
      <w:r w:rsidR="00120E2E" w:rsidRPr="000F7862">
        <w:rPr>
          <w:lang w:val="fr-FR"/>
        </w:rPr>
        <w:t>’</w:t>
      </w:r>
      <w:r w:rsidR="00190F19" w:rsidRPr="000F7862">
        <w:rPr>
          <w:lang w:val="fr-FR"/>
        </w:rPr>
        <w:t xml:space="preserve">appui des </w:t>
      </w:r>
      <w:r w:rsidR="00190F19" w:rsidRPr="000F7862">
        <w:rPr>
          <w:w w:val="101"/>
          <w:lang w:val="fr-FR"/>
        </w:rPr>
        <w:t>femmes microentrepreneurs</w:t>
      </w:r>
      <w:r w:rsidR="0086185C" w:rsidRPr="000F7862">
        <w:rPr>
          <w:lang w:val="fr-FR"/>
        </w:rPr>
        <w:t>; f)</w:t>
      </w:r>
      <w:r w:rsidR="00DF17A8" w:rsidRPr="000F7862">
        <w:rPr>
          <w:lang w:val="fr-FR"/>
        </w:rPr>
        <w:t> </w:t>
      </w:r>
      <w:r w:rsidR="00190F19" w:rsidRPr="000F7862">
        <w:rPr>
          <w:lang w:val="fr-FR"/>
        </w:rPr>
        <w:t>renforcement des capacités et formations dans les domaines suivants</w:t>
      </w:r>
      <w:r w:rsidR="0005004C" w:rsidRPr="000F7862">
        <w:rPr>
          <w:lang w:val="fr-FR"/>
        </w:rPr>
        <w:t>:</w:t>
      </w:r>
      <w:r w:rsidR="00190F19" w:rsidRPr="000F7862">
        <w:rPr>
          <w:lang w:val="fr-FR"/>
        </w:rPr>
        <w:t xml:space="preserve"> intégration des femmes au développement, création d</w:t>
      </w:r>
      <w:r w:rsidR="00120E2E" w:rsidRPr="000F7862">
        <w:rPr>
          <w:lang w:val="fr-FR"/>
        </w:rPr>
        <w:t>’</w:t>
      </w:r>
      <w:r w:rsidR="00190F19" w:rsidRPr="000F7862">
        <w:rPr>
          <w:lang w:val="fr-FR"/>
        </w:rPr>
        <w:t>ent</w:t>
      </w:r>
      <w:r w:rsidR="0086185C" w:rsidRPr="000F7862">
        <w:rPr>
          <w:lang w:val="fr-FR"/>
        </w:rPr>
        <w:t>r</w:t>
      </w:r>
      <w:r w:rsidR="00190F19" w:rsidRPr="000F7862">
        <w:rPr>
          <w:lang w:val="fr-FR"/>
        </w:rPr>
        <w:t>e</w:t>
      </w:r>
      <w:r w:rsidR="0086185C" w:rsidRPr="000F7862">
        <w:rPr>
          <w:lang w:val="fr-FR"/>
        </w:rPr>
        <w:t>prise</w:t>
      </w:r>
      <w:r w:rsidR="00190F19" w:rsidRPr="000F7862">
        <w:rPr>
          <w:lang w:val="fr-FR"/>
        </w:rPr>
        <w:t>s</w:t>
      </w:r>
      <w:r w:rsidR="0086185C" w:rsidRPr="000F7862">
        <w:rPr>
          <w:lang w:val="fr-FR"/>
        </w:rPr>
        <w:t xml:space="preserve">, </w:t>
      </w:r>
      <w:r w:rsidR="00190F19" w:rsidRPr="000F7862">
        <w:rPr>
          <w:lang w:val="fr-FR"/>
        </w:rPr>
        <w:t>mise au point, condit</w:t>
      </w:r>
      <w:r w:rsidR="002C3008" w:rsidRPr="000F7862">
        <w:rPr>
          <w:lang w:val="fr-FR"/>
        </w:rPr>
        <w:t>i</w:t>
      </w:r>
      <w:r w:rsidR="00190F19" w:rsidRPr="000F7862">
        <w:rPr>
          <w:lang w:val="fr-FR"/>
        </w:rPr>
        <w:t>onnement et étiquetage de produits</w:t>
      </w:r>
      <w:r w:rsidR="0086185C" w:rsidRPr="000F7862">
        <w:rPr>
          <w:lang w:val="fr-FR"/>
        </w:rPr>
        <w:t xml:space="preserve">; </w:t>
      </w:r>
      <w:r w:rsidR="00190F19" w:rsidRPr="000F7862">
        <w:rPr>
          <w:lang w:val="fr-FR"/>
        </w:rPr>
        <w:t>et</w:t>
      </w:r>
      <w:r w:rsidR="0086185C" w:rsidRPr="000F7862">
        <w:rPr>
          <w:lang w:val="fr-FR"/>
        </w:rPr>
        <w:t xml:space="preserve"> g)</w:t>
      </w:r>
      <w:r w:rsidR="00DF17A8" w:rsidRPr="000F7862">
        <w:rPr>
          <w:lang w:val="fr-FR"/>
        </w:rPr>
        <w:t> </w:t>
      </w:r>
      <w:r w:rsidR="00190F19" w:rsidRPr="000F7862">
        <w:rPr>
          <w:lang w:val="fr-FR"/>
        </w:rPr>
        <w:t>commercialisation et promotion des produits</w:t>
      </w:r>
      <w:r w:rsidR="0086185C" w:rsidRPr="000F7862">
        <w:rPr>
          <w:lang w:val="fr-FR"/>
        </w:rPr>
        <w:t>.</w:t>
      </w:r>
      <w:r w:rsidR="00446EA5" w:rsidRPr="000F7862">
        <w:rPr>
          <w:lang w:val="fr-FR"/>
        </w:rPr>
        <w:t xml:space="preserve"> </w:t>
      </w:r>
      <w:r w:rsidR="002C3008" w:rsidRPr="000F7862">
        <w:rPr>
          <w:lang w:val="fr-FR"/>
        </w:rPr>
        <w:t>Tout c</w:t>
      </w:r>
      <w:r w:rsidR="00190F19" w:rsidRPr="000F7862">
        <w:rPr>
          <w:lang w:val="fr-FR"/>
        </w:rPr>
        <w:t>ela a permis d</w:t>
      </w:r>
      <w:r w:rsidR="00120E2E" w:rsidRPr="000F7862">
        <w:rPr>
          <w:lang w:val="fr-FR"/>
        </w:rPr>
        <w:t>’</w:t>
      </w:r>
      <w:r w:rsidR="00190F19" w:rsidRPr="000F7862">
        <w:rPr>
          <w:lang w:val="fr-FR"/>
        </w:rPr>
        <w:t xml:space="preserve">améliorer la conception et la qualité des produits qui ont pu trouver des marchés plus larges au niveau </w:t>
      </w:r>
      <w:r w:rsidR="0086185C" w:rsidRPr="000F7862">
        <w:rPr>
          <w:lang w:val="fr-FR"/>
        </w:rPr>
        <w:t xml:space="preserve">local </w:t>
      </w:r>
      <w:r w:rsidR="00190F19" w:rsidRPr="000F7862">
        <w:rPr>
          <w:lang w:val="fr-FR"/>
        </w:rPr>
        <w:t>et du Grand Manille</w:t>
      </w:r>
      <w:r w:rsidR="0086185C" w:rsidRPr="000F7862">
        <w:rPr>
          <w:lang w:val="fr-FR"/>
        </w:rPr>
        <w:t>.</w:t>
      </w:r>
      <w:r w:rsidR="00446EA5" w:rsidRPr="000F7862">
        <w:rPr>
          <w:lang w:val="fr-FR"/>
        </w:rPr>
        <w:t xml:space="preserve"> </w:t>
      </w:r>
      <w:r w:rsidR="00190F19" w:rsidRPr="000F7862">
        <w:rPr>
          <w:lang w:val="fr-FR"/>
        </w:rPr>
        <w:t xml:space="preserve">De fait, le revenu des </w:t>
      </w:r>
      <w:r w:rsidR="00190F19" w:rsidRPr="000F7862">
        <w:rPr>
          <w:w w:val="101"/>
          <w:lang w:val="fr-FR"/>
        </w:rPr>
        <w:t>femmes microentrepreneurs</w:t>
      </w:r>
      <w:r w:rsidR="00190F19" w:rsidRPr="000F7862">
        <w:rPr>
          <w:lang w:val="fr-FR"/>
        </w:rPr>
        <w:t xml:space="preserve"> a augmenté, ce qui leur a permis de subvenir aux besoins de leur ménage et de pourvoir à l</w:t>
      </w:r>
      <w:r w:rsidR="00120E2E" w:rsidRPr="000F7862">
        <w:rPr>
          <w:lang w:val="fr-FR"/>
        </w:rPr>
        <w:t>’</w:t>
      </w:r>
      <w:r w:rsidR="00190F19" w:rsidRPr="000F7862">
        <w:rPr>
          <w:lang w:val="fr-FR"/>
        </w:rPr>
        <w:t>éducation de leurs enfants</w:t>
      </w:r>
      <w:r w:rsidR="0086185C" w:rsidRPr="000F7862">
        <w:rPr>
          <w:lang w:val="fr-FR"/>
        </w:rPr>
        <w:t>.</w:t>
      </w:r>
      <w:r w:rsidR="00446EA5" w:rsidRPr="000F7862">
        <w:rPr>
          <w:lang w:val="fr-FR"/>
        </w:rPr>
        <w:t xml:space="preserve"> </w:t>
      </w:r>
      <w:r w:rsidR="00190F19" w:rsidRPr="000F7862">
        <w:rPr>
          <w:lang w:val="fr-FR"/>
        </w:rPr>
        <w:t xml:space="preserve">Le projet a bénéficié à plus de </w:t>
      </w:r>
      <w:r w:rsidR="0086185C" w:rsidRPr="000F7862">
        <w:rPr>
          <w:lang w:val="fr-FR"/>
        </w:rPr>
        <w:t>8</w:t>
      </w:r>
      <w:r w:rsidR="00190F19" w:rsidRPr="000F7862">
        <w:rPr>
          <w:lang w:val="fr-FR"/>
        </w:rPr>
        <w:t xml:space="preserve"> </w:t>
      </w:r>
      <w:r w:rsidR="0086185C" w:rsidRPr="000F7862">
        <w:rPr>
          <w:lang w:val="fr-FR"/>
        </w:rPr>
        <w:t xml:space="preserve">000 </w:t>
      </w:r>
      <w:r w:rsidR="00190F19" w:rsidRPr="000F7862">
        <w:rPr>
          <w:w w:val="101"/>
          <w:lang w:val="fr-FR"/>
        </w:rPr>
        <w:t>femmes microentrepreneurs</w:t>
      </w:r>
      <w:r w:rsidR="00190F19" w:rsidRPr="000F7862">
        <w:rPr>
          <w:lang w:val="fr-FR"/>
        </w:rPr>
        <w:t xml:space="preserve"> de huit sites du </w:t>
      </w:r>
      <w:r w:rsidR="00190F19" w:rsidRPr="000F7862">
        <w:rPr>
          <w:w w:val="101"/>
          <w:lang w:val="fr-FR"/>
        </w:rPr>
        <w:t>projet GREAT Women</w:t>
      </w:r>
      <w:r w:rsidR="0086185C" w:rsidRPr="000F7862">
        <w:rPr>
          <w:lang w:val="fr-FR"/>
        </w:rPr>
        <w:t>.</w:t>
      </w:r>
    </w:p>
    <w:p w:rsidR="0086185C" w:rsidRPr="000F7862" w:rsidRDefault="006C06E3" w:rsidP="006C06E3">
      <w:pPr>
        <w:pStyle w:val="H23G"/>
        <w:rPr>
          <w:lang w:val="fr-FR"/>
        </w:rPr>
      </w:pPr>
      <w:r w:rsidRPr="000F7862">
        <w:rPr>
          <w:lang w:val="fr-FR"/>
        </w:rPr>
        <w:tab/>
      </w:r>
      <w:r w:rsidRPr="000F7862">
        <w:rPr>
          <w:lang w:val="fr-FR"/>
        </w:rPr>
        <w:tab/>
      </w:r>
      <w:r w:rsidR="002C3008" w:rsidRPr="000F7862">
        <w:rPr>
          <w:lang w:val="fr-FR"/>
        </w:rPr>
        <w:t xml:space="preserve">Droits sociaux </w:t>
      </w:r>
    </w:p>
    <w:p w:rsidR="0086185C" w:rsidRPr="000F7862" w:rsidRDefault="003F7F57" w:rsidP="003F7F57">
      <w:pPr>
        <w:pStyle w:val="SingleTxtG"/>
        <w:rPr>
          <w:lang w:val="fr-FR"/>
        </w:rPr>
      </w:pPr>
      <w:r w:rsidRPr="000F7862">
        <w:rPr>
          <w:lang w:val="fr-FR"/>
        </w:rPr>
        <w:t>57.</w:t>
      </w:r>
      <w:r w:rsidRPr="000F7862">
        <w:rPr>
          <w:lang w:val="fr-FR"/>
        </w:rPr>
        <w:tab/>
      </w:r>
      <w:r w:rsidR="00B95383" w:rsidRPr="000F7862">
        <w:rPr>
          <w:lang w:val="fr-FR"/>
        </w:rPr>
        <w:t>Les données émanant du Ministère de l</w:t>
      </w:r>
      <w:r w:rsidR="00120E2E" w:rsidRPr="000F7862">
        <w:rPr>
          <w:lang w:val="fr-FR"/>
        </w:rPr>
        <w:t>’</w:t>
      </w:r>
      <w:r w:rsidR="00B95383" w:rsidRPr="000F7862">
        <w:rPr>
          <w:lang w:val="fr-FR"/>
        </w:rPr>
        <w:t>éducation po</w:t>
      </w:r>
      <w:r w:rsidR="000371E3" w:rsidRPr="000F7862">
        <w:rPr>
          <w:lang w:val="fr-FR"/>
        </w:rPr>
        <w:t>u</w:t>
      </w:r>
      <w:r w:rsidR="00B95383" w:rsidRPr="000F7862">
        <w:rPr>
          <w:lang w:val="fr-FR"/>
        </w:rPr>
        <w:t>r l</w:t>
      </w:r>
      <w:r w:rsidR="00120E2E" w:rsidRPr="000F7862">
        <w:rPr>
          <w:lang w:val="fr-FR"/>
        </w:rPr>
        <w:t>’</w:t>
      </w:r>
      <w:r w:rsidR="00B95383" w:rsidRPr="000F7862">
        <w:rPr>
          <w:lang w:val="fr-FR"/>
        </w:rPr>
        <w:t xml:space="preserve">année scolaire </w:t>
      </w:r>
      <w:r w:rsidR="0086185C" w:rsidRPr="000F7862">
        <w:rPr>
          <w:lang w:val="fr-FR"/>
        </w:rPr>
        <w:t>2012</w:t>
      </w:r>
      <w:r w:rsidR="00B95383" w:rsidRPr="000F7862">
        <w:rPr>
          <w:lang w:val="fr-FR"/>
        </w:rPr>
        <w:t>-</w:t>
      </w:r>
      <w:r w:rsidR="0086185C" w:rsidRPr="000F7862">
        <w:rPr>
          <w:lang w:val="fr-FR"/>
        </w:rPr>
        <w:t>2013</w:t>
      </w:r>
      <w:r w:rsidR="00B95383" w:rsidRPr="000F7862">
        <w:rPr>
          <w:lang w:val="fr-FR"/>
        </w:rPr>
        <w:t xml:space="preserve"> font état, pour les écoles publiques comme pour les écoles privées, d</w:t>
      </w:r>
      <w:r w:rsidR="00120E2E" w:rsidRPr="000F7862">
        <w:rPr>
          <w:lang w:val="fr-FR"/>
        </w:rPr>
        <w:t>’</w:t>
      </w:r>
      <w:r w:rsidR="00B95383" w:rsidRPr="000F7862">
        <w:rPr>
          <w:lang w:val="fr-FR"/>
        </w:rPr>
        <w:t>un taux net de scolarisation des filles supérieur à celui des garçons dans l</w:t>
      </w:r>
      <w:r w:rsidR="00120E2E" w:rsidRPr="000F7862">
        <w:rPr>
          <w:lang w:val="fr-FR"/>
        </w:rPr>
        <w:t>’</w:t>
      </w:r>
      <w:r w:rsidR="00B95383" w:rsidRPr="000F7862">
        <w:rPr>
          <w:lang w:val="fr-FR"/>
        </w:rPr>
        <w:t>enseignement primaire comme dans l</w:t>
      </w:r>
      <w:r w:rsidR="00120E2E" w:rsidRPr="000F7862">
        <w:rPr>
          <w:lang w:val="fr-FR"/>
        </w:rPr>
        <w:t>’</w:t>
      </w:r>
      <w:r w:rsidR="00B95383" w:rsidRPr="000F7862">
        <w:rPr>
          <w:lang w:val="fr-FR"/>
        </w:rPr>
        <w:t>enseignement secondaire</w:t>
      </w:r>
      <w:r w:rsidR="0086185C" w:rsidRPr="000F7862">
        <w:rPr>
          <w:lang w:val="fr-FR"/>
        </w:rPr>
        <w:t>.</w:t>
      </w:r>
      <w:r w:rsidR="00446EA5" w:rsidRPr="000F7862">
        <w:rPr>
          <w:lang w:val="fr-FR"/>
        </w:rPr>
        <w:t xml:space="preserve"> </w:t>
      </w:r>
      <w:r w:rsidR="00B95383" w:rsidRPr="000F7862">
        <w:rPr>
          <w:lang w:val="fr-FR"/>
        </w:rPr>
        <w:t xml:space="preserve">Dans le primaire, ce taux est de </w:t>
      </w:r>
      <w:r w:rsidR="0086185C" w:rsidRPr="000F7862">
        <w:rPr>
          <w:lang w:val="fr-FR"/>
        </w:rPr>
        <w:t>96</w:t>
      </w:r>
      <w:r w:rsidR="00B95383" w:rsidRPr="000F7862">
        <w:rPr>
          <w:lang w:val="fr-FR"/>
        </w:rPr>
        <w:t>,</w:t>
      </w:r>
      <w:r w:rsidR="0086185C" w:rsidRPr="000F7862">
        <w:rPr>
          <w:lang w:val="fr-FR"/>
        </w:rPr>
        <w:t>3</w:t>
      </w:r>
      <w:r w:rsidR="00DC1196" w:rsidRPr="000F7862">
        <w:rPr>
          <w:lang w:val="fr-FR"/>
        </w:rPr>
        <w:t> %</w:t>
      </w:r>
      <w:r w:rsidR="0086185C" w:rsidRPr="000F7862">
        <w:rPr>
          <w:lang w:val="fr-FR"/>
        </w:rPr>
        <w:t xml:space="preserve"> </w:t>
      </w:r>
      <w:r w:rsidR="00B95383" w:rsidRPr="000F7862">
        <w:rPr>
          <w:lang w:val="fr-FR"/>
        </w:rPr>
        <w:t xml:space="preserve">pour les filles et de </w:t>
      </w:r>
      <w:r w:rsidR="0086185C" w:rsidRPr="000F7862">
        <w:rPr>
          <w:lang w:val="fr-FR"/>
        </w:rPr>
        <w:t>94</w:t>
      </w:r>
      <w:r w:rsidR="00B95383" w:rsidRPr="000F7862">
        <w:rPr>
          <w:lang w:val="fr-FR"/>
        </w:rPr>
        <w:t>,</w:t>
      </w:r>
      <w:r w:rsidR="0086185C" w:rsidRPr="000F7862">
        <w:rPr>
          <w:lang w:val="fr-FR"/>
        </w:rPr>
        <w:t>25</w:t>
      </w:r>
      <w:r w:rsidR="00DC1196" w:rsidRPr="000F7862">
        <w:rPr>
          <w:lang w:val="fr-FR"/>
        </w:rPr>
        <w:t> %</w:t>
      </w:r>
      <w:r w:rsidR="0086185C" w:rsidRPr="000F7862">
        <w:rPr>
          <w:lang w:val="fr-FR"/>
        </w:rPr>
        <w:t xml:space="preserve"> </w:t>
      </w:r>
      <w:r w:rsidR="00B95383" w:rsidRPr="000F7862">
        <w:rPr>
          <w:lang w:val="fr-FR"/>
        </w:rPr>
        <w:t xml:space="preserve">pour les garçons, tandis que, dans le secondaire, il est de </w:t>
      </w:r>
      <w:r w:rsidR="0086185C" w:rsidRPr="000F7862">
        <w:rPr>
          <w:lang w:val="fr-FR"/>
        </w:rPr>
        <w:t>70</w:t>
      </w:r>
      <w:r w:rsidR="00DC1196" w:rsidRPr="000F7862">
        <w:rPr>
          <w:lang w:val="fr-FR"/>
        </w:rPr>
        <w:t> %</w:t>
      </w:r>
      <w:r w:rsidR="0086185C" w:rsidRPr="000F7862">
        <w:rPr>
          <w:lang w:val="fr-FR"/>
        </w:rPr>
        <w:t xml:space="preserve"> </w:t>
      </w:r>
      <w:r w:rsidR="00B95383" w:rsidRPr="000F7862">
        <w:rPr>
          <w:lang w:val="fr-FR"/>
        </w:rPr>
        <w:t xml:space="preserve">pour les filles et de </w:t>
      </w:r>
      <w:r w:rsidR="0086185C" w:rsidRPr="000F7862">
        <w:rPr>
          <w:lang w:val="fr-FR"/>
        </w:rPr>
        <w:t>59</w:t>
      </w:r>
      <w:r w:rsidR="00B95383" w:rsidRPr="000F7862">
        <w:rPr>
          <w:lang w:val="fr-FR"/>
        </w:rPr>
        <w:t>,</w:t>
      </w:r>
      <w:r w:rsidR="0086185C" w:rsidRPr="000F7862">
        <w:rPr>
          <w:lang w:val="fr-FR"/>
        </w:rPr>
        <w:t>49</w:t>
      </w:r>
      <w:r w:rsidR="00DC1196" w:rsidRPr="000F7862">
        <w:rPr>
          <w:lang w:val="fr-FR"/>
        </w:rPr>
        <w:t> %</w:t>
      </w:r>
      <w:r w:rsidR="00B95383" w:rsidRPr="000F7862">
        <w:rPr>
          <w:lang w:val="fr-FR"/>
        </w:rPr>
        <w:t xml:space="preserve"> po</w:t>
      </w:r>
      <w:r w:rsidR="00D6194A" w:rsidRPr="000F7862">
        <w:rPr>
          <w:lang w:val="fr-FR"/>
        </w:rPr>
        <w:t>u</w:t>
      </w:r>
      <w:r w:rsidR="00B95383" w:rsidRPr="000F7862">
        <w:rPr>
          <w:lang w:val="fr-FR"/>
        </w:rPr>
        <w:t>r les garçons</w:t>
      </w:r>
      <w:r w:rsidR="0086185C" w:rsidRPr="000F7862">
        <w:rPr>
          <w:lang w:val="fr-FR"/>
        </w:rPr>
        <w:t>.</w:t>
      </w:r>
      <w:r w:rsidR="00446EA5" w:rsidRPr="000F7862">
        <w:rPr>
          <w:lang w:val="fr-FR"/>
        </w:rPr>
        <w:t xml:space="preserve"> </w:t>
      </w:r>
      <w:r w:rsidR="00B95383" w:rsidRPr="000F7862">
        <w:rPr>
          <w:lang w:val="fr-FR"/>
        </w:rPr>
        <w:t>D</w:t>
      </w:r>
      <w:r w:rsidR="00120E2E" w:rsidRPr="000F7862">
        <w:rPr>
          <w:lang w:val="fr-FR"/>
        </w:rPr>
        <w:t>’</w:t>
      </w:r>
      <w:r w:rsidR="00B95383" w:rsidRPr="000F7862">
        <w:rPr>
          <w:lang w:val="fr-FR"/>
        </w:rPr>
        <w:t xml:space="preserve">autre part, </w:t>
      </w:r>
      <w:r w:rsidR="000371E3" w:rsidRPr="000F7862">
        <w:rPr>
          <w:lang w:val="fr-FR"/>
        </w:rPr>
        <w:t>le taux d</w:t>
      </w:r>
      <w:r w:rsidR="00120E2E" w:rsidRPr="000F7862">
        <w:rPr>
          <w:lang w:val="fr-FR"/>
        </w:rPr>
        <w:t>’</w:t>
      </w:r>
      <w:r w:rsidR="000371E3" w:rsidRPr="000F7862">
        <w:rPr>
          <w:lang w:val="fr-FR"/>
        </w:rPr>
        <w:t xml:space="preserve">achèvement des études primaires est de </w:t>
      </w:r>
      <w:r w:rsidR="0086185C" w:rsidRPr="000F7862">
        <w:rPr>
          <w:lang w:val="fr-FR"/>
        </w:rPr>
        <w:t>78</w:t>
      </w:r>
      <w:r w:rsidR="000371E3" w:rsidRPr="000F7862">
        <w:rPr>
          <w:lang w:val="fr-FR"/>
        </w:rPr>
        <w:t>,</w:t>
      </w:r>
      <w:r w:rsidR="0086185C" w:rsidRPr="000F7862">
        <w:rPr>
          <w:lang w:val="fr-FR"/>
        </w:rPr>
        <w:t>21</w:t>
      </w:r>
      <w:r w:rsidR="00DC1196" w:rsidRPr="000F7862">
        <w:rPr>
          <w:lang w:val="fr-FR"/>
        </w:rPr>
        <w:t> %</w:t>
      </w:r>
      <w:r w:rsidR="0086185C" w:rsidRPr="000F7862">
        <w:rPr>
          <w:lang w:val="fr-FR"/>
        </w:rPr>
        <w:t xml:space="preserve"> </w:t>
      </w:r>
      <w:r w:rsidR="000371E3" w:rsidRPr="000F7862">
        <w:rPr>
          <w:lang w:val="fr-FR"/>
        </w:rPr>
        <w:t xml:space="preserve">pour les filles et de </w:t>
      </w:r>
      <w:r w:rsidR="0086185C" w:rsidRPr="000F7862">
        <w:rPr>
          <w:lang w:val="fr-FR"/>
        </w:rPr>
        <w:t>69</w:t>
      </w:r>
      <w:r w:rsidR="000371E3" w:rsidRPr="000F7862">
        <w:rPr>
          <w:lang w:val="fr-FR"/>
        </w:rPr>
        <w:t>,</w:t>
      </w:r>
      <w:r w:rsidR="0086185C" w:rsidRPr="000F7862">
        <w:rPr>
          <w:lang w:val="fr-FR"/>
        </w:rPr>
        <w:t>61</w:t>
      </w:r>
      <w:r w:rsidR="00DC1196" w:rsidRPr="000F7862">
        <w:rPr>
          <w:lang w:val="fr-FR"/>
        </w:rPr>
        <w:t> %</w:t>
      </w:r>
      <w:r w:rsidR="000371E3" w:rsidRPr="000F7862">
        <w:rPr>
          <w:lang w:val="fr-FR"/>
        </w:rPr>
        <w:t xml:space="preserve"> pour les garçons; dans le secondaire, ce taux est de </w:t>
      </w:r>
      <w:r w:rsidR="0086185C" w:rsidRPr="000F7862">
        <w:rPr>
          <w:lang w:val="fr-FR"/>
        </w:rPr>
        <w:t>79</w:t>
      </w:r>
      <w:r w:rsidR="000371E3" w:rsidRPr="000F7862">
        <w:rPr>
          <w:lang w:val="fr-FR"/>
        </w:rPr>
        <w:t>,</w:t>
      </w:r>
      <w:r w:rsidR="0086185C" w:rsidRPr="000F7862">
        <w:rPr>
          <w:lang w:val="fr-FR"/>
        </w:rPr>
        <w:t>92</w:t>
      </w:r>
      <w:r w:rsidR="00DC1196" w:rsidRPr="000F7862">
        <w:rPr>
          <w:lang w:val="fr-FR"/>
        </w:rPr>
        <w:t> %</w:t>
      </w:r>
      <w:r w:rsidR="0086185C" w:rsidRPr="000F7862">
        <w:rPr>
          <w:lang w:val="fr-FR"/>
        </w:rPr>
        <w:t xml:space="preserve"> </w:t>
      </w:r>
      <w:r w:rsidR="000371E3" w:rsidRPr="000F7862">
        <w:rPr>
          <w:lang w:val="fr-FR"/>
        </w:rPr>
        <w:t xml:space="preserve">pour les filles et de </w:t>
      </w:r>
      <w:r w:rsidR="0086185C" w:rsidRPr="000F7862">
        <w:rPr>
          <w:lang w:val="fr-FR"/>
        </w:rPr>
        <w:t>69</w:t>
      </w:r>
      <w:r w:rsidR="000371E3" w:rsidRPr="000F7862">
        <w:rPr>
          <w:lang w:val="fr-FR"/>
        </w:rPr>
        <w:t>,</w:t>
      </w:r>
      <w:r w:rsidR="0086185C" w:rsidRPr="000F7862">
        <w:rPr>
          <w:lang w:val="fr-FR"/>
        </w:rPr>
        <w:t>77</w:t>
      </w:r>
      <w:r w:rsidR="00DC1196" w:rsidRPr="000F7862">
        <w:rPr>
          <w:lang w:val="fr-FR"/>
        </w:rPr>
        <w:t> %</w:t>
      </w:r>
      <w:r w:rsidR="000371E3" w:rsidRPr="000F7862">
        <w:rPr>
          <w:lang w:val="fr-FR"/>
        </w:rPr>
        <w:t xml:space="preserve"> pour les garçons</w:t>
      </w:r>
      <w:r w:rsidR="0086185C" w:rsidRPr="000F7862">
        <w:rPr>
          <w:lang w:val="fr-FR"/>
        </w:rPr>
        <w:t>.</w:t>
      </w:r>
      <w:r w:rsidR="00446EA5" w:rsidRPr="000F7862">
        <w:rPr>
          <w:lang w:val="fr-FR"/>
        </w:rPr>
        <w:t xml:space="preserve"> </w:t>
      </w:r>
      <w:r w:rsidR="000371E3" w:rsidRPr="000F7862">
        <w:rPr>
          <w:lang w:val="fr-FR"/>
        </w:rPr>
        <w:t>Par ailleurs, le Ministère s</w:t>
      </w:r>
      <w:r w:rsidR="00120E2E" w:rsidRPr="000F7862">
        <w:rPr>
          <w:lang w:val="fr-FR"/>
        </w:rPr>
        <w:t>’</w:t>
      </w:r>
      <w:r w:rsidR="000371E3" w:rsidRPr="000F7862">
        <w:rPr>
          <w:lang w:val="fr-FR"/>
        </w:rPr>
        <w:t>emploie à remédier au problème du décrochage scolaire plus élevé parmi les garçons</w:t>
      </w:r>
      <w:r w:rsidR="0086185C" w:rsidRPr="000F7862">
        <w:rPr>
          <w:lang w:val="fr-FR"/>
        </w:rPr>
        <w:t xml:space="preserve">, </w:t>
      </w:r>
      <w:r w:rsidR="000371E3" w:rsidRPr="000F7862">
        <w:rPr>
          <w:lang w:val="fr-FR"/>
        </w:rPr>
        <w:t>des moins bons résultats obtenus par les garçons lors des tests normalisés au niveau national et des taux d</w:t>
      </w:r>
      <w:r w:rsidR="00120E2E" w:rsidRPr="000F7862">
        <w:rPr>
          <w:lang w:val="fr-FR"/>
        </w:rPr>
        <w:t>’</w:t>
      </w:r>
      <w:r w:rsidR="000371E3" w:rsidRPr="000F7862">
        <w:rPr>
          <w:lang w:val="fr-FR"/>
        </w:rPr>
        <w:t>alphabétisation</w:t>
      </w:r>
      <w:r w:rsidR="00D6194A" w:rsidRPr="000F7862">
        <w:rPr>
          <w:lang w:val="fr-FR"/>
        </w:rPr>
        <w:t xml:space="preserve"> </w:t>
      </w:r>
      <w:r w:rsidR="000371E3" w:rsidRPr="000F7862">
        <w:rPr>
          <w:lang w:val="fr-FR"/>
        </w:rPr>
        <w:t>élémentaire plus faibles parmi les garçons en mettant en place des systèmes d</w:t>
      </w:r>
      <w:r w:rsidR="00120E2E" w:rsidRPr="000F7862">
        <w:rPr>
          <w:lang w:val="fr-FR"/>
        </w:rPr>
        <w:t>’</w:t>
      </w:r>
      <w:r w:rsidR="000371E3" w:rsidRPr="000F7862">
        <w:rPr>
          <w:lang w:val="fr-FR"/>
        </w:rPr>
        <w:t xml:space="preserve">apprentissage non traditionnels et en </w:t>
      </w:r>
      <w:r w:rsidR="00D6194A" w:rsidRPr="000F7862">
        <w:rPr>
          <w:lang w:val="fr-FR"/>
        </w:rPr>
        <w:t>apprenan</w:t>
      </w:r>
      <w:r w:rsidR="00243CBC" w:rsidRPr="000F7862">
        <w:rPr>
          <w:lang w:val="fr-FR"/>
        </w:rPr>
        <w:t xml:space="preserve">t </w:t>
      </w:r>
      <w:r w:rsidR="00D6194A" w:rsidRPr="000F7862">
        <w:rPr>
          <w:lang w:val="fr-FR"/>
        </w:rPr>
        <w:t>aux</w:t>
      </w:r>
      <w:r w:rsidR="00243CBC" w:rsidRPr="000F7862">
        <w:rPr>
          <w:lang w:val="fr-FR"/>
        </w:rPr>
        <w:t xml:space="preserve"> enseignants </w:t>
      </w:r>
      <w:r w:rsidR="00D6194A" w:rsidRPr="000F7862">
        <w:rPr>
          <w:lang w:val="fr-FR"/>
        </w:rPr>
        <w:t>à se montrer plus réceptifs aux rythmes d</w:t>
      </w:r>
      <w:r w:rsidR="00120E2E" w:rsidRPr="000F7862">
        <w:rPr>
          <w:lang w:val="fr-FR"/>
        </w:rPr>
        <w:t>’</w:t>
      </w:r>
      <w:r w:rsidR="00D6194A" w:rsidRPr="000F7862">
        <w:rPr>
          <w:lang w:val="fr-FR"/>
        </w:rPr>
        <w:t>apprentissage des garçons et des filles</w:t>
      </w:r>
      <w:r w:rsidR="0086185C" w:rsidRPr="000F7862">
        <w:rPr>
          <w:lang w:val="fr-FR"/>
        </w:rPr>
        <w:t>.</w:t>
      </w:r>
    </w:p>
    <w:p w:rsidR="0086185C" w:rsidRPr="000F7862" w:rsidRDefault="003F7F57" w:rsidP="003F7F57">
      <w:pPr>
        <w:pStyle w:val="SingleTxtG"/>
        <w:rPr>
          <w:lang w:val="fr-FR"/>
        </w:rPr>
      </w:pPr>
      <w:r w:rsidRPr="000F7862">
        <w:rPr>
          <w:lang w:val="fr-FR"/>
        </w:rPr>
        <w:t>58.</w:t>
      </w:r>
      <w:r w:rsidRPr="000F7862">
        <w:rPr>
          <w:lang w:val="fr-FR"/>
        </w:rPr>
        <w:tab/>
      </w:r>
      <w:r w:rsidR="0024455B" w:rsidRPr="000F7862">
        <w:rPr>
          <w:lang w:val="fr-FR"/>
        </w:rPr>
        <w:t>Il ressort des données fournies par la Commission de l</w:t>
      </w:r>
      <w:r w:rsidR="00120E2E" w:rsidRPr="000F7862">
        <w:rPr>
          <w:lang w:val="fr-FR"/>
        </w:rPr>
        <w:t>’</w:t>
      </w:r>
      <w:r w:rsidR="0024455B" w:rsidRPr="000F7862">
        <w:rPr>
          <w:lang w:val="fr-FR"/>
        </w:rPr>
        <w:t xml:space="preserve">enseignement supérieur que </w:t>
      </w:r>
      <w:r w:rsidR="00227C66" w:rsidRPr="000F7862">
        <w:rPr>
          <w:lang w:val="fr-FR"/>
        </w:rPr>
        <w:t xml:space="preserve">les filles ont été plus nombreuses que les garçons à faire des études supérieures entre les années universitaires </w:t>
      </w:r>
      <w:r w:rsidR="0086185C" w:rsidRPr="000F7862">
        <w:rPr>
          <w:lang w:val="fr-FR"/>
        </w:rPr>
        <w:t>2004</w:t>
      </w:r>
      <w:r w:rsidR="00227C66" w:rsidRPr="000F7862">
        <w:rPr>
          <w:lang w:val="fr-FR"/>
        </w:rPr>
        <w:t>-</w:t>
      </w:r>
      <w:r w:rsidR="0086185C" w:rsidRPr="000F7862">
        <w:rPr>
          <w:lang w:val="fr-FR"/>
        </w:rPr>
        <w:t xml:space="preserve">2005 </w:t>
      </w:r>
      <w:r w:rsidR="00227C66" w:rsidRPr="000F7862">
        <w:rPr>
          <w:lang w:val="fr-FR"/>
        </w:rPr>
        <w:t xml:space="preserve">et </w:t>
      </w:r>
      <w:r w:rsidR="0086185C" w:rsidRPr="000F7862">
        <w:rPr>
          <w:lang w:val="fr-FR"/>
        </w:rPr>
        <w:t>2011</w:t>
      </w:r>
      <w:r w:rsidR="00227C66" w:rsidRPr="000F7862">
        <w:rPr>
          <w:lang w:val="fr-FR"/>
        </w:rPr>
        <w:t>-</w:t>
      </w:r>
      <w:r w:rsidR="0086185C" w:rsidRPr="000F7862">
        <w:rPr>
          <w:lang w:val="fr-FR"/>
        </w:rPr>
        <w:t>2012.</w:t>
      </w:r>
      <w:r w:rsidR="00446EA5" w:rsidRPr="000F7862">
        <w:rPr>
          <w:lang w:val="fr-FR"/>
        </w:rPr>
        <w:t xml:space="preserve"> </w:t>
      </w:r>
      <w:r w:rsidR="00227C66" w:rsidRPr="000F7862">
        <w:rPr>
          <w:lang w:val="fr-FR"/>
        </w:rPr>
        <w:t xml:space="preserve">En </w:t>
      </w:r>
      <w:r w:rsidR="0086185C" w:rsidRPr="000F7862">
        <w:rPr>
          <w:lang w:val="fr-FR"/>
        </w:rPr>
        <w:t>2011</w:t>
      </w:r>
      <w:r w:rsidR="00227C66" w:rsidRPr="000F7862">
        <w:rPr>
          <w:lang w:val="fr-FR"/>
        </w:rPr>
        <w:t>-</w:t>
      </w:r>
      <w:r w:rsidR="0086185C" w:rsidRPr="000F7862">
        <w:rPr>
          <w:lang w:val="fr-FR"/>
        </w:rPr>
        <w:t>2012</w:t>
      </w:r>
      <w:r w:rsidR="00227C66" w:rsidRPr="000F7862">
        <w:rPr>
          <w:lang w:val="fr-FR"/>
        </w:rPr>
        <w:t>, elles étaient plus nombreuses dans les matières suivantes</w:t>
      </w:r>
      <w:r w:rsidR="0005004C" w:rsidRPr="000F7862">
        <w:rPr>
          <w:lang w:val="fr-FR"/>
        </w:rPr>
        <w:t xml:space="preserve">: </w:t>
      </w:r>
      <w:r w:rsidR="0086185C" w:rsidRPr="000F7862">
        <w:rPr>
          <w:lang w:val="fr-FR"/>
        </w:rPr>
        <w:t xml:space="preserve">administration </w:t>
      </w:r>
      <w:r w:rsidR="00227C66" w:rsidRPr="000F7862">
        <w:rPr>
          <w:lang w:val="fr-FR"/>
        </w:rPr>
        <w:t xml:space="preserve">des affaires et </w:t>
      </w:r>
      <w:r w:rsidR="00C14CC3" w:rsidRPr="000F7862">
        <w:rPr>
          <w:lang w:val="fr-FR"/>
        </w:rPr>
        <w:t>cours apparentés</w:t>
      </w:r>
      <w:r w:rsidR="0086185C" w:rsidRPr="000F7862">
        <w:rPr>
          <w:lang w:val="fr-FR"/>
        </w:rPr>
        <w:t xml:space="preserve">, </w:t>
      </w:r>
      <w:r w:rsidR="00227C66" w:rsidRPr="000F7862">
        <w:rPr>
          <w:lang w:val="fr-FR"/>
        </w:rPr>
        <w:t>é</w:t>
      </w:r>
      <w:r w:rsidR="0086185C" w:rsidRPr="000F7862">
        <w:rPr>
          <w:lang w:val="fr-FR"/>
        </w:rPr>
        <w:t xml:space="preserve">ducation </w:t>
      </w:r>
      <w:r w:rsidR="00227C66" w:rsidRPr="000F7862">
        <w:rPr>
          <w:lang w:val="fr-FR"/>
        </w:rPr>
        <w:t>et formation des enseignants</w:t>
      </w:r>
      <w:r w:rsidR="0086185C" w:rsidRPr="000F7862">
        <w:rPr>
          <w:lang w:val="fr-FR"/>
        </w:rPr>
        <w:t xml:space="preserve">, </w:t>
      </w:r>
      <w:r w:rsidR="00227C66" w:rsidRPr="000F7862">
        <w:rPr>
          <w:lang w:val="fr-FR"/>
        </w:rPr>
        <w:t xml:space="preserve">beaux-arts et </w:t>
      </w:r>
      <w:r w:rsidR="0086185C" w:rsidRPr="000F7862">
        <w:rPr>
          <w:lang w:val="fr-FR"/>
        </w:rPr>
        <w:t>arts</w:t>
      </w:r>
      <w:r w:rsidR="00227C66" w:rsidRPr="000F7862">
        <w:rPr>
          <w:lang w:val="fr-FR"/>
        </w:rPr>
        <w:t xml:space="preserve"> appliqués</w:t>
      </w:r>
      <w:r w:rsidR="0086185C" w:rsidRPr="000F7862">
        <w:rPr>
          <w:lang w:val="fr-FR"/>
        </w:rPr>
        <w:t>,</w:t>
      </w:r>
      <w:r w:rsidR="00227C66" w:rsidRPr="000F7862">
        <w:rPr>
          <w:lang w:val="fr-FR"/>
        </w:rPr>
        <w:t xml:space="preserve"> lettres</w:t>
      </w:r>
      <w:r w:rsidR="0086185C" w:rsidRPr="000F7862">
        <w:rPr>
          <w:lang w:val="fr-FR"/>
        </w:rPr>
        <w:t xml:space="preserve">, communication </w:t>
      </w:r>
      <w:r w:rsidR="00227C66" w:rsidRPr="000F7862">
        <w:rPr>
          <w:lang w:val="fr-FR"/>
        </w:rPr>
        <w:t xml:space="preserve">de masse et </w:t>
      </w:r>
      <w:r w:rsidR="0086185C" w:rsidRPr="000F7862">
        <w:rPr>
          <w:lang w:val="fr-FR"/>
        </w:rPr>
        <w:t>documentation, math</w:t>
      </w:r>
      <w:r w:rsidR="00227C66" w:rsidRPr="000F7862">
        <w:rPr>
          <w:lang w:val="fr-FR"/>
        </w:rPr>
        <w:t>é</w:t>
      </w:r>
      <w:r w:rsidR="0086185C" w:rsidRPr="000F7862">
        <w:rPr>
          <w:lang w:val="fr-FR"/>
        </w:rPr>
        <w:t>mati</w:t>
      </w:r>
      <w:r w:rsidR="00227C66" w:rsidRPr="000F7862">
        <w:rPr>
          <w:lang w:val="fr-FR"/>
        </w:rPr>
        <w:t>que</w:t>
      </w:r>
      <w:r w:rsidR="0086185C" w:rsidRPr="000F7862">
        <w:rPr>
          <w:lang w:val="fr-FR"/>
        </w:rPr>
        <w:t xml:space="preserve">s </w:t>
      </w:r>
      <w:r w:rsidR="00227C66" w:rsidRPr="000F7862">
        <w:rPr>
          <w:lang w:val="fr-FR"/>
        </w:rPr>
        <w:t>et informatique</w:t>
      </w:r>
      <w:r w:rsidR="0086185C" w:rsidRPr="000F7862">
        <w:rPr>
          <w:lang w:val="fr-FR"/>
        </w:rPr>
        <w:t xml:space="preserve">, </w:t>
      </w:r>
      <w:r w:rsidR="00227C66" w:rsidRPr="000F7862">
        <w:rPr>
          <w:lang w:val="fr-FR"/>
        </w:rPr>
        <w:t xml:space="preserve">médecine et </w:t>
      </w:r>
      <w:r w:rsidR="00C14CC3" w:rsidRPr="000F7862">
        <w:rPr>
          <w:lang w:val="fr-FR"/>
        </w:rPr>
        <w:t>c</w:t>
      </w:r>
      <w:r w:rsidR="00EE5903" w:rsidRPr="000F7862">
        <w:rPr>
          <w:lang w:val="fr-FR"/>
        </w:rPr>
        <w:t>ours apparen</w:t>
      </w:r>
      <w:r w:rsidR="00C14CC3" w:rsidRPr="000F7862">
        <w:rPr>
          <w:lang w:val="fr-FR"/>
        </w:rPr>
        <w:t>tés</w:t>
      </w:r>
      <w:r w:rsidR="0086185C" w:rsidRPr="000F7862">
        <w:rPr>
          <w:lang w:val="fr-FR"/>
        </w:rPr>
        <w:t>, science</w:t>
      </w:r>
      <w:r w:rsidR="00C14CC3" w:rsidRPr="000F7862">
        <w:rPr>
          <w:lang w:val="fr-FR"/>
        </w:rPr>
        <w:t>s naturelles</w:t>
      </w:r>
      <w:r w:rsidR="0086185C" w:rsidRPr="000F7862">
        <w:rPr>
          <w:lang w:val="fr-FR"/>
        </w:rPr>
        <w:t xml:space="preserve">, </w:t>
      </w:r>
      <w:r w:rsidR="00EE5903" w:rsidRPr="000F7862">
        <w:rPr>
          <w:lang w:val="fr-FR"/>
        </w:rPr>
        <w:t xml:space="preserve">prestations de </w:t>
      </w:r>
      <w:r w:rsidR="0086185C" w:rsidRPr="000F7862">
        <w:rPr>
          <w:lang w:val="fr-FR"/>
        </w:rPr>
        <w:t>service</w:t>
      </w:r>
      <w:r w:rsidR="00EE5903" w:rsidRPr="000F7862">
        <w:rPr>
          <w:lang w:val="fr-FR"/>
        </w:rPr>
        <w:t>s</w:t>
      </w:r>
      <w:r w:rsidR="0086185C" w:rsidRPr="000F7862">
        <w:rPr>
          <w:lang w:val="fr-FR"/>
        </w:rPr>
        <w:t xml:space="preserve">, </w:t>
      </w:r>
      <w:r w:rsidR="00EE5903" w:rsidRPr="000F7862">
        <w:rPr>
          <w:lang w:val="fr-FR"/>
        </w:rPr>
        <w:t xml:space="preserve">sciences </w:t>
      </w:r>
      <w:r w:rsidR="0086185C" w:rsidRPr="000F7862">
        <w:rPr>
          <w:lang w:val="fr-FR"/>
        </w:rPr>
        <w:t>social</w:t>
      </w:r>
      <w:r w:rsidR="00EE5903" w:rsidRPr="000F7862">
        <w:rPr>
          <w:lang w:val="fr-FR"/>
        </w:rPr>
        <w:t>es</w:t>
      </w:r>
      <w:r w:rsidR="0086185C" w:rsidRPr="000F7862">
        <w:rPr>
          <w:lang w:val="fr-FR"/>
        </w:rPr>
        <w:t xml:space="preserve"> </w:t>
      </w:r>
      <w:r w:rsidR="00EE5903" w:rsidRPr="000F7862">
        <w:rPr>
          <w:lang w:val="fr-FR"/>
        </w:rPr>
        <w:t>et</w:t>
      </w:r>
      <w:r w:rsidR="0086185C" w:rsidRPr="000F7862">
        <w:rPr>
          <w:lang w:val="fr-FR"/>
        </w:rPr>
        <w:t xml:space="preserve"> </w:t>
      </w:r>
      <w:r w:rsidR="00EE5903" w:rsidRPr="000F7862">
        <w:rPr>
          <w:lang w:val="fr-FR"/>
        </w:rPr>
        <w:t>comportementales</w:t>
      </w:r>
      <w:r w:rsidR="0086185C" w:rsidRPr="000F7862">
        <w:rPr>
          <w:lang w:val="fr-FR"/>
        </w:rPr>
        <w:t xml:space="preserve">, </w:t>
      </w:r>
      <w:r w:rsidR="00EE5903" w:rsidRPr="000F7862">
        <w:rPr>
          <w:lang w:val="fr-FR"/>
        </w:rPr>
        <w:t xml:space="preserve">cours </w:t>
      </w:r>
      <w:r w:rsidR="0086185C" w:rsidRPr="000F7862">
        <w:rPr>
          <w:lang w:val="fr-FR"/>
        </w:rPr>
        <w:t>g</w:t>
      </w:r>
      <w:r w:rsidR="00EE5903" w:rsidRPr="000F7862">
        <w:rPr>
          <w:lang w:val="fr-FR"/>
        </w:rPr>
        <w:t>é</w:t>
      </w:r>
      <w:r w:rsidR="0086185C" w:rsidRPr="000F7862">
        <w:rPr>
          <w:lang w:val="fr-FR"/>
        </w:rPr>
        <w:t>n</w:t>
      </w:r>
      <w:r w:rsidR="00EE5903" w:rsidRPr="000F7862">
        <w:rPr>
          <w:lang w:val="fr-FR"/>
        </w:rPr>
        <w:t>é</w:t>
      </w:r>
      <w:r w:rsidR="0086185C" w:rsidRPr="000F7862">
        <w:rPr>
          <w:lang w:val="fr-FR"/>
        </w:rPr>
        <w:t>ra</w:t>
      </w:r>
      <w:r w:rsidR="00EE5903" w:rsidRPr="000F7862">
        <w:rPr>
          <w:lang w:val="fr-FR"/>
        </w:rPr>
        <w:t>ux et</w:t>
      </w:r>
      <w:r w:rsidR="0086185C" w:rsidRPr="000F7862">
        <w:rPr>
          <w:lang w:val="fr-FR"/>
        </w:rPr>
        <w:t xml:space="preserve"> </w:t>
      </w:r>
      <w:r w:rsidR="00EE5903" w:rsidRPr="000F7862">
        <w:rPr>
          <w:lang w:val="fr-FR"/>
        </w:rPr>
        <w:t>enseignement ménager</w:t>
      </w:r>
      <w:r w:rsidR="0086185C" w:rsidRPr="000F7862">
        <w:rPr>
          <w:lang w:val="fr-FR"/>
        </w:rPr>
        <w:t>.</w:t>
      </w:r>
      <w:r w:rsidR="00446EA5" w:rsidRPr="000F7862">
        <w:rPr>
          <w:lang w:val="fr-FR"/>
        </w:rPr>
        <w:t xml:space="preserve"> </w:t>
      </w:r>
      <w:r w:rsidR="00EE5903" w:rsidRPr="000F7862">
        <w:rPr>
          <w:lang w:val="fr-FR"/>
        </w:rPr>
        <w:t xml:space="preserve">En revanche, elles sont moins nombreuses dans les enseignements se rapportant aux activités maritimes, à la </w:t>
      </w:r>
      <w:r w:rsidR="0086185C" w:rsidRPr="000F7862">
        <w:rPr>
          <w:lang w:val="fr-FR"/>
        </w:rPr>
        <w:t xml:space="preserve">religion </w:t>
      </w:r>
      <w:r w:rsidR="00EE5903" w:rsidRPr="000F7862">
        <w:rPr>
          <w:lang w:val="fr-FR"/>
        </w:rPr>
        <w:t xml:space="preserve">et à la </w:t>
      </w:r>
      <w:r w:rsidR="0086185C" w:rsidRPr="000F7862">
        <w:rPr>
          <w:lang w:val="fr-FR"/>
        </w:rPr>
        <w:t>th</w:t>
      </w:r>
      <w:r w:rsidR="00EE5903" w:rsidRPr="000F7862">
        <w:rPr>
          <w:lang w:val="fr-FR"/>
        </w:rPr>
        <w:t>é</w:t>
      </w:r>
      <w:r w:rsidR="0086185C" w:rsidRPr="000F7862">
        <w:rPr>
          <w:lang w:val="fr-FR"/>
        </w:rPr>
        <w:t>olog</w:t>
      </w:r>
      <w:r w:rsidR="00EE5903" w:rsidRPr="000F7862">
        <w:rPr>
          <w:lang w:val="fr-FR"/>
        </w:rPr>
        <w:t>ie</w:t>
      </w:r>
      <w:r w:rsidR="0086185C" w:rsidRPr="000F7862">
        <w:rPr>
          <w:lang w:val="fr-FR"/>
        </w:rPr>
        <w:t xml:space="preserve">, </w:t>
      </w:r>
      <w:r w:rsidR="00EE5903" w:rsidRPr="000F7862">
        <w:rPr>
          <w:lang w:val="fr-FR"/>
        </w:rPr>
        <w:t>ainsi qu</w:t>
      </w:r>
      <w:r w:rsidR="00120E2E" w:rsidRPr="000F7862">
        <w:rPr>
          <w:lang w:val="fr-FR"/>
        </w:rPr>
        <w:t>’</w:t>
      </w:r>
      <w:r w:rsidR="00EE5903" w:rsidRPr="000F7862">
        <w:rPr>
          <w:lang w:val="fr-FR"/>
        </w:rPr>
        <w:t>à l</w:t>
      </w:r>
      <w:r w:rsidR="00120E2E" w:rsidRPr="000F7862">
        <w:rPr>
          <w:lang w:val="fr-FR"/>
        </w:rPr>
        <w:t>’</w:t>
      </w:r>
      <w:r w:rsidR="00EE5903" w:rsidRPr="000F7862">
        <w:rPr>
          <w:lang w:val="fr-FR"/>
        </w:rPr>
        <w:t>ingénierie et à la technologie, et dans les autres secteurs traditionnellement choisis par les garçons</w:t>
      </w:r>
      <w:r w:rsidR="0086185C" w:rsidRPr="000F7862">
        <w:rPr>
          <w:lang w:val="fr-FR"/>
        </w:rPr>
        <w:t xml:space="preserve">. </w:t>
      </w:r>
    </w:p>
    <w:p w:rsidR="0086185C" w:rsidRPr="000F7862" w:rsidRDefault="006C06E3" w:rsidP="006C06E3">
      <w:pPr>
        <w:pStyle w:val="H23G"/>
        <w:rPr>
          <w:lang w:val="fr-FR"/>
        </w:rPr>
      </w:pPr>
      <w:r w:rsidRPr="000F7862">
        <w:rPr>
          <w:lang w:val="fr-FR"/>
        </w:rPr>
        <w:tab/>
      </w:r>
      <w:r w:rsidRPr="000F7862">
        <w:rPr>
          <w:lang w:val="fr-FR"/>
        </w:rPr>
        <w:tab/>
      </w:r>
      <w:r w:rsidR="00EE5903" w:rsidRPr="000F7862">
        <w:rPr>
          <w:lang w:val="fr-FR"/>
        </w:rPr>
        <w:t xml:space="preserve">Droits culturels </w:t>
      </w:r>
    </w:p>
    <w:p w:rsidR="0086185C" w:rsidRPr="000F7862" w:rsidRDefault="003F7F57" w:rsidP="003F7F57">
      <w:pPr>
        <w:pStyle w:val="SingleTxtG"/>
        <w:rPr>
          <w:lang w:val="fr-FR"/>
        </w:rPr>
      </w:pPr>
      <w:r w:rsidRPr="000F7862">
        <w:rPr>
          <w:lang w:val="fr-FR"/>
        </w:rPr>
        <w:t>59.</w:t>
      </w:r>
      <w:r w:rsidRPr="000F7862">
        <w:rPr>
          <w:lang w:val="fr-FR"/>
        </w:rPr>
        <w:tab/>
      </w:r>
      <w:r w:rsidR="008D2C6F" w:rsidRPr="000F7862">
        <w:rPr>
          <w:lang w:val="fr-FR"/>
        </w:rPr>
        <w:t xml:space="preserve">Le </w:t>
      </w:r>
      <w:r w:rsidR="0086185C" w:rsidRPr="000F7862">
        <w:rPr>
          <w:lang w:val="fr-FR"/>
        </w:rPr>
        <w:t xml:space="preserve">Mindanao </w:t>
      </w:r>
      <w:r w:rsidR="00EE5903" w:rsidRPr="000F7862">
        <w:rPr>
          <w:lang w:val="fr-FR"/>
        </w:rPr>
        <w:t>abrite 27 communautés culturelles autochtones</w:t>
      </w:r>
      <w:r w:rsidR="0086185C" w:rsidRPr="000F7862">
        <w:rPr>
          <w:lang w:val="fr-FR"/>
        </w:rPr>
        <w:t xml:space="preserve">. </w:t>
      </w:r>
      <w:r w:rsidR="004B25D4" w:rsidRPr="000F7862">
        <w:rPr>
          <w:lang w:val="fr-FR"/>
        </w:rPr>
        <w:t>La signature de l</w:t>
      </w:r>
      <w:r w:rsidR="00120E2E" w:rsidRPr="000F7862">
        <w:rPr>
          <w:lang w:val="fr-FR"/>
        </w:rPr>
        <w:t>’</w:t>
      </w:r>
      <w:r w:rsidR="004B25D4" w:rsidRPr="000F7862">
        <w:rPr>
          <w:lang w:val="fr-FR"/>
        </w:rPr>
        <w:t xml:space="preserve">Accord-cadre sur le </w:t>
      </w:r>
      <w:r w:rsidR="0086185C" w:rsidRPr="000F7862">
        <w:rPr>
          <w:lang w:val="fr-FR"/>
        </w:rPr>
        <w:t xml:space="preserve">Bangsamoro (FAB) </w:t>
      </w:r>
      <w:r w:rsidR="004B25D4" w:rsidRPr="000F7862">
        <w:rPr>
          <w:lang w:val="fr-FR"/>
        </w:rPr>
        <w:t>le 15 o</w:t>
      </w:r>
      <w:r w:rsidR="0086185C" w:rsidRPr="000F7862">
        <w:rPr>
          <w:lang w:val="fr-FR"/>
        </w:rPr>
        <w:t>ctob</w:t>
      </w:r>
      <w:r w:rsidR="004B25D4" w:rsidRPr="000F7862">
        <w:rPr>
          <w:lang w:val="fr-FR"/>
        </w:rPr>
        <w:t>re</w:t>
      </w:r>
      <w:r w:rsidR="0086185C" w:rsidRPr="000F7862">
        <w:rPr>
          <w:lang w:val="fr-FR"/>
        </w:rPr>
        <w:t xml:space="preserve"> 2012 </w:t>
      </w:r>
      <w:r w:rsidR="004B25D4" w:rsidRPr="000F7862">
        <w:rPr>
          <w:lang w:val="fr-FR"/>
        </w:rPr>
        <w:t xml:space="preserve">a donné aux populations autochtones vivant sur le territoire du </w:t>
      </w:r>
      <w:r w:rsidR="0086185C" w:rsidRPr="000F7862">
        <w:rPr>
          <w:lang w:val="fr-FR"/>
        </w:rPr>
        <w:t xml:space="preserve">Bangsamoro </w:t>
      </w:r>
      <w:r w:rsidR="004B25D4" w:rsidRPr="000F7862">
        <w:rPr>
          <w:lang w:val="fr-FR"/>
        </w:rPr>
        <w:t>la possibilité de réaliser leur programme figurant dans l</w:t>
      </w:r>
      <w:r w:rsidR="00120E2E" w:rsidRPr="000F7862">
        <w:rPr>
          <w:lang w:val="fr-FR"/>
        </w:rPr>
        <w:t>’</w:t>
      </w:r>
      <w:r w:rsidR="004B25D4" w:rsidRPr="000F7862">
        <w:rPr>
          <w:lang w:val="fr-FR"/>
        </w:rPr>
        <w:t>accord-cadre</w:t>
      </w:r>
      <w:r w:rsidR="0086185C" w:rsidRPr="000F7862">
        <w:rPr>
          <w:lang w:val="fr-FR"/>
        </w:rPr>
        <w:t xml:space="preserve">. </w:t>
      </w:r>
    </w:p>
    <w:p w:rsidR="0086185C" w:rsidRPr="000F7862" w:rsidRDefault="003F7F57" w:rsidP="003F7F57">
      <w:pPr>
        <w:pStyle w:val="SingleTxtG"/>
        <w:rPr>
          <w:lang w:val="fr-FR"/>
        </w:rPr>
      </w:pPr>
      <w:r w:rsidRPr="000F7862">
        <w:rPr>
          <w:lang w:val="fr-FR"/>
        </w:rPr>
        <w:t>60.</w:t>
      </w:r>
      <w:r w:rsidRPr="000F7862">
        <w:rPr>
          <w:lang w:val="fr-FR"/>
        </w:rPr>
        <w:tab/>
      </w:r>
      <w:r w:rsidR="004B25D4" w:rsidRPr="000F7862">
        <w:rPr>
          <w:lang w:val="fr-FR"/>
        </w:rPr>
        <w:t>Pour y contribuer, la Commission p</w:t>
      </w:r>
      <w:r w:rsidR="0086185C" w:rsidRPr="000F7862">
        <w:rPr>
          <w:lang w:val="fr-FR"/>
        </w:rPr>
        <w:t xml:space="preserve">hilippine </w:t>
      </w:r>
      <w:r w:rsidR="004B25D4" w:rsidRPr="000F7862">
        <w:rPr>
          <w:lang w:val="fr-FR"/>
        </w:rPr>
        <w:t xml:space="preserve">des femmes et la Commission nationale des populations autochtones ont </w:t>
      </w:r>
      <w:r w:rsidR="00245E09" w:rsidRPr="000F7862">
        <w:rPr>
          <w:lang w:val="fr-FR"/>
        </w:rPr>
        <w:t xml:space="preserve">organisé </w:t>
      </w:r>
      <w:r w:rsidR="004B25D4" w:rsidRPr="000F7862">
        <w:rPr>
          <w:lang w:val="fr-FR"/>
        </w:rPr>
        <w:t xml:space="preserve">un atelier </w:t>
      </w:r>
      <w:r w:rsidR="00245E09" w:rsidRPr="000F7862">
        <w:rPr>
          <w:lang w:val="fr-FR"/>
        </w:rPr>
        <w:t>des femmes leaders des populations autochtones, qui s</w:t>
      </w:r>
      <w:r w:rsidR="00120E2E" w:rsidRPr="000F7862">
        <w:rPr>
          <w:lang w:val="fr-FR"/>
        </w:rPr>
        <w:t>’</w:t>
      </w:r>
      <w:r w:rsidR="00245E09" w:rsidRPr="000F7862">
        <w:rPr>
          <w:lang w:val="fr-FR"/>
        </w:rPr>
        <w:t xml:space="preserve">est tenu du 10 au 12 décembre </w:t>
      </w:r>
      <w:r w:rsidR="0086185C" w:rsidRPr="000F7862">
        <w:rPr>
          <w:lang w:val="fr-FR"/>
        </w:rPr>
        <w:t xml:space="preserve">2012, </w:t>
      </w:r>
      <w:r w:rsidR="00245E09" w:rsidRPr="000F7862">
        <w:rPr>
          <w:lang w:val="fr-FR"/>
        </w:rPr>
        <w:t xml:space="preserve">afin de donner à ces femmes leaders et </w:t>
      </w:r>
      <w:r w:rsidR="00DD6699" w:rsidRPr="000F7862">
        <w:rPr>
          <w:lang w:val="fr-FR"/>
        </w:rPr>
        <w:t>âgées</w:t>
      </w:r>
      <w:r w:rsidR="00245E09" w:rsidRPr="000F7862">
        <w:rPr>
          <w:lang w:val="fr-FR"/>
        </w:rPr>
        <w:t xml:space="preserve"> des moyens renforcés pour définir, communiquer et négocier le programme de ces populations dans le nouveau territoire du </w:t>
      </w:r>
      <w:r w:rsidR="0086185C" w:rsidRPr="000F7862">
        <w:rPr>
          <w:lang w:val="fr-FR"/>
        </w:rPr>
        <w:t xml:space="preserve">Bangsamoro. </w:t>
      </w:r>
      <w:r w:rsidR="00245E09" w:rsidRPr="000F7862">
        <w:rPr>
          <w:lang w:val="fr-FR"/>
        </w:rPr>
        <w:t xml:space="preserve">Le renforcement des techniques de </w:t>
      </w:r>
      <w:r w:rsidR="0086185C" w:rsidRPr="000F7862">
        <w:rPr>
          <w:lang w:val="fr-FR"/>
        </w:rPr>
        <w:t xml:space="preserve">communication </w:t>
      </w:r>
      <w:r w:rsidR="00245E09" w:rsidRPr="000F7862">
        <w:rPr>
          <w:lang w:val="fr-FR"/>
        </w:rPr>
        <w:t xml:space="preserve">et de </w:t>
      </w:r>
      <w:r w:rsidR="0086185C" w:rsidRPr="000F7862">
        <w:rPr>
          <w:lang w:val="fr-FR"/>
        </w:rPr>
        <w:t>n</w:t>
      </w:r>
      <w:r w:rsidR="00245E09" w:rsidRPr="000F7862">
        <w:rPr>
          <w:lang w:val="fr-FR"/>
        </w:rPr>
        <w:t>é</w:t>
      </w:r>
      <w:r w:rsidR="0086185C" w:rsidRPr="000F7862">
        <w:rPr>
          <w:lang w:val="fr-FR"/>
        </w:rPr>
        <w:t>go</w:t>
      </w:r>
      <w:r w:rsidR="00245E09" w:rsidRPr="000F7862">
        <w:rPr>
          <w:lang w:val="fr-FR"/>
        </w:rPr>
        <w:t>c</w:t>
      </w:r>
      <w:r w:rsidR="0086185C" w:rsidRPr="000F7862">
        <w:rPr>
          <w:lang w:val="fr-FR"/>
        </w:rPr>
        <w:t xml:space="preserve">iation </w:t>
      </w:r>
      <w:r w:rsidR="00245E09" w:rsidRPr="000F7862">
        <w:rPr>
          <w:lang w:val="fr-FR"/>
        </w:rPr>
        <w:t xml:space="preserve">des femmes leaders </w:t>
      </w:r>
      <w:r w:rsidR="00DD6699" w:rsidRPr="000F7862">
        <w:rPr>
          <w:lang w:val="fr-FR"/>
        </w:rPr>
        <w:t>et âgées a été considéré comme pouvant répondre aux questions et préoccupation</w:t>
      </w:r>
      <w:r w:rsidR="00C54555" w:rsidRPr="000F7862">
        <w:rPr>
          <w:lang w:val="fr-FR"/>
        </w:rPr>
        <w:t>s</w:t>
      </w:r>
      <w:r w:rsidR="00DD6699" w:rsidRPr="000F7862">
        <w:rPr>
          <w:lang w:val="fr-FR"/>
        </w:rPr>
        <w:t xml:space="preserve"> de ces populations, s</w:t>
      </w:r>
      <w:r w:rsidR="00120E2E" w:rsidRPr="000F7862">
        <w:rPr>
          <w:lang w:val="fr-FR"/>
        </w:rPr>
        <w:t>’</w:t>
      </w:r>
      <w:r w:rsidR="00DD6699" w:rsidRPr="000F7862">
        <w:rPr>
          <w:lang w:val="fr-FR"/>
        </w:rPr>
        <w:t xml:space="preserve">agissant tout particulièrement </w:t>
      </w:r>
      <w:r w:rsidR="00C54555" w:rsidRPr="000F7862">
        <w:rPr>
          <w:lang w:val="fr-FR"/>
        </w:rPr>
        <w:t>d</w:t>
      </w:r>
      <w:r w:rsidR="00120E2E" w:rsidRPr="000F7862">
        <w:rPr>
          <w:lang w:val="fr-FR"/>
        </w:rPr>
        <w:t>’</w:t>
      </w:r>
      <w:r w:rsidR="00C54555" w:rsidRPr="000F7862">
        <w:rPr>
          <w:lang w:val="fr-FR"/>
        </w:rPr>
        <w:t>éliminer les obstacles structurels qui les empêch</w:t>
      </w:r>
      <w:r w:rsidR="00CD1E31" w:rsidRPr="000F7862">
        <w:rPr>
          <w:lang w:val="fr-FR"/>
        </w:rPr>
        <w:t>ai</w:t>
      </w:r>
      <w:r w:rsidR="00C54555" w:rsidRPr="000F7862">
        <w:rPr>
          <w:lang w:val="fr-FR"/>
        </w:rPr>
        <w:t>ent d</w:t>
      </w:r>
      <w:r w:rsidR="00120E2E" w:rsidRPr="000F7862">
        <w:rPr>
          <w:lang w:val="fr-FR"/>
        </w:rPr>
        <w:t>’</w:t>
      </w:r>
      <w:r w:rsidR="00C54555" w:rsidRPr="000F7862">
        <w:rPr>
          <w:lang w:val="fr-FR"/>
        </w:rPr>
        <w:t>accéder aux programmes et services publics et d</w:t>
      </w:r>
      <w:r w:rsidR="00120E2E" w:rsidRPr="000F7862">
        <w:rPr>
          <w:lang w:val="fr-FR"/>
        </w:rPr>
        <w:t>’</w:t>
      </w:r>
      <w:r w:rsidR="00C54555" w:rsidRPr="000F7862">
        <w:rPr>
          <w:lang w:val="fr-FR"/>
        </w:rPr>
        <w:t>exercer un contrôle sur ces derniers</w:t>
      </w:r>
      <w:r w:rsidR="0086185C" w:rsidRPr="000F7862">
        <w:rPr>
          <w:lang w:val="fr-FR"/>
        </w:rPr>
        <w:t xml:space="preserve">. </w:t>
      </w:r>
      <w:r w:rsidR="00252967" w:rsidRPr="000F7862">
        <w:rPr>
          <w:lang w:val="fr-FR"/>
        </w:rPr>
        <w:t>Cet atelier a aidé les leaders des populations autochtones à énoncer leurs droits fondamentaux et les droits des femmes</w:t>
      </w:r>
      <w:r w:rsidR="0086185C" w:rsidRPr="000F7862">
        <w:rPr>
          <w:lang w:val="fr-FR"/>
        </w:rPr>
        <w:t xml:space="preserve">; </w:t>
      </w:r>
      <w:r w:rsidR="00252967" w:rsidRPr="000F7862">
        <w:rPr>
          <w:lang w:val="fr-FR"/>
        </w:rPr>
        <w:t>à recenser les femmes de premier plan et les éléments de paix et de sécurité revêtant de l</w:t>
      </w:r>
      <w:r w:rsidR="00120E2E" w:rsidRPr="000F7862">
        <w:rPr>
          <w:lang w:val="fr-FR"/>
        </w:rPr>
        <w:t>’</w:t>
      </w:r>
      <w:r w:rsidR="00252967" w:rsidRPr="000F7862">
        <w:rPr>
          <w:lang w:val="fr-FR"/>
        </w:rPr>
        <w:t>importance pour leurs secteurs, et à inventorier les priorités des femmes autochtones figurant dans l</w:t>
      </w:r>
      <w:r w:rsidR="00120E2E" w:rsidRPr="000F7862">
        <w:rPr>
          <w:lang w:val="fr-FR"/>
        </w:rPr>
        <w:t>’</w:t>
      </w:r>
      <w:r w:rsidR="00252967" w:rsidRPr="000F7862">
        <w:rPr>
          <w:lang w:val="fr-FR"/>
        </w:rPr>
        <w:t>Accord-cadre</w:t>
      </w:r>
      <w:r w:rsidR="0086185C" w:rsidRPr="000F7862">
        <w:rPr>
          <w:lang w:val="fr-FR"/>
        </w:rPr>
        <w:t xml:space="preserve">. </w:t>
      </w:r>
      <w:r w:rsidR="00CD1E31" w:rsidRPr="000F7862">
        <w:rPr>
          <w:lang w:val="fr-FR"/>
        </w:rPr>
        <w:t>Il a également aidé à renforcer les techniques de communication et de négociation des femmes et des anciens des populations autochtones, afin qu</w:t>
      </w:r>
      <w:r w:rsidR="00120E2E" w:rsidRPr="000F7862">
        <w:rPr>
          <w:lang w:val="fr-FR"/>
        </w:rPr>
        <w:t>’</w:t>
      </w:r>
      <w:r w:rsidR="00CD1E31" w:rsidRPr="000F7862">
        <w:rPr>
          <w:lang w:val="fr-FR"/>
        </w:rPr>
        <w:t xml:space="preserve">ils puissent revendiquer leurs droits et faire avancer la réalisation de leur programme dans le cadre des processus de transition de la </w:t>
      </w:r>
      <w:r w:rsidR="004B25D4" w:rsidRPr="000F7862">
        <w:rPr>
          <w:lang w:val="fr-FR"/>
        </w:rPr>
        <w:t xml:space="preserve">Région autonome du Mindanao musulman </w:t>
      </w:r>
      <w:r w:rsidR="00CD1E31" w:rsidRPr="000F7862">
        <w:rPr>
          <w:lang w:val="fr-FR"/>
        </w:rPr>
        <w:t xml:space="preserve">et dans le territoire de </w:t>
      </w:r>
      <w:r w:rsidR="0086185C" w:rsidRPr="000F7862">
        <w:rPr>
          <w:lang w:val="fr-FR"/>
        </w:rPr>
        <w:t xml:space="preserve">Bangsamoro. </w:t>
      </w:r>
    </w:p>
    <w:p w:rsidR="0086185C" w:rsidRPr="000F7862" w:rsidRDefault="00FD0FD7" w:rsidP="00B53507">
      <w:pPr>
        <w:pStyle w:val="HChG"/>
        <w:rPr>
          <w:lang w:val="fr-FR"/>
        </w:rPr>
      </w:pPr>
      <w:r w:rsidRPr="000F7862">
        <w:rPr>
          <w:lang w:val="fr-FR"/>
        </w:rPr>
        <w:tab/>
      </w:r>
      <w:r w:rsidR="00905A45" w:rsidRPr="000F7862">
        <w:rPr>
          <w:lang w:val="fr-FR"/>
        </w:rPr>
        <w:t>V</w:t>
      </w:r>
      <w:r w:rsidRPr="000F7862">
        <w:rPr>
          <w:lang w:val="fr-FR"/>
        </w:rPr>
        <w:t>.</w:t>
      </w:r>
      <w:r w:rsidRPr="000F7862">
        <w:rPr>
          <w:lang w:val="fr-FR"/>
        </w:rPr>
        <w:tab/>
      </w:r>
      <w:r w:rsidR="00CD1E31" w:rsidRPr="000F7862">
        <w:rPr>
          <w:lang w:val="fr-FR"/>
        </w:rPr>
        <w:t>Renseignements relatifs à l</w:t>
      </w:r>
      <w:r w:rsidR="00120E2E" w:rsidRPr="000F7862">
        <w:rPr>
          <w:lang w:val="fr-FR"/>
        </w:rPr>
        <w:t>’</w:t>
      </w:r>
      <w:r w:rsidR="00CD1E31" w:rsidRPr="000F7862">
        <w:rPr>
          <w:lang w:val="fr-FR"/>
        </w:rPr>
        <w:t>article 6 du Pacte</w:t>
      </w:r>
    </w:p>
    <w:p w:rsidR="0086185C" w:rsidRPr="000F7862" w:rsidRDefault="00FD0FD7" w:rsidP="00FD0FD7">
      <w:pPr>
        <w:pStyle w:val="H23G"/>
        <w:rPr>
          <w:lang w:val="fr-FR"/>
        </w:rPr>
      </w:pPr>
      <w:r w:rsidRPr="000F7862">
        <w:rPr>
          <w:lang w:val="fr-FR"/>
        </w:rPr>
        <w:tab/>
      </w:r>
      <w:r w:rsidRPr="000F7862">
        <w:rPr>
          <w:lang w:val="fr-FR"/>
        </w:rPr>
        <w:tab/>
      </w:r>
      <w:r w:rsidR="0092122D" w:rsidRPr="000F7862">
        <w:rPr>
          <w:lang w:val="fr-FR"/>
        </w:rPr>
        <w:t>E</w:t>
      </w:r>
      <w:r w:rsidR="0086185C" w:rsidRPr="000F7862">
        <w:rPr>
          <w:lang w:val="fr-FR"/>
        </w:rPr>
        <w:t>mplo</w:t>
      </w:r>
      <w:r w:rsidR="00CD1E31" w:rsidRPr="000F7862">
        <w:rPr>
          <w:lang w:val="fr-FR"/>
        </w:rPr>
        <w:t>i</w:t>
      </w:r>
      <w:r w:rsidR="0086185C" w:rsidRPr="000F7862">
        <w:rPr>
          <w:lang w:val="fr-FR"/>
        </w:rPr>
        <w:t xml:space="preserve">, </w:t>
      </w:r>
      <w:r w:rsidR="00CD1E31" w:rsidRPr="000F7862">
        <w:rPr>
          <w:lang w:val="fr-FR"/>
        </w:rPr>
        <w:t>chômage et sous-emploi</w:t>
      </w:r>
      <w:r w:rsidR="0086185C" w:rsidRPr="000F7862">
        <w:rPr>
          <w:lang w:val="fr-FR"/>
        </w:rPr>
        <w:t xml:space="preserve"> </w:t>
      </w:r>
    </w:p>
    <w:p w:rsidR="0086185C" w:rsidRPr="000F7862" w:rsidRDefault="003F7F57" w:rsidP="003F7F57">
      <w:pPr>
        <w:pStyle w:val="SingleTxtG"/>
        <w:rPr>
          <w:lang w:val="fr-FR"/>
        </w:rPr>
      </w:pPr>
      <w:r w:rsidRPr="000F7862">
        <w:rPr>
          <w:lang w:val="fr-FR"/>
        </w:rPr>
        <w:t>61.</w:t>
      </w:r>
      <w:r w:rsidRPr="000F7862">
        <w:rPr>
          <w:lang w:val="fr-FR"/>
        </w:rPr>
        <w:tab/>
      </w:r>
      <w:r w:rsidR="00C46EBC" w:rsidRPr="000F7862">
        <w:rPr>
          <w:lang w:val="fr-FR"/>
        </w:rPr>
        <w:t>Comme le montre le t</w:t>
      </w:r>
      <w:r w:rsidR="0086185C" w:rsidRPr="000F7862">
        <w:rPr>
          <w:lang w:val="fr-FR"/>
        </w:rPr>
        <w:t>able</w:t>
      </w:r>
      <w:r w:rsidR="00C46EBC" w:rsidRPr="000F7862">
        <w:rPr>
          <w:lang w:val="fr-FR"/>
        </w:rPr>
        <w:t>au</w:t>
      </w:r>
      <w:r w:rsidR="004B3B1E" w:rsidRPr="000F7862">
        <w:rPr>
          <w:lang w:val="fr-FR"/>
        </w:rPr>
        <w:t> </w:t>
      </w:r>
      <w:r w:rsidR="0086185C" w:rsidRPr="000F7862">
        <w:rPr>
          <w:lang w:val="fr-FR"/>
        </w:rPr>
        <w:t xml:space="preserve">9, </w:t>
      </w:r>
      <w:r w:rsidR="00C46EBC" w:rsidRPr="000F7862">
        <w:rPr>
          <w:lang w:val="fr-FR"/>
        </w:rPr>
        <w:t>l</w:t>
      </w:r>
      <w:r w:rsidR="00120E2E" w:rsidRPr="000F7862">
        <w:rPr>
          <w:lang w:val="fr-FR"/>
        </w:rPr>
        <w:t>’</w:t>
      </w:r>
      <w:r w:rsidR="00C46EBC" w:rsidRPr="000F7862">
        <w:rPr>
          <w:lang w:val="fr-FR"/>
        </w:rPr>
        <w:t>effectif de la main-d</w:t>
      </w:r>
      <w:r w:rsidR="00120E2E" w:rsidRPr="000F7862">
        <w:rPr>
          <w:lang w:val="fr-FR"/>
        </w:rPr>
        <w:t>’</w:t>
      </w:r>
      <w:r w:rsidR="00C46EBC" w:rsidRPr="000F7862">
        <w:rPr>
          <w:lang w:val="fr-FR"/>
        </w:rPr>
        <w:t xml:space="preserve">œuvre nationale a augmenté de </w:t>
      </w:r>
      <w:r w:rsidR="0086185C" w:rsidRPr="000F7862">
        <w:rPr>
          <w:lang w:val="fr-FR"/>
        </w:rPr>
        <w:t>2</w:t>
      </w:r>
      <w:r w:rsidR="00C46EBC" w:rsidRPr="000F7862">
        <w:rPr>
          <w:lang w:val="fr-FR"/>
        </w:rPr>
        <w:t>,</w:t>
      </w:r>
      <w:r w:rsidR="0086185C" w:rsidRPr="000F7862">
        <w:rPr>
          <w:lang w:val="fr-FR"/>
        </w:rPr>
        <w:t>232</w:t>
      </w:r>
      <w:r w:rsidR="00796D18" w:rsidRPr="000F7862">
        <w:rPr>
          <w:lang w:val="fr-FR"/>
        </w:rPr>
        <w:t> million</w:t>
      </w:r>
      <w:r w:rsidR="00C46EBC" w:rsidRPr="000F7862">
        <w:rPr>
          <w:lang w:val="fr-FR"/>
        </w:rPr>
        <w:t>s</w:t>
      </w:r>
      <w:r w:rsidR="0086185C" w:rsidRPr="000F7862">
        <w:rPr>
          <w:lang w:val="fr-FR"/>
        </w:rPr>
        <w:t xml:space="preserve"> </w:t>
      </w:r>
      <w:r w:rsidR="00C46EBC" w:rsidRPr="000F7862">
        <w:rPr>
          <w:lang w:val="fr-FR"/>
        </w:rPr>
        <w:t xml:space="preserve">de personnes – passant de </w:t>
      </w:r>
      <w:r w:rsidR="0086185C" w:rsidRPr="000F7862">
        <w:rPr>
          <w:lang w:val="fr-FR"/>
        </w:rPr>
        <w:t>38</w:t>
      </w:r>
      <w:r w:rsidR="00C46EBC" w:rsidRPr="000F7862">
        <w:rPr>
          <w:lang w:val="fr-FR"/>
        </w:rPr>
        <w:t>,</w:t>
      </w:r>
      <w:r w:rsidR="0086185C" w:rsidRPr="000F7862">
        <w:rPr>
          <w:lang w:val="fr-FR"/>
        </w:rPr>
        <w:t>946</w:t>
      </w:r>
      <w:r w:rsidR="00796D18" w:rsidRPr="000F7862">
        <w:rPr>
          <w:lang w:val="fr-FR"/>
        </w:rPr>
        <w:t> million</w:t>
      </w:r>
      <w:r w:rsidR="00C46EBC" w:rsidRPr="000F7862">
        <w:rPr>
          <w:lang w:val="fr-FR"/>
        </w:rPr>
        <w:t>s</w:t>
      </w:r>
      <w:r w:rsidR="0086185C" w:rsidRPr="000F7862">
        <w:rPr>
          <w:lang w:val="fr-FR"/>
        </w:rPr>
        <w:t xml:space="preserve"> </w:t>
      </w:r>
      <w:r w:rsidR="00C46EBC" w:rsidRPr="000F7862">
        <w:rPr>
          <w:lang w:val="fr-FR"/>
        </w:rPr>
        <w:t>e</w:t>
      </w:r>
      <w:r w:rsidR="0086185C" w:rsidRPr="000F7862">
        <w:rPr>
          <w:lang w:val="fr-FR"/>
        </w:rPr>
        <w:t xml:space="preserve">n </w:t>
      </w:r>
      <w:r w:rsidR="00C46EBC" w:rsidRPr="000F7862">
        <w:rPr>
          <w:lang w:val="fr-FR"/>
        </w:rPr>
        <w:t xml:space="preserve">juillet </w:t>
      </w:r>
      <w:r w:rsidR="0086185C" w:rsidRPr="000F7862">
        <w:rPr>
          <w:lang w:val="fr-FR"/>
        </w:rPr>
        <w:t xml:space="preserve">2010 </w:t>
      </w:r>
      <w:r w:rsidR="00C46EBC" w:rsidRPr="000F7862">
        <w:rPr>
          <w:lang w:val="fr-FR"/>
        </w:rPr>
        <w:t xml:space="preserve">à </w:t>
      </w:r>
      <w:r w:rsidR="0086185C" w:rsidRPr="000F7862">
        <w:rPr>
          <w:lang w:val="fr-FR"/>
        </w:rPr>
        <w:t>41</w:t>
      </w:r>
      <w:r w:rsidR="00C46EBC" w:rsidRPr="000F7862">
        <w:rPr>
          <w:lang w:val="fr-FR"/>
        </w:rPr>
        <w:t>,</w:t>
      </w:r>
      <w:r w:rsidR="0086185C" w:rsidRPr="000F7862">
        <w:rPr>
          <w:lang w:val="fr-FR"/>
        </w:rPr>
        <w:t>178</w:t>
      </w:r>
      <w:r w:rsidR="00796D18" w:rsidRPr="000F7862">
        <w:rPr>
          <w:lang w:val="fr-FR"/>
        </w:rPr>
        <w:t> million</w:t>
      </w:r>
      <w:r w:rsidR="00C46EBC" w:rsidRPr="000F7862">
        <w:rPr>
          <w:lang w:val="fr-FR"/>
        </w:rPr>
        <w:t>s</w:t>
      </w:r>
      <w:r w:rsidR="0086185C" w:rsidRPr="000F7862">
        <w:rPr>
          <w:lang w:val="fr-FR"/>
        </w:rPr>
        <w:t xml:space="preserve"> </w:t>
      </w:r>
      <w:r w:rsidR="00C46EBC" w:rsidRPr="000F7862">
        <w:rPr>
          <w:lang w:val="fr-FR"/>
        </w:rPr>
        <w:t>e</w:t>
      </w:r>
      <w:r w:rsidR="0086185C" w:rsidRPr="000F7862">
        <w:rPr>
          <w:lang w:val="fr-FR"/>
        </w:rPr>
        <w:t xml:space="preserve">n </w:t>
      </w:r>
      <w:r w:rsidR="00C46EBC" w:rsidRPr="000F7862">
        <w:rPr>
          <w:lang w:val="fr-FR"/>
        </w:rPr>
        <w:t>juillet 2013, soit un taux d</w:t>
      </w:r>
      <w:r w:rsidR="00120E2E" w:rsidRPr="000F7862">
        <w:rPr>
          <w:lang w:val="fr-FR"/>
        </w:rPr>
        <w:t>’</w:t>
      </w:r>
      <w:r w:rsidR="00C46EBC" w:rsidRPr="000F7862">
        <w:rPr>
          <w:lang w:val="fr-FR"/>
        </w:rPr>
        <w:t>accroissement d</w:t>
      </w:r>
      <w:r w:rsidR="00120E2E" w:rsidRPr="000F7862">
        <w:rPr>
          <w:lang w:val="fr-FR"/>
        </w:rPr>
        <w:t>’</w:t>
      </w:r>
      <w:r w:rsidR="00C46EBC" w:rsidRPr="000F7862">
        <w:rPr>
          <w:lang w:val="fr-FR"/>
        </w:rPr>
        <w:t xml:space="preserve">environ </w:t>
      </w:r>
      <w:r w:rsidR="0086185C" w:rsidRPr="000F7862">
        <w:rPr>
          <w:lang w:val="fr-FR"/>
        </w:rPr>
        <w:t>2</w:t>
      </w:r>
      <w:r w:rsidR="00DC1196" w:rsidRPr="000F7862">
        <w:rPr>
          <w:lang w:val="fr-FR"/>
        </w:rPr>
        <w:t> %</w:t>
      </w:r>
      <w:r w:rsidR="0086185C" w:rsidRPr="000F7862">
        <w:rPr>
          <w:lang w:val="fr-FR"/>
        </w:rPr>
        <w:t xml:space="preserve"> p</w:t>
      </w:r>
      <w:r w:rsidR="00C46EBC" w:rsidRPr="000F7862">
        <w:rPr>
          <w:lang w:val="fr-FR"/>
        </w:rPr>
        <w:t>a</w:t>
      </w:r>
      <w:r w:rsidR="0086185C" w:rsidRPr="000F7862">
        <w:rPr>
          <w:lang w:val="fr-FR"/>
        </w:rPr>
        <w:t xml:space="preserve">r </w:t>
      </w:r>
      <w:r w:rsidR="00C46EBC" w:rsidRPr="000F7862">
        <w:rPr>
          <w:lang w:val="fr-FR"/>
        </w:rPr>
        <w:t>an</w:t>
      </w:r>
      <w:r w:rsidR="0086185C" w:rsidRPr="000F7862">
        <w:rPr>
          <w:lang w:val="fr-FR"/>
        </w:rPr>
        <w:t>.</w:t>
      </w:r>
      <w:r w:rsidR="00446EA5" w:rsidRPr="000F7862">
        <w:rPr>
          <w:lang w:val="fr-FR"/>
        </w:rPr>
        <w:t xml:space="preserve"> </w:t>
      </w:r>
      <w:r w:rsidR="00C46EBC" w:rsidRPr="000F7862">
        <w:rPr>
          <w:lang w:val="fr-FR"/>
        </w:rPr>
        <w:t>L</w:t>
      </w:r>
      <w:r w:rsidR="00120E2E" w:rsidRPr="000F7862">
        <w:rPr>
          <w:lang w:val="fr-FR"/>
        </w:rPr>
        <w:t>’</w:t>
      </w:r>
      <w:r w:rsidR="00C46EBC" w:rsidRPr="000F7862">
        <w:rPr>
          <w:lang w:val="fr-FR"/>
        </w:rPr>
        <w:t xml:space="preserve">effectif a atteint la barre des </w:t>
      </w:r>
      <w:r w:rsidR="0086185C" w:rsidRPr="000F7862">
        <w:rPr>
          <w:lang w:val="fr-FR"/>
        </w:rPr>
        <w:t>40</w:t>
      </w:r>
      <w:r w:rsidR="00796D18" w:rsidRPr="000F7862">
        <w:rPr>
          <w:lang w:val="fr-FR"/>
        </w:rPr>
        <w:t> million</w:t>
      </w:r>
      <w:r w:rsidR="00C46EBC" w:rsidRPr="000F7862">
        <w:rPr>
          <w:lang w:val="fr-FR"/>
        </w:rPr>
        <w:t>s</w:t>
      </w:r>
      <w:r w:rsidR="0086185C" w:rsidRPr="000F7862">
        <w:rPr>
          <w:lang w:val="fr-FR"/>
        </w:rPr>
        <w:t xml:space="preserve"> </w:t>
      </w:r>
      <w:r w:rsidR="00C46EBC" w:rsidRPr="000F7862">
        <w:rPr>
          <w:lang w:val="fr-FR"/>
        </w:rPr>
        <w:t>en octob</w:t>
      </w:r>
      <w:r w:rsidR="0086185C" w:rsidRPr="000F7862">
        <w:rPr>
          <w:lang w:val="fr-FR"/>
        </w:rPr>
        <w:t>r</w:t>
      </w:r>
      <w:r w:rsidR="00C46EBC" w:rsidRPr="000F7862">
        <w:rPr>
          <w:lang w:val="fr-FR"/>
        </w:rPr>
        <w:t>e</w:t>
      </w:r>
      <w:r w:rsidR="0086185C" w:rsidRPr="000F7862">
        <w:rPr>
          <w:lang w:val="fr-FR"/>
        </w:rPr>
        <w:t xml:space="preserve"> 2011</w:t>
      </w:r>
      <w:r w:rsidR="00C46EBC" w:rsidRPr="000F7862">
        <w:rPr>
          <w:lang w:val="fr-FR"/>
        </w:rPr>
        <w:t>, lorsqu</w:t>
      </w:r>
      <w:r w:rsidR="00120E2E" w:rsidRPr="000F7862">
        <w:rPr>
          <w:lang w:val="fr-FR"/>
        </w:rPr>
        <w:t>’</w:t>
      </w:r>
      <w:r w:rsidR="00C46EBC" w:rsidRPr="000F7862">
        <w:rPr>
          <w:lang w:val="fr-FR"/>
        </w:rPr>
        <w:t xml:space="preserve">il a connu son accroissement le plus rapide avec </w:t>
      </w:r>
      <w:r w:rsidR="0086185C" w:rsidRPr="000F7862">
        <w:rPr>
          <w:lang w:val="fr-FR"/>
        </w:rPr>
        <w:t>4</w:t>
      </w:r>
      <w:r w:rsidR="00C46EBC" w:rsidRPr="000F7862">
        <w:rPr>
          <w:lang w:val="fr-FR"/>
        </w:rPr>
        <w:t>,</w:t>
      </w:r>
      <w:r w:rsidR="0086185C" w:rsidRPr="000F7862">
        <w:rPr>
          <w:lang w:val="fr-FR"/>
        </w:rPr>
        <w:t>9</w:t>
      </w:r>
      <w:r w:rsidR="00DC1196" w:rsidRPr="000F7862">
        <w:rPr>
          <w:lang w:val="fr-FR"/>
        </w:rPr>
        <w:t> %</w:t>
      </w:r>
      <w:r w:rsidR="0086185C" w:rsidRPr="000F7862">
        <w:rPr>
          <w:lang w:val="fr-FR"/>
        </w:rPr>
        <w:t xml:space="preserve"> </w:t>
      </w:r>
      <w:r w:rsidR="009F51B2" w:rsidRPr="000F7862">
        <w:rPr>
          <w:lang w:val="fr-FR"/>
        </w:rPr>
        <w:t>d</w:t>
      </w:r>
      <w:r w:rsidR="00120E2E" w:rsidRPr="000F7862">
        <w:rPr>
          <w:lang w:val="fr-FR"/>
        </w:rPr>
        <w:t>’</w:t>
      </w:r>
      <w:r w:rsidR="009F51B2" w:rsidRPr="000F7862">
        <w:rPr>
          <w:lang w:val="fr-FR"/>
        </w:rPr>
        <w:t>une année sur l</w:t>
      </w:r>
      <w:r w:rsidR="00120E2E" w:rsidRPr="000F7862">
        <w:rPr>
          <w:lang w:val="fr-FR"/>
        </w:rPr>
        <w:t>’</w:t>
      </w:r>
      <w:r w:rsidR="009F51B2" w:rsidRPr="000F7862">
        <w:rPr>
          <w:lang w:val="fr-FR"/>
        </w:rPr>
        <w:t>autre</w:t>
      </w:r>
      <w:r w:rsidR="0086185C" w:rsidRPr="000F7862">
        <w:rPr>
          <w:lang w:val="fr-FR"/>
        </w:rPr>
        <w:t>.</w:t>
      </w:r>
      <w:r w:rsidR="00446EA5" w:rsidRPr="000F7862">
        <w:rPr>
          <w:lang w:val="fr-FR"/>
        </w:rPr>
        <w:t xml:space="preserve"> </w:t>
      </w:r>
      <w:r w:rsidR="009F51B2" w:rsidRPr="000F7862">
        <w:rPr>
          <w:lang w:val="fr-FR"/>
        </w:rPr>
        <w:t>Le taux d</w:t>
      </w:r>
      <w:r w:rsidR="00120E2E" w:rsidRPr="000F7862">
        <w:rPr>
          <w:lang w:val="fr-FR"/>
        </w:rPr>
        <w:t>’</w:t>
      </w:r>
      <w:r w:rsidR="009F51B2" w:rsidRPr="000F7862">
        <w:rPr>
          <w:lang w:val="fr-FR"/>
        </w:rPr>
        <w:t>activité s</w:t>
      </w:r>
      <w:r w:rsidR="00120E2E" w:rsidRPr="000F7862">
        <w:rPr>
          <w:lang w:val="fr-FR"/>
        </w:rPr>
        <w:t>’</w:t>
      </w:r>
      <w:r w:rsidR="009F51B2" w:rsidRPr="000F7862">
        <w:rPr>
          <w:lang w:val="fr-FR"/>
        </w:rPr>
        <w:t xml:space="preserve">est établi aux alentours de </w:t>
      </w:r>
      <w:r w:rsidR="0086185C" w:rsidRPr="000F7862">
        <w:rPr>
          <w:lang w:val="fr-FR"/>
        </w:rPr>
        <w:t>64</w:t>
      </w:r>
      <w:r w:rsidR="00DC1196" w:rsidRPr="000F7862">
        <w:rPr>
          <w:lang w:val="fr-FR"/>
        </w:rPr>
        <w:t> %</w:t>
      </w:r>
      <w:r w:rsidR="009F51B2" w:rsidRPr="000F7862">
        <w:rPr>
          <w:lang w:val="fr-FR"/>
        </w:rPr>
        <w:t xml:space="preserve">; autrement dit, </w:t>
      </w:r>
      <w:r w:rsidR="00750B0F" w:rsidRPr="000F7862">
        <w:rPr>
          <w:lang w:val="fr-FR"/>
        </w:rPr>
        <w:t>6</w:t>
      </w:r>
      <w:r w:rsidR="0086185C" w:rsidRPr="000F7862">
        <w:rPr>
          <w:lang w:val="fr-FR"/>
        </w:rPr>
        <w:t xml:space="preserve"> </w:t>
      </w:r>
      <w:r w:rsidR="009F51B2" w:rsidRPr="000F7862">
        <w:rPr>
          <w:lang w:val="fr-FR"/>
        </w:rPr>
        <w:t>personnes en</w:t>
      </w:r>
      <w:r w:rsidR="00750B0F" w:rsidRPr="000F7862">
        <w:rPr>
          <w:lang w:val="fr-FR"/>
        </w:rPr>
        <w:t xml:space="preserve"> âge de travailler (âgées de 15 </w:t>
      </w:r>
      <w:r w:rsidR="009F51B2" w:rsidRPr="000F7862">
        <w:rPr>
          <w:lang w:val="fr-FR"/>
        </w:rPr>
        <w:t>ans et plus) sur</w:t>
      </w:r>
      <w:r w:rsidR="0086185C" w:rsidRPr="000F7862">
        <w:rPr>
          <w:lang w:val="fr-FR"/>
        </w:rPr>
        <w:t xml:space="preserve"> 10 </w:t>
      </w:r>
      <w:r w:rsidR="009F51B2" w:rsidRPr="000F7862">
        <w:rPr>
          <w:lang w:val="fr-FR"/>
        </w:rPr>
        <w:t>avaient un emploi ou étaient au chômage</w:t>
      </w:r>
      <w:r w:rsidR="0086185C" w:rsidRPr="000F7862">
        <w:rPr>
          <w:lang w:val="fr-FR"/>
        </w:rPr>
        <w:t>.</w:t>
      </w:r>
    </w:p>
    <w:p w:rsidR="0086185C" w:rsidRPr="000F7862" w:rsidRDefault="003F7F57" w:rsidP="003F7F57">
      <w:pPr>
        <w:pStyle w:val="SingleTxtG"/>
        <w:rPr>
          <w:lang w:val="fr-FR"/>
        </w:rPr>
      </w:pPr>
      <w:r w:rsidRPr="000F7862">
        <w:rPr>
          <w:lang w:val="fr-FR"/>
        </w:rPr>
        <w:t>62.</w:t>
      </w:r>
      <w:r w:rsidRPr="000F7862">
        <w:rPr>
          <w:lang w:val="fr-FR"/>
        </w:rPr>
        <w:tab/>
      </w:r>
      <w:r w:rsidR="00B83F5B" w:rsidRPr="000F7862">
        <w:rPr>
          <w:lang w:val="fr-FR"/>
        </w:rPr>
        <w:t>Le nombre de personnes ayant un emploi a dans l</w:t>
      </w:r>
      <w:r w:rsidR="00120E2E" w:rsidRPr="000F7862">
        <w:rPr>
          <w:lang w:val="fr-FR"/>
        </w:rPr>
        <w:t>’</w:t>
      </w:r>
      <w:r w:rsidR="00B83F5B" w:rsidRPr="000F7862">
        <w:rPr>
          <w:lang w:val="fr-FR"/>
        </w:rPr>
        <w:t xml:space="preserve">ensemble tendance à augmenter depuis juillet </w:t>
      </w:r>
      <w:r w:rsidR="0086185C" w:rsidRPr="000F7862">
        <w:rPr>
          <w:lang w:val="fr-FR"/>
        </w:rPr>
        <w:t>2010.</w:t>
      </w:r>
      <w:r w:rsidR="00446EA5" w:rsidRPr="000F7862">
        <w:rPr>
          <w:lang w:val="fr-FR"/>
        </w:rPr>
        <w:t xml:space="preserve"> </w:t>
      </w:r>
      <w:r w:rsidR="00B83F5B" w:rsidRPr="000F7862">
        <w:rPr>
          <w:lang w:val="fr-FR"/>
        </w:rPr>
        <w:t>Toutefois, la croissance de l</w:t>
      </w:r>
      <w:r w:rsidR="00120E2E" w:rsidRPr="000F7862">
        <w:rPr>
          <w:lang w:val="fr-FR"/>
        </w:rPr>
        <w:t>’</w:t>
      </w:r>
      <w:r w:rsidR="00B83F5B" w:rsidRPr="000F7862">
        <w:rPr>
          <w:lang w:val="fr-FR"/>
        </w:rPr>
        <w:t>emploi d</w:t>
      </w:r>
      <w:r w:rsidR="00120E2E" w:rsidRPr="000F7862">
        <w:rPr>
          <w:lang w:val="fr-FR"/>
        </w:rPr>
        <w:t>’</w:t>
      </w:r>
      <w:r w:rsidR="00B83F5B" w:rsidRPr="000F7862">
        <w:rPr>
          <w:lang w:val="fr-FR"/>
        </w:rPr>
        <w:t>une année sur l</w:t>
      </w:r>
      <w:r w:rsidR="00120E2E" w:rsidRPr="000F7862">
        <w:rPr>
          <w:lang w:val="fr-FR"/>
        </w:rPr>
        <w:t>’</w:t>
      </w:r>
      <w:r w:rsidR="00B83F5B" w:rsidRPr="000F7862">
        <w:rPr>
          <w:lang w:val="fr-FR"/>
        </w:rPr>
        <w:t xml:space="preserve">autre a été très irrégulière, reproduisant presque </w:t>
      </w:r>
      <w:r w:rsidR="008915AA" w:rsidRPr="000F7862">
        <w:rPr>
          <w:lang w:val="fr-FR"/>
        </w:rPr>
        <w:t xml:space="preserve">un </w:t>
      </w:r>
      <w:r w:rsidR="002E7607" w:rsidRPr="000F7862">
        <w:rPr>
          <w:lang w:val="fr-FR"/>
        </w:rPr>
        <w:t>«</w:t>
      </w:r>
      <w:r w:rsidR="008915AA" w:rsidRPr="000F7862">
        <w:rPr>
          <w:color w:val="000000"/>
          <w:lang w:val="fr-FR"/>
        </w:rPr>
        <w:t>schéma d</w:t>
      </w:r>
      <w:r w:rsidR="00120E2E" w:rsidRPr="000F7862">
        <w:rPr>
          <w:color w:val="000000"/>
          <w:lang w:val="fr-FR"/>
        </w:rPr>
        <w:t>’</w:t>
      </w:r>
      <w:r w:rsidR="008915AA" w:rsidRPr="000F7862">
        <w:rPr>
          <w:color w:val="000000"/>
          <w:lang w:val="fr-FR"/>
        </w:rPr>
        <w:t>expansion-récession</w:t>
      </w:r>
      <w:r w:rsidR="002E7607" w:rsidRPr="000F7862">
        <w:rPr>
          <w:lang w:val="fr-FR"/>
        </w:rPr>
        <w:t>»</w:t>
      </w:r>
      <w:r w:rsidR="0086185C" w:rsidRPr="000F7862">
        <w:rPr>
          <w:lang w:val="fr-FR"/>
        </w:rPr>
        <w:t xml:space="preserve"> </w:t>
      </w:r>
      <w:r w:rsidR="00B63BFB" w:rsidRPr="000F7862">
        <w:rPr>
          <w:lang w:val="fr-FR"/>
        </w:rPr>
        <w:t>–</w:t>
      </w:r>
      <w:r w:rsidR="0086185C" w:rsidRPr="000F7862">
        <w:rPr>
          <w:lang w:val="fr-FR"/>
        </w:rPr>
        <w:t xml:space="preserve"> </w:t>
      </w:r>
      <w:r w:rsidR="008915AA" w:rsidRPr="000F7862">
        <w:rPr>
          <w:lang w:val="fr-FR"/>
        </w:rPr>
        <w:t xml:space="preserve">avec des taux oscillant entre moins </w:t>
      </w:r>
      <w:r w:rsidR="0086185C" w:rsidRPr="000F7862">
        <w:rPr>
          <w:lang w:val="fr-FR"/>
        </w:rPr>
        <w:t>2</w:t>
      </w:r>
      <w:r w:rsidR="008915AA" w:rsidRPr="000F7862">
        <w:rPr>
          <w:lang w:val="fr-FR"/>
        </w:rPr>
        <w:t>,</w:t>
      </w:r>
      <w:r w:rsidR="0086185C" w:rsidRPr="000F7862">
        <w:rPr>
          <w:lang w:val="fr-FR"/>
        </w:rPr>
        <w:t>3</w:t>
      </w:r>
      <w:r w:rsidR="00DC1196" w:rsidRPr="000F7862">
        <w:rPr>
          <w:lang w:val="fr-FR"/>
        </w:rPr>
        <w:t> %</w:t>
      </w:r>
      <w:r w:rsidR="0086185C" w:rsidRPr="000F7862">
        <w:rPr>
          <w:lang w:val="fr-FR"/>
        </w:rPr>
        <w:t xml:space="preserve"> (</w:t>
      </w:r>
      <w:r w:rsidR="008915AA" w:rsidRPr="000F7862">
        <w:rPr>
          <w:lang w:val="fr-FR"/>
        </w:rPr>
        <w:t>o</w:t>
      </w:r>
      <w:r w:rsidR="0086185C" w:rsidRPr="000F7862">
        <w:rPr>
          <w:lang w:val="fr-FR"/>
        </w:rPr>
        <w:t>ctob</w:t>
      </w:r>
      <w:r w:rsidR="008915AA" w:rsidRPr="000F7862">
        <w:rPr>
          <w:lang w:val="fr-FR"/>
        </w:rPr>
        <w:t>re</w:t>
      </w:r>
      <w:r w:rsidR="0086185C" w:rsidRPr="000F7862">
        <w:rPr>
          <w:lang w:val="fr-FR"/>
        </w:rPr>
        <w:t xml:space="preserve"> 2012) </w:t>
      </w:r>
      <w:r w:rsidR="008915AA" w:rsidRPr="000F7862">
        <w:rPr>
          <w:lang w:val="fr-FR"/>
        </w:rPr>
        <w:t>et</w:t>
      </w:r>
      <w:r w:rsidR="0086185C" w:rsidRPr="000F7862">
        <w:rPr>
          <w:lang w:val="fr-FR"/>
        </w:rPr>
        <w:t xml:space="preserve"> 5</w:t>
      </w:r>
      <w:r w:rsidR="008915AA" w:rsidRPr="000F7862">
        <w:rPr>
          <w:lang w:val="fr-FR"/>
        </w:rPr>
        <w:t>,</w:t>
      </w:r>
      <w:r w:rsidR="0086185C" w:rsidRPr="000F7862">
        <w:rPr>
          <w:lang w:val="fr-FR"/>
        </w:rPr>
        <w:t>7</w:t>
      </w:r>
      <w:r w:rsidR="00DC1196" w:rsidRPr="000F7862">
        <w:rPr>
          <w:lang w:val="fr-FR"/>
        </w:rPr>
        <w:t> %</w:t>
      </w:r>
      <w:r w:rsidR="0086185C" w:rsidRPr="000F7862">
        <w:rPr>
          <w:lang w:val="fr-FR"/>
        </w:rPr>
        <w:t xml:space="preserve"> (</w:t>
      </w:r>
      <w:r w:rsidR="008915AA" w:rsidRPr="000F7862">
        <w:rPr>
          <w:lang w:val="fr-FR"/>
        </w:rPr>
        <w:t>o</w:t>
      </w:r>
      <w:r w:rsidR="0086185C" w:rsidRPr="000F7862">
        <w:rPr>
          <w:lang w:val="fr-FR"/>
        </w:rPr>
        <w:t>ctob</w:t>
      </w:r>
      <w:r w:rsidR="008915AA" w:rsidRPr="000F7862">
        <w:rPr>
          <w:lang w:val="fr-FR"/>
        </w:rPr>
        <w:t>re</w:t>
      </w:r>
      <w:r w:rsidR="0086185C" w:rsidRPr="000F7862">
        <w:rPr>
          <w:lang w:val="fr-FR"/>
        </w:rPr>
        <w:t xml:space="preserve"> 2011).</w:t>
      </w:r>
      <w:r w:rsidR="00446EA5" w:rsidRPr="000F7862">
        <w:rPr>
          <w:lang w:val="fr-FR"/>
        </w:rPr>
        <w:t xml:space="preserve"> </w:t>
      </w:r>
      <w:r w:rsidR="008915AA" w:rsidRPr="000F7862">
        <w:rPr>
          <w:lang w:val="fr-FR"/>
        </w:rPr>
        <w:t>En moyenne, l</w:t>
      </w:r>
      <w:r w:rsidR="00120E2E" w:rsidRPr="000F7862">
        <w:rPr>
          <w:lang w:val="fr-FR"/>
        </w:rPr>
        <w:t>’</w:t>
      </w:r>
      <w:r w:rsidR="008915AA" w:rsidRPr="000F7862">
        <w:rPr>
          <w:lang w:val="fr-FR"/>
        </w:rPr>
        <w:t xml:space="preserve">emploi a crû de </w:t>
      </w:r>
      <w:r w:rsidR="0086185C" w:rsidRPr="000F7862">
        <w:rPr>
          <w:lang w:val="fr-FR"/>
        </w:rPr>
        <w:t>2</w:t>
      </w:r>
      <w:r w:rsidR="008915AA" w:rsidRPr="000F7862">
        <w:rPr>
          <w:lang w:val="fr-FR"/>
        </w:rPr>
        <w:t>,</w:t>
      </w:r>
      <w:r w:rsidR="0086185C" w:rsidRPr="000F7862">
        <w:rPr>
          <w:lang w:val="fr-FR"/>
        </w:rPr>
        <w:t>0</w:t>
      </w:r>
      <w:r w:rsidR="00DC1196" w:rsidRPr="000F7862">
        <w:rPr>
          <w:lang w:val="fr-FR"/>
        </w:rPr>
        <w:t> %</w:t>
      </w:r>
      <w:r w:rsidR="0086185C" w:rsidRPr="000F7862">
        <w:rPr>
          <w:lang w:val="fr-FR"/>
        </w:rPr>
        <w:t xml:space="preserve"> p</w:t>
      </w:r>
      <w:r w:rsidR="008915AA" w:rsidRPr="000F7862">
        <w:rPr>
          <w:lang w:val="fr-FR"/>
        </w:rPr>
        <w:t>a</w:t>
      </w:r>
      <w:r w:rsidR="0086185C" w:rsidRPr="000F7862">
        <w:rPr>
          <w:lang w:val="fr-FR"/>
        </w:rPr>
        <w:t>r an</w:t>
      </w:r>
      <w:r w:rsidR="008915AA" w:rsidRPr="000F7862">
        <w:rPr>
          <w:lang w:val="fr-FR"/>
        </w:rPr>
        <w:t xml:space="preserve"> entre juillet </w:t>
      </w:r>
      <w:r w:rsidR="0086185C" w:rsidRPr="000F7862">
        <w:rPr>
          <w:lang w:val="fr-FR"/>
        </w:rPr>
        <w:t xml:space="preserve">2010 </w:t>
      </w:r>
      <w:r w:rsidR="008915AA" w:rsidRPr="000F7862">
        <w:rPr>
          <w:lang w:val="fr-FR"/>
        </w:rPr>
        <w:t xml:space="preserve">et juillet </w:t>
      </w:r>
      <w:r w:rsidR="0086185C" w:rsidRPr="000F7862">
        <w:rPr>
          <w:lang w:val="fr-FR"/>
        </w:rPr>
        <w:t>2013</w:t>
      </w:r>
      <w:r w:rsidR="002662BA" w:rsidRPr="000F7862">
        <w:rPr>
          <w:lang w:val="fr-FR"/>
        </w:rPr>
        <w:t>, soit un gain net d</w:t>
      </w:r>
      <w:r w:rsidR="00120E2E" w:rsidRPr="000F7862">
        <w:rPr>
          <w:lang w:val="fr-FR"/>
        </w:rPr>
        <w:t>’</w:t>
      </w:r>
      <w:r w:rsidR="002662BA" w:rsidRPr="000F7862">
        <w:rPr>
          <w:lang w:val="fr-FR"/>
        </w:rPr>
        <w:t xml:space="preserve">emploi de </w:t>
      </w:r>
      <w:r w:rsidR="0086185C" w:rsidRPr="000F7862">
        <w:rPr>
          <w:lang w:val="fr-FR"/>
        </w:rPr>
        <w:t>708</w:t>
      </w:r>
      <w:r w:rsidR="00D85A3E" w:rsidRPr="000F7862">
        <w:rPr>
          <w:lang w:val="fr-FR"/>
        </w:rPr>
        <w:t> 000 </w:t>
      </w:r>
      <w:r w:rsidR="0086185C" w:rsidRPr="000F7862">
        <w:rPr>
          <w:lang w:val="fr-FR"/>
        </w:rPr>
        <w:t>p</w:t>
      </w:r>
      <w:r w:rsidR="002662BA" w:rsidRPr="000F7862">
        <w:rPr>
          <w:lang w:val="fr-FR"/>
        </w:rPr>
        <w:t>ersonnes par an, inférieur à l</w:t>
      </w:r>
      <w:r w:rsidR="00120E2E" w:rsidRPr="000F7862">
        <w:rPr>
          <w:lang w:val="fr-FR"/>
        </w:rPr>
        <w:t>’</w:t>
      </w:r>
      <w:r w:rsidR="002662BA" w:rsidRPr="000F7862">
        <w:rPr>
          <w:lang w:val="fr-FR"/>
        </w:rPr>
        <w:t>objectif d</w:t>
      </w:r>
      <w:r w:rsidR="002D7597" w:rsidRPr="000F7862">
        <w:rPr>
          <w:lang w:val="fr-FR"/>
        </w:rPr>
        <w:t>e 1 </w:t>
      </w:r>
      <w:r w:rsidR="002662BA" w:rsidRPr="000F7862">
        <w:rPr>
          <w:lang w:val="fr-FR"/>
        </w:rPr>
        <w:t>million d</w:t>
      </w:r>
      <w:r w:rsidR="00120E2E" w:rsidRPr="000F7862">
        <w:rPr>
          <w:lang w:val="fr-FR"/>
        </w:rPr>
        <w:t>’</w:t>
      </w:r>
      <w:r w:rsidR="002662BA" w:rsidRPr="000F7862">
        <w:rPr>
          <w:lang w:val="fr-FR"/>
        </w:rPr>
        <w:t>emplois annuels en moyenne du Plan de développement des Philippines</w:t>
      </w:r>
      <w:r w:rsidR="0086185C" w:rsidRPr="000F7862">
        <w:rPr>
          <w:lang w:val="fr-FR"/>
        </w:rPr>
        <w:t>.</w:t>
      </w:r>
      <w:r w:rsidR="00446EA5" w:rsidRPr="000F7862">
        <w:rPr>
          <w:lang w:val="fr-FR"/>
        </w:rPr>
        <w:t xml:space="preserve"> </w:t>
      </w:r>
      <w:r w:rsidR="002662BA" w:rsidRPr="000F7862">
        <w:rPr>
          <w:lang w:val="fr-FR"/>
        </w:rPr>
        <w:t>C</w:t>
      </w:r>
      <w:r w:rsidR="00120E2E" w:rsidRPr="000F7862">
        <w:rPr>
          <w:lang w:val="fr-FR"/>
        </w:rPr>
        <w:t>’</w:t>
      </w:r>
      <w:r w:rsidR="002662BA" w:rsidRPr="000F7862">
        <w:rPr>
          <w:lang w:val="fr-FR"/>
        </w:rPr>
        <w:t xml:space="preserve">est la </w:t>
      </w:r>
      <w:r w:rsidR="00F066E9" w:rsidRPr="000F7862">
        <w:rPr>
          <w:lang w:val="fr-FR"/>
        </w:rPr>
        <w:t xml:space="preserve">très grande irrégularité de la </w:t>
      </w:r>
      <w:r w:rsidR="002662BA" w:rsidRPr="000F7862">
        <w:rPr>
          <w:lang w:val="fr-FR"/>
        </w:rPr>
        <w:t>croissance de l</w:t>
      </w:r>
      <w:r w:rsidR="00120E2E" w:rsidRPr="000F7862">
        <w:rPr>
          <w:lang w:val="fr-FR"/>
        </w:rPr>
        <w:t>’</w:t>
      </w:r>
      <w:r w:rsidR="002662BA" w:rsidRPr="000F7862">
        <w:rPr>
          <w:lang w:val="fr-FR"/>
        </w:rPr>
        <w:t xml:space="preserve">emploi </w:t>
      </w:r>
      <w:r w:rsidR="00F066E9" w:rsidRPr="000F7862">
        <w:rPr>
          <w:lang w:val="fr-FR"/>
        </w:rPr>
        <w:t xml:space="preserve">au cours de la période considérée </w:t>
      </w:r>
      <w:r w:rsidR="002662BA" w:rsidRPr="000F7862">
        <w:rPr>
          <w:lang w:val="fr-FR"/>
        </w:rPr>
        <w:t>qui en est la cause</w:t>
      </w:r>
      <w:r w:rsidR="0086185C" w:rsidRPr="000F7862">
        <w:rPr>
          <w:lang w:val="fr-FR"/>
        </w:rPr>
        <w:t>.</w:t>
      </w:r>
    </w:p>
    <w:p w:rsidR="0086185C" w:rsidRPr="000F7862" w:rsidRDefault="003F7F57" w:rsidP="003F7F57">
      <w:pPr>
        <w:pStyle w:val="SingleTxtG"/>
        <w:rPr>
          <w:lang w:val="fr-FR"/>
        </w:rPr>
      </w:pPr>
      <w:r w:rsidRPr="000F7862">
        <w:rPr>
          <w:lang w:val="fr-FR"/>
        </w:rPr>
        <w:t>63.</w:t>
      </w:r>
      <w:r w:rsidRPr="000F7862">
        <w:rPr>
          <w:lang w:val="fr-FR"/>
        </w:rPr>
        <w:tab/>
      </w:r>
      <w:r w:rsidR="00F066E9" w:rsidRPr="000F7862">
        <w:rPr>
          <w:lang w:val="fr-FR"/>
        </w:rPr>
        <w:t xml:space="preserve">Sur une base annuelle, on a relevé une tendance à la baisse du taux de chômage entre </w:t>
      </w:r>
      <w:r w:rsidR="0086185C" w:rsidRPr="000F7862">
        <w:rPr>
          <w:lang w:val="fr-FR"/>
        </w:rPr>
        <w:t xml:space="preserve">2010 </w:t>
      </w:r>
      <w:r w:rsidR="00F066E9" w:rsidRPr="000F7862">
        <w:rPr>
          <w:lang w:val="fr-FR"/>
        </w:rPr>
        <w:t>et</w:t>
      </w:r>
      <w:r w:rsidR="0086185C" w:rsidRPr="000F7862">
        <w:rPr>
          <w:lang w:val="fr-FR"/>
        </w:rPr>
        <w:t xml:space="preserve"> 2012 (</w:t>
      </w:r>
      <w:r w:rsidR="00F066E9" w:rsidRPr="000F7862">
        <w:rPr>
          <w:lang w:val="fr-FR"/>
        </w:rPr>
        <w:t xml:space="preserve">ramené de </w:t>
      </w:r>
      <w:r w:rsidR="0086185C" w:rsidRPr="000F7862">
        <w:rPr>
          <w:lang w:val="fr-FR"/>
        </w:rPr>
        <w:t>7</w:t>
      </w:r>
      <w:r w:rsidR="00F066E9" w:rsidRPr="000F7862">
        <w:rPr>
          <w:lang w:val="fr-FR"/>
        </w:rPr>
        <w:t>,</w:t>
      </w:r>
      <w:r w:rsidR="0086185C" w:rsidRPr="000F7862">
        <w:rPr>
          <w:lang w:val="fr-FR"/>
        </w:rPr>
        <w:t>4</w:t>
      </w:r>
      <w:r w:rsidR="00DC1196" w:rsidRPr="000F7862">
        <w:rPr>
          <w:lang w:val="fr-FR"/>
        </w:rPr>
        <w:t> %</w:t>
      </w:r>
      <w:r w:rsidR="0086185C" w:rsidRPr="000F7862">
        <w:rPr>
          <w:lang w:val="fr-FR"/>
        </w:rPr>
        <w:t xml:space="preserve"> </w:t>
      </w:r>
      <w:r w:rsidR="00F066E9" w:rsidRPr="000F7862">
        <w:rPr>
          <w:lang w:val="fr-FR"/>
        </w:rPr>
        <w:t>à</w:t>
      </w:r>
      <w:r w:rsidR="0086185C" w:rsidRPr="000F7862">
        <w:rPr>
          <w:lang w:val="fr-FR"/>
        </w:rPr>
        <w:t xml:space="preserve"> 7</w:t>
      </w:r>
      <w:r w:rsidR="00F066E9" w:rsidRPr="000F7862">
        <w:rPr>
          <w:lang w:val="fr-FR"/>
        </w:rPr>
        <w:t>,</w:t>
      </w:r>
      <w:r w:rsidR="0086185C" w:rsidRPr="000F7862">
        <w:rPr>
          <w:lang w:val="fr-FR"/>
        </w:rPr>
        <w:t>0</w:t>
      </w:r>
      <w:r w:rsidR="00DC1196" w:rsidRPr="000F7862">
        <w:rPr>
          <w:lang w:val="fr-FR"/>
        </w:rPr>
        <w:t> %</w:t>
      </w:r>
      <w:r w:rsidR="0086185C" w:rsidRPr="000F7862">
        <w:rPr>
          <w:lang w:val="fr-FR"/>
        </w:rPr>
        <w:t>).</w:t>
      </w:r>
      <w:r w:rsidR="00446EA5" w:rsidRPr="000F7862">
        <w:rPr>
          <w:lang w:val="fr-FR"/>
        </w:rPr>
        <w:t xml:space="preserve"> </w:t>
      </w:r>
      <w:r w:rsidR="00496AAD" w:rsidRPr="000F7862">
        <w:rPr>
          <w:lang w:val="fr-FR"/>
        </w:rPr>
        <w:t>Les taux se sont établis dans les limites de l</w:t>
      </w:r>
      <w:r w:rsidR="00120E2E" w:rsidRPr="000F7862">
        <w:rPr>
          <w:lang w:val="fr-FR"/>
        </w:rPr>
        <w:t>’</w:t>
      </w:r>
      <w:r w:rsidR="00496AAD" w:rsidRPr="000F7862">
        <w:rPr>
          <w:lang w:val="fr-FR"/>
        </w:rPr>
        <w:t>objectif du Plan de développement des Philippines (</w:t>
      </w:r>
      <w:r w:rsidR="0086185C" w:rsidRPr="000F7862">
        <w:rPr>
          <w:lang w:val="fr-FR"/>
        </w:rPr>
        <w:t>6</w:t>
      </w:r>
      <w:r w:rsidR="00496AAD" w:rsidRPr="000F7862">
        <w:rPr>
          <w:lang w:val="fr-FR"/>
        </w:rPr>
        <w:t>,</w:t>
      </w:r>
      <w:r w:rsidR="0086185C" w:rsidRPr="000F7862">
        <w:rPr>
          <w:lang w:val="fr-FR"/>
        </w:rPr>
        <w:t>8</w:t>
      </w:r>
      <w:r w:rsidR="00496AAD" w:rsidRPr="000F7862">
        <w:rPr>
          <w:lang w:val="fr-FR"/>
        </w:rPr>
        <w:t>-</w:t>
      </w:r>
      <w:r w:rsidR="0086185C" w:rsidRPr="000F7862">
        <w:rPr>
          <w:lang w:val="fr-FR"/>
        </w:rPr>
        <w:t>7</w:t>
      </w:r>
      <w:r w:rsidR="00496AAD" w:rsidRPr="000F7862">
        <w:rPr>
          <w:lang w:val="fr-FR"/>
        </w:rPr>
        <w:t>,</w:t>
      </w:r>
      <w:r w:rsidR="0086185C" w:rsidRPr="000F7862">
        <w:rPr>
          <w:lang w:val="fr-FR"/>
        </w:rPr>
        <w:t>2</w:t>
      </w:r>
      <w:r w:rsidR="00DC1196" w:rsidRPr="000F7862">
        <w:rPr>
          <w:lang w:val="fr-FR"/>
        </w:rPr>
        <w:t> %</w:t>
      </w:r>
      <w:r w:rsidR="00496AAD" w:rsidRPr="000F7862">
        <w:rPr>
          <w:lang w:val="fr-FR"/>
        </w:rPr>
        <w:t>)</w:t>
      </w:r>
      <w:r w:rsidR="0086185C" w:rsidRPr="000F7862">
        <w:rPr>
          <w:lang w:val="fr-FR"/>
        </w:rPr>
        <w:t>.</w:t>
      </w:r>
      <w:r w:rsidR="00446EA5" w:rsidRPr="000F7862">
        <w:rPr>
          <w:lang w:val="fr-FR"/>
        </w:rPr>
        <w:t xml:space="preserve"> </w:t>
      </w:r>
      <w:r w:rsidR="00496AAD" w:rsidRPr="000F7862">
        <w:rPr>
          <w:lang w:val="fr-FR"/>
        </w:rPr>
        <w:t>Sur une base trimestrielle, à</w:t>
      </w:r>
      <w:r w:rsidR="0086185C" w:rsidRPr="000F7862">
        <w:rPr>
          <w:lang w:val="fr-FR"/>
        </w:rPr>
        <w:t xml:space="preserve"> </w:t>
      </w:r>
      <w:r w:rsidR="00496AAD" w:rsidRPr="000F7862">
        <w:rPr>
          <w:lang w:val="fr-FR"/>
        </w:rPr>
        <w:t>l</w:t>
      </w:r>
      <w:r w:rsidR="00120E2E" w:rsidRPr="000F7862">
        <w:rPr>
          <w:lang w:val="fr-FR"/>
        </w:rPr>
        <w:t>’</w:t>
      </w:r>
      <w:r w:rsidR="00496AAD" w:rsidRPr="000F7862">
        <w:rPr>
          <w:lang w:val="fr-FR"/>
        </w:rPr>
        <w:t xml:space="preserve">exception de janvier </w:t>
      </w:r>
      <w:r w:rsidR="0086185C" w:rsidRPr="000F7862">
        <w:rPr>
          <w:lang w:val="fr-FR"/>
        </w:rPr>
        <w:t>2011 (7</w:t>
      </w:r>
      <w:r w:rsidR="00496AAD" w:rsidRPr="000F7862">
        <w:rPr>
          <w:lang w:val="fr-FR"/>
        </w:rPr>
        <w:t>,</w:t>
      </w:r>
      <w:r w:rsidR="0086185C" w:rsidRPr="000F7862">
        <w:rPr>
          <w:lang w:val="fr-FR"/>
        </w:rPr>
        <w:t>4</w:t>
      </w:r>
      <w:r w:rsidR="00DC1196" w:rsidRPr="000F7862">
        <w:rPr>
          <w:lang w:val="fr-FR"/>
        </w:rPr>
        <w:t> %</w:t>
      </w:r>
      <w:r w:rsidR="0086185C" w:rsidRPr="000F7862">
        <w:rPr>
          <w:lang w:val="fr-FR"/>
        </w:rPr>
        <w:t xml:space="preserve">), </w:t>
      </w:r>
      <w:r w:rsidR="00496AAD" w:rsidRPr="000F7862">
        <w:rPr>
          <w:lang w:val="fr-FR"/>
        </w:rPr>
        <w:t>av</w:t>
      </w:r>
      <w:r w:rsidR="0086185C" w:rsidRPr="000F7862">
        <w:rPr>
          <w:lang w:val="fr-FR"/>
        </w:rPr>
        <w:t>ril (7</w:t>
      </w:r>
      <w:r w:rsidR="00496AAD" w:rsidRPr="000F7862">
        <w:rPr>
          <w:lang w:val="fr-FR"/>
        </w:rPr>
        <w:t>,</w:t>
      </w:r>
      <w:r w:rsidR="0086185C" w:rsidRPr="000F7862">
        <w:rPr>
          <w:lang w:val="fr-FR"/>
        </w:rPr>
        <w:t>5</w:t>
      </w:r>
      <w:r w:rsidR="00DC1196" w:rsidRPr="000F7862">
        <w:rPr>
          <w:lang w:val="fr-FR"/>
        </w:rPr>
        <w:t> %</w:t>
      </w:r>
      <w:r w:rsidR="0086185C" w:rsidRPr="000F7862">
        <w:rPr>
          <w:lang w:val="fr-FR"/>
        </w:rPr>
        <w:t xml:space="preserve">) </w:t>
      </w:r>
      <w:r w:rsidR="00496AAD" w:rsidRPr="000F7862">
        <w:rPr>
          <w:lang w:val="fr-FR"/>
        </w:rPr>
        <w:t xml:space="preserve">et juillet </w:t>
      </w:r>
      <w:r w:rsidR="0086185C" w:rsidRPr="000F7862">
        <w:rPr>
          <w:lang w:val="fr-FR"/>
        </w:rPr>
        <w:t>2013 (7</w:t>
      </w:r>
      <w:r w:rsidR="00496AAD" w:rsidRPr="000F7862">
        <w:rPr>
          <w:lang w:val="fr-FR"/>
        </w:rPr>
        <w:t>,</w:t>
      </w:r>
      <w:r w:rsidR="0086185C" w:rsidRPr="000F7862">
        <w:rPr>
          <w:lang w:val="fr-FR"/>
        </w:rPr>
        <w:t>3</w:t>
      </w:r>
      <w:r w:rsidR="00DC1196" w:rsidRPr="000F7862">
        <w:rPr>
          <w:lang w:val="fr-FR"/>
        </w:rPr>
        <w:t> %</w:t>
      </w:r>
      <w:r w:rsidR="0086185C" w:rsidRPr="000F7862">
        <w:rPr>
          <w:lang w:val="fr-FR"/>
        </w:rPr>
        <w:t xml:space="preserve">), </w:t>
      </w:r>
      <w:r w:rsidR="00496AAD" w:rsidRPr="000F7862">
        <w:rPr>
          <w:lang w:val="fr-FR"/>
        </w:rPr>
        <w:t>les taux se sont de même situés dans les limites de cet objectif</w:t>
      </w:r>
      <w:r w:rsidR="0086185C" w:rsidRPr="000F7862">
        <w:rPr>
          <w:lang w:val="fr-FR"/>
        </w:rPr>
        <w:t xml:space="preserve">. </w:t>
      </w:r>
      <w:r w:rsidR="00496AAD" w:rsidRPr="000F7862">
        <w:rPr>
          <w:lang w:val="fr-FR"/>
        </w:rPr>
        <w:t>Au cours des trois années écoulées, le nombre de chômeurs s</w:t>
      </w:r>
      <w:r w:rsidR="00120E2E" w:rsidRPr="000F7862">
        <w:rPr>
          <w:lang w:val="fr-FR"/>
        </w:rPr>
        <w:t>’</w:t>
      </w:r>
      <w:r w:rsidR="00496AAD" w:rsidRPr="000F7862">
        <w:rPr>
          <w:lang w:val="fr-FR"/>
        </w:rPr>
        <w:t xml:space="preserve">est maintenu à environ </w:t>
      </w:r>
      <w:r w:rsidR="0086185C" w:rsidRPr="000F7862">
        <w:rPr>
          <w:lang w:val="fr-FR"/>
        </w:rPr>
        <w:t>2</w:t>
      </w:r>
      <w:r w:rsidR="00496AAD" w:rsidRPr="000F7862">
        <w:rPr>
          <w:lang w:val="fr-FR"/>
        </w:rPr>
        <w:t>,</w:t>
      </w:r>
      <w:r w:rsidR="0086185C" w:rsidRPr="000F7862">
        <w:rPr>
          <w:lang w:val="fr-FR"/>
        </w:rPr>
        <w:t>8</w:t>
      </w:r>
      <w:r w:rsidR="00796D18" w:rsidRPr="000F7862">
        <w:rPr>
          <w:lang w:val="fr-FR"/>
        </w:rPr>
        <w:t> million</w:t>
      </w:r>
      <w:r w:rsidR="00496AAD" w:rsidRPr="000F7862">
        <w:rPr>
          <w:lang w:val="fr-FR"/>
        </w:rPr>
        <w:t>s</w:t>
      </w:r>
      <w:r w:rsidR="0086185C" w:rsidRPr="000F7862">
        <w:rPr>
          <w:lang w:val="fr-FR"/>
        </w:rPr>
        <w:t>.</w:t>
      </w:r>
    </w:p>
    <w:p w:rsidR="00FB1A70" w:rsidRPr="000F7862" w:rsidRDefault="003F7F57" w:rsidP="003F7F57">
      <w:pPr>
        <w:pStyle w:val="SingleTxtG"/>
        <w:rPr>
          <w:lang w:val="fr-FR"/>
        </w:rPr>
      </w:pPr>
      <w:r w:rsidRPr="000F7862">
        <w:rPr>
          <w:lang w:val="fr-FR"/>
        </w:rPr>
        <w:t>64.</w:t>
      </w:r>
      <w:r w:rsidRPr="000F7862">
        <w:rPr>
          <w:lang w:val="fr-FR"/>
        </w:rPr>
        <w:tab/>
      </w:r>
      <w:r w:rsidR="00496AAD" w:rsidRPr="000F7862">
        <w:rPr>
          <w:lang w:val="fr-FR"/>
        </w:rPr>
        <w:t>E</w:t>
      </w:r>
      <w:r w:rsidR="00FB1A70" w:rsidRPr="000F7862">
        <w:rPr>
          <w:lang w:val="fr-FR"/>
        </w:rPr>
        <w:t xml:space="preserve">n 2013, </w:t>
      </w:r>
      <w:r w:rsidR="00C57AB1" w:rsidRPr="000F7862">
        <w:rPr>
          <w:lang w:val="fr-FR"/>
        </w:rPr>
        <w:t>trois enquêtes consécut</w:t>
      </w:r>
      <w:r w:rsidR="00660EB8" w:rsidRPr="000F7862">
        <w:rPr>
          <w:lang w:val="fr-FR"/>
        </w:rPr>
        <w:t xml:space="preserve">ives sur la population active ont fait apparaître une augmentation du </w:t>
      </w:r>
      <w:r w:rsidR="00496AAD" w:rsidRPr="000F7862">
        <w:rPr>
          <w:lang w:val="fr-FR"/>
        </w:rPr>
        <w:t xml:space="preserve">taux de chômage, </w:t>
      </w:r>
      <w:r w:rsidR="00660EB8" w:rsidRPr="000F7862">
        <w:rPr>
          <w:lang w:val="fr-FR"/>
        </w:rPr>
        <w:t>légère toutefois</w:t>
      </w:r>
      <w:r w:rsidR="00496AAD" w:rsidRPr="000F7862">
        <w:rPr>
          <w:lang w:val="fr-FR"/>
        </w:rPr>
        <w:t xml:space="preserve">, </w:t>
      </w:r>
      <w:r w:rsidR="00660EB8" w:rsidRPr="000F7862">
        <w:rPr>
          <w:lang w:val="fr-FR"/>
        </w:rPr>
        <w:t>au-delà de la barre des 7,</w:t>
      </w:r>
      <w:r w:rsidR="00DC1196" w:rsidRPr="000F7862">
        <w:rPr>
          <w:lang w:val="fr-FR"/>
        </w:rPr>
        <w:t> %</w:t>
      </w:r>
      <w:r w:rsidR="0005004C" w:rsidRPr="000F7862">
        <w:rPr>
          <w:lang w:val="fr-FR"/>
        </w:rPr>
        <w:t>:</w:t>
      </w:r>
      <w:r w:rsidR="00FB1A70" w:rsidRPr="000F7862">
        <w:rPr>
          <w:lang w:val="fr-FR"/>
        </w:rPr>
        <w:t xml:space="preserve"> 7</w:t>
      </w:r>
      <w:r w:rsidR="00660EB8" w:rsidRPr="000F7862">
        <w:rPr>
          <w:lang w:val="fr-FR"/>
        </w:rPr>
        <w:t>,</w:t>
      </w:r>
      <w:r w:rsidR="00FB1A70" w:rsidRPr="000F7862">
        <w:rPr>
          <w:lang w:val="fr-FR"/>
        </w:rPr>
        <w:t>1</w:t>
      </w:r>
      <w:r w:rsidR="00DC1196" w:rsidRPr="000F7862">
        <w:rPr>
          <w:lang w:val="fr-FR"/>
        </w:rPr>
        <w:t> %</w:t>
      </w:r>
      <w:r w:rsidR="00FB1A70" w:rsidRPr="000F7862">
        <w:rPr>
          <w:lang w:val="fr-FR"/>
        </w:rPr>
        <w:t xml:space="preserve"> </w:t>
      </w:r>
      <w:r w:rsidR="00660EB8" w:rsidRPr="000F7862">
        <w:rPr>
          <w:lang w:val="fr-FR"/>
        </w:rPr>
        <w:t>e</w:t>
      </w:r>
      <w:r w:rsidR="00FB1A70" w:rsidRPr="000F7862">
        <w:rPr>
          <w:lang w:val="fr-FR"/>
        </w:rPr>
        <w:t xml:space="preserve">n </w:t>
      </w:r>
      <w:r w:rsidR="00660EB8" w:rsidRPr="000F7862">
        <w:rPr>
          <w:lang w:val="fr-FR"/>
        </w:rPr>
        <w:t>janvier</w:t>
      </w:r>
      <w:r w:rsidR="00FB1A70" w:rsidRPr="000F7862">
        <w:rPr>
          <w:lang w:val="fr-FR"/>
        </w:rPr>
        <w:t>, 7</w:t>
      </w:r>
      <w:r w:rsidR="00660EB8" w:rsidRPr="000F7862">
        <w:rPr>
          <w:lang w:val="fr-FR"/>
        </w:rPr>
        <w:t>,</w:t>
      </w:r>
      <w:r w:rsidR="00FB1A70" w:rsidRPr="000F7862">
        <w:rPr>
          <w:lang w:val="fr-FR"/>
        </w:rPr>
        <w:t>5</w:t>
      </w:r>
      <w:r w:rsidR="00DC1196" w:rsidRPr="000F7862">
        <w:rPr>
          <w:lang w:val="fr-FR"/>
        </w:rPr>
        <w:t> %</w:t>
      </w:r>
      <w:r w:rsidR="00FB1A70" w:rsidRPr="000F7862">
        <w:rPr>
          <w:lang w:val="fr-FR"/>
        </w:rPr>
        <w:t xml:space="preserve"> </w:t>
      </w:r>
      <w:r w:rsidR="00660EB8" w:rsidRPr="000F7862">
        <w:rPr>
          <w:lang w:val="fr-FR"/>
        </w:rPr>
        <w:t>e</w:t>
      </w:r>
      <w:r w:rsidR="00FB1A70" w:rsidRPr="000F7862">
        <w:rPr>
          <w:lang w:val="fr-FR"/>
        </w:rPr>
        <w:t xml:space="preserve">n </w:t>
      </w:r>
      <w:r w:rsidR="00660EB8" w:rsidRPr="000F7862">
        <w:rPr>
          <w:lang w:val="fr-FR"/>
        </w:rPr>
        <w:t>av</w:t>
      </w:r>
      <w:r w:rsidR="00FB1A70" w:rsidRPr="000F7862">
        <w:rPr>
          <w:lang w:val="fr-FR"/>
        </w:rPr>
        <w:t xml:space="preserve">ril </w:t>
      </w:r>
      <w:r w:rsidR="00660EB8" w:rsidRPr="000F7862">
        <w:rPr>
          <w:lang w:val="fr-FR"/>
        </w:rPr>
        <w:t>et</w:t>
      </w:r>
      <w:r w:rsidR="00FB1A70" w:rsidRPr="000F7862">
        <w:rPr>
          <w:lang w:val="fr-FR"/>
        </w:rPr>
        <w:t xml:space="preserve"> 7</w:t>
      </w:r>
      <w:r w:rsidR="00660EB8" w:rsidRPr="000F7862">
        <w:rPr>
          <w:lang w:val="fr-FR"/>
        </w:rPr>
        <w:t>,</w:t>
      </w:r>
      <w:r w:rsidR="00FB1A70" w:rsidRPr="000F7862">
        <w:rPr>
          <w:lang w:val="fr-FR"/>
        </w:rPr>
        <w:t>3</w:t>
      </w:r>
      <w:r w:rsidR="00DC1196" w:rsidRPr="000F7862">
        <w:rPr>
          <w:lang w:val="fr-FR"/>
        </w:rPr>
        <w:t> %</w:t>
      </w:r>
      <w:r w:rsidR="00FB1A70" w:rsidRPr="000F7862">
        <w:rPr>
          <w:lang w:val="fr-FR"/>
        </w:rPr>
        <w:t xml:space="preserve"> </w:t>
      </w:r>
      <w:r w:rsidR="00660EB8" w:rsidRPr="000F7862">
        <w:rPr>
          <w:lang w:val="fr-FR"/>
        </w:rPr>
        <w:t>e</w:t>
      </w:r>
      <w:r w:rsidR="00FB1A70" w:rsidRPr="000F7862">
        <w:rPr>
          <w:lang w:val="fr-FR"/>
        </w:rPr>
        <w:t xml:space="preserve">n </w:t>
      </w:r>
      <w:r w:rsidR="00660EB8" w:rsidRPr="000F7862">
        <w:rPr>
          <w:lang w:val="fr-FR"/>
        </w:rPr>
        <w:t>juillet</w:t>
      </w:r>
      <w:r w:rsidR="00FB1A70" w:rsidRPr="000F7862">
        <w:rPr>
          <w:lang w:val="fr-FR"/>
        </w:rPr>
        <w:t xml:space="preserve">. </w:t>
      </w:r>
      <w:r w:rsidR="006E515B" w:rsidRPr="000F7862">
        <w:rPr>
          <w:lang w:val="fr-FR"/>
        </w:rPr>
        <w:t>Par suite, le no</w:t>
      </w:r>
      <w:r w:rsidR="002D7597" w:rsidRPr="000F7862">
        <w:rPr>
          <w:lang w:val="fr-FR"/>
        </w:rPr>
        <w:t>mbre de chômeurs a atteint 3 </w:t>
      </w:r>
      <w:r w:rsidR="00FB1A70" w:rsidRPr="000F7862">
        <w:rPr>
          <w:lang w:val="fr-FR"/>
        </w:rPr>
        <w:t>million</w:t>
      </w:r>
      <w:r w:rsidR="006E515B" w:rsidRPr="000F7862">
        <w:rPr>
          <w:lang w:val="fr-FR"/>
        </w:rPr>
        <w:t>s</w:t>
      </w:r>
      <w:r w:rsidR="00FB1A70" w:rsidRPr="000F7862">
        <w:rPr>
          <w:lang w:val="fr-FR"/>
        </w:rPr>
        <w:t xml:space="preserve"> </w:t>
      </w:r>
      <w:r w:rsidR="006E515B" w:rsidRPr="000F7862">
        <w:rPr>
          <w:lang w:val="fr-FR"/>
        </w:rPr>
        <w:t>e</w:t>
      </w:r>
      <w:r w:rsidR="00FB1A70" w:rsidRPr="000F7862">
        <w:rPr>
          <w:lang w:val="fr-FR"/>
        </w:rPr>
        <w:t xml:space="preserve">n </w:t>
      </w:r>
      <w:r w:rsidR="006E515B" w:rsidRPr="000F7862">
        <w:rPr>
          <w:lang w:val="fr-FR"/>
        </w:rPr>
        <w:t>av</w:t>
      </w:r>
      <w:r w:rsidR="00FB1A70" w:rsidRPr="000F7862">
        <w:rPr>
          <w:lang w:val="fr-FR"/>
        </w:rPr>
        <w:t xml:space="preserve">ril </w:t>
      </w:r>
      <w:r w:rsidR="006E515B" w:rsidRPr="000F7862">
        <w:rPr>
          <w:lang w:val="fr-FR"/>
        </w:rPr>
        <w:t xml:space="preserve">et en juillet </w:t>
      </w:r>
      <w:r w:rsidR="00FB1A70" w:rsidRPr="000F7862">
        <w:rPr>
          <w:lang w:val="fr-FR"/>
        </w:rPr>
        <w:t xml:space="preserve">2013 </w:t>
      </w:r>
      <w:r w:rsidR="006E515B" w:rsidRPr="000F7862">
        <w:rPr>
          <w:lang w:val="fr-FR"/>
        </w:rPr>
        <w:t>alors qu</w:t>
      </w:r>
      <w:r w:rsidR="00120E2E" w:rsidRPr="000F7862">
        <w:rPr>
          <w:lang w:val="fr-FR"/>
        </w:rPr>
        <w:t>’</w:t>
      </w:r>
      <w:r w:rsidR="006E515B" w:rsidRPr="000F7862">
        <w:rPr>
          <w:lang w:val="fr-FR"/>
        </w:rPr>
        <w:t xml:space="preserve">il </w:t>
      </w:r>
      <w:r w:rsidR="00C57AB1" w:rsidRPr="000F7862">
        <w:rPr>
          <w:lang w:val="fr-FR"/>
        </w:rPr>
        <w:t>était d</w:t>
      </w:r>
      <w:r w:rsidR="00120E2E" w:rsidRPr="000F7862">
        <w:rPr>
          <w:lang w:val="fr-FR"/>
        </w:rPr>
        <w:t>’</w:t>
      </w:r>
      <w:r w:rsidR="00C57AB1" w:rsidRPr="000F7862">
        <w:rPr>
          <w:lang w:val="fr-FR"/>
        </w:rPr>
        <w:t xml:space="preserve">environ </w:t>
      </w:r>
      <w:r w:rsidR="00FB1A70" w:rsidRPr="000F7862">
        <w:rPr>
          <w:lang w:val="fr-FR"/>
        </w:rPr>
        <w:t>2</w:t>
      </w:r>
      <w:r w:rsidR="00C57AB1" w:rsidRPr="000F7862">
        <w:rPr>
          <w:lang w:val="fr-FR"/>
        </w:rPr>
        <w:t>,</w:t>
      </w:r>
      <w:r w:rsidR="00FB1A70" w:rsidRPr="000F7862">
        <w:rPr>
          <w:lang w:val="fr-FR"/>
        </w:rPr>
        <w:t>8 million</w:t>
      </w:r>
      <w:r w:rsidR="00C57AB1" w:rsidRPr="000F7862">
        <w:rPr>
          <w:lang w:val="fr-FR"/>
        </w:rPr>
        <w:t>s depuis des années</w:t>
      </w:r>
      <w:r w:rsidR="00FB1A70" w:rsidRPr="000F7862">
        <w:rPr>
          <w:lang w:val="fr-FR"/>
        </w:rPr>
        <w:t xml:space="preserve">. </w:t>
      </w:r>
      <w:r w:rsidR="00C57AB1" w:rsidRPr="000F7862">
        <w:rPr>
          <w:lang w:val="fr-FR"/>
        </w:rPr>
        <w:t>L</w:t>
      </w:r>
      <w:r w:rsidR="00120E2E" w:rsidRPr="000F7862">
        <w:rPr>
          <w:lang w:val="fr-FR"/>
        </w:rPr>
        <w:t>’</w:t>
      </w:r>
      <w:r w:rsidR="00C57AB1" w:rsidRPr="000F7862">
        <w:rPr>
          <w:lang w:val="fr-FR"/>
        </w:rPr>
        <w:t>augmentation du nombre des chômeurs a été imputable à celle du nombre des nouveaux venus sur le marché de l</w:t>
      </w:r>
      <w:r w:rsidR="00120E2E" w:rsidRPr="000F7862">
        <w:rPr>
          <w:lang w:val="fr-FR"/>
        </w:rPr>
        <w:t>’</w:t>
      </w:r>
      <w:r w:rsidR="00C57AB1" w:rsidRPr="000F7862">
        <w:rPr>
          <w:lang w:val="fr-FR"/>
        </w:rPr>
        <w:t xml:space="preserve">emploi ou des personnes qui réintégraient la vie active </w:t>
      </w:r>
      <w:r w:rsidR="00FB1A70" w:rsidRPr="000F7862">
        <w:rPr>
          <w:lang w:val="fr-FR"/>
        </w:rPr>
        <w:t xml:space="preserve">– </w:t>
      </w:r>
      <w:r w:rsidR="00C57AB1" w:rsidRPr="000F7862">
        <w:rPr>
          <w:lang w:val="fr-FR"/>
        </w:rPr>
        <w:t>dans la mesure où le redressement de l</w:t>
      </w:r>
      <w:r w:rsidR="00120E2E" w:rsidRPr="000F7862">
        <w:rPr>
          <w:lang w:val="fr-FR"/>
        </w:rPr>
        <w:t>’</w:t>
      </w:r>
      <w:r w:rsidR="00C57AB1" w:rsidRPr="000F7862">
        <w:rPr>
          <w:lang w:val="fr-FR"/>
        </w:rPr>
        <w:t>économie redonnait confiance aux demandeurs d</w:t>
      </w:r>
      <w:r w:rsidR="00120E2E" w:rsidRPr="000F7862">
        <w:rPr>
          <w:lang w:val="fr-FR"/>
        </w:rPr>
        <w:t>’</w:t>
      </w:r>
      <w:r w:rsidR="00C57AB1" w:rsidRPr="000F7862">
        <w:rPr>
          <w:lang w:val="fr-FR"/>
        </w:rPr>
        <w:t xml:space="preserve">emploi dans leurs </w:t>
      </w:r>
      <w:r w:rsidR="00FB1A70" w:rsidRPr="000F7862">
        <w:rPr>
          <w:lang w:val="fr-FR"/>
        </w:rPr>
        <w:t xml:space="preserve">chances </w:t>
      </w:r>
      <w:r w:rsidR="00C57AB1" w:rsidRPr="000F7862">
        <w:rPr>
          <w:lang w:val="fr-FR"/>
        </w:rPr>
        <w:t>de trouver du travail</w:t>
      </w:r>
      <w:r w:rsidR="00FB1A70" w:rsidRPr="000F7862">
        <w:rPr>
          <w:lang w:val="fr-FR"/>
        </w:rPr>
        <w:t>.</w:t>
      </w:r>
    </w:p>
    <w:p w:rsidR="00FB1A70" w:rsidRPr="000F7862" w:rsidRDefault="003F7F57" w:rsidP="003F7F57">
      <w:pPr>
        <w:pStyle w:val="SingleTxtG"/>
        <w:rPr>
          <w:lang w:val="fr-FR"/>
        </w:rPr>
      </w:pPr>
      <w:r w:rsidRPr="000F7862">
        <w:rPr>
          <w:lang w:val="fr-FR"/>
        </w:rPr>
        <w:t>65.</w:t>
      </w:r>
      <w:r w:rsidRPr="000F7862">
        <w:rPr>
          <w:lang w:val="fr-FR"/>
        </w:rPr>
        <w:tab/>
      </w:r>
      <w:r w:rsidR="00C57AB1" w:rsidRPr="000F7862">
        <w:rPr>
          <w:lang w:val="fr-FR"/>
        </w:rPr>
        <w:t>Comme le montre l</w:t>
      </w:r>
      <w:r w:rsidR="00120E2E" w:rsidRPr="000F7862">
        <w:rPr>
          <w:lang w:val="fr-FR"/>
        </w:rPr>
        <w:t>’</w:t>
      </w:r>
      <w:r w:rsidR="00C57AB1" w:rsidRPr="000F7862">
        <w:rPr>
          <w:lang w:val="fr-FR"/>
        </w:rPr>
        <w:t>expérience des autres pays émergents, il n</w:t>
      </w:r>
      <w:r w:rsidR="00120E2E" w:rsidRPr="000F7862">
        <w:rPr>
          <w:lang w:val="fr-FR"/>
        </w:rPr>
        <w:t>’</w:t>
      </w:r>
      <w:r w:rsidR="00C57AB1" w:rsidRPr="000F7862">
        <w:rPr>
          <w:lang w:val="fr-FR"/>
        </w:rPr>
        <w:t>est pas rare de voir la croissance économique coexister avec un taux de chômage élevé</w:t>
      </w:r>
      <w:r w:rsidR="00FB1A70" w:rsidRPr="000F7862">
        <w:rPr>
          <w:lang w:val="fr-FR"/>
        </w:rPr>
        <w:t xml:space="preserve">. </w:t>
      </w:r>
      <w:r w:rsidR="00C57AB1" w:rsidRPr="000F7862">
        <w:rPr>
          <w:lang w:val="fr-FR"/>
        </w:rPr>
        <w:t>À mesure que l</w:t>
      </w:r>
      <w:r w:rsidR="00120E2E" w:rsidRPr="000F7862">
        <w:rPr>
          <w:lang w:val="fr-FR"/>
        </w:rPr>
        <w:t>’</w:t>
      </w:r>
      <w:r w:rsidR="00C57AB1" w:rsidRPr="000F7862">
        <w:rPr>
          <w:lang w:val="fr-FR"/>
        </w:rPr>
        <w:t xml:space="preserve">économie se développe et que sa </w:t>
      </w:r>
      <w:r w:rsidR="00FB1A70" w:rsidRPr="000F7862">
        <w:rPr>
          <w:lang w:val="fr-FR"/>
        </w:rPr>
        <w:t xml:space="preserve">structure </w:t>
      </w:r>
      <w:r w:rsidR="00C57AB1" w:rsidRPr="000F7862">
        <w:rPr>
          <w:lang w:val="fr-FR"/>
        </w:rPr>
        <w:t>se transforme</w:t>
      </w:r>
      <w:r w:rsidR="00FB1A70" w:rsidRPr="000F7862">
        <w:rPr>
          <w:lang w:val="fr-FR"/>
        </w:rPr>
        <w:t xml:space="preserve">, </w:t>
      </w:r>
      <w:r w:rsidR="00C57AB1" w:rsidRPr="000F7862">
        <w:rPr>
          <w:lang w:val="fr-FR"/>
        </w:rPr>
        <w:t>l</w:t>
      </w:r>
      <w:r w:rsidR="00120E2E" w:rsidRPr="000F7862">
        <w:rPr>
          <w:lang w:val="fr-FR"/>
        </w:rPr>
        <w:t>’</w:t>
      </w:r>
      <w:r w:rsidR="00C57AB1" w:rsidRPr="000F7862">
        <w:rPr>
          <w:lang w:val="fr-FR"/>
        </w:rPr>
        <w:t xml:space="preserve">emploi se caractérise par son irrégularité </w:t>
      </w:r>
      <w:r w:rsidR="00655DD7" w:rsidRPr="000F7862">
        <w:rPr>
          <w:lang w:val="fr-FR"/>
        </w:rPr>
        <w:t>due au fait que le marché de l</w:t>
      </w:r>
      <w:r w:rsidR="00120E2E" w:rsidRPr="000F7862">
        <w:rPr>
          <w:lang w:val="fr-FR"/>
        </w:rPr>
        <w:t>’</w:t>
      </w:r>
      <w:r w:rsidR="00FB1A70" w:rsidRPr="000F7862">
        <w:rPr>
          <w:lang w:val="fr-FR"/>
        </w:rPr>
        <w:t>emplo</w:t>
      </w:r>
      <w:r w:rsidR="00655DD7" w:rsidRPr="000F7862">
        <w:rPr>
          <w:lang w:val="fr-FR"/>
        </w:rPr>
        <w:t>i s</w:t>
      </w:r>
      <w:r w:rsidR="00120E2E" w:rsidRPr="000F7862">
        <w:rPr>
          <w:lang w:val="fr-FR"/>
        </w:rPr>
        <w:t>’</w:t>
      </w:r>
      <w:r w:rsidR="00655DD7" w:rsidRPr="000F7862">
        <w:rPr>
          <w:lang w:val="fr-FR"/>
        </w:rPr>
        <w:t>ajuste et l</w:t>
      </w:r>
      <w:r w:rsidR="00120E2E" w:rsidRPr="000F7862">
        <w:rPr>
          <w:lang w:val="fr-FR"/>
        </w:rPr>
        <w:t>’</w:t>
      </w:r>
      <w:r w:rsidR="00FB1A70" w:rsidRPr="000F7862">
        <w:rPr>
          <w:lang w:val="fr-FR"/>
        </w:rPr>
        <w:t>optimism</w:t>
      </w:r>
      <w:r w:rsidR="00655DD7" w:rsidRPr="000F7862">
        <w:rPr>
          <w:lang w:val="fr-FR"/>
        </w:rPr>
        <w:t>e gagne du terrain parmi la population en âge de travailler, ce qui augmente le nombre des personnes à la recherche d</w:t>
      </w:r>
      <w:r w:rsidR="00120E2E" w:rsidRPr="000F7862">
        <w:rPr>
          <w:lang w:val="fr-FR"/>
        </w:rPr>
        <w:t>’</w:t>
      </w:r>
      <w:r w:rsidR="00655DD7" w:rsidRPr="000F7862">
        <w:rPr>
          <w:lang w:val="fr-FR"/>
        </w:rPr>
        <w:t>un emploi</w:t>
      </w:r>
      <w:r w:rsidR="00FB1A70" w:rsidRPr="000F7862">
        <w:rPr>
          <w:lang w:val="fr-FR"/>
        </w:rPr>
        <w:t xml:space="preserve">. </w:t>
      </w:r>
      <w:r w:rsidR="00655DD7" w:rsidRPr="000F7862">
        <w:rPr>
          <w:lang w:val="fr-FR"/>
        </w:rPr>
        <w:t>De plus, les mutations structurelles détruisent des emplois et en créent de nouveaux</w:t>
      </w:r>
      <w:r w:rsidR="00FB1A70" w:rsidRPr="000F7862">
        <w:rPr>
          <w:lang w:val="fr-FR"/>
        </w:rPr>
        <w:t xml:space="preserve">. </w:t>
      </w:r>
      <w:r w:rsidR="00655DD7" w:rsidRPr="000F7862">
        <w:rPr>
          <w:lang w:val="fr-FR"/>
        </w:rPr>
        <w:t>Mais les compétences actuelles de la main-d</w:t>
      </w:r>
      <w:r w:rsidR="00120E2E" w:rsidRPr="000F7862">
        <w:rPr>
          <w:lang w:val="fr-FR"/>
        </w:rPr>
        <w:t>’</w:t>
      </w:r>
      <w:r w:rsidR="00655DD7" w:rsidRPr="000F7862">
        <w:rPr>
          <w:lang w:val="fr-FR"/>
        </w:rPr>
        <w:t>œuvre peuvent ne pas correspondre à la demande croissante de main-d</w:t>
      </w:r>
      <w:r w:rsidR="00120E2E" w:rsidRPr="000F7862">
        <w:rPr>
          <w:lang w:val="fr-FR"/>
        </w:rPr>
        <w:t>’</w:t>
      </w:r>
      <w:r w:rsidR="00655DD7" w:rsidRPr="000F7862">
        <w:rPr>
          <w:lang w:val="fr-FR"/>
        </w:rPr>
        <w:t>œuvre d</w:t>
      </w:r>
      <w:r w:rsidR="00120E2E" w:rsidRPr="000F7862">
        <w:rPr>
          <w:lang w:val="fr-FR"/>
        </w:rPr>
        <w:t>’</w:t>
      </w:r>
      <w:r w:rsidR="00655DD7" w:rsidRPr="000F7862">
        <w:rPr>
          <w:lang w:val="fr-FR"/>
        </w:rPr>
        <w:t xml:space="preserve">un autre type, ce qui peut entraîner une augmentation des taux de chômage à </w:t>
      </w:r>
      <w:r w:rsidR="00FB1A70" w:rsidRPr="000F7862">
        <w:rPr>
          <w:lang w:val="fr-FR"/>
        </w:rPr>
        <w:t>certain</w:t>
      </w:r>
      <w:r w:rsidR="00655DD7" w:rsidRPr="000F7862">
        <w:rPr>
          <w:lang w:val="fr-FR"/>
        </w:rPr>
        <w:t>s</w:t>
      </w:r>
      <w:r w:rsidR="00FB1A70" w:rsidRPr="000F7862">
        <w:rPr>
          <w:lang w:val="fr-FR"/>
        </w:rPr>
        <w:t xml:space="preserve"> </w:t>
      </w:r>
      <w:r w:rsidR="00655DD7" w:rsidRPr="000F7862">
        <w:rPr>
          <w:lang w:val="fr-FR"/>
        </w:rPr>
        <w:t xml:space="preserve">moments du processus de </w:t>
      </w:r>
      <w:r w:rsidR="00FB1A70" w:rsidRPr="000F7862">
        <w:rPr>
          <w:lang w:val="fr-FR"/>
        </w:rPr>
        <w:t>transformation.</w:t>
      </w:r>
    </w:p>
    <w:p w:rsidR="00FB1A70" w:rsidRPr="000F7862" w:rsidRDefault="003F7F57" w:rsidP="003F7F57">
      <w:pPr>
        <w:pStyle w:val="SingleTxtG"/>
        <w:rPr>
          <w:lang w:val="fr-FR"/>
        </w:rPr>
      </w:pPr>
      <w:r w:rsidRPr="000F7862">
        <w:rPr>
          <w:lang w:val="fr-FR"/>
        </w:rPr>
        <w:t>66.</w:t>
      </w:r>
      <w:r w:rsidRPr="000F7862">
        <w:rPr>
          <w:lang w:val="fr-FR"/>
        </w:rPr>
        <w:tab/>
      </w:r>
      <w:r w:rsidR="00655DD7" w:rsidRPr="000F7862">
        <w:rPr>
          <w:lang w:val="fr-FR"/>
        </w:rPr>
        <w:t xml:space="preserve">La moitié environ des chômeurs sont âgés de </w:t>
      </w:r>
      <w:r w:rsidR="00FB1A70" w:rsidRPr="000F7862">
        <w:rPr>
          <w:lang w:val="fr-FR"/>
        </w:rPr>
        <w:t>15</w:t>
      </w:r>
      <w:r w:rsidR="00655DD7" w:rsidRPr="000F7862">
        <w:rPr>
          <w:lang w:val="fr-FR"/>
        </w:rPr>
        <w:t xml:space="preserve"> à </w:t>
      </w:r>
      <w:r w:rsidR="00FB1A70" w:rsidRPr="000F7862">
        <w:rPr>
          <w:lang w:val="fr-FR"/>
        </w:rPr>
        <w:t>24 </w:t>
      </w:r>
      <w:r w:rsidR="00655DD7" w:rsidRPr="000F7862">
        <w:rPr>
          <w:lang w:val="fr-FR"/>
        </w:rPr>
        <w:t>ans</w:t>
      </w:r>
      <w:r w:rsidR="00FB1A70" w:rsidRPr="000F7862">
        <w:rPr>
          <w:lang w:val="fr-FR"/>
        </w:rPr>
        <w:t xml:space="preserve">. </w:t>
      </w:r>
      <w:r w:rsidR="00655DD7" w:rsidRPr="000F7862">
        <w:rPr>
          <w:lang w:val="fr-FR"/>
        </w:rPr>
        <w:t xml:space="preserve">Pour eux, le taux de chômage est plus du double du taux national. </w:t>
      </w:r>
      <w:r w:rsidR="00FB1A70" w:rsidRPr="000F7862">
        <w:rPr>
          <w:lang w:val="fr-FR"/>
        </w:rPr>
        <w:t>N</w:t>
      </w:r>
      <w:r w:rsidR="00655DD7" w:rsidRPr="000F7862">
        <w:rPr>
          <w:lang w:val="fr-FR"/>
        </w:rPr>
        <w:t xml:space="preserve">éanmoins, le taux de chômage des jeunes </w:t>
      </w:r>
      <w:r w:rsidR="00B61D79" w:rsidRPr="000F7862">
        <w:rPr>
          <w:lang w:val="fr-FR"/>
        </w:rPr>
        <w:t>a eu tendance à baisser, puisqu</w:t>
      </w:r>
      <w:r w:rsidR="00120E2E" w:rsidRPr="000F7862">
        <w:rPr>
          <w:lang w:val="fr-FR"/>
        </w:rPr>
        <w:t>’</w:t>
      </w:r>
      <w:r w:rsidR="00B61D79" w:rsidRPr="000F7862">
        <w:rPr>
          <w:lang w:val="fr-FR"/>
        </w:rPr>
        <w:t xml:space="preserve">il a été ramené de </w:t>
      </w:r>
      <w:r w:rsidR="00FB1A70" w:rsidRPr="000F7862">
        <w:rPr>
          <w:lang w:val="fr-FR"/>
        </w:rPr>
        <w:t>17</w:t>
      </w:r>
      <w:r w:rsidR="00B61D79" w:rsidRPr="000F7862">
        <w:rPr>
          <w:lang w:val="fr-FR"/>
        </w:rPr>
        <w:t>,</w:t>
      </w:r>
      <w:r w:rsidR="00FB1A70" w:rsidRPr="000F7862">
        <w:rPr>
          <w:lang w:val="fr-FR"/>
        </w:rPr>
        <w:t>6</w:t>
      </w:r>
      <w:r w:rsidR="00DC1196" w:rsidRPr="000F7862">
        <w:rPr>
          <w:lang w:val="fr-FR"/>
        </w:rPr>
        <w:t> %</w:t>
      </w:r>
      <w:r w:rsidR="00FB1A70" w:rsidRPr="000F7862">
        <w:rPr>
          <w:lang w:val="fr-FR"/>
        </w:rPr>
        <w:t xml:space="preserve"> </w:t>
      </w:r>
      <w:r w:rsidR="00B61D79" w:rsidRPr="000F7862">
        <w:rPr>
          <w:lang w:val="fr-FR"/>
        </w:rPr>
        <w:t>e</w:t>
      </w:r>
      <w:r w:rsidR="00FB1A70" w:rsidRPr="000F7862">
        <w:rPr>
          <w:lang w:val="fr-FR"/>
        </w:rPr>
        <w:t xml:space="preserve">n 2010 </w:t>
      </w:r>
      <w:r w:rsidR="00B61D79" w:rsidRPr="000F7862">
        <w:rPr>
          <w:lang w:val="fr-FR"/>
        </w:rPr>
        <w:t xml:space="preserve">à </w:t>
      </w:r>
      <w:r w:rsidR="00FB1A70" w:rsidRPr="000F7862">
        <w:rPr>
          <w:lang w:val="fr-FR"/>
        </w:rPr>
        <w:t>16</w:t>
      </w:r>
      <w:r w:rsidR="00B61D79" w:rsidRPr="000F7862">
        <w:rPr>
          <w:lang w:val="fr-FR"/>
        </w:rPr>
        <w:t>,</w:t>
      </w:r>
      <w:r w:rsidR="00FB1A70" w:rsidRPr="000F7862">
        <w:rPr>
          <w:lang w:val="fr-FR"/>
        </w:rPr>
        <w:t>2</w:t>
      </w:r>
      <w:r w:rsidR="00DC1196" w:rsidRPr="000F7862">
        <w:rPr>
          <w:lang w:val="fr-FR"/>
        </w:rPr>
        <w:t> %</w:t>
      </w:r>
      <w:r w:rsidR="00FB1A70" w:rsidRPr="000F7862">
        <w:rPr>
          <w:lang w:val="fr-FR"/>
        </w:rPr>
        <w:t xml:space="preserve"> </w:t>
      </w:r>
      <w:r w:rsidR="00B61D79" w:rsidRPr="000F7862">
        <w:rPr>
          <w:lang w:val="fr-FR"/>
        </w:rPr>
        <w:t>e</w:t>
      </w:r>
      <w:r w:rsidR="00FB1A70" w:rsidRPr="000F7862">
        <w:rPr>
          <w:lang w:val="fr-FR"/>
        </w:rPr>
        <w:t xml:space="preserve">n 2012; </w:t>
      </w:r>
      <w:r w:rsidR="00B61D79" w:rsidRPr="000F7862">
        <w:rPr>
          <w:lang w:val="fr-FR"/>
        </w:rPr>
        <w:t xml:space="preserve">de </w:t>
      </w:r>
      <w:r w:rsidR="00FB1A70" w:rsidRPr="000F7862">
        <w:rPr>
          <w:lang w:val="fr-FR"/>
        </w:rPr>
        <w:t>17</w:t>
      </w:r>
      <w:r w:rsidR="00B61D79" w:rsidRPr="000F7862">
        <w:rPr>
          <w:lang w:val="fr-FR"/>
        </w:rPr>
        <w:t>,</w:t>
      </w:r>
      <w:r w:rsidR="00FB1A70" w:rsidRPr="000F7862">
        <w:rPr>
          <w:lang w:val="fr-FR"/>
        </w:rPr>
        <w:t>3</w:t>
      </w:r>
      <w:r w:rsidR="00DC1196" w:rsidRPr="000F7862">
        <w:rPr>
          <w:lang w:val="fr-FR"/>
        </w:rPr>
        <w:t> %</w:t>
      </w:r>
      <w:r w:rsidR="00FB1A70" w:rsidRPr="000F7862">
        <w:rPr>
          <w:lang w:val="fr-FR"/>
        </w:rPr>
        <w:t xml:space="preserve"> </w:t>
      </w:r>
      <w:r w:rsidR="00B61D79" w:rsidRPr="000F7862">
        <w:rPr>
          <w:lang w:val="fr-FR"/>
        </w:rPr>
        <w:t>e</w:t>
      </w:r>
      <w:r w:rsidR="00FB1A70" w:rsidRPr="000F7862">
        <w:rPr>
          <w:lang w:val="fr-FR"/>
        </w:rPr>
        <w:t xml:space="preserve">n </w:t>
      </w:r>
      <w:r w:rsidR="00B61D79" w:rsidRPr="000F7862">
        <w:rPr>
          <w:lang w:val="fr-FR"/>
        </w:rPr>
        <w:t xml:space="preserve">juillet </w:t>
      </w:r>
      <w:r w:rsidR="00FB1A70" w:rsidRPr="000F7862">
        <w:rPr>
          <w:lang w:val="fr-FR"/>
        </w:rPr>
        <w:t xml:space="preserve">2010 </w:t>
      </w:r>
      <w:r w:rsidR="00B61D79" w:rsidRPr="000F7862">
        <w:rPr>
          <w:lang w:val="fr-FR"/>
        </w:rPr>
        <w:t>à</w:t>
      </w:r>
      <w:r w:rsidR="00FB1A70" w:rsidRPr="000F7862">
        <w:rPr>
          <w:lang w:val="fr-FR"/>
        </w:rPr>
        <w:t xml:space="preserve"> 16</w:t>
      </w:r>
      <w:r w:rsidR="00B61D79" w:rsidRPr="000F7862">
        <w:rPr>
          <w:lang w:val="fr-FR"/>
        </w:rPr>
        <w:t>,</w:t>
      </w:r>
      <w:r w:rsidR="00FB1A70" w:rsidRPr="000F7862">
        <w:rPr>
          <w:lang w:val="fr-FR"/>
        </w:rPr>
        <w:t>8</w:t>
      </w:r>
      <w:r w:rsidR="00DC1196" w:rsidRPr="000F7862">
        <w:rPr>
          <w:lang w:val="fr-FR"/>
        </w:rPr>
        <w:t> %</w:t>
      </w:r>
      <w:r w:rsidR="00FB1A70" w:rsidRPr="000F7862">
        <w:rPr>
          <w:lang w:val="fr-FR"/>
        </w:rPr>
        <w:t xml:space="preserve"> </w:t>
      </w:r>
      <w:r w:rsidR="00B61D79" w:rsidRPr="000F7862">
        <w:rPr>
          <w:lang w:val="fr-FR"/>
        </w:rPr>
        <w:t>e</w:t>
      </w:r>
      <w:r w:rsidR="00FB1A70" w:rsidRPr="000F7862">
        <w:rPr>
          <w:lang w:val="fr-FR"/>
        </w:rPr>
        <w:t>n</w:t>
      </w:r>
      <w:r w:rsidR="00B61D79" w:rsidRPr="000F7862">
        <w:rPr>
          <w:lang w:val="fr-FR"/>
        </w:rPr>
        <w:t xml:space="preserve"> juillet </w:t>
      </w:r>
      <w:r w:rsidR="00FB1A70" w:rsidRPr="000F7862">
        <w:rPr>
          <w:lang w:val="fr-FR"/>
        </w:rPr>
        <w:t xml:space="preserve">2013. </w:t>
      </w:r>
      <w:r w:rsidR="00B61D79" w:rsidRPr="000F7862">
        <w:rPr>
          <w:lang w:val="fr-FR"/>
        </w:rPr>
        <w:t>Le faible taux d</w:t>
      </w:r>
      <w:r w:rsidR="00120E2E" w:rsidRPr="000F7862">
        <w:rPr>
          <w:lang w:val="fr-FR"/>
        </w:rPr>
        <w:t>’</w:t>
      </w:r>
      <w:r w:rsidR="00B61D79" w:rsidRPr="000F7862">
        <w:rPr>
          <w:lang w:val="fr-FR"/>
        </w:rPr>
        <w:t>activité des jeunes peut s</w:t>
      </w:r>
      <w:r w:rsidR="00120E2E" w:rsidRPr="000F7862">
        <w:rPr>
          <w:lang w:val="fr-FR"/>
        </w:rPr>
        <w:t>’</w:t>
      </w:r>
      <w:r w:rsidR="00B61D79" w:rsidRPr="000F7862">
        <w:rPr>
          <w:lang w:val="fr-FR"/>
        </w:rPr>
        <w:t>expliquer par le fait que le groupe d</w:t>
      </w:r>
      <w:r w:rsidR="00120E2E" w:rsidRPr="000F7862">
        <w:rPr>
          <w:lang w:val="fr-FR"/>
        </w:rPr>
        <w:t>’</w:t>
      </w:r>
      <w:r w:rsidR="00B61D79" w:rsidRPr="000F7862">
        <w:rPr>
          <w:lang w:val="fr-FR"/>
        </w:rPr>
        <w:t xml:space="preserve">âges des </w:t>
      </w:r>
      <w:r w:rsidR="00FB1A70" w:rsidRPr="000F7862">
        <w:rPr>
          <w:lang w:val="fr-FR"/>
        </w:rPr>
        <w:t>15</w:t>
      </w:r>
      <w:r w:rsidR="00B61D79" w:rsidRPr="000F7862">
        <w:rPr>
          <w:lang w:val="fr-FR"/>
        </w:rPr>
        <w:t>-</w:t>
      </w:r>
      <w:r w:rsidR="00FB1A70" w:rsidRPr="000F7862">
        <w:rPr>
          <w:lang w:val="fr-FR"/>
        </w:rPr>
        <w:t xml:space="preserve">24 </w:t>
      </w:r>
      <w:r w:rsidR="00B61D79" w:rsidRPr="000F7862">
        <w:rPr>
          <w:lang w:val="fr-FR"/>
        </w:rPr>
        <w:t>ans est scolarisé</w:t>
      </w:r>
      <w:r w:rsidR="00FB1A70" w:rsidRPr="000F7862">
        <w:rPr>
          <w:lang w:val="fr-FR"/>
        </w:rPr>
        <w:t>.</w:t>
      </w:r>
    </w:p>
    <w:p w:rsidR="005D3EA5" w:rsidRPr="000F7862" w:rsidRDefault="005D3EA5" w:rsidP="001C088C">
      <w:pPr>
        <w:pStyle w:val="SingleTxtG"/>
        <w:rPr>
          <w:lang w:val="fr-FR"/>
        </w:rPr>
      </w:pPr>
    </w:p>
    <w:p w:rsidR="00D7781D" w:rsidRPr="000F7862" w:rsidRDefault="00D7781D" w:rsidP="00D7781D">
      <w:pPr>
        <w:pStyle w:val="SingleTxtG"/>
        <w:rPr>
          <w:lang w:val="fr-FR"/>
        </w:rPr>
        <w:sectPr w:rsidR="00D7781D" w:rsidRPr="000F7862" w:rsidSect="003527BB">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pPr>
    </w:p>
    <w:p w:rsidR="00D7781D" w:rsidRPr="000F7862" w:rsidRDefault="00D7781D" w:rsidP="00D7781D">
      <w:pPr>
        <w:pStyle w:val="Heading1"/>
        <w:ind w:left="284"/>
        <w:rPr>
          <w:lang w:val="fr-FR"/>
        </w:rPr>
      </w:pPr>
      <w:r w:rsidRPr="000F7862">
        <w:rPr>
          <w:lang w:val="fr-FR"/>
        </w:rPr>
        <w:t>Tableau 9</w:t>
      </w:r>
    </w:p>
    <w:p w:rsidR="00D7781D" w:rsidRPr="000F7862" w:rsidRDefault="00D7781D" w:rsidP="00D7781D">
      <w:pPr>
        <w:pStyle w:val="SingleTxtG"/>
        <w:keepNext/>
        <w:spacing w:after="0"/>
        <w:ind w:left="284"/>
        <w:jc w:val="left"/>
        <w:rPr>
          <w:b/>
          <w:lang w:val="fr-FR"/>
        </w:rPr>
      </w:pPr>
      <w:r w:rsidRPr="000F7862">
        <w:rPr>
          <w:b/>
          <w:lang w:val="fr-FR"/>
        </w:rPr>
        <w:t>Emploi, chômage et sous-emploi, Philippines: 2010-juillet 2013</w:t>
      </w:r>
    </w:p>
    <w:p w:rsidR="00D7781D" w:rsidRPr="000F7862" w:rsidRDefault="00D7781D" w:rsidP="00D7781D">
      <w:pPr>
        <w:pStyle w:val="SingleTxtG"/>
        <w:spacing w:line="200" w:lineRule="exact"/>
        <w:ind w:left="284"/>
        <w:rPr>
          <w:sz w:val="16"/>
          <w:szCs w:val="16"/>
          <w:lang w:val="fr-FR"/>
        </w:rPr>
      </w:pPr>
      <w:r w:rsidRPr="000F7862">
        <w:rPr>
          <w:sz w:val="16"/>
          <w:szCs w:val="16"/>
          <w:lang w:val="fr-FR"/>
        </w:rPr>
        <w:t>(En milliers, à l</w:t>
      </w:r>
      <w:r w:rsidR="00120E2E" w:rsidRPr="000F7862">
        <w:rPr>
          <w:sz w:val="16"/>
          <w:szCs w:val="16"/>
          <w:lang w:val="fr-FR"/>
        </w:rPr>
        <w:t>’</w:t>
      </w:r>
      <w:r w:rsidRPr="000F7862">
        <w:rPr>
          <w:sz w:val="16"/>
          <w:szCs w:val="16"/>
          <w:lang w:val="fr-FR"/>
        </w:rPr>
        <w:t>exception des pourcentages)</w:t>
      </w:r>
    </w:p>
    <w:tbl>
      <w:tblPr>
        <w:tblW w:w="12359" w:type="dxa"/>
        <w:tblInd w:w="283" w:type="dxa"/>
        <w:tblLayout w:type="fixed"/>
        <w:tblCellMar>
          <w:left w:w="0" w:type="dxa"/>
          <w:right w:w="0" w:type="dxa"/>
        </w:tblCellMar>
        <w:tblLook w:val="01E0"/>
      </w:tblPr>
      <w:tblGrid>
        <w:gridCol w:w="2784"/>
        <w:gridCol w:w="600"/>
        <w:gridCol w:w="600"/>
        <w:gridCol w:w="600"/>
        <w:gridCol w:w="600"/>
        <w:gridCol w:w="600"/>
        <w:gridCol w:w="600"/>
        <w:gridCol w:w="600"/>
        <w:gridCol w:w="600"/>
        <w:gridCol w:w="600"/>
        <w:gridCol w:w="600"/>
        <w:gridCol w:w="600"/>
        <w:gridCol w:w="600"/>
        <w:gridCol w:w="600"/>
        <w:gridCol w:w="600"/>
        <w:gridCol w:w="600"/>
        <w:gridCol w:w="575"/>
      </w:tblGrid>
      <w:tr w:rsidR="00D7781D" w:rsidRPr="000F7862" w:rsidTr="00D7781D">
        <w:trPr>
          <w:tblHeader/>
        </w:trPr>
        <w:tc>
          <w:tcPr>
            <w:tcW w:w="2784" w:type="dxa"/>
            <w:vMerge w:val="restart"/>
            <w:tcBorders>
              <w:top w:val="single" w:sz="4" w:space="0" w:color="auto"/>
            </w:tcBorders>
            <w:shd w:val="clear" w:color="auto" w:fill="auto"/>
            <w:vAlign w:val="bottom"/>
          </w:tcPr>
          <w:p w:rsidR="00D7781D" w:rsidRPr="000F7862" w:rsidRDefault="00D7781D" w:rsidP="00D7781D">
            <w:pPr>
              <w:spacing w:before="80" w:after="80" w:line="200" w:lineRule="exact"/>
              <w:rPr>
                <w:i/>
                <w:sz w:val="16"/>
                <w:lang w:val="fr-FR"/>
              </w:rPr>
            </w:pPr>
            <w:r w:rsidRPr="000F7862">
              <w:rPr>
                <w:i/>
                <w:sz w:val="16"/>
                <w:lang w:val="fr-FR"/>
              </w:rPr>
              <w:t>Indicateur</w:t>
            </w:r>
          </w:p>
        </w:tc>
        <w:tc>
          <w:tcPr>
            <w:tcW w:w="600" w:type="dxa"/>
            <w:vMerge w:val="restart"/>
            <w:tcBorders>
              <w:top w:val="single" w:sz="4" w:space="0" w:color="auto"/>
            </w:tcBorders>
            <w:shd w:val="clear" w:color="auto" w:fill="auto"/>
            <w:vAlign w:val="bottom"/>
          </w:tcPr>
          <w:p w:rsidR="00D7781D" w:rsidRPr="000F7862" w:rsidRDefault="00D7781D" w:rsidP="00D7781D">
            <w:pPr>
              <w:spacing w:before="80" w:after="80" w:line="200" w:lineRule="exact"/>
              <w:jc w:val="right"/>
              <w:rPr>
                <w:i/>
                <w:sz w:val="16"/>
                <w:lang w:val="fr-FR"/>
              </w:rPr>
            </w:pPr>
            <w:r w:rsidRPr="000F7862">
              <w:rPr>
                <w:i/>
                <w:sz w:val="16"/>
                <w:lang w:val="fr-FR"/>
              </w:rPr>
              <w:t>2010</w:t>
            </w:r>
          </w:p>
        </w:tc>
        <w:tc>
          <w:tcPr>
            <w:tcW w:w="600" w:type="dxa"/>
            <w:vMerge w:val="restart"/>
            <w:tcBorders>
              <w:top w:val="single" w:sz="4" w:space="0" w:color="auto"/>
            </w:tcBorders>
            <w:shd w:val="clear" w:color="auto" w:fill="auto"/>
            <w:vAlign w:val="bottom"/>
          </w:tcPr>
          <w:p w:rsidR="00D7781D" w:rsidRPr="000F7862" w:rsidRDefault="00D7781D" w:rsidP="00D7781D">
            <w:pPr>
              <w:spacing w:before="80" w:after="80" w:line="200" w:lineRule="exact"/>
              <w:jc w:val="right"/>
              <w:rPr>
                <w:i/>
                <w:sz w:val="16"/>
                <w:lang w:val="fr-FR"/>
              </w:rPr>
            </w:pPr>
            <w:r w:rsidRPr="000F7862">
              <w:rPr>
                <w:i/>
                <w:sz w:val="16"/>
                <w:lang w:val="fr-FR"/>
              </w:rPr>
              <w:t>2011</w:t>
            </w:r>
          </w:p>
        </w:tc>
        <w:tc>
          <w:tcPr>
            <w:tcW w:w="600" w:type="dxa"/>
            <w:vMerge w:val="restart"/>
            <w:tcBorders>
              <w:top w:val="single" w:sz="4" w:space="0" w:color="auto"/>
            </w:tcBorders>
            <w:shd w:val="clear" w:color="auto" w:fill="auto"/>
            <w:vAlign w:val="bottom"/>
          </w:tcPr>
          <w:p w:rsidR="00D7781D" w:rsidRPr="000F7862" w:rsidRDefault="00D7781D" w:rsidP="00D7781D">
            <w:pPr>
              <w:spacing w:before="80" w:after="80" w:line="200" w:lineRule="exact"/>
              <w:jc w:val="right"/>
              <w:rPr>
                <w:i/>
                <w:sz w:val="16"/>
                <w:lang w:val="fr-FR"/>
              </w:rPr>
            </w:pPr>
            <w:r w:rsidRPr="000F7862">
              <w:rPr>
                <w:i/>
                <w:sz w:val="16"/>
                <w:lang w:val="fr-FR"/>
              </w:rPr>
              <w:t>2012</w:t>
            </w:r>
          </w:p>
        </w:tc>
        <w:tc>
          <w:tcPr>
            <w:tcW w:w="1200" w:type="dxa"/>
            <w:gridSpan w:val="2"/>
            <w:tcBorders>
              <w:top w:val="single" w:sz="4" w:space="0" w:color="auto"/>
              <w:bottom w:val="single" w:sz="4" w:space="0" w:color="auto"/>
              <w:right w:val="single" w:sz="24" w:space="0" w:color="FFFFFF"/>
            </w:tcBorders>
            <w:shd w:val="clear" w:color="auto" w:fill="auto"/>
            <w:vAlign w:val="bottom"/>
          </w:tcPr>
          <w:p w:rsidR="00D7781D" w:rsidRPr="000F7862" w:rsidRDefault="00D7781D" w:rsidP="00D7781D">
            <w:pPr>
              <w:spacing w:before="80" w:after="80" w:line="200" w:lineRule="exact"/>
              <w:jc w:val="center"/>
              <w:rPr>
                <w:i/>
                <w:sz w:val="16"/>
                <w:lang w:val="fr-FR"/>
              </w:rPr>
            </w:pPr>
            <w:r w:rsidRPr="000F7862">
              <w:rPr>
                <w:i/>
                <w:sz w:val="16"/>
                <w:lang w:val="fr-FR"/>
              </w:rPr>
              <w:t>2010</w:t>
            </w:r>
          </w:p>
        </w:tc>
        <w:tc>
          <w:tcPr>
            <w:tcW w:w="2400" w:type="dxa"/>
            <w:gridSpan w:val="4"/>
            <w:tcBorders>
              <w:top w:val="single" w:sz="4" w:space="0" w:color="auto"/>
              <w:left w:val="single" w:sz="24" w:space="0" w:color="FFFFFF"/>
              <w:bottom w:val="single" w:sz="4" w:space="0" w:color="auto"/>
              <w:right w:val="single" w:sz="24" w:space="0" w:color="FFFFFF"/>
            </w:tcBorders>
            <w:shd w:val="clear" w:color="auto" w:fill="auto"/>
            <w:vAlign w:val="bottom"/>
          </w:tcPr>
          <w:p w:rsidR="00D7781D" w:rsidRPr="000F7862" w:rsidRDefault="00D7781D" w:rsidP="00D7781D">
            <w:pPr>
              <w:spacing w:before="80" w:after="80" w:line="200" w:lineRule="exact"/>
              <w:jc w:val="center"/>
              <w:rPr>
                <w:i/>
                <w:sz w:val="16"/>
                <w:lang w:val="fr-FR"/>
              </w:rPr>
            </w:pPr>
            <w:r w:rsidRPr="000F7862">
              <w:rPr>
                <w:i/>
                <w:sz w:val="16"/>
                <w:lang w:val="fr-FR"/>
              </w:rPr>
              <w:t>2011</w:t>
            </w:r>
          </w:p>
        </w:tc>
        <w:tc>
          <w:tcPr>
            <w:tcW w:w="2400" w:type="dxa"/>
            <w:gridSpan w:val="4"/>
            <w:tcBorders>
              <w:top w:val="single" w:sz="4" w:space="0" w:color="auto"/>
              <w:left w:val="single" w:sz="24" w:space="0" w:color="FFFFFF"/>
              <w:bottom w:val="single" w:sz="4" w:space="0" w:color="auto"/>
              <w:right w:val="single" w:sz="24" w:space="0" w:color="FFFFFF"/>
            </w:tcBorders>
            <w:shd w:val="clear" w:color="auto" w:fill="auto"/>
            <w:vAlign w:val="bottom"/>
          </w:tcPr>
          <w:p w:rsidR="00D7781D" w:rsidRPr="000F7862" w:rsidRDefault="00D7781D" w:rsidP="00D7781D">
            <w:pPr>
              <w:spacing w:before="80" w:after="80" w:line="200" w:lineRule="exact"/>
              <w:jc w:val="center"/>
              <w:rPr>
                <w:i/>
                <w:sz w:val="16"/>
                <w:lang w:val="fr-FR"/>
              </w:rPr>
            </w:pPr>
            <w:r w:rsidRPr="000F7862">
              <w:rPr>
                <w:i/>
                <w:sz w:val="16"/>
                <w:lang w:val="fr-FR"/>
              </w:rPr>
              <w:t>2012</w:t>
            </w:r>
          </w:p>
        </w:tc>
        <w:tc>
          <w:tcPr>
            <w:tcW w:w="1775" w:type="dxa"/>
            <w:gridSpan w:val="3"/>
            <w:tcBorders>
              <w:top w:val="single" w:sz="4" w:space="0" w:color="auto"/>
              <w:left w:val="single" w:sz="24" w:space="0" w:color="FFFFFF"/>
              <w:bottom w:val="single" w:sz="4" w:space="0" w:color="auto"/>
            </w:tcBorders>
            <w:shd w:val="clear" w:color="auto" w:fill="auto"/>
            <w:vAlign w:val="bottom"/>
          </w:tcPr>
          <w:p w:rsidR="00D7781D" w:rsidRPr="000F7862" w:rsidRDefault="00D7781D" w:rsidP="00D7781D">
            <w:pPr>
              <w:spacing w:before="80" w:after="80" w:line="200" w:lineRule="exact"/>
              <w:jc w:val="center"/>
              <w:rPr>
                <w:i/>
                <w:sz w:val="16"/>
                <w:lang w:val="fr-FR"/>
              </w:rPr>
            </w:pPr>
            <w:r w:rsidRPr="000F7862">
              <w:rPr>
                <w:i/>
                <w:sz w:val="16"/>
                <w:lang w:val="fr-FR"/>
              </w:rPr>
              <w:t>2013</w:t>
            </w:r>
          </w:p>
        </w:tc>
      </w:tr>
      <w:tr w:rsidR="00D7781D" w:rsidRPr="000F7862" w:rsidTr="00D7781D">
        <w:trPr>
          <w:tblHeader/>
        </w:trPr>
        <w:tc>
          <w:tcPr>
            <w:tcW w:w="2784" w:type="dxa"/>
            <w:vMerge/>
            <w:tcBorders>
              <w:bottom w:val="single" w:sz="12" w:space="0" w:color="auto"/>
            </w:tcBorders>
            <w:shd w:val="clear" w:color="auto" w:fill="auto"/>
            <w:vAlign w:val="bottom"/>
          </w:tcPr>
          <w:p w:rsidR="00D7781D" w:rsidRPr="000F7862" w:rsidRDefault="00D7781D" w:rsidP="00D7781D">
            <w:pPr>
              <w:spacing w:before="80" w:after="80" w:line="200" w:lineRule="exact"/>
              <w:rPr>
                <w:i/>
                <w:sz w:val="16"/>
                <w:lang w:val="fr-FR"/>
              </w:rPr>
            </w:pPr>
          </w:p>
        </w:tc>
        <w:tc>
          <w:tcPr>
            <w:tcW w:w="600" w:type="dxa"/>
            <w:vMerge/>
            <w:tcBorders>
              <w:bottom w:val="single" w:sz="12" w:space="0" w:color="auto"/>
            </w:tcBorders>
            <w:shd w:val="clear" w:color="auto" w:fill="auto"/>
            <w:vAlign w:val="bottom"/>
          </w:tcPr>
          <w:p w:rsidR="00D7781D" w:rsidRPr="000F7862" w:rsidRDefault="00D7781D" w:rsidP="00D7781D">
            <w:pPr>
              <w:spacing w:before="80" w:after="80" w:line="200" w:lineRule="exact"/>
              <w:jc w:val="right"/>
              <w:rPr>
                <w:i/>
                <w:sz w:val="16"/>
                <w:lang w:val="fr-FR"/>
              </w:rPr>
            </w:pPr>
          </w:p>
        </w:tc>
        <w:tc>
          <w:tcPr>
            <w:tcW w:w="600" w:type="dxa"/>
            <w:vMerge/>
            <w:tcBorders>
              <w:bottom w:val="single" w:sz="12" w:space="0" w:color="auto"/>
            </w:tcBorders>
            <w:shd w:val="clear" w:color="auto" w:fill="auto"/>
            <w:vAlign w:val="bottom"/>
          </w:tcPr>
          <w:p w:rsidR="00D7781D" w:rsidRPr="000F7862" w:rsidRDefault="00D7781D" w:rsidP="00D7781D">
            <w:pPr>
              <w:spacing w:before="80" w:after="80" w:line="200" w:lineRule="exact"/>
              <w:jc w:val="right"/>
              <w:rPr>
                <w:i/>
                <w:sz w:val="16"/>
                <w:lang w:val="fr-FR"/>
              </w:rPr>
            </w:pPr>
          </w:p>
        </w:tc>
        <w:tc>
          <w:tcPr>
            <w:tcW w:w="600" w:type="dxa"/>
            <w:vMerge/>
            <w:tcBorders>
              <w:bottom w:val="single" w:sz="12" w:space="0" w:color="auto"/>
            </w:tcBorders>
            <w:shd w:val="clear" w:color="auto" w:fill="auto"/>
            <w:vAlign w:val="bottom"/>
          </w:tcPr>
          <w:p w:rsidR="00D7781D" w:rsidRPr="000F7862" w:rsidRDefault="00D7781D" w:rsidP="00D7781D">
            <w:pPr>
              <w:spacing w:before="80" w:after="80" w:line="200" w:lineRule="exact"/>
              <w:jc w:val="right"/>
              <w:rPr>
                <w:i/>
                <w:sz w:val="16"/>
                <w:lang w:val="fr-FR"/>
              </w:rPr>
            </w:pPr>
          </w:p>
        </w:tc>
        <w:tc>
          <w:tcPr>
            <w:tcW w:w="600" w:type="dxa"/>
            <w:tcBorders>
              <w:top w:val="single" w:sz="4" w:space="0" w:color="auto"/>
              <w:bottom w:val="single" w:sz="12" w:space="0" w:color="auto"/>
            </w:tcBorders>
            <w:shd w:val="clear" w:color="auto" w:fill="auto"/>
            <w:vAlign w:val="bottom"/>
          </w:tcPr>
          <w:p w:rsidR="00D7781D" w:rsidRPr="000F7862" w:rsidRDefault="00D7781D" w:rsidP="00D7781D">
            <w:pPr>
              <w:spacing w:before="80" w:after="80" w:line="200" w:lineRule="exact"/>
              <w:jc w:val="right"/>
              <w:rPr>
                <w:i/>
                <w:sz w:val="16"/>
                <w:lang w:val="fr-FR"/>
              </w:rPr>
            </w:pPr>
            <w:r w:rsidRPr="000F7862">
              <w:rPr>
                <w:i/>
                <w:sz w:val="16"/>
                <w:lang w:val="fr-FR"/>
              </w:rPr>
              <w:t>Juillet</w:t>
            </w:r>
          </w:p>
        </w:tc>
        <w:tc>
          <w:tcPr>
            <w:tcW w:w="600" w:type="dxa"/>
            <w:tcBorders>
              <w:top w:val="single" w:sz="4" w:space="0" w:color="auto"/>
              <w:bottom w:val="single" w:sz="12" w:space="0" w:color="auto"/>
              <w:right w:val="single" w:sz="24" w:space="0" w:color="FFFFFF"/>
            </w:tcBorders>
            <w:shd w:val="clear" w:color="auto" w:fill="auto"/>
            <w:vAlign w:val="bottom"/>
          </w:tcPr>
          <w:p w:rsidR="00D7781D" w:rsidRPr="000F7862" w:rsidRDefault="00D7781D" w:rsidP="00D7781D">
            <w:pPr>
              <w:spacing w:before="80" w:after="80" w:line="200" w:lineRule="exact"/>
              <w:jc w:val="right"/>
              <w:rPr>
                <w:i/>
                <w:sz w:val="16"/>
                <w:lang w:val="fr-FR"/>
              </w:rPr>
            </w:pPr>
            <w:r w:rsidRPr="000F7862">
              <w:rPr>
                <w:i/>
                <w:sz w:val="16"/>
                <w:lang w:val="fr-FR"/>
              </w:rPr>
              <w:t>Octobre</w:t>
            </w:r>
          </w:p>
        </w:tc>
        <w:tc>
          <w:tcPr>
            <w:tcW w:w="600" w:type="dxa"/>
            <w:tcBorders>
              <w:top w:val="single" w:sz="4" w:space="0" w:color="auto"/>
              <w:left w:val="single" w:sz="24" w:space="0" w:color="FFFFFF"/>
              <w:bottom w:val="single" w:sz="12" w:space="0" w:color="auto"/>
            </w:tcBorders>
            <w:shd w:val="clear" w:color="auto" w:fill="auto"/>
            <w:vAlign w:val="bottom"/>
          </w:tcPr>
          <w:p w:rsidR="00D7781D" w:rsidRPr="000F7862" w:rsidRDefault="00D7781D" w:rsidP="00D7781D">
            <w:pPr>
              <w:spacing w:before="80" w:after="80" w:line="200" w:lineRule="exact"/>
              <w:jc w:val="right"/>
              <w:rPr>
                <w:i/>
                <w:sz w:val="16"/>
                <w:lang w:val="fr-FR"/>
              </w:rPr>
            </w:pPr>
            <w:r w:rsidRPr="000F7862">
              <w:rPr>
                <w:i/>
                <w:sz w:val="16"/>
                <w:lang w:val="fr-FR"/>
              </w:rPr>
              <w:t>Janvier</w:t>
            </w:r>
          </w:p>
        </w:tc>
        <w:tc>
          <w:tcPr>
            <w:tcW w:w="600" w:type="dxa"/>
            <w:tcBorders>
              <w:top w:val="single" w:sz="4" w:space="0" w:color="auto"/>
              <w:bottom w:val="single" w:sz="12" w:space="0" w:color="auto"/>
            </w:tcBorders>
            <w:shd w:val="clear" w:color="auto" w:fill="auto"/>
            <w:vAlign w:val="bottom"/>
          </w:tcPr>
          <w:p w:rsidR="00D7781D" w:rsidRPr="000F7862" w:rsidRDefault="00D7781D" w:rsidP="00D7781D">
            <w:pPr>
              <w:spacing w:before="80" w:after="80" w:line="200" w:lineRule="exact"/>
              <w:jc w:val="right"/>
              <w:rPr>
                <w:i/>
                <w:sz w:val="16"/>
                <w:lang w:val="fr-FR"/>
              </w:rPr>
            </w:pPr>
            <w:r w:rsidRPr="000F7862">
              <w:rPr>
                <w:i/>
                <w:sz w:val="16"/>
                <w:lang w:val="fr-FR"/>
              </w:rPr>
              <w:t>Avril</w:t>
            </w:r>
          </w:p>
        </w:tc>
        <w:tc>
          <w:tcPr>
            <w:tcW w:w="600" w:type="dxa"/>
            <w:tcBorders>
              <w:top w:val="single" w:sz="4" w:space="0" w:color="auto"/>
              <w:bottom w:val="single" w:sz="12" w:space="0" w:color="auto"/>
            </w:tcBorders>
            <w:shd w:val="clear" w:color="auto" w:fill="auto"/>
            <w:vAlign w:val="bottom"/>
          </w:tcPr>
          <w:p w:rsidR="00D7781D" w:rsidRPr="000F7862" w:rsidRDefault="00D7781D" w:rsidP="00D7781D">
            <w:pPr>
              <w:spacing w:before="80" w:after="80" w:line="200" w:lineRule="exact"/>
              <w:jc w:val="right"/>
              <w:rPr>
                <w:i/>
                <w:sz w:val="16"/>
                <w:lang w:val="fr-FR"/>
              </w:rPr>
            </w:pPr>
            <w:r w:rsidRPr="000F7862">
              <w:rPr>
                <w:i/>
                <w:sz w:val="16"/>
                <w:lang w:val="fr-FR"/>
              </w:rPr>
              <w:t>Juillet</w:t>
            </w:r>
          </w:p>
        </w:tc>
        <w:tc>
          <w:tcPr>
            <w:tcW w:w="600" w:type="dxa"/>
            <w:tcBorders>
              <w:top w:val="single" w:sz="4" w:space="0" w:color="auto"/>
              <w:bottom w:val="single" w:sz="12" w:space="0" w:color="auto"/>
              <w:right w:val="single" w:sz="24" w:space="0" w:color="FFFFFF"/>
            </w:tcBorders>
            <w:shd w:val="clear" w:color="auto" w:fill="auto"/>
            <w:vAlign w:val="bottom"/>
          </w:tcPr>
          <w:p w:rsidR="00D7781D" w:rsidRPr="000F7862" w:rsidRDefault="00D7781D" w:rsidP="00D7781D">
            <w:pPr>
              <w:spacing w:before="80" w:after="80" w:line="200" w:lineRule="exact"/>
              <w:jc w:val="right"/>
              <w:rPr>
                <w:i/>
                <w:sz w:val="16"/>
                <w:lang w:val="fr-FR"/>
              </w:rPr>
            </w:pPr>
            <w:r w:rsidRPr="000F7862">
              <w:rPr>
                <w:i/>
                <w:sz w:val="16"/>
                <w:lang w:val="fr-FR"/>
              </w:rPr>
              <w:t>Octobre</w:t>
            </w:r>
          </w:p>
        </w:tc>
        <w:tc>
          <w:tcPr>
            <w:tcW w:w="600" w:type="dxa"/>
            <w:tcBorders>
              <w:top w:val="single" w:sz="4" w:space="0" w:color="auto"/>
              <w:left w:val="single" w:sz="24" w:space="0" w:color="FFFFFF"/>
              <w:bottom w:val="single" w:sz="12" w:space="0" w:color="auto"/>
            </w:tcBorders>
            <w:shd w:val="clear" w:color="auto" w:fill="auto"/>
            <w:vAlign w:val="bottom"/>
          </w:tcPr>
          <w:p w:rsidR="00D7781D" w:rsidRPr="000F7862" w:rsidRDefault="00D7781D" w:rsidP="00D7781D">
            <w:pPr>
              <w:spacing w:before="80" w:after="80" w:line="200" w:lineRule="exact"/>
              <w:jc w:val="right"/>
              <w:rPr>
                <w:i/>
                <w:sz w:val="16"/>
                <w:lang w:val="fr-FR"/>
              </w:rPr>
            </w:pPr>
            <w:r w:rsidRPr="000F7862">
              <w:rPr>
                <w:i/>
                <w:sz w:val="16"/>
                <w:lang w:val="fr-FR"/>
              </w:rPr>
              <w:t>Janvier</w:t>
            </w:r>
          </w:p>
        </w:tc>
        <w:tc>
          <w:tcPr>
            <w:tcW w:w="600" w:type="dxa"/>
            <w:tcBorders>
              <w:top w:val="single" w:sz="4" w:space="0" w:color="auto"/>
              <w:bottom w:val="single" w:sz="12" w:space="0" w:color="auto"/>
            </w:tcBorders>
            <w:shd w:val="clear" w:color="auto" w:fill="auto"/>
            <w:vAlign w:val="bottom"/>
          </w:tcPr>
          <w:p w:rsidR="00D7781D" w:rsidRPr="000F7862" w:rsidRDefault="00D7781D" w:rsidP="00D7781D">
            <w:pPr>
              <w:spacing w:before="80" w:after="80" w:line="200" w:lineRule="exact"/>
              <w:jc w:val="right"/>
              <w:rPr>
                <w:i/>
                <w:sz w:val="16"/>
                <w:lang w:val="fr-FR"/>
              </w:rPr>
            </w:pPr>
            <w:r w:rsidRPr="000F7862">
              <w:rPr>
                <w:i/>
                <w:sz w:val="16"/>
                <w:lang w:val="fr-FR"/>
              </w:rPr>
              <w:t>Avril</w:t>
            </w:r>
          </w:p>
        </w:tc>
        <w:tc>
          <w:tcPr>
            <w:tcW w:w="600" w:type="dxa"/>
            <w:tcBorders>
              <w:top w:val="single" w:sz="4" w:space="0" w:color="auto"/>
              <w:bottom w:val="single" w:sz="12" w:space="0" w:color="auto"/>
            </w:tcBorders>
            <w:shd w:val="clear" w:color="auto" w:fill="auto"/>
            <w:vAlign w:val="bottom"/>
          </w:tcPr>
          <w:p w:rsidR="00D7781D" w:rsidRPr="000F7862" w:rsidRDefault="00D7781D" w:rsidP="00D7781D">
            <w:pPr>
              <w:spacing w:before="80" w:after="80" w:line="200" w:lineRule="exact"/>
              <w:jc w:val="right"/>
              <w:rPr>
                <w:i/>
                <w:sz w:val="16"/>
                <w:lang w:val="fr-FR"/>
              </w:rPr>
            </w:pPr>
            <w:r w:rsidRPr="000F7862">
              <w:rPr>
                <w:i/>
                <w:sz w:val="16"/>
                <w:lang w:val="fr-FR"/>
              </w:rPr>
              <w:t>Juillet</w:t>
            </w:r>
          </w:p>
        </w:tc>
        <w:tc>
          <w:tcPr>
            <w:tcW w:w="600" w:type="dxa"/>
            <w:tcBorders>
              <w:top w:val="single" w:sz="4" w:space="0" w:color="auto"/>
              <w:bottom w:val="single" w:sz="12" w:space="0" w:color="auto"/>
              <w:right w:val="single" w:sz="24" w:space="0" w:color="FFFFFF"/>
            </w:tcBorders>
            <w:shd w:val="clear" w:color="auto" w:fill="auto"/>
            <w:vAlign w:val="bottom"/>
          </w:tcPr>
          <w:p w:rsidR="00D7781D" w:rsidRPr="000F7862" w:rsidRDefault="00D7781D" w:rsidP="00D7781D">
            <w:pPr>
              <w:spacing w:before="80" w:after="80" w:line="200" w:lineRule="exact"/>
              <w:jc w:val="right"/>
              <w:rPr>
                <w:i/>
                <w:sz w:val="16"/>
                <w:lang w:val="fr-FR"/>
              </w:rPr>
            </w:pPr>
            <w:r w:rsidRPr="000F7862">
              <w:rPr>
                <w:i/>
                <w:sz w:val="16"/>
                <w:lang w:val="fr-FR"/>
              </w:rPr>
              <w:t>Octobre</w:t>
            </w:r>
          </w:p>
        </w:tc>
        <w:tc>
          <w:tcPr>
            <w:tcW w:w="600" w:type="dxa"/>
            <w:tcBorders>
              <w:top w:val="single" w:sz="4" w:space="0" w:color="auto"/>
              <w:left w:val="single" w:sz="24" w:space="0" w:color="FFFFFF"/>
              <w:bottom w:val="single" w:sz="12" w:space="0" w:color="auto"/>
            </w:tcBorders>
            <w:shd w:val="clear" w:color="auto" w:fill="auto"/>
            <w:vAlign w:val="bottom"/>
          </w:tcPr>
          <w:p w:rsidR="00D7781D" w:rsidRPr="000F7862" w:rsidRDefault="00D7781D" w:rsidP="00D7781D">
            <w:pPr>
              <w:spacing w:before="80" w:after="80" w:line="200" w:lineRule="exact"/>
              <w:jc w:val="right"/>
              <w:rPr>
                <w:i/>
                <w:sz w:val="16"/>
                <w:lang w:val="fr-FR"/>
              </w:rPr>
            </w:pPr>
            <w:r w:rsidRPr="000F7862">
              <w:rPr>
                <w:i/>
                <w:sz w:val="16"/>
                <w:lang w:val="fr-FR"/>
              </w:rPr>
              <w:t>Janvier</w:t>
            </w:r>
          </w:p>
        </w:tc>
        <w:tc>
          <w:tcPr>
            <w:tcW w:w="600" w:type="dxa"/>
            <w:tcBorders>
              <w:top w:val="single" w:sz="4" w:space="0" w:color="auto"/>
              <w:bottom w:val="single" w:sz="12" w:space="0" w:color="auto"/>
            </w:tcBorders>
            <w:shd w:val="clear" w:color="auto" w:fill="auto"/>
            <w:vAlign w:val="bottom"/>
          </w:tcPr>
          <w:p w:rsidR="00D7781D" w:rsidRPr="000F7862" w:rsidRDefault="00D7781D" w:rsidP="00D7781D">
            <w:pPr>
              <w:spacing w:before="80" w:after="80" w:line="200" w:lineRule="exact"/>
              <w:jc w:val="right"/>
              <w:rPr>
                <w:i/>
                <w:sz w:val="16"/>
                <w:lang w:val="fr-FR"/>
              </w:rPr>
            </w:pPr>
            <w:r w:rsidRPr="000F7862">
              <w:rPr>
                <w:i/>
                <w:sz w:val="16"/>
                <w:lang w:val="fr-FR"/>
              </w:rPr>
              <w:t>Avril</w:t>
            </w:r>
          </w:p>
        </w:tc>
        <w:tc>
          <w:tcPr>
            <w:tcW w:w="575" w:type="dxa"/>
            <w:tcBorders>
              <w:top w:val="single" w:sz="4" w:space="0" w:color="auto"/>
              <w:bottom w:val="single" w:sz="12" w:space="0" w:color="auto"/>
            </w:tcBorders>
            <w:shd w:val="clear" w:color="auto" w:fill="auto"/>
            <w:vAlign w:val="bottom"/>
          </w:tcPr>
          <w:p w:rsidR="00D7781D" w:rsidRPr="000F7862" w:rsidRDefault="00D7781D" w:rsidP="00D7781D">
            <w:pPr>
              <w:spacing w:before="80" w:after="80" w:line="200" w:lineRule="exact"/>
              <w:jc w:val="right"/>
              <w:rPr>
                <w:i/>
                <w:sz w:val="16"/>
                <w:lang w:val="fr-FR"/>
              </w:rPr>
            </w:pPr>
            <w:r w:rsidRPr="000F7862">
              <w:rPr>
                <w:i/>
                <w:sz w:val="16"/>
                <w:lang w:val="fr-FR"/>
              </w:rPr>
              <w:t>Juillet</w:t>
            </w:r>
            <w:r w:rsidRPr="000F7862">
              <w:rPr>
                <w:i/>
                <w:sz w:val="18"/>
                <w:szCs w:val="18"/>
                <w:vertAlign w:val="superscript"/>
                <w:lang w:val="fr-FR"/>
              </w:rPr>
              <w:t>p</w:t>
            </w:r>
          </w:p>
        </w:tc>
      </w:tr>
      <w:tr w:rsidR="00D7781D" w:rsidRPr="000F7862" w:rsidTr="00D7781D">
        <w:tc>
          <w:tcPr>
            <w:tcW w:w="2784" w:type="dxa"/>
            <w:tcBorders>
              <w:top w:val="single" w:sz="12" w:space="0" w:color="auto"/>
            </w:tcBorders>
            <w:shd w:val="clear" w:color="auto" w:fill="auto"/>
            <w:vAlign w:val="bottom"/>
          </w:tcPr>
          <w:p w:rsidR="00D7781D" w:rsidRPr="000F7862" w:rsidRDefault="00D7781D" w:rsidP="00D7781D">
            <w:pPr>
              <w:spacing w:before="40" w:after="40" w:line="220" w:lineRule="exact"/>
              <w:rPr>
                <w:sz w:val="18"/>
                <w:szCs w:val="18"/>
                <w:lang w:val="fr-FR"/>
              </w:rPr>
            </w:pPr>
            <w:r w:rsidRPr="000F7862">
              <w:rPr>
                <w:sz w:val="18"/>
                <w:szCs w:val="18"/>
                <w:lang w:val="fr-FR"/>
              </w:rPr>
              <w:t>Population en âge de travailler (15 ans et plus)</w:t>
            </w:r>
          </w:p>
        </w:tc>
        <w:tc>
          <w:tcPr>
            <w:tcW w:w="600" w:type="dxa"/>
            <w:tcBorders>
              <w:top w:val="single" w:sz="12" w:space="0" w:color="auto"/>
            </w:tcBorders>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60 717</w:t>
            </w:r>
          </w:p>
        </w:tc>
        <w:tc>
          <w:tcPr>
            <w:tcW w:w="600" w:type="dxa"/>
            <w:tcBorders>
              <w:top w:val="single" w:sz="12" w:space="0" w:color="auto"/>
            </w:tcBorders>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61 882</w:t>
            </w:r>
          </w:p>
        </w:tc>
        <w:tc>
          <w:tcPr>
            <w:tcW w:w="600" w:type="dxa"/>
            <w:tcBorders>
              <w:top w:val="single" w:sz="12" w:space="0" w:color="auto"/>
            </w:tcBorders>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62 985</w:t>
            </w:r>
          </w:p>
        </w:tc>
        <w:tc>
          <w:tcPr>
            <w:tcW w:w="600" w:type="dxa"/>
            <w:tcBorders>
              <w:top w:val="single" w:sz="12" w:space="0" w:color="auto"/>
            </w:tcBorders>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60 928</w:t>
            </w:r>
          </w:p>
        </w:tc>
        <w:tc>
          <w:tcPr>
            <w:tcW w:w="600" w:type="dxa"/>
            <w:tcBorders>
              <w:top w:val="single" w:sz="12" w:space="0" w:color="auto"/>
            </w:tcBorders>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61 169</w:t>
            </w:r>
          </w:p>
        </w:tc>
        <w:tc>
          <w:tcPr>
            <w:tcW w:w="600" w:type="dxa"/>
            <w:tcBorders>
              <w:top w:val="single" w:sz="12" w:space="0" w:color="auto"/>
            </w:tcBorders>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61 531</w:t>
            </w:r>
          </w:p>
        </w:tc>
        <w:tc>
          <w:tcPr>
            <w:tcW w:w="600" w:type="dxa"/>
            <w:tcBorders>
              <w:top w:val="single" w:sz="12" w:space="0" w:color="auto"/>
            </w:tcBorders>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61 778</w:t>
            </w:r>
          </w:p>
        </w:tc>
        <w:tc>
          <w:tcPr>
            <w:tcW w:w="600" w:type="dxa"/>
            <w:tcBorders>
              <w:top w:val="single" w:sz="12" w:space="0" w:color="auto"/>
            </w:tcBorders>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62 053</w:t>
            </w:r>
          </w:p>
        </w:tc>
        <w:tc>
          <w:tcPr>
            <w:tcW w:w="600" w:type="dxa"/>
            <w:tcBorders>
              <w:top w:val="single" w:sz="12" w:space="0" w:color="auto"/>
            </w:tcBorders>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62 164</w:t>
            </w:r>
          </w:p>
        </w:tc>
        <w:tc>
          <w:tcPr>
            <w:tcW w:w="600" w:type="dxa"/>
            <w:tcBorders>
              <w:top w:val="single" w:sz="12" w:space="0" w:color="auto"/>
            </w:tcBorders>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62 682</w:t>
            </w:r>
          </w:p>
        </w:tc>
        <w:tc>
          <w:tcPr>
            <w:tcW w:w="600" w:type="dxa"/>
            <w:tcBorders>
              <w:top w:val="single" w:sz="12" w:space="0" w:color="auto"/>
            </w:tcBorders>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62 842</w:t>
            </w:r>
          </w:p>
        </w:tc>
        <w:tc>
          <w:tcPr>
            <w:tcW w:w="600" w:type="dxa"/>
            <w:tcBorders>
              <w:top w:val="single" w:sz="12" w:space="0" w:color="auto"/>
            </w:tcBorders>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63 114</w:t>
            </w:r>
          </w:p>
        </w:tc>
        <w:tc>
          <w:tcPr>
            <w:tcW w:w="600" w:type="dxa"/>
            <w:tcBorders>
              <w:top w:val="single" w:sz="12" w:space="0" w:color="auto"/>
            </w:tcBorders>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63 303</w:t>
            </w:r>
          </w:p>
        </w:tc>
        <w:tc>
          <w:tcPr>
            <w:tcW w:w="600" w:type="dxa"/>
            <w:tcBorders>
              <w:top w:val="single" w:sz="12" w:space="0" w:color="auto"/>
            </w:tcBorders>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63 720</w:t>
            </w:r>
          </w:p>
        </w:tc>
        <w:tc>
          <w:tcPr>
            <w:tcW w:w="600" w:type="dxa"/>
            <w:tcBorders>
              <w:top w:val="single" w:sz="12" w:space="0" w:color="auto"/>
            </w:tcBorders>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64 090</w:t>
            </w:r>
          </w:p>
        </w:tc>
        <w:tc>
          <w:tcPr>
            <w:tcW w:w="575" w:type="dxa"/>
            <w:tcBorders>
              <w:top w:val="single" w:sz="12" w:space="0" w:color="auto"/>
            </w:tcBorders>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64 468</w:t>
            </w:r>
          </w:p>
        </w:tc>
      </w:tr>
      <w:tr w:rsidR="00D7781D" w:rsidRPr="000F7862" w:rsidTr="00D7781D">
        <w:tc>
          <w:tcPr>
            <w:tcW w:w="2784" w:type="dxa"/>
            <w:shd w:val="clear" w:color="auto" w:fill="auto"/>
            <w:vAlign w:val="bottom"/>
          </w:tcPr>
          <w:p w:rsidR="00D7781D" w:rsidRPr="000F7862" w:rsidRDefault="00D7781D" w:rsidP="00D7781D">
            <w:pPr>
              <w:spacing w:before="40" w:after="40" w:line="220" w:lineRule="exact"/>
              <w:rPr>
                <w:sz w:val="18"/>
                <w:szCs w:val="18"/>
                <w:lang w:val="fr-FR"/>
              </w:rPr>
            </w:pPr>
            <w:r w:rsidRPr="000F7862">
              <w:rPr>
                <w:sz w:val="18"/>
                <w:szCs w:val="18"/>
                <w:lang w:val="fr-FR"/>
              </w:rPr>
              <w:t>Main-d</w:t>
            </w:r>
            <w:r w:rsidR="00120E2E" w:rsidRPr="000F7862">
              <w:rPr>
                <w:sz w:val="18"/>
                <w:szCs w:val="18"/>
                <w:lang w:val="fr-FR"/>
              </w:rPr>
              <w:t>’</w:t>
            </w:r>
            <w:r w:rsidRPr="000F7862">
              <w:rPr>
                <w:sz w:val="18"/>
                <w:szCs w:val="18"/>
                <w:lang w:val="fr-FR"/>
              </w:rPr>
              <w:t>œuvre</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38 893</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40 006</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40 426</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38 946</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39 287</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39 210</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39 691</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39 928</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41 194</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40 226</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40 645</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40 401</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40 433</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40 834</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40 906</w:t>
            </w:r>
          </w:p>
        </w:tc>
        <w:tc>
          <w:tcPr>
            <w:tcW w:w="575"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41 178</w:t>
            </w:r>
          </w:p>
        </w:tc>
      </w:tr>
      <w:tr w:rsidR="00D7781D" w:rsidRPr="000F7862" w:rsidTr="00D7781D">
        <w:tc>
          <w:tcPr>
            <w:tcW w:w="2784" w:type="dxa"/>
            <w:shd w:val="clear" w:color="auto" w:fill="auto"/>
            <w:vAlign w:val="bottom"/>
          </w:tcPr>
          <w:p w:rsidR="00D7781D" w:rsidRPr="000F7862" w:rsidRDefault="00D7781D" w:rsidP="00D7781D">
            <w:pPr>
              <w:spacing w:before="40" w:after="40" w:line="220" w:lineRule="exact"/>
              <w:rPr>
                <w:sz w:val="18"/>
                <w:szCs w:val="18"/>
                <w:lang w:val="fr-FR"/>
              </w:rPr>
            </w:pPr>
            <w:r w:rsidRPr="000F7862">
              <w:rPr>
                <w:sz w:val="18"/>
                <w:szCs w:val="18"/>
                <w:lang w:val="fr-FR"/>
              </w:rPr>
              <w:t>Pourvue d</w:t>
            </w:r>
            <w:r w:rsidR="00120E2E" w:rsidRPr="000F7862">
              <w:rPr>
                <w:sz w:val="18"/>
                <w:szCs w:val="18"/>
                <w:lang w:val="fr-FR"/>
              </w:rPr>
              <w:t>’</w:t>
            </w:r>
            <w:r w:rsidRPr="000F7862">
              <w:rPr>
                <w:sz w:val="18"/>
                <w:szCs w:val="18"/>
                <w:lang w:val="fr-FR"/>
              </w:rPr>
              <w:t>un emploi</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36 035</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37 192</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37 600</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36 237</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36 488</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36 293</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36 820</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37 106</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38 550</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37 334</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37 842</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37 555</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37 670</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37 940</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37 819</w:t>
            </w:r>
          </w:p>
        </w:tc>
        <w:tc>
          <w:tcPr>
            <w:tcW w:w="575"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38 175</w:t>
            </w:r>
          </w:p>
        </w:tc>
      </w:tr>
      <w:tr w:rsidR="00D7781D" w:rsidRPr="000F7862" w:rsidTr="00D7781D">
        <w:tc>
          <w:tcPr>
            <w:tcW w:w="2784" w:type="dxa"/>
            <w:shd w:val="clear" w:color="auto" w:fill="auto"/>
            <w:vAlign w:val="bottom"/>
          </w:tcPr>
          <w:p w:rsidR="00D7781D" w:rsidRPr="000F7862" w:rsidRDefault="00D7781D" w:rsidP="00D7781D">
            <w:pPr>
              <w:spacing w:before="40" w:after="40" w:line="220" w:lineRule="exact"/>
              <w:rPr>
                <w:sz w:val="18"/>
                <w:szCs w:val="18"/>
                <w:lang w:val="fr-FR"/>
              </w:rPr>
            </w:pPr>
            <w:r w:rsidRPr="000F7862">
              <w:rPr>
                <w:sz w:val="18"/>
                <w:szCs w:val="18"/>
                <w:lang w:val="fr-FR"/>
              </w:rPr>
              <w:t>Sous-employée</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6 762</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7 163</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7 514</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6 502</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7 141</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7 050</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7 127</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7 095</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7 381</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7 018</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7 313</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8 565</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7 160</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7 934</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7 251</w:t>
            </w:r>
          </w:p>
        </w:tc>
        <w:tc>
          <w:tcPr>
            <w:tcW w:w="575"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7 341</w:t>
            </w:r>
          </w:p>
        </w:tc>
      </w:tr>
      <w:tr w:rsidR="00D7781D" w:rsidRPr="000F7862" w:rsidTr="00D7781D">
        <w:tc>
          <w:tcPr>
            <w:tcW w:w="2784" w:type="dxa"/>
            <w:shd w:val="clear" w:color="auto" w:fill="auto"/>
            <w:vAlign w:val="bottom"/>
          </w:tcPr>
          <w:p w:rsidR="00D7781D" w:rsidRPr="000F7862" w:rsidRDefault="00D7781D" w:rsidP="00D7781D">
            <w:pPr>
              <w:spacing w:before="40" w:after="40" w:line="220" w:lineRule="exact"/>
              <w:rPr>
                <w:sz w:val="18"/>
                <w:szCs w:val="18"/>
                <w:lang w:val="fr-FR"/>
              </w:rPr>
            </w:pPr>
            <w:r w:rsidRPr="000F7862">
              <w:rPr>
                <w:sz w:val="18"/>
                <w:szCs w:val="18"/>
                <w:lang w:val="fr-FR"/>
              </w:rPr>
              <w:t>Au chômage</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2 859</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2 814</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2 826</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2 709</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2 799</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2 917</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2 871</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2 822</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2 644</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2 892</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2 803</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2 847</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2 763</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2 894</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3 087</w:t>
            </w:r>
          </w:p>
        </w:tc>
        <w:tc>
          <w:tcPr>
            <w:tcW w:w="575"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3 002</w:t>
            </w:r>
          </w:p>
        </w:tc>
      </w:tr>
      <w:tr w:rsidR="00D7781D" w:rsidRPr="000F7862" w:rsidTr="00D7781D">
        <w:tc>
          <w:tcPr>
            <w:tcW w:w="2784" w:type="dxa"/>
            <w:shd w:val="clear" w:color="auto" w:fill="auto"/>
            <w:vAlign w:val="bottom"/>
          </w:tcPr>
          <w:p w:rsidR="00D7781D" w:rsidRPr="000F7862" w:rsidRDefault="00D7781D" w:rsidP="00D7781D">
            <w:pPr>
              <w:spacing w:before="40" w:after="40" w:line="220" w:lineRule="exact"/>
              <w:rPr>
                <w:sz w:val="18"/>
                <w:szCs w:val="18"/>
                <w:lang w:val="fr-FR"/>
              </w:rPr>
            </w:pPr>
            <w:r w:rsidRPr="000F7862">
              <w:rPr>
                <w:sz w:val="18"/>
                <w:szCs w:val="18"/>
                <w:lang w:val="fr-FR"/>
              </w:rPr>
              <w:t>Taux d</w:t>
            </w:r>
            <w:r w:rsidR="00120E2E" w:rsidRPr="000F7862">
              <w:rPr>
                <w:sz w:val="18"/>
                <w:szCs w:val="18"/>
                <w:lang w:val="fr-FR"/>
              </w:rPr>
              <w:t>’</w:t>
            </w:r>
            <w:r w:rsidRPr="000F7862">
              <w:rPr>
                <w:sz w:val="18"/>
                <w:szCs w:val="18"/>
                <w:lang w:val="fr-FR"/>
              </w:rPr>
              <w:t>activité (%)</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64,1</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64,6</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64,2</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63,9</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64,2</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63,7</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64,2</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64,3</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66,3</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64,2</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64,7</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64,0</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63,9</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64,1</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63,8</w:t>
            </w:r>
          </w:p>
        </w:tc>
        <w:tc>
          <w:tcPr>
            <w:tcW w:w="575"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63,9</w:t>
            </w:r>
          </w:p>
        </w:tc>
      </w:tr>
      <w:tr w:rsidR="00D7781D" w:rsidRPr="000F7862" w:rsidTr="00D7781D">
        <w:tc>
          <w:tcPr>
            <w:tcW w:w="2784" w:type="dxa"/>
            <w:shd w:val="clear" w:color="auto" w:fill="auto"/>
            <w:vAlign w:val="bottom"/>
          </w:tcPr>
          <w:p w:rsidR="00D7781D" w:rsidRPr="000F7862" w:rsidRDefault="00D7781D" w:rsidP="00D7781D">
            <w:pPr>
              <w:spacing w:before="40" w:after="40" w:line="220" w:lineRule="exact"/>
              <w:rPr>
                <w:sz w:val="18"/>
                <w:szCs w:val="18"/>
                <w:lang w:val="fr-FR"/>
              </w:rPr>
            </w:pPr>
            <w:r w:rsidRPr="000F7862">
              <w:rPr>
                <w:sz w:val="18"/>
                <w:szCs w:val="18"/>
                <w:lang w:val="fr-FR"/>
              </w:rPr>
              <w:t>Taux de chômage (%)</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7,4</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7,0</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7,0</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7,0</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7,1</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7,4</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7,2</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7,1</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6,4</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7,2</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6,9</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7,0</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6,8</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7,1</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7,5</w:t>
            </w:r>
          </w:p>
        </w:tc>
        <w:tc>
          <w:tcPr>
            <w:tcW w:w="575"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7,3</w:t>
            </w:r>
          </w:p>
        </w:tc>
      </w:tr>
      <w:tr w:rsidR="00D7781D" w:rsidRPr="000F7862" w:rsidTr="00D7781D">
        <w:tc>
          <w:tcPr>
            <w:tcW w:w="2784" w:type="dxa"/>
            <w:shd w:val="clear" w:color="auto" w:fill="auto"/>
            <w:vAlign w:val="bottom"/>
          </w:tcPr>
          <w:p w:rsidR="00D7781D" w:rsidRPr="000F7862" w:rsidRDefault="00D7781D" w:rsidP="00D7781D">
            <w:pPr>
              <w:spacing w:before="40" w:after="40" w:line="220" w:lineRule="exact"/>
              <w:rPr>
                <w:sz w:val="18"/>
                <w:szCs w:val="18"/>
                <w:lang w:val="fr-FR"/>
              </w:rPr>
            </w:pPr>
            <w:r w:rsidRPr="000F7862">
              <w:rPr>
                <w:sz w:val="18"/>
                <w:szCs w:val="18"/>
                <w:lang w:val="fr-FR"/>
              </w:rPr>
              <w:t>Taux de sous-emploi (%)</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18,8</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19,3</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20,0</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17,9</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19,6</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19,4</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19,4</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19,1</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19,1</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18,8</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19,3</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22,8</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19,0</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20,9</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19,2</w:t>
            </w:r>
          </w:p>
        </w:tc>
        <w:tc>
          <w:tcPr>
            <w:tcW w:w="575"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19,2</w:t>
            </w:r>
          </w:p>
        </w:tc>
      </w:tr>
      <w:tr w:rsidR="00D7781D" w:rsidRPr="000F7862" w:rsidTr="00D7781D">
        <w:tc>
          <w:tcPr>
            <w:tcW w:w="2784" w:type="dxa"/>
            <w:shd w:val="clear" w:color="auto" w:fill="auto"/>
            <w:vAlign w:val="bottom"/>
          </w:tcPr>
          <w:p w:rsidR="00D7781D" w:rsidRPr="000F7862" w:rsidRDefault="00D7781D" w:rsidP="00D7781D">
            <w:pPr>
              <w:spacing w:before="40" w:after="40" w:line="220" w:lineRule="exact"/>
              <w:rPr>
                <w:b/>
                <w:sz w:val="18"/>
                <w:szCs w:val="18"/>
                <w:lang w:val="fr-FR"/>
              </w:rPr>
            </w:pPr>
            <w:r w:rsidRPr="000F7862">
              <w:rPr>
                <w:b/>
                <w:sz w:val="18"/>
                <w:szCs w:val="18"/>
                <w:lang w:val="fr-FR"/>
              </w:rPr>
              <w:t>Emploi par secteur</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p>
        </w:tc>
        <w:tc>
          <w:tcPr>
            <w:tcW w:w="575" w:type="dxa"/>
            <w:shd w:val="clear" w:color="auto" w:fill="auto"/>
            <w:vAlign w:val="bottom"/>
          </w:tcPr>
          <w:p w:rsidR="00D7781D" w:rsidRPr="000F7862" w:rsidRDefault="00D7781D" w:rsidP="00D7781D">
            <w:pPr>
              <w:spacing w:before="40" w:after="40" w:line="220" w:lineRule="exact"/>
              <w:jc w:val="right"/>
              <w:rPr>
                <w:sz w:val="18"/>
                <w:szCs w:val="18"/>
                <w:lang w:val="fr-FR"/>
              </w:rPr>
            </w:pPr>
          </w:p>
        </w:tc>
      </w:tr>
      <w:tr w:rsidR="00D7781D" w:rsidRPr="000F7862" w:rsidTr="00D7781D">
        <w:tc>
          <w:tcPr>
            <w:tcW w:w="2784" w:type="dxa"/>
            <w:shd w:val="clear" w:color="auto" w:fill="auto"/>
            <w:vAlign w:val="bottom"/>
          </w:tcPr>
          <w:p w:rsidR="00D7781D" w:rsidRPr="000F7862" w:rsidRDefault="00D7781D" w:rsidP="00D7781D">
            <w:pPr>
              <w:spacing w:before="40" w:after="40" w:line="220" w:lineRule="exact"/>
              <w:rPr>
                <w:sz w:val="18"/>
                <w:szCs w:val="18"/>
                <w:lang w:val="fr-FR"/>
              </w:rPr>
            </w:pPr>
            <w:r w:rsidRPr="000F7862">
              <w:rPr>
                <w:sz w:val="18"/>
                <w:szCs w:val="18"/>
                <w:lang w:val="fr-FR"/>
              </w:rPr>
              <w:t>Agriculture, foresterie et pêche</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11 956</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12 267</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12 093</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12 244</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12 265</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11 952</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12 155</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12 100</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12 861</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12 112</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12 467</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11 635</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12 156</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11 542</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11 844</w:t>
            </w:r>
          </w:p>
        </w:tc>
        <w:tc>
          <w:tcPr>
            <w:tcW w:w="575"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11 808</w:t>
            </w:r>
          </w:p>
        </w:tc>
      </w:tr>
      <w:tr w:rsidR="00D7781D" w:rsidRPr="000F7862" w:rsidTr="00D7781D">
        <w:tc>
          <w:tcPr>
            <w:tcW w:w="2784" w:type="dxa"/>
            <w:shd w:val="clear" w:color="auto" w:fill="auto"/>
            <w:vAlign w:val="bottom"/>
          </w:tcPr>
          <w:p w:rsidR="00D7781D" w:rsidRPr="000F7862" w:rsidRDefault="00D7781D" w:rsidP="00D7781D">
            <w:pPr>
              <w:spacing w:before="40" w:after="40" w:line="220" w:lineRule="exact"/>
              <w:rPr>
                <w:sz w:val="18"/>
                <w:szCs w:val="18"/>
                <w:lang w:val="fr-FR"/>
              </w:rPr>
            </w:pPr>
            <w:r w:rsidRPr="000F7862">
              <w:rPr>
                <w:sz w:val="18"/>
                <w:szCs w:val="18"/>
                <w:lang w:val="fr-FR"/>
              </w:rPr>
              <w:t>Industrie</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5 399</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5 530</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5 743</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5 408</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5 375</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5 264</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5 619</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5 629</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5 608</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5 516</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5 860</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5 907</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5 692</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5 867</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6 085</w:t>
            </w:r>
          </w:p>
        </w:tc>
        <w:tc>
          <w:tcPr>
            <w:tcW w:w="575"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5 969</w:t>
            </w:r>
          </w:p>
        </w:tc>
      </w:tr>
      <w:tr w:rsidR="00D7781D" w:rsidRPr="000F7862" w:rsidTr="00D7781D">
        <w:tc>
          <w:tcPr>
            <w:tcW w:w="2784" w:type="dxa"/>
            <w:shd w:val="clear" w:color="auto" w:fill="auto"/>
            <w:vAlign w:val="bottom"/>
          </w:tcPr>
          <w:p w:rsidR="00D7781D" w:rsidRPr="000F7862" w:rsidRDefault="00D7781D" w:rsidP="00D7781D">
            <w:pPr>
              <w:spacing w:before="40" w:after="40" w:line="220" w:lineRule="exact"/>
              <w:rPr>
                <w:sz w:val="18"/>
                <w:szCs w:val="18"/>
                <w:lang w:val="fr-FR"/>
              </w:rPr>
            </w:pPr>
            <w:r w:rsidRPr="000F7862">
              <w:rPr>
                <w:sz w:val="18"/>
                <w:szCs w:val="18"/>
                <w:lang w:val="fr-FR"/>
              </w:rPr>
              <w:t>Services</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18 682</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19 394</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19 764</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18 585</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18 850</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19 074</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19 045</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19 376</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20 082</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19 708</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19 515</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20 015</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19 822</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20 531</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19 889</w:t>
            </w:r>
          </w:p>
        </w:tc>
        <w:tc>
          <w:tcPr>
            <w:tcW w:w="575"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20 398</w:t>
            </w:r>
          </w:p>
        </w:tc>
      </w:tr>
      <w:tr w:rsidR="00D7781D" w:rsidRPr="000F7862" w:rsidTr="00D7781D">
        <w:tc>
          <w:tcPr>
            <w:tcW w:w="2784" w:type="dxa"/>
            <w:shd w:val="clear" w:color="auto" w:fill="auto"/>
            <w:vAlign w:val="bottom"/>
          </w:tcPr>
          <w:p w:rsidR="00D7781D" w:rsidRPr="000F7862" w:rsidRDefault="00D7781D" w:rsidP="00D7781D">
            <w:pPr>
              <w:spacing w:before="40" w:after="40" w:line="220" w:lineRule="exact"/>
              <w:rPr>
                <w:b/>
                <w:sz w:val="18"/>
                <w:szCs w:val="18"/>
                <w:lang w:val="fr-FR"/>
              </w:rPr>
            </w:pPr>
            <w:r w:rsidRPr="000F7862">
              <w:rPr>
                <w:b/>
                <w:sz w:val="18"/>
                <w:szCs w:val="18"/>
                <w:lang w:val="fr-FR"/>
              </w:rPr>
              <w:t>Emploi par classe de travailleur</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p>
        </w:tc>
        <w:tc>
          <w:tcPr>
            <w:tcW w:w="575" w:type="dxa"/>
            <w:shd w:val="clear" w:color="auto" w:fill="auto"/>
            <w:vAlign w:val="bottom"/>
          </w:tcPr>
          <w:p w:rsidR="00D7781D" w:rsidRPr="000F7862" w:rsidRDefault="00D7781D" w:rsidP="00D7781D">
            <w:pPr>
              <w:spacing w:before="40" w:after="40" w:line="220" w:lineRule="exact"/>
              <w:jc w:val="right"/>
              <w:rPr>
                <w:sz w:val="18"/>
                <w:szCs w:val="18"/>
                <w:lang w:val="fr-FR"/>
              </w:rPr>
            </w:pPr>
          </w:p>
        </w:tc>
      </w:tr>
      <w:tr w:rsidR="00D7781D" w:rsidRPr="000F7862" w:rsidTr="00D7781D">
        <w:tc>
          <w:tcPr>
            <w:tcW w:w="2784" w:type="dxa"/>
            <w:shd w:val="clear" w:color="auto" w:fill="auto"/>
            <w:vAlign w:val="bottom"/>
          </w:tcPr>
          <w:p w:rsidR="00D7781D" w:rsidRPr="000F7862" w:rsidRDefault="00D7781D" w:rsidP="00D7781D">
            <w:pPr>
              <w:spacing w:before="40" w:after="40" w:line="220" w:lineRule="exact"/>
              <w:rPr>
                <w:sz w:val="18"/>
                <w:szCs w:val="18"/>
                <w:lang w:val="fr-FR"/>
              </w:rPr>
            </w:pPr>
            <w:r w:rsidRPr="000F7862">
              <w:rPr>
                <w:sz w:val="18"/>
                <w:szCs w:val="18"/>
                <w:lang w:val="fr-FR"/>
              </w:rPr>
              <w:t>Ouvriers et employés</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19 626</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20 538</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21 492</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19 366</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19 773</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19 849</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20 250</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20 897</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21 155</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20 664</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21 113</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22 578</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21 613</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22 832</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21 735</w:t>
            </w:r>
          </w:p>
        </w:tc>
        <w:tc>
          <w:tcPr>
            <w:tcW w:w="575"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22 212</w:t>
            </w:r>
          </w:p>
        </w:tc>
      </w:tr>
      <w:tr w:rsidR="00D7781D" w:rsidRPr="000F7862" w:rsidTr="00D7781D">
        <w:tc>
          <w:tcPr>
            <w:tcW w:w="2784" w:type="dxa"/>
            <w:shd w:val="clear" w:color="auto" w:fill="auto"/>
            <w:vAlign w:val="bottom"/>
          </w:tcPr>
          <w:p w:rsidR="00D7781D" w:rsidRPr="000F7862" w:rsidRDefault="00D7781D" w:rsidP="00D7781D">
            <w:pPr>
              <w:spacing w:before="40" w:after="40" w:line="220" w:lineRule="exact"/>
              <w:ind w:left="170"/>
              <w:rPr>
                <w:sz w:val="18"/>
                <w:szCs w:val="18"/>
                <w:lang w:val="fr-FR"/>
              </w:rPr>
            </w:pPr>
            <w:r w:rsidRPr="000F7862">
              <w:rPr>
                <w:sz w:val="18"/>
                <w:szCs w:val="18"/>
                <w:lang w:val="fr-FR"/>
              </w:rPr>
              <w:t>Dans des établissements privés</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14 565</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15 431</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16 377</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14 394</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14 742</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14 855</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15 241</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15 736</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15 893</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15 514</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16 208</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17 334</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16 454</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17 503</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16 743</w:t>
            </w:r>
          </w:p>
        </w:tc>
        <w:tc>
          <w:tcPr>
            <w:tcW w:w="575"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17 040</w:t>
            </w:r>
          </w:p>
        </w:tc>
      </w:tr>
      <w:tr w:rsidR="00D7781D" w:rsidRPr="000F7862" w:rsidTr="00D7781D">
        <w:tc>
          <w:tcPr>
            <w:tcW w:w="2784" w:type="dxa"/>
            <w:shd w:val="clear" w:color="auto" w:fill="auto"/>
            <w:vAlign w:val="bottom"/>
          </w:tcPr>
          <w:p w:rsidR="00D7781D" w:rsidRPr="000F7862" w:rsidRDefault="00D7781D" w:rsidP="00D7781D">
            <w:pPr>
              <w:spacing w:before="40" w:after="40" w:line="220" w:lineRule="exact"/>
              <w:rPr>
                <w:sz w:val="18"/>
                <w:szCs w:val="18"/>
                <w:lang w:val="fr-FR"/>
              </w:rPr>
            </w:pPr>
            <w:r w:rsidRPr="000F7862">
              <w:rPr>
                <w:sz w:val="18"/>
                <w:szCs w:val="18"/>
                <w:lang w:val="fr-FR"/>
              </w:rPr>
              <w:t>Employeur, exploitation agricole ou entreprise familiale</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1 394</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1 354</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1 335</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1 388</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1 400</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1 318</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1 297</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1 301</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1 499</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1 308</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1 245</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1 451</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1 338</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1 340</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1 145</w:t>
            </w:r>
          </w:p>
        </w:tc>
        <w:tc>
          <w:tcPr>
            <w:tcW w:w="575"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1 287</w:t>
            </w:r>
          </w:p>
        </w:tc>
      </w:tr>
      <w:tr w:rsidR="00D7781D" w:rsidRPr="000F7862" w:rsidTr="00D7781D">
        <w:tc>
          <w:tcPr>
            <w:tcW w:w="2784" w:type="dxa"/>
            <w:shd w:val="clear" w:color="auto" w:fill="auto"/>
            <w:vAlign w:val="bottom"/>
          </w:tcPr>
          <w:p w:rsidR="00D7781D" w:rsidRPr="000F7862" w:rsidRDefault="00D7781D" w:rsidP="00D7781D">
            <w:pPr>
              <w:spacing w:before="40" w:after="40" w:line="220" w:lineRule="exact"/>
              <w:rPr>
                <w:sz w:val="18"/>
                <w:szCs w:val="18"/>
                <w:lang w:val="fr-FR"/>
              </w:rPr>
            </w:pPr>
            <w:r w:rsidRPr="000F7862">
              <w:rPr>
                <w:sz w:val="18"/>
                <w:szCs w:val="18"/>
                <w:lang w:val="fr-FR"/>
              </w:rPr>
              <w:t>Travailleur indépendant</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10 858</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10 994</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10 626</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11 138</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11 035</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11 030</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10 904</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10 941</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11 101</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11 025</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10 959</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9 901</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10 619</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10 191</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10 812</w:t>
            </w:r>
          </w:p>
        </w:tc>
        <w:tc>
          <w:tcPr>
            <w:tcW w:w="575"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10 821</w:t>
            </w:r>
          </w:p>
        </w:tc>
      </w:tr>
      <w:tr w:rsidR="00D7781D" w:rsidRPr="000F7862" w:rsidTr="00D7781D">
        <w:tc>
          <w:tcPr>
            <w:tcW w:w="2784" w:type="dxa"/>
            <w:shd w:val="clear" w:color="auto" w:fill="auto"/>
            <w:vAlign w:val="bottom"/>
          </w:tcPr>
          <w:p w:rsidR="00D7781D" w:rsidRPr="000F7862" w:rsidRDefault="00D7781D" w:rsidP="00D7781D">
            <w:pPr>
              <w:spacing w:before="40" w:after="40" w:line="220" w:lineRule="exact"/>
              <w:rPr>
                <w:sz w:val="18"/>
                <w:szCs w:val="18"/>
                <w:lang w:val="fr-FR"/>
              </w:rPr>
            </w:pPr>
            <w:r w:rsidRPr="000F7862">
              <w:rPr>
                <w:sz w:val="18"/>
                <w:szCs w:val="18"/>
                <w:lang w:val="fr-FR"/>
              </w:rPr>
              <w:t>Aide familiale non rémunérée</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4 157</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4 306</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4 147</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4 346</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4 280</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4 096</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4 369</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3 966</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4 795</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4 337</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4 525</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3 624</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4 100</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3 576</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4 126</w:t>
            </w:r>
          </w:p>
        </w:tc>
        <w:tc>
          <w:tcPr>
            <w:tcW w:w="575"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3 856</w:t>
            </w:r>
          </w:p>
        </w:tc>
      </w:tr>
      <w:tr w:rsidR="00D7781D" w:rsidRPr="000F7862" w:rsidTr="00D7781D">
        <w:tc>
          <w:tcPr>
            <w:tcW w:w="2784" w:type="dxa"/>
            <w:shd w:val="clear" w:color="auto" w:fill="auto"/>
            <w:vAlign w:val="bottom"/>
          </w:tcPr>
          <w:p w:rsidR="00D7781D" w:rsidRPr="000F7862" w:rsidRDefault="00D7781D" w:rsidP="00D7781D">
            <w:pPr>
              <w:spacing w:before="40" w:after="40" w:line="220" w:lineRule="exact"/>
              <w:rPr>
                <w:sz w:val="18"/>
                <w:szCs w:val="18"/>
                <w:lang w:val="fr-FR"/>
              </w:rPr>
            </w:pPr>
            <w:r w:rsidRPr="000F7862">
              <w:rPr>
                <w:sz w:val="18"/>
                <w:szCs w:val="18"/>
                <w:lang w:val="fr-FR"/>
              </w:rPr>
              <w:t>% des travailleurs indépendants et des travailleurs familiaux non rémunérés dans l</w:t>
            </w:r>
            <w:r w:rsidR="00120E2E" w:rsidRPr="000F7862">
              <w:rPr>
                <w:sz w:val="18"/>
                <w:szCs w:val="18"/>
                <w:lang w:val="fr-FR"/>
              </w:rPr>
              <w:t>’</w:t>
            </w:r>
            <w:r w:rsidRPr="000F7862">
              <w:rPr>
                <w:sz w:val="18"/>
                <w:szCs w:val="18"/>
                <w:lang w:val="fr-FR"/>
              </w:rPr>
              <w:t>emploi total</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41,7</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41,1</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39,3</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42,7</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42,0</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41,7</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41,5</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40,2</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41,2</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41,1</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40,9</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36,0</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39,1</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36,3</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39,5</w:t>
            </w:r>
          </w:p>
        </w:tc>
        <w:tc>
          <w:tcPr>
            <w:tcW w:w="575"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38,4</w:t>
            </w:r>
          </w:p>
        </w:tc>
      </w:tr>
      <w:tr w:rsidR="00D7781D" w:rsidRPr="000F7862" w:rsidTr="00D7781D">
        <w:tc>
          <w:tcPr>
            <w:tcW w:w="2784" w:type="dxa"/>
            <w:shd w:val="clear" w:color="auto" w:fill="auto"/>
            <w:vAlign w:val="bottom"/>
          </w:tcPr>
          <w:p w:rsidR="00D7781D" w:rsidRPr="000F7862" w:rsidRDefault="00D7781D" w:rsidP="00D7781D">
            <w:pPr>
              <w:keepNext/>
              <w:spacing w:before="40" w:after="40" w:line="220" w:lineRule="exact"/>
              <w:rPr>
                <w:b/>
                <w:sz w:val="18"/>
                <w:szCs w:val="18"/>
                <w:lang w:val="fr-FR"/>
              </w:rPr>
            </w:pPr>
            <w:r w:rsidRPr="000F7862">
              <w:rPr>
                <w:b/>
                <w:sz w:val="18"/>
                <w:szCs w:val="18"/>
                <w:lang w:val="fr-FR"/>
              </w:rPr>
              <w:t>Jeunes, 15-24 ans</w:t>
            </w:r>
          </w:p>
        </w:tc>
        <w:tc>
          <w:tcPr>
            <w:tcW w:w="600" w:type="dxa"/>
            <w:shd w:val="clear" w:color="auto" w:fill="auto"/>
            <w:vAlign w:val="bottom"/>
          </w:tcPr>
          <w:p w:rsidR="00D7781D" w:rsidRPr="000F7862" w:rsidRDefault="00D7781D" w:rsidP="00D7781D">
            <w:pPr>
              <w:keepNext/>
              <w:spacing w:before="40" w:after="40" w:line="220" w:lineRule="exact"/>
              <w:jc w:val="right"/>
              <w:rPr>
                <w:sz w:val="18"/>
                <w:szCs w:val="18"/>
                <w:lang w:val="fr-FR"/>
              </w:rPr>
            </w:pPr>
          </w:p>
        </w:tc>
        <w:tc>
          <w:tcPr>
            <w:tcW w:w="600" w:type="dxa"/>
            <w:shd w:val="clear" w:color="auto" w:fill="auto"/>
            <w:vAlign w:val="bottom"/>
          </w:tcPr>
          <w:p w:rsidR="00D7781D" w:rsidRPr="000F7862" w:rsidRDefault="00D7781D" w:rsidP="00D7781D">
            <w:pPr>
              <w:keepNext/>
              <w:spacing w:before="40" w:after="40" w:line="220" w:lineRule="exact"/>
              <w:jc w:val="right"/>
              <w:rPr>
                <w:sz w:val="18"/>
                <w:szCs w:val="18"/>
                <w:lang w:val="fr-FR"/>
              </w:rPr>
            </w:pPr>
          </w:p>
        </w:tc>
        <w:tc>
          <w:tcPr>
            <w:tcW w:w="600" w:type="dxa"/>
            <w:shd w:val="clear" w:color="auto" w:fill="auto"/>
            <w:vAlign w:val="bottom"/>
          </w:tcPr>
          <w:p w:rsidR="00D7781D" w:rsidRPr="000F7862" w:rsidRDefault="00D7781D" w:rsidP="00D7781D">
            <w:pPr>
              <w:keepNext/>
              <w:spacing w:before="40" w:after="40" w:line="220" w:lineRule="exact"/>
              <w:jc w:val="right"/>
              <w:rPr>
                <w:sz w:val="18"/>
                <w:szCs w:val="18"/>
                <w:lang w:val="fr-FR"/>
              </w:rPr>
            </w:pPr>
          </w:p>
        </w:tc>
        <w:tc>
          <w:tcPr>
            <w:tcW w:w="600" w:type="dxa"/>
            <w:shd w:val="clear" w:color="auto" w:fill="auto"/>
            <w:vAlign w:val="bottom"/>
          </w:tcPr>
          <w:p w:rsidR="00D7781D" w:rsidRPr="000F7862" w:rsidRDefault="00D7781D" w:rsidP="00D7781D">
            <w:pPr>
              <w:keepNext/>
              <w:spacing w:before="40" w:after="40" w:line="220" w:lineRule="exact"/>
              <w:jc w:val="right"/>
              <w:rPr>
                <w:sz w:val="18"/>
                <w:szCs w:val="18"/>
                <w:lang w:val="fr-FR"/>
              </w:rPr>
            </w:pPr>
          </w:p>
        </w:tc>
        <w:tc>
          <w:tcPr>
            <w:tcW w:w="600" w:type="dxa"/>
            <w:shd w:val="clear" w:color="auto" w:fill="auto"/>
            <w:vAlign w:val="bottom"/>
          </w:tcPr>
          <w:p w:rsidR="00D7781D" w:rsidRPr="000F7862" w:rsidRDefault="00D7781D" w:rsidP="00D7781D">
            <w:pPr>
              <w:keepNext/>
              <w:spacing w:before="40" w:after="40" w:line="220" w:lineRule="exact"/>
              <w:jc w:val="right"/>
              <w:rPr>
                <w:sz w:val="18"/>
                <w:szCs w:val="18"/>
                <w:lang w:val="fr-FR"/>
              </w:rPr>
            </w:pPr>
          </w:p>
        </w:tc>
        <w:tc>
          <w:tcPr>
            <w:tcW w:w="600" w:type="dxa"/>
            <w:shd w:val="clear" w:color="auto" w:fill="auto"/>
            <w:vAlign w:val="bottom"/>
          </w:tcPr>
          <w:p w:rsidR="00D7781D" w:rsidRPr="000F7862" w:rsidRDefault="00D7781D" w:rsidP="00D7781D">
            <w:pPr>
              <w:keepNext/>
              <w:spacing w:before="40" w:after="40" w:line="220" w:lineRule="exact"/>
              <w:jc w:val="right"/>
              <w:rPr>
                <w:sz w:val="18"/>
                <w:szCs w:val="18"/>
                <w:lang w:val="fr-FR"/>
              </w:rPr>
            </w:pPr>
          </w:p>
        </w:tc>
        <w:tc>
          <w:tcPr>
            <w:tcW w:w="600" w:type="dxa"/>
            <w:shd w:val="clear" w:color="auto" w:fill="auto"/>
            <w:vAlign w:val="bottom"/>
          </w:tcPr>
          <w:p w:rsidR="00D7781D" w:rsidRPr="000F7862" w:rsidRDefault="00D7781D" w:rsidP="00D7781D">
            <w:pPr>
              <w:keepNext/>
              <w:spacing w:before="40" w:after="40" w:line="220" w:lineRule="exact"/>
              <w:jc w:val="right"/>
              <w:rPr>
                <w:sz w:val="18"/>
                <w:szCs w:val="18"/>
                <w:lang w:val="fr-FR"/>
              </w:rPr>
            </w:pPr>
          </w:p>
        </w:tc>
        <w:tc>
          <w:tcPr>
            <w:tcW w:w="600" w:type="dxa"/>
            <w:shd w:val="clear" w:color="auto" w:fill="auto"/>
            <w:vAlign w:val="bottom"/>
          </w:tcPr>
          <w:p w:rsidR="00D7781D" w:rsidRPr="000F7862" w:rsidRDefault="00D7781D" w:rsidP="00D7781D">
            <w:pPr>
              <w:keepNext/>
              <w:spacing w:before="40" w:after="40" w:line="220" w:lineRule="exact"/>
              <w:jc w:val="right"/>
              <w:rPr>
                <w:sz w:val="18"/>
                <w:szCs w:val="18"/>
                <w:lang w:val="fr-FR"/>
              </w:rPr>
            </w:pPr>
          </w:p>
        </w:tc>
        <w:tc>
          <w:tcPr>
            <w:tcW w:w="600" w:type="dxa"/>
            <w:shd w:val="clear" w:color="auto" w:fill="auto"/>
            <w:vAlign w:val="bottom"/>
          </w:tcPr>
          <w:p w:rsidR="00D7781D" w:rsidRPr="000F7862" w:rsidRDefault="00D7781D" w:rsidP="00D7781D">
            <w:pPr>
              <w:keepNext/>
              <w:spacing w:before="40" w:after="40" w:line="220" w:lineRule="exact"/>
              <w:jc w:val="right"/>
              <w:rPr>
                <w:sz w:val="18"/>
                <w:szCs w:val="18"/>
                <w:lang w:val="fr-FR"/>
              </w:rPr>
            </w:pPr>
          </w:p>
        </w:tc>
        <w:tc>
          <w:tcPr>
            <w:tcW w:w="600" w:type="dxa"/>
            <w:shd w:val="clear" w:color="auto" w:fill="auto"/>
            <w:vAlign w:val="bottom"/>
          </w:tcPr>
          <w:p w:rsidR="00D7781D" w:rsidRPr="000F7862" w:rsidRDefault="00D7781D" w:rsidP="00D7781D">
            <w:pPr>
              <w:keepNext/>
              <w:spacing w:before="40" w:after="40" w:line="220" w:lineRule="exact"/>
              <w:jc w:val="right"/>
              <w:rPr>
                <w:sz w:val="18"/>
                <w:szCs w:val="18"/>
                <w:lang w:val="fr-FR"/>
              </w:rPr>
            </w:pPr>
          </w:p>
        </w:tc>
        <w:tc>
          <w:tcPr>
            <w:tcW w:w="600" w:type="dxa"/>
            <w:shd w:val="clear" w:color="auto" w:fill="auto"/>
            <w:vAlign w:val="bottom"/>
          </w:tcPr>
          <w:p w:rsidR="00D7781D" w:rsidRPr="000F7862" w:rsidRDefault="00D7781D" w:rsidP="00D7781D">
            <w:pPr>
              <w:keepNext/>
              <w:spacing w:before="40" w:after="40" w:line="220" w:lineRule="exact"/>
              <w:jc w:val="right"/>
              <w:rPr>
                <w:sz w:val="18"/>
                <w:szCs w:val="18"/>
                <w:lang w:val="fr-FR"/>
              </w:rPr>
            </w:pPr>
          </w:p>
        </w:tc>
        <w:tc>
          <w:tcPr>
            <w:tcW w:w="600" w:type="dxa"/>
            <w:shd w:val="clear" w:color="auto" w:fill="auto"/>
            <w:vAlign w:val="bottom"/>
          </w:tcPr>
          <w:p w:rsidR="00D7781D" w:rsidRPr="000F7862" w:rsidRDefault="00D7781D" w:rsidP="00D7781D">
            <w:pPr>
              <w:keepNext/>
              <w:spacing w:before="40" w:after="40" w:line="220" w:lineRule="exact"/>
              <w:jc w:val="right"/>
              <w:rPr>
                <w:sz w:val="18"/>
                <w:szCs w:val="18"/>
                <w:lang w:val="fr-FR"/>
              </w:rPr>
            </w:pPr>
          </w:p>
        </w:tc>
        <w:tc>
          <w:tcPr>
            <w:tcW w:w="600" w:type="dxa"/>
            <w:shd w:val="clear" w:color="auto" w:fill="auto"/>
            <w:vAlign w:val="bottom"/>
          </w:tcPr>
          <w:p w:rsidR="00D7781D" w:rsidRPr="000F7862" w:rsidRDefault="00D7781D" w:rsidP="00D7781D">
            <w:pPr>
              <w:keepNext/>
              <w:spacing w:before="40" w:after="40" w:line="220" w:lineRule="exact"/>
              <w:jc w:val="right"/>
              <w:rPr>
                <w:sz w:val="18"/>
                <w:szCs w:val="18"/>
                <w:lang w:val="fr-FR"/>
              </w:rPr>
            </w:pPr>
          </w:p>
        </w:tc>
        <w:tc>
          <w:tcPr>
            <w:tcW w:w="600" w:type="dxa"/>
            <w:shd w:val="clear" w:color="auto" w:fill="auto"/>
            <w:vAlign w:val="bottom"/>
          </w:tcPr>
          <w:p w:rsidR="00D7781D" w:rsidRPr="000F7862" w:rsidRDefault="00D7781D" w:rsidP="00D7781D">
            <w:pPr>
              <w:keepNext/>
              <w:spacing w:before="40" w:after="40" w:line="220" w:lineRule="exact"/>
              <w:jc w:val="right"/>
              <w:rPr>
                <w:sz w:val="18"/>
                <w:szCs w:val="18"/>
                <w:lang w:val="fr-FR"/>
              </w:rPr>
            </w:pPr>
          </w:p>
        </w:tc>
        <w:tc>
          <w:tcPr>
            <w:tcW w:w="600" w:type="dxa"/>
            <w:shd w:val="clear" w:color="auto" w:fill="auto"/>
            <w:vAlign w:val="bottom"/>
          </w:tcPr>
          <w:p w:rsidR="00D7781D" w:rsidRPr="000F7862" w:rsidRDefault="00D7781D" w:rsidP="00D7781D">
            <w:pPr>
              <w:keepNext/>
              <w:spacing w:before="40" w:after="40" w:line="220" w:lineRule="exact"/>
              <w:jc w:val="right"/>
              <w:rPr>
                <w:sz w:val="18"/>
                <w:szCs w:val="18"/>
                <w:lang w:val="fr-FR"/>
              </w:rPr>
            </w:pPr>
          </w:p>
        </w:tc>
        <w:tc>
          <w:tcPr>
            <w:tcW w:w="575" w:type="dxa"/>
            <w:shd w:val="clear" w:color="auto" w:fill="auto"/>
            <w:vAlign w:val="bottom"/>
          </w:tcPr>
          <w:p w:rsidR="00D7781D" w:rsidRPr="000F7862" w:rsidRDefault="00D7781D" w:rsidP="00D7781D">
            <w:pPr>
              <w:keepNext/>
              <w:spacing w:before="40" w:after="40" w:line="220" w:lineRule="exact"/>
              <w:jc w:val="right"/>
              <w:rPr>
                <w:sz w:val="18"/>
                <w:szCs w:val="18"/>
                <w:lang w:val="fr-FR"/>
              </w:rPr>
            </w:pPr>
          </w:p>
        </w:tc>
      </w:tr>
      <w:tr w:rsidR="00D7781D" w:rsidRPr="000F7862" w:rsidTr="00D7781D">
        <w:tc>
          <w:tcPr>
            <w:tcW w:w="2784" w:type="dxa"/>
            <w:shd w:val="clear" w:color="auto" w:fill="auto"/>
            <w:vAlign w:val="bottom"/>
          </w:tcPr>
          <w:p w:rsidR="00D7781D" w:rsidRPr="000F7862" w:rsidRDefault="00D7781D" w:rsidP="00D7781D">
            <w:pPr>
              <w:keepNext/>
              <w:spacing w:before="40" w:after="40" w:line="220" w:lineRule="exact"/>
              <w:rPr>
                <w:sz w:val="18"/>
                <w:szCs w:val="18"/>
                <w:lang w:val="fr-FR"/>
              </w:rPr>
            </w:pPr>
            <w:r w:rsidRPr="000F7862">
              <w:rPr>
                <w:sz w:val="18"/>
                <w:szCs w:val="18"/>
                <w:lang w:val="fr-FR"/>
              </w:rPr>
              <w:t>Main-d</w:t>
            </w:r>
            <w:r w:rsidR="00120E2E" w:rsidRPr="000F7862">
              <w:rPr>
                <w:sz w:val="18"/>
                <w:szCs w:val="18"/>
                <w:lang w:val="fr-FR"/>
              </w:rPr>
              <w:t>’</w:t>
            </w:r>
            <w:r w:rsidRPr="000F7862">
              <w:rPr>
                <w:sz w:val="18"/>
                <w:szCs w:val="18"/>
                <w:lang w:val="fr-FR"/>
              </w:rPr>
              <w:t>œuvre</w:t>
            </w:r>
          </w:p>
        </w:tc>
        <w:tc>
          <w:tcPr>
            <w:tcW w:w="600" w:type="dxa"/>
            <w:shd w:val="clear" w:color="auto" w:fill="auto"/>
            <w:vAlign w:val="bottom"/>
          </w:tcPr>
          <w:p w:rsidR="00D7781D" w:rsidRPr="000F7862" w:rsidRDefault="00D7781D" w:rsidP="00D7781D">
            <w:pPr>
              <w:keepNext/>
              <w:spacing w:before="40" w:after="40" w:line="220" w:lineRule="exact"/>
              <w:jc w:val="right"/>
              <w:rPr>
                <w:sz w:val="18"/>
                <w:szCs w:val="18"/>
                <w:lang w:val="fr-FR"/>
              </w:rPr>
            </w:pPr>
            <w:r w:rsidRPr="000F7862">
              <w:rPr>
                <w:sz w:val="18"/>
                <w:szCs w:val="18"/>
                <w:lang w:val="fr-FR"/>
              </w:rPr>
              <w:t>8 276</w:t>
            </w:r>
          </w:p>
        </w:tc>
        <w:tc>
          <w:tcPr>
            <w:tcW w:w="600" w:type="dxa"/>
            <w:shd w:val="clear" w:color="auto" w:fill="auto"/>
            <w:vAlign w:val="bottom"/>
          </w:tcPr>
          <w:p w:rsidR="00D7781D" w:rsidRPr="000F7862" w:rsidRDefault="00D7781D" w:rsidP="00D7781D">
            <w:pPr>
              <w:keepNext/>
              <w:spacing w:before="40" w:after="40" w:line="220" w:lineRule="exact"/>
              <w:jc w:val="right"/>
              <w:rPr>
                <w:sz w:val="18"/>
                <w:szCs w:val="18"/>
                <w:lang w:val="fr-FR"/>
              </w:rPr>
            </w:pPr>
            <w:r w:rsidRPr="000F7862">
              <w:rPr>
                <w:sz w:val="18"/>
                <w:szCs w:val="18"/>
                <w:lang w:val="fr-FR"/>
              </w:rPr>
              <w:t>8 675</w:t>
            </w:r>
          </w:p>
        </w:tc>
        <w:tc>
          <w:tcPr>
            <w:tcW w:w="600" w:type="dxa"/>
            <w:shd w:val="clear" w:color="auto" w:fill="auto"/>
            <w:vAlign w:val="bottom"/>
          </w:tcPr>
          <w:p w:rsidR="00D7781D" w:rsidRPr="000F7862" w:rsidRDefault="00D7781D" w:rsidP="00D7781D">
            <w:pPr>
              <w:keepNext/>
              <w:spacing w:before="40" w:after="40" w:line="220" w:lineRule="exact"/>
              <w:jc w:val="right"/>
              <w:rPr>
                <w:sz w:val="18"/>
                <w:szCs w:val="18"/>
                <w:lang w:val="fr-FR"/>
              </w:rPr>
            </w:pPr>
            <w:r w:rsidRPr="000F7862">
              <w:rPr>
                <w:sz w:val="18"/>
                <w:szCs w:val="18"/>
                <w:lang w:val="fr-FR"/>
              </w:rPr>
              <w:t>8 734</w:t>
            </w:r>
          </w:p>
        </w:tc>
        <w:tc>
          <w:tcPr>
            <w:tcW w:w="600" w:type="dxa"/>
            <w:shd w:val="clear" w:color="auto" w:fill="auto"/>
            <w:vAlign w:val="bottom"/>
          </w:tcPr>
          <w:p w:rsidR="00D7781D" w:rsidRPr="000F7862" w:rsidRDefault="00D7781D" w:rsidP="00D7781D">
            <w:pPr>
              <w:keepNext/>
              <w:spacing w:before="40" w:after="40" w:line="220" w:lineRule="exact"/>
              <w:jc w:val="right"/>
              <w:rPr>
                <w:sz w:val="18"/>
                <w:szCs w:val="18"/>
                <w:lang w:val="fr-FR"/>
              </w:rPr>
            </w:pPr>
            <w:r w:rsidRPr="000F7862">
              <w:rPr>
                <w:sz w:val="18"/>
                <w:szCs w:val="18"/>
                <w:lang w:val="fr-FR"/>
              </w:rPr>
              <w:t>8 225</w:t>
            </w:r>
          </w:p>
        </w:tc>
        <w:tc>
          <w:tcPr>
            <w:tcW w:w="600" w:type="dxa"/>
            <w:shd w:val="clear" w:color="auto" w:fill="auto"/>
            <w:vAlign w:val="bottom"/>
          </w:tcPr>
          <w:p w:rsidR="00D7781D" w:rsidRPr="000F7862" w:rsidRDefault="00D7781D" w:rsidP="00D7781D">
            <w:pPr>
              <w:keepNext/>
              <w:spacing w:before="40" w:after="40" w:line="220" w:lineRule="exact"/>
              <w:jc w:val="right"/>
              <w:rPr>
                <w:sz w:val="18"/>
                <w:szCs w:val="18"/>
                <w:lang w:val="fr-FR"/>
              </w:rPr>
            </w:pPr>
            <w:r w:rsidRPr="000F7862">
              <w:rPr>
                <w:sz w:val="18"/>
                <w:szCs w:val="18"/>
                <w:lang w:val="fr-FR"/>
              </w:rPr>
              <w:t>8 288</w:t>
            </w:r>
          </w:p>
        </w:tc>
        <w:tc>
          <w:tcPr>
            <w:tcW w:w="600" w:type="dxa"/>
            <w:shd w:val="clear" w:color="auto" w:fill="auto"/>
            <w:vAlign w:val="bottom"/>
          </w:tcPr>
          <w:p w:rsidR="00D7781D" w:rsidRPr="000F7862" w:rsidRDefault="00D7781D" w:rsidP="00D7781D">
            <w:pPr>
              <w:keepNext/>
              <w:spacing w:before="40" w:after="40" w:line="220" w:lineRule="exact"/>
              <w:jc w:val="right"/>
              <w:rPr>
                <w:sz w:val="18"/>
                <w:szCs w:val="18"/>
                <w:lang w:val="fr-FR"/>
              </w:rPr>
            </w:pPr>
            <w:r w:rsidRPr="000F7862">
              <w:rPr>
                <w:sz w:val="18"/>
                <w:szCs w:val="18"/>
                <w:lang w:val="fr-FR"/>
              </w:rPr>
              <w:t>8 309</w:t>
            </w:r>
          </w:p>
        </w:tc>
        <w:tc>
          <w:tcPr>
            <w:tcW w:w="600" w:type="dxa"/>
            <w:shd w:val="clear" w:color="auto" w:fill="auto"/>
            <w:vAlign w:val="bottom"/>
          </w:tcPr>
          <w:p w:rsidR="00D7781D" w:rsidRPr="000F7862" w:rsidRDefault="00D7781D" w:rsidP="00D7781D">
            <w:pPr>
              <w:keepNext/>
              <w:spacing w:before="40" w:after="40" w:line="220" w:lineRule="exact"/>
              <w:jc w:val="right"/>
              <w:rPr>
                <w:sz w:val="18"/>
                <w:szCs w:val="18"/>
                <w:lang w:val="fr-FR"/>
              </w:rPr>
            </w:pPr>
            <w:r w:rsidRPr="000F7862">
              <w:rPr>
                <w:sz w:val="18"/>
                <w:szCs w:val="18"/>
                <w:lang w:val="fr-FR"/>
              </w:rPr>
              <w:t>8 637</w:t>
            </w:r>
          </w:p>
        </w:tc>
        <w:tc>
          <w:tcPr>
            <w:tcW w:w="600" w:type="dxa"/>
            <w:shd w:val="clear" w:color="auto" w:fill="auto"/>
            <w:vAlign w:val="bottom"/>
          </w:tcPr>
          <w:p w:rsidR="00D7781D" w:rsidRPr="000F7862" w:rsidRDefault="00D7781D" w:rsidP="00D7781D">
            <w:pPr>
              <w:keepNext/>
              <w:spacing w:before="40" w:after="40" w:line="220" w:lineRule="exact"/>
              <w:jc w:val="right"/>
              <w:rPr>
                <w:sz w:val="18"/>
                <w:szCs w:val="18"/>
                <w:lang w:val="fr-FR"/>
              </w:rPr>
            </w:pPr>
            <w:r w:rsidRPr="000F7862">
              <w:rPr>
                <w:sz w:val="18"/>
                <w:szCs w:val="18"/>
                <w:lang w:val="fr-FR"/>
              </w:rPr>
              <w:t>8 388</w:t>
            </w:r>
          </w:p>
        </w:tc>
        <w:tc>
          <w:tcPr>
            <w:tcW w:w="600" w:type="dxa"/>
            <w:shd w:val="clear" w:color="auto" w:fill="auto"/>
            <w:vAlign w:val="bottom"/>
          </w:tcPr>
          <w:p w:rsidR="00D7781D" w:rsidRPr="000F7862" w:rsidRDefault="00D7781D" w:rsidP="00D7781D">
            <w:pPr>
              <w:keepNext/>
              <w:spacing w:before="40" w:after="40" w:line="220" w:lineRule="exact"/>
              <w:jc w:val="right"/>
              <w:rPr>
                <w:sz w:val="18"/>
                <w:szCs w:val="18"/>
                <w:lang w:val="fr-FR"/>
              </w:rPr>
            </w:pPr>
            <w:r w:rsidRPr="000F7862">
              <w:rPr>
                <w:sz w:val="18"/>
                <w:szCs w:val="18"/>
                <w:lang w:val="fr-FR"/>
              </w:rPr>
              <w:t>9 366</w:t>
            </w:r>
          </w:p>
        </w:tc>
        <w:tc>
          <w:tcPr>
            <w:tcW w:w="600" w:type="dxa"/>
            <w:shd w:val="clear" w:color="auto" w:fill="auto"/>
            <w:vAlign w:val="bottom"/>
          </w:tcPr>
          <w:p w:rsidR="00D7781D" w:rsidRPr="000F7862" w:rsidRDefault="00D7781D" w:rsidP="00D7781D">
            <w:pPr>
              <w:keepNext/>
              <w:spacing w:before="40" w:after="40" w:line="220" w:lineRule="exact"/>
              <w:jc w:val="right"/>
              <w:rPr>
                <w:sz w:val="18"/>
                <w:szCs w:val="18"/>
                <w:lang w:val="fr-FR"/>
              </w:rPr>
            </w:pPr>
            <w:r w:rsidRPr="000F7862">
              <w:rPr>
                <w:sz w:val="18"/>
                <w:szCs w:val="18"/>
                <w:lang w:val="fr-FR"/>
              </w:rPr>
              <w:t>8 609</w:t>
            </w:r>
          </w:p>
        </w:tc>
        <w:tc>
          <w:tcPr>
            <w:tcW w:w="600" w:type="dxa"/>
            <w:shd w:val="clear" w:color="auto" w:fill="auto"/>
            <w:vAlign w:val="bottom"/>
          </w:tcPr>
          <w:p w:rsidR="00D7781D" w:rsidRPr="000F7862" w:rsidRDefault="00D7781D" w:rsidP="00D7781D">
            <w:pPr>
              <w:keepNext/>
              <w:spacing w:before="40" w:after="40" w:line="220" w:lineRule="exact"/>
              <w:jc w:val="right"/>
              <w:rPr>
                <w:sz w:val="18"/>
                <w:szCs w:val="18"/>
                <w:lang w:val="fr-FR"/>
              </w:rPr>
            </w:pPr>
            <w:r w:rsidRPr="000F7862">
              <w:rPr>
                <w:sz w:val="18"/>
                <w:szCs w:val="18"/>
                <w:lang w:val="fr-FR"/>
              </w:rPr>
              <w:t>9 062</w:t>
            </w:r>
          </w:p>
        </w:tc>
        <w:tc>
          <w:tcPr>
            <w:tcW w:w="600" w:type="dxa"/>
            <w:shd w:val="clear" w:color="auto" w:fill="auto"/>
            <w:vAlign w:val="bottom"/>
          </w:tcPr>
          <w:p w:rsidR="00D7781D" w:rsidRPr="000F7862" w:rsidRDefault="00D7781D" w:rsidP="00D7781D">
            <w:pPr>
              <w:keepNext/>
              <w:spacing w:before="40" w:after="40" w:line="220" w:lineRule="exact"/>
              <w:jc w:val="right"/>
              <w:rPr>
                <w:sz w:val="18"/>
                <w:szCs w:val="18"/>
                <w:lang w:val="fr-FR"/>
              </w:rPr>
            </w:pPr>
            <w:r w:rsidRPr="000F7862">
              <w:rPr>
                <w:sz w:val="18"/>
                <w:szCs w:val="18"/>
                <w:lang w:val="fr-FR"/>
              </w:rPr>
              <w:t>8 560</w:t>
            </w:r>
          </w:p>
        </w:tc>
        <w:tc>
          <w:tcPr>
            <w:tcW w:w="600" w:type="dxa"/>
            <w:shd w:val="clear" w:color="auto" w:fill="auto"/>
            <w:vAlign w:val="bottom"/>
          </w:tcPr>
          <w:p w:rsidR="00D7781D" w:rsidRPr="000F7862" w:rsidRDefault="00D7781D" w:rsidP="00D7781D">
            <w:pPr>
              <w:keepNext/>
              <w:spacing w:before="40" w:after="40" w:line="220" w:lineRule="exact"/>
              <w:jc w:val="right"/>
              <w:rPr>
                <w:sz w:val="18"/>
                <w:szCs w:val="18"/>
                <w:lang w:val="fr-FR"/>
              </w:rPr>
            </w:pPr>
            <w:r w:rsidRPr="000F7862">
              <w:rPr>
                <w:sz w:val="18"/>
                <w:szCs w:val="18"/>
                <w:lang w:val="fr-FR"/>
              </w:rPr>
              <w:t>8 703</w:t>
            </w:r>
          </w:p>
        </w:tc>
        <w:tc>
          <w:tcPr>
            <w:tcW w:w="600" w:type="dxa"/>
            <w:shd w:val="clear" w:color="auto" w:fill="auto"/>
            <w:vAlign w:val="bottom"/>
          </w:tcPr>
          <w:p w:rsidR="00D7781D" w:rsidRPr="000F7862" w:rsidRDefault="00D7781D" w:rsidP="00D7781D">
            <w:pPr>
              <w:keepNext/>
              <w:spacing w:before="40" w:after="40" w:line="220" w:lineRule="exact"/>
              <w:jc w:val="right"/>
              <w:rPr>
                <w:sz w:val="18"/>
                <w:szCs w:val="18"/>
                <w:lang w:val="fr-FR"/>
              </w:rPr>
            </w:pPr>
            <w:r w:rsidRPr="000F7862">
              <w:rPr>
                <w:sz w:val="18"/>
                <w:szCs w:val="18"/>
                <w:lang w:val="fr-FR"/>
              </w:rPr>
              <w:t>8 589</w:t>
            </w:r>
          </w:p>
        </w:tc>
        <w:tc>
          <w:tcPr>
            <w:tcW w:w="600" w:type="dxa"/>
            <w:shd w:val="clear" w:color="auto" w:fill="auto"/>
            <w:vAlign w:val="bottom"/>
          </w:tcPr>
          <w:p w:rsidR="00D7781D" w:rsidRPr="000F7862" w:rsidRDefault="00D7781D" w:rsidP="00D7781D">
            <w:pPr>
              <w:keepNext/>
              <w:spacing w:before="40" w:after="40" w:line="220" w:lineRule="exact"/>
              <w:jc w:val="right"/>
              <w:rPr>
                <w:sz w:val="18"/>
                <w:szCs w:val="18"/>
                <w:lang w:val="fr-FR"/>
              </w:rPr>
            </w:pPr>
            <w:r w:rsidRPr="000F7862">
              <w:rPr>
                <w:sz w:val="18"/>
                <w:szCs w:val="18"/>
                <w:lang w:val="fr-FR"/>
              </w:rPr>
              <w:t>8 953</w:t>
            </w:r>
          </w:p>
        </w:tc>
        <w:tc>
          <w:tcPr>
            <w:tcW w:w="575" w:type="dxa"/>
            <w:shd w:val="clear" w:color="auto" w:fill="auto"/>
            <w:vAlign w:val="bottom"/>
          </w:tcPr>
          <w:p w:rsidR="00D7781D" w:rsidRPr="000F7862" w:rsidRDefault="00D7781D" w:rsidP="00D7781D">
            <w:pPr>
              <w:keepNext/>
              <w:spacing w:before="40" w:after="40" w:line="220" w:lineRule="exact"/>
              <w:jc w:val="right"/>
              <w:rPr>
                <w:sz w:val="18"/>
                <w:szCs w:val="18"/>
                <w:lang w:val="fr-FR"/>
              </w:rPr>
            </w:pPr>
            <w:r w:rsidRPr="000F7862">
              <w:rPr>
                <w:sz w:val="18"/>
                <w:szCs w:val="18"/>
                <w:lang w:val="fr-FR"/>
              </w:rPr>
              <w:t>8 726</w:t>
            </w:r>
          </w:p>
        </w:tc>
      </w:tr>
      <w:tr w:rsidR="00D7781D" w:rsidRPr="000F7862" w:rsidTr="00D7781D">
        <w:tc>
          <w:tcPr>
            <w:tcW w:w="2784" w:type="dxa"/>
            <w:shd w:val="clear" w:color="auto" w:fill="auto"/>
            <w:vAlign w:val="bottom"/>
          </w:tcPr>
          <w:p w:rsidR="00D7781D" w:rsidRPr="000F7862" w:rsidRDefault="00D7781D" w:rsidP="00D7781D">
            <w:pPr>
              <w:spacing w:before="40" w:after="40" w:line="220" w:lineRule="exact"/>
              <w:rPr>
                <w:sz w:val="18"/>
                <w:szCs w:val="18"/>
                <w:lang w:val="fr-FR"/>
              </w:rPr>
            </w:pPr>
            <w:r w:rsidRPr="000F7862">
              <w:rPr>
                <w:sz w:val="18"/>
                <w:szCs w:val="18"/>
                <w:lang w:val="fr-FR"/>
              </w:rPr>
              <w:t>Employée</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6 816</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7 258</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7 322</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6 806</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6 910</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6 883</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7 201</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6 890</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8 057</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7 206</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7 611</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7 106</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7 363</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7 162</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7 466</w:t>
            </w:r>
          </w:p>
        </w:tc>
        <w:tc>
          <w:tcPr>
            <w:tcW w:w="575"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7 257</w:t>
            </w:r>
          </w:p>
        </w:tc>
      </w:tr>
      <w:tr w:rsidR="00D7781D" w:rsidRPr="000F7862" w:rsidTr="00D7781D">
        <w:tc>
          <w:tcPr>
            <w:tcW w:w="2784" w:type="dxa"/>
            <w:shd w:val="clear" w:color="auto" w:fill="auto"/>
            <w:vAlign w:val="bottom"/>
          </w:tcPr>
          <w:p w:rsidR="00D7781D" w:rsidRPr="000F7862" w:rsidRDefault="00D7781D" w:rsidP="00D7781D">
            <w:pPr>
              <w:spacing w:before="40" w:after="40" w:line="220" w:lineRule="exact"/>
              <w:rPr>
                <w:sz w:val="18"/>
                <w:szCs w:val="18"/>
                <w:lang w:val="fr-FR"/>
              </w:rPr>
            </w:pPr>
            <w:r w:rsidRPr="000F7862">
              <w:rPr>
                <w:sz w:val="18"/>
                <w:szCs w:val="18"/>
                <w:lang w:val="fr-FR"/>
              </w:rPr>
              <w:t>Au chômage</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1 460</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1 417</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1 412</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1 419</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1 378</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1 426</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1 436</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1 498</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1 310</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1 402</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1 450</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1 455</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1 341</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1 427</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1 487</w:t>
            </w:r>
          </w:p>
        </w:tc>
        <w:tc>
          <w:tcPr>
            <w:tcW w:w="575"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1 469</w:t>
            </w:r>
          </w:p>
        </w:tc>
      </w:tr>
      <w:tr w:rsidR="00D7781D" w:rsidRPr="000F7862" w:rsidTr="00D7781D">
        <w:tc>
          <w:tcPr>
            <w:tcW w:w="2784" w:type="dxa"/>
            <w:shd w:val="clear" w:color="auto" w:fill="auto"/>
            <w:vAlign w:val="bottom"/>
          </w:tcPr>
          <w:p w:rsidR="00D7781D" w:rsidRPr="000F7862" w:rsidRDefault="00D7781D" w:rsidP="00D7781D">
            <w:pPr>
              <w:spacing w:before="40" w:after="40" w:line="220" w:lineRule="exact"/>
              <w:rPr>
                <w:sz w:val="18"/>
                <w:szCs w:val="18"/>
                <w:lang w:val="fr-FR"/>
              </w:rPr>
            </w:pPr>
            <w:r w:rsidRPr="000F7862">
              <w:rPr>
                <w:sz w:val="18"/>
                <w:szCs w:val="18"/>
                <w:lang w:val="fr-FR"/>
              </w:rPr>
              <w:t>Taux d</w:t>
            </w:r>
            <w:r w:rsidR="00120E2E" w:rsidRPr="000F7862">
              <w:rPr>
                <w:sz w:val="18"/>
                <w:szCs w:val="18"/>
                <w:lang w:val="fr-FR"/>
              </w:rPr>
              <w:t>’</w:t>
            </w:r>
            <w:r w:rsidRPr="000F7862">
              <w:rPr>
                <w:sz w:val="18"/>
                <w:szCs w:val="18"/>
                <w:lang w:val="fr-FR"/>
              </w:rPr>
              <w:t>activité (%)</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45,4</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46,7</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46,1</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45,1</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45,2</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45,0</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46,5</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45,1</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50,1</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45,8</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48,0</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45,2</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45,7</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44,8</w:t>
            </w:r>
          </w:p>
        </w:tc>
        <w:tc>
          <w:tcPr>
            <w:tcW w:w="600"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46,5</w:t>
            </w:r>
          </w:p>
        </w:tc>
        <w:tc>
          <w:tcPr>
            <w:tcW w:w="575" w:type="dxa"/>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45,1</w:t>
            </w:r>
          </w:p>
        </w:tc>
      </w:tr>
      <w:tr w:rsidR="00D7781D" w:rsidRPr="000F7862" w:rsidTr="00D7781D">
        <w:tc>
          <w:tcPr>
            <w:tcW w:w="2784" w:type="dxa"/>
            <w:tcBorders>
              <w:bottom w:val="single" w:sz="12" w:space="0" w:color="auto"/>
            </w:tcBorders>
            <w:shd w:val="clear" w:color="auto" w:fill="auto"/>
            <w:vAlign w:val="bottom"/>
          </w:tcPr>
          <w:p w:rsidR="00D7781D" w:rsidRPr="000F7862" w:rsidRDefault="00D7781D" w:rsidP="00D7781D">
            <w:pPr>
              <w:spacing w:before="40" w:after="40" w:line="220" w:lineRule="exact"/>
              <w:rPr>
                <w:sz w:val="18"/>
                <w:szCs w:val="18"/>
                <w:lang w:val="fr-FR"/>
              </w:rPr>
            </w:pPr>
            <w:r w:rsidRPr="000F7862">
              <w:rPr>
                <w:sz w:val="18"/>
                <w:szCs w:val="18"/>
                <w:lang w:val="fr-FR"/>
              </w:rPr>
              <w:t>Taux de chômage (%)</w:t>
            </w:r>
          </w:p>
        </w:tc>
        <w:tc>
          <w:tcPr>
            <w:tcW w:w="600" w:type="dxa"/>
            <w:tcBorders>
              <w:bottom w:val="single" w:sz="12" w:space="0" w:color="auto"/>
            </w:tcBorders>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17,6</w:t>
            </w:r>
          </w:p>
        </w:tc>
        <w:tc>
          <w:tcPr>
            <w:tcW w:w="600" w:type="dxa"/>
            <w:tcBorders>
              <w:bottom w:val="single" w:sz="12" w:space="0" w:color="auto"/>
            </w:tcBorders>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16,3</w:t>
            </w:r>
          </w:p>
        </w:tc>
        <w:tc>
          <w:tcPr>
            <w:tcW w:w="600" w:type="dxa"/>
            <w:tcBorders>
              <w:bottom w:val="single" w:sz="12" w:space="0" w:color="auto"/>
            </w:tcBorders>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16,2</w:t>
            </w:r>
          </w:p>
        </w:tc>
        <w:tc>
          <w:tcPr>
            <w:tcW w:w="600" w:type="dxa"/>
            <w:tcBorders>
              <w:bottom w:val="single" w:sz="12" w:space="0" w:color="auto"/>
            </w:tcBorders>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17,3</w:t>
            </w:r>
          </w:p>
        </w:tc>
        <w:tc>
          <w:tcPr>
            <w:tcW w:w="600" w:type="dxa"/>
            <w:tcBorders>
              <w:bottom w:val="single" w:sz="12" w:space="0" w:color="auto"/>
            </w:tcBorders>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16,6</w:t>
            </w:r>
          </w:p>
        </w:tc>
        <w:tc>
          <w:tcPr>
            <w:tcW w:w="600" w:type="dxa"/>
            <w:tcBorders>
              <w:bottom w:val="single" w:sz="12" w:space="0" w:color="auto"/>
            </w:tcBorders>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17,2</w:t>
            </w:r>
          </w:p>
        </w:tc>
        <w:tc>
          <w:tcPr>
            <w:tcW w:w="600" w:type="dxa"/>
            <w:tcBorders>
              <w:bottom w:val="single" w:sz="12" w:space="0" w:color="auto"/>
            </w:tcBorders>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16,6</w:t>
            </w:r>
          </w:p>
        </w:tc>
        <w:tc>
          <w:tcPr>
            <w:tcW w:w="600" w:type="dxa"/>
            <w:tcBorders>
              <w:bottom w:val="single" w:sz="12" w:space="0" w:color="auto"/>
            </w:tcBorders>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17,9</w:t>
            </w:r>
          </w:p>
        </w:tc>
        <w:tc>
          <w:tcPr>
            <w:tcW w:w="600" w:type="dxa"/>
            <w:tcBorders>
              <w:bottom w:val="single" w:sz="12" w:space="0" w:color="auto"/>
            </w:tcBorders>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14,0</w:t>
            </w:r>
          </w:p>
        </w:tc>
        <w:tc>
          <w:tcPr>
            <w:tcW w:w="600" w:type="dxa"/>
            <w:tcBorders>
              <w:bottom w:val="single" w:sz="12" w:space="0" w:color="auto"/>
            </w:tcBorders>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16,3</w:t>
            </w:r>
          </w:p>
        </w:tc>
        <w:tc>
          <w:tcPr>
            <w:tcW w:w="600" w:type="dxa"/>
            <w:tcBorders>
              <w:bottom w:val="single" w:sz="12" w:space="0" w:color="auto"/>
            </w:tcBorders>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16,0</w:t>
            </w:r>
          </w:p>
        </w:tc>
        <w:tc>
          <w:tcPr>
            <w:tcW w:w="600" w:type="dxa"/>
            <w:tcBorders>
              <w:bottom w:val="single" w:sz="12" w:space="0" w:color="auto"/>
            </w:tcBorders>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17,0</w:t>
            </w:r>
          </w:p>
        </w:tc>
        <w:tc>
          <w:tcPr>
            <w:tcW w:w="600" w:type="dxa"/>
            <w:tcBorders>
              <w:bottom w:val="single" w:sz="12" w:space="0" w:color="auto"/>
            </w:tcBorders>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15,4</w:t>
            </w:r>
          </w:p>
        </w:tc>
        <w:tc>
          <w:tcPr>
            <w:tcW w:w="600" w:type="dxa"/>
            <w:tcBorders>
              <w:bottom w:val="single" w:sz="12" w:space="0" w:color="auto"/>
            </w:tcBorders>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16,6</w:t>
            </w:r>
          </w:p>
        </w:tc>
        <w:tc>
          <w:tcPr>
            <w:tcW w:w="600" w:type="dxa"/>
            <w:tcBorders>
              <w:bottom w:val="single" w:sz="12" w:space="0" w:color="auto"/>
            </w:tcBorders>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16,6</w:t>
            </w:r>
          </w:p>
        </w:tc>
        <w:tc>
          <w:tcPr>
            <w:tcW w:w="575" w:type="dxa"/>
            <w:tcBorders>
              <w:bottom w:val="single" w:sz="12" w:space="0" w:color="auto"/>
            </w:tcBorders>
            <w:shd w:val="clear" w:color="auto" w:fill="auto"/>
            <w:vAlign w:val="bottom"/>
          </w:tcPr>
          <w:p w:rsidR="00D7781D" w:rsidRPr="000F7862" w:rsidRDefault="00D7781D" w:rsidP="00D7781D">
            <w:pPr>
              <w:spacing w:before="40" w:after="40" w:line="220" w:lineRule="exact"/>
              <w:jc w:val="right"/>
              <w:rPr>
                <w:sz w:val="18"/>
                <w:szCs w:val="18"/>
                <w:lang w:val="fr-FR"/>
              </w:rPr>
            </w:pPr>
            <w:r w:rsidRPr="000F7862">
              <w:rPr>
                <w:sz w:val="18"/>
                <w:szCs w:val="18"/>
                <w:lang w:val="fr-FR"/>
              </w:rPr>
              <w:t>16,8</w:t>
            </w:r>
          </w:p>
        </w:tc>
      </w:tr>
    </w:tbl>
    <w:p w:rsidR="00D7781D" w:rsidRPr="000F7862" w:rsidRDefault="00D7781D" w:rsidP="00D7781D">
      <w:pPr>
        <w:spacing w:before="120" w:line="220" w:lineRule="exact"/>
        <w:ind w:left="284" w:firstLine="170"/>
        <w:rPr>
          <w:sz w:val="18"/>
          <w:szCs w:val="18"/>
          <w:lang w:val="fr-FR"/>
        </w:rPr>
      </w:pPr>
      <w:r w:rsidRPr="000F7862">
        <w:rPr>
          <w:i/>
          <w:sz w:val="18"/>
          <w:szCs w:val="18"/>
          <w:lang w:val="fr-FR"/>
        </w:rPr>
        <w:t>Source</w:t>
      </w:r>
      <w:r w:rsidRPr="000F7862">
        <w:rPr>
          <w:iCs/>
          <w:sz w:val="18"/>
          <w:szCs w:val="18"/>
          <w:lang w:val="fr-FR"/>
        </w:rPr>
        <w:t>:</w:t>
      </w:r>
      <w:r w:rsidRPr="000F7862">
        <w:rPr>
          <w:sz w:val="18"/>
          <w:szCs w:val="18"/>
          <w:lang w:val="fr-FR"/>
        </w:rPr>
        <w:t xml:space="preserve"> Bureau de statistique national, Enquête sur la population active.</w:t>
      </w:r>
    </w:p>
    <w:p w:rsidR="00D7781D" w:rsidRPr="000F7862" w:rsidRDefault="00D7781D" w:rsidP="00D7781D">
      <w:pPr>
        <w:spacing w:line="220" w:lineRule="exact"/>
        <w:ind w:left="284" w:firstLine="170"/>
        <w:rPr>
          <w:sz w:val="18"/>
          <w:szCs w:val="18"/>
          <w:lang w:val="fr-FR"/>
        </w:rPr>
      </w:pPr>
      <w:r w:rsidRPr="000F7862">
        <w:rPr>
          <w:i/>
          <w:iCs/>
          <w:sz w:val="18"/>
          <w:szCs w:val="18"/>
          <w:vertAlign w:val="superscript"/>
          <w:lang w:val="fr-FR"/>
        </w:rPr>
        <w:t>p</w:t>
      </w:r>
      <w:r w:rsidRPr="000F7862">
        <w:rPr>
          <w:sz w:val="18"/>
          <w:szCs w:val="18"/>
          <w:lang w:val="fr-FR"/>
        </w:rPr>
        <w:t xml:space="preserve">  Chiffres et pourcentages préliminaires.</w:t>
      </w:r>
    </w:p>
    <w:p w:rsidR="00D7781D" w:rsidRPr="000F7862" w:rsidRDefault="00D7781D" w:rsidP="00D7781D">
      <w:pPr>
        <w:spacing w:after="240" w:line="220" w:lineRule="exact"/>
        <w:ind w:left="284" w:firstLine="170"/>
        <w:rPr>
          <w:sz w:val="18"/>
          <w:szCs w:val="18"/>
          <w:lang w:val="fr-FR"/>
        </w:rPr>
      </w:pPr>
    </w:p>
    <w:p w:rsidR="00D7781D" w:rsidRPr="000F7862" w:rsidRDefault="00D7781D" w:rsidP="00D7781D">
      <w:pPr>
        <w:rPr>
          <w:lang w:val="fr-FR"/>
        </w:rPr>
        <w:sectPr w:rsidR="00D7781D" w:rsidRPr="000F7862" w:rsidSect="00D7781D">
          <w:headerReference w:type="even" r:id="rId14"/>
          <w:headerReference w:type="default" r:id="rId15"/>
          <w:footerReference w:type="even" r:id="rId16"/>
          <w:footerReference w:type="default" r:id="rId17"/>
          <w:headerReference w:type="first" r:id="rId18"/>
          <w:pgSz w:w="16838" w:h="11906" w:orient="landscape" w:code="9"/>
          <w:pgMar w:top="1134" w:right="1701" w:bottom="1134" w:left="2268" w:header="567" w:footer="567" w:gutter="0"/>
          <w:cols w:space="708"/>
          <w:docGrid w:linePitch="360"/>
        </w:sectPr>
      </w:pPr>
    </w:p>
    <w:p w:rsidR="00195175" w:rsidRPr="000F7862" w:rsidRDefault="00D7781D" w:rsidP="00910194">
      <w:pPr>
        <w:pStyle w:val="SingleTxtG"/>
        <w:rPr>
          <w:lang w:val="fr-FR"/>
        </w:rPr>
      </w:pPr>
      <w:r w:rsidRPr="000F7862">
        <w:rPr>
          <w:lang w:val="fr-FR"/>
        </w:rPr>
        <w:t>67.</w:t>
      </w:r>
      <w:r w:rsidRPr="000F7862">
        <w:rPr>
          <w:lang w:val="fr-FR"/>
        </w:rPr>
        <w:tab/>
      </w:r>
      <w:r w:rsidR="00B55D40" w:rsidRPr="000F7862">
        <w:rPr>
          <w:lang w:val="fr-FR"/>
        </w:rPr>
        <w:t>Dans le secteur de l</w:t>
      </w:r>
      <w:r w:rsidR="00120E2E" w:rsidRPr="000F7862">
        <w:rPr>
          <w:lang w:val="fr-FR"/>
        </w:rPr>
        <w:t>’</w:t>
      </w:r>
      <w:r w:rsidR="00B55D40" w:rsidRPr="000F7862">
        <w:rPr>
          <w:lang w:val="fr-FR"/>
        </w:rPr>
        <w:t>industrie, l</w:t>
      </w:r>
      <w:r w:rsidR="00120E2E" w:rsidRPr="000F7862">
        <w:rPr>
          <w:lang w:val="fr-FR"/>
        </w:rPr>
        <w:t>’</w:t>
      </w:r>
      <w:r w:rsidR="00B55D40" w:rsidRPr="000F7862">
        <w:rPr>
          <w:lang w:val="fr-FR"/>
        </w:rPr>
        <w:t xml:space="preserve">emploi </w:t>
      </w:r>
      <w:r w:rsidR="009E0D44" w:rsidRPr="000F7862">
        <w:rPr>
          <w:lang w:val="fr-FR"/>
        </w:rPr>
        <w:t>a continué de progresser, de 3,3</w:t>
      </w:r>
      <w:r w:rsidR="00DC1196" w:rsidRPr="000F7862">
        <w:rPr>
          <w:lang w:val="fr-FR"/>
        </w:rPr>
        <w:t> %</w:t>
      </w:r>
      <w:r w:rsidR="009E0D44" w:rsidRPr="000F7862">
        <w:rPr>
          <w:lang w:val="fr-FR"/>
        </w:rPr>
        <w:t xml:space="preserve"> en moyenne, entre juillet </w:t>
      </w:r>
      <w:r w:rsidR="00195175" w:rsidRPr="000F7862">
        <w:rPr>
          <w:lang w:val="fr-FR"/>
        </w:rPr>
        <w:t xml:space="preserve">2010 </w:t>
      </w:r>
      <w:r w:rsidR="009E0D44" w:rsidRPr="000F7862">
        <w:rPr>
          <w:lang w:val="fr-FR"/>
        </w:rPr>
        <w:t xml:space="preserve">et juillet </w:t>
      </w:r>
      <w:r w:rsidR="00195175" w:rsidRPr="000F7862">
        <w:rPr>
          <w:lang w:val="fr-FR"/>
        </w:rPr>
        <w:t>2013.</w:t>
      </w:r>
      <w:r w:rsidR="00446EA5" w:rsidRPr="000F7862">
        <w:rPr>
          <w:lang w:val="fr-FR"/>
        </w:rPr>
        <w:t xml:space="preserve"> </w:t>
      </w:r>
      <w:r w:rsidR="009E0D44" w:rsidRPr="000F7862">
        <w:rPr>
          <w:lang w:val="fr-FR"/>
        </w:rPr>
        <w:t xml:space="preserve">Sa croissance a été supérieure à celles des </w:t>
      </w:r>
      <w:r w:rsidR="00195175" w:rsidRPr="000F7862">
        <w:rPr>
          <w:lang w:val="fr-FR"/>
        </w:rPr>
        <w:t>services (2</w:t>
      </w:r>
      <w:r w:rsidR="009E0D44" w:rsidRPr="000F7862">
        <w:rPr>
          <w:lang w:val="fr-FR"/>
        </w:rPr>
        <w:t>,</w:t>
      </w:r>
      <w:r w:rsidR="00195175" w:rsidRPr="000F7862">
        <w:rPr>
          <w:lang w:val="fr-FR"/>
        </w:rPr>
        <w:t>8</w:t>
      </w:r>
      <w:r w:rsidR="00DC1196" w:rsidRPr="000F7862">
        <w:rPr>
          <w:lang w:val="fr-FR"/>
        </w:rPr>
        <w:t> %</w:t>
      </w:r>
      <w:r w:rsidR="00195175" w:rsidRPr="000F7862">
        <w:rPr>
          <w:lang w:val="fr-FR"/>
        </w:rPr>
        <w:t xml:space="preserve">) </w:t>
      </w:r>
      <w:r w:rsidR="009E0D44" w:rsidRPr="000F7862">
        <w:rPr>
          <w:lang w:val="fr-FR"/>
        </w:rPr>
        <w:t>et de l</w:t>
      </w:r>
      <w:r w:rsidR="00120E2E" w:rsidRPr="000F7862">
        <w:rPr>
          <w:lang w:val="fr-FR"/>
        </w:rPr>
        <w:t>’</w:t>
      </w:r>
      <w:r w:rsidR="00195175" w:rsidRPr="000F7862">
        <w:rPr>
          <w:lang w:val="fr-FR"/>
        </w:rPr>
        <w:t xml:space="preserve">agriculture, </w:t>
      </w:r>
      <w:r w:rsidR="009E0D44" w:rsidRPr="000F7862">
        <w:rPr>
          <w:lang w:val="fr-FR"/>
        </w:rPr>
        <w:t xml:space="preserve">de la </w:t>
      </w:r>
      <w:r w:rsidR="00195175" w:rsidRPr="000F7862">
        <w:rPr>
          <w:lang w:val="fr-FR"/>
        </w:rPr>
        <w:t>forest</w:t>
      </w:r>
      <w:r w:rsidR="009E0D44" w:rsidRPr="000F7862">
        <w:rPr>
          <w:lang w:val="fr-FR"/>
        </w:rPr>
        <w:t xml:space="preserve">erie et de la pêche </w:t>
      </w:r>
      <w:r w:rsidR="00195175" w:rsidRPr="000F7862">
        <w:rPr>
          <w:lang w:val="fr-FR"/>
        </w:rPr>
        <w:t>(0</w:t>
      </w:r>
      <w:r w:rsidR="009E0D44" w:rsidRPr="000F7862">
        <w:rPr>
          <w:lang w:val="fr-FR"/>
        </w:rPr>
        <w:t>,</w:t>
      </w:r>
      <w:r w:rsidR="00195175" w:rsidRPr="000F7862">
        <w:rPr>
          <w:lang w:val="fr-FR"/>
        </w:rPr>
        <w:t>1</w:t>
      </w:r>
      <w:r w:rsidR="00DC1196" w:rsidRPr="000F7862">
        <w:rPr>
          <w:lang w:val="fr-FR"/>
        </w:rPr>
        <w:t> %</w:t>
      </w:r>
      <w:r w:rsidR="00195175" w:rsidRPr="000F7862">
        <w:rPr>
          <w:lang w:val="fr-FR"/>
        </w:rPr>
        <w:t>).</w:t>
      </w:r>
      <w:r w:rsidR="00446EA5" w:rsidRPr="000F7862">
        <w:rPr>
          <w:lang w:val="fr-FR"/>
        </w:rPr>
        <w:t xml:space="preserve"> </w:t>
      </w:r>
      <w:r w:rsidR="009E0D44" w:rsidRPr="000F7862">
        <w:rPr>
          <w:lang w:val="fr-FR"/>
        </w:rPr>
        <w:t>Si la part de l</w:t>
      </w:r>
      <w:r w:rsidR="00120E2E" w:rsidRPr="000F7862">
        <w:rPr>
          <w:lang w:val="fr-FR"/>
        </w:rPr>
        <w:t>’</w:t>
      </w:r>
      <w:r w:rsidR="009E0D44" w:rsidRPr="000F7862">
        <w:rPr>
          <w:lang w:val="fr-FR"/>
        </w:rPr>
        <w:t>industrie dans l</w:t>
      </w:r>
      <w:r w:rsidR="00120E2E" w:rsidRPr="000F7862">
        <w:rPr>
          <w:lang w:val="fr-FR"/>
        </w:rPr>
        <w:t>’</w:t>
      </w:r>
      <w:r w:rsidR="009E0D44" w:rsidRPr="000F7862">
        <w:rPr>
          <w:lang w:val="fr-FR"/>
        </w:rPr>
        <w:t xml:space="preserve">emploi total est restée la plus faible, elle a augmenté, passant de </w:t>
      </w:r>
      <w:r w:rsidR="00195175" w:rsidRPr="000F7862">
        <w:rPr>
          <w:lang w:val="fr-FR"/>
        </w:rPr>
        <w:t>14</w:t>
      </w:r>
      <w:r w:rsidR="009E0D44" w:rsidRPr="000F7862">
        <w:rPr>
          <w:lang w:val="fr-FR"/>
        </w:rPr>
        <w:t>,</w:t>
      </w:r>
      <w:r w:rsidR="00195175" w:rsidRPr="000F7862">
        <w:rPr>
          <w:lang w:val="fr-FR"/>
        </w:rPr>
        <w:t>9</w:t>
      </w:r>
      <w:r w:rsidR="00DC1196" w:rsidRPr="000F7862">
        <w:rPr>
          <w:lang w:val="fr-FR"/>
        </w:rPr>
        <w:t> %</w:t>
      </w:r>
      <w:r w:rsidR="00195175" w:rsidRPr="000F7862">
        <w:rPr>
          <w:lang w:val="fr-FR"/>
        </w:rPr>
        <w:t xml:space="preserve"> </w:t>
      </w:r>
      <w:r w:rsidR="009E0D44" w:rsidRPr="000F7862">
        <w:rPr>
          <w:lang w:val="fr-FR"/>
        </w:rPr>
        <w:t>e</w:t>
      </w:r>
      <w:r w:rsidR="00195175" w:rsidRPr="000F7862">
        <w:rPr>
          <w:lang w:val="fr-FR"/>
        </w:rPr>
        <w:t xml:space="preserve">n </w:t>
      </w:r>
      <w:r w:rsidR="009E0D44" w:rsidRPr="000F7862">
        <w:rPr>
          <w:lang w:val="fr-FR"/>
        </w:rPr>
        <w:t xml:space="preserve">juillet </w:t>
      </w:r>
      <w:r w:rsidR="00195175" w:rsidRPr="000F7862">
        <w:rPr>
          <w:lang w:val="fr-FR"/>
        </w:rPr>
        <w:t xml:space="preserve">2010 </w:t>
      </w:r>
      <w:r w:rsidR="009E0D44" w:rsidRPr="000F7862">
        <w:rPr>
          <w:lang w:val="fr-FR"/>
        </w:rPr>
        <w:t>à</w:t>
      </w:r>
      <w:r w:rsidR="00195175" w:rsidRPr="000F7862">
        <w:rPr>
          <w:lang w:val="fr-FR"/>
        </w:rPr>
        <w:t xml:space="preserve"> 15</w:t>
      </w:r>
      <w:r w:rsidR="009E0D44" w:rsidRPr="000F7862">
        <w:rPr>
          <w:lang w:val="fr-FR"/>
        </w:rPr>
        <w:t>,</w:t>
      </w:r>
      <w:r w:rsidR="00195175" w:rsidRPr="000F7862">
        <w:rPr>
          <w:lang w:val="fr-FR"/>
        </w:rPr>
        <w:t>6</w:t>
      </w:r>
      <w:r w:rsidR="00DC1196" w:rsidRPr="000F7862">
        <w:rPr>
          <w:lang w:val="fr-FR"/>
        </w:rPr>
        <w:t> %</w:t>
      </w:r>
      <w:r w:rsidR="00195175" w:rsidRPr="000F7862">
        <w:rPr>
          <w:lang w:val="fr-FR"/>
        </w:rPr>
        <w:t xml:space="preserve"> </w:t>
      </w:r>
      <w:r w:rsidR="009E0D44" w:rsidRPr="000F7862">
        <w:rPr>
          <w:lang w:val="fr-FR"/>
        </w:rPr>
        <w:t>e</w:t>
      </w:r>
      <w:r w:rsidR="00195175" w:rsidRPr="000F7862">
        <w:rPr>
          <w:lang w:val="fr-FR"/>
        </w:rPr>
        <w:t xml:space="preserve">n </w:t>
      </w:r>
      <w:r w:rsidR="009E0D44" w:rsidRPr="000F7862">
        <w:rPr>
          <w:lang w:val="fr-FR"/>
        </w:rPr>
        <w:t xml:space="preserve">juillet </w:t>
      </w:r>
      <w:r w:rsidR="00195175" w:rsidRPr="000F7862">
        <w:rPr>
          <w:lang w:val="fr-FR"/>
        </w:rPr>
        <w:t>2013.</w:t>
      </w:r>
      <w:r w:rsidR="00446EA5" w:rsidRPr="000F7862">
        <w:rPr>
          <w:lang w:val="fr-FR"/>
        </w:rPr>
        <w:t xml:space="preserve"> </w:t>
      </w:r>
      <w:r w:rsidR="00195175" w:rsidRPr="000F7862">
        <w:rPr>
          <w:lang w:val="fr-FR"/>
        </w:rPr>
        <w:t>Note</w:t>
      </w:r>
      <w:r w:rsidR="0005004C" w:rsidRPr="000F7862">
        <w:rPr>
          <w:lang w:val="fr-FR"/>
        </w:rPr>
        <w:t>:</w:t>
      </w:r>
      <w:r w:rsidR="00195175" w:rsidRPr="000F7862">
        <w:rPr>
          <w:lang w:val="fr-FR"/>
        </w:rPr>
        <w:t xml:space="preserve"> </w:t>
      </w:r>
      <w:r w:rsidR="009E0D44" w:rsidRPr="000F7862">
        <w:rPr>
          <w:lang w:val="fr-FR"/>
        </w:rPr>
        <w:t>le secteur de l</w:t>
      </w:r>
      <w:r w:rsidR="00120E2E" w:rsidRPr="000F7862">
        <w:rPr>
          <w:lang w:val="fr-FR"/>
        </w:rPr>
        <w:t>’</w:t>
      </w:r>
      <w:r w:rsidR="009E0D44" w:rsidRPr="000F7862">
        <w:rPr>
          <w:lang w:val="fr-FR"/>
        </w:rPr>
        <w:t>industrie comprend les industries extractives</w:t>
      </w:r>
      <w:r w:rsidR="00195175" w:rsidRPr="000F7862">
        <w:rPr>
          <w:lang w:val="fr-FR"/>
        </w:rPr>
        <w:t xml:space="preserve">; </w:t>
      </w:r>
      <w:r w:rsidR="009E0D44" w:rsidRPr="000F7862">
        <w:rPr>
          <w:lang w:val="fr-FR"/>
        </w:rPr>
        <w:t>les industries manufacturières</w:t>
      </w:r>
      <w:r w:rsidR="00195175" w:rsidRPr="000F7862">
        <w:rPr>
          <w:lang w:val="fr-FR"/>
        </w:rPr>
        <w:t xml:space="preserve">; </w:t>
      </w:r>
      <w:r w:rsidR="009E0D44" w:rsidRPr="000F7862">
        <w:rPr>
          <w:lang w:val="fr-FR"/>
        </w:rPr>
        <w:t>l</w:t>
      </w:r>
      <w:r w:rsidR="00120E2E" w:rsidRPr="000F7862">
        <w:rPr>
          <w:lang w:val="fr-FR"/>
        </w:rPr>
        <w:t>’</w:t>
      </w:r>
      <w:r w:rsidR="009E0D44" w:rsidRPr="000F7862">
        <w:rPr>
          <w:lang w:val="fr-FR"/>
        </w:rPr>
        <w:t>électricité</w:t>
      </w:r>
      <w:r w:rsidR="00195175" w:rsidRPr="000F7862">
        <w:rPr>
          <w:lang w:val="fr-FR"/>
        </w:rPr>
        <w:t xml:space="preserve">, </w:t>
      </w:r>
      <w:r w:rsidR="009E0D44" w:rsidRPr="000F7862">
        <w:rPr>
          <w:lang w:val="fr-FR"/>
        </w:rPr>
        <w:t xml:space="preserve">le </w:t>
      </w:r>
      <w:r w:rsidR="00195175" w:rsidRPr="000F7862">
        <w:rPr>
          <w:lang w:val="fr-FR"/>
        </w:rPr>
        <w:t>ga</w:t>
      </w:r>
      <w:r w:rsidR="009E0D44" w:rsidRPr="000F7862">
        <w:rPr>
          <w:lang w:val="fr-FR"/>
        </w:rPr>
        <w:t>z et l</w:t>
      </w:r>
      <w:r w:rsidR="00120E2E" w:rsidRPr="000F7862">
        <w:rPr>
          <w:lang w:val="fr-FR"/>
        </w:rPr>
        <w:t>’</w:t>
      </w:r>
      <w:r w:rsidR="009E0D44" w:rsidRPr="000F7862">
        <w:rPr>
          <w:lang w:val="fr-FR"/>
        </w:rPr>
        <w:t>eau</w:t>
      </w:r>
      <w:r w:rsidR="00195175" w:rsidRPr="000F7862">
        <w:rPr>
          <w:lang w:val="fr-FR"/>
        </w:rPr>
        <w:t xml:space="preserve">; </w:t>
      </w:r>
      <w:r w:rsidR="009E0D44" w:rsidRPr="000F7862">
        <w:rPr>
          <w:lang w:val="fr-FR"/>
        </w:rPr>
        <w:t>et le bâtiment et les travaux publics</w:t>
      </w:r>
      <w:r w:rsidR="00195175" w:rsidRPr="000F7862">
        <w:rPr>
          <w:lang w:val="fr-FR"/>
        </w:rPr>
        <w:t>.</w:t>
      </w:r>
    </w:p>
    <w:p w:rsidR="00195175" w:rsidRPr="000F7862" w:rsidRDefault="003F7F57" w:rsidP="003F7F57">
      <w:pPr>
        <w:pStyle w:val="SingleTxtG"/>
        <w:rPr>
          <w:lang w:val="fr-FR"/>
        </w:rPr>
      </w:pPr>
      <w:r w:rsidRPr="000F7862">
        <w:rPr>
          <w:lang w:val="fr-FR"/>
        </w:rPr>
        <w:t>68.</w:t>
      </w:r>
      <w:r w:rsidRPr="000F7862">
        <w:rPr>
          <w:lang w:val="fr-FR"/>
        </w:rPr>
        <w:tab/>
      </w:r>
      <w:r w:rsidR="009E0D44" w:rsidRPr="000F7862">
        <w:rPr>
          <w:lang w:val="fr-FR"/>
        </w:rPr>
        <w:t xml:space="preserve">Le recul de la </w:t>
      </w:r>
      <w:r w:rsidR="00195175" w:rsidRPr="000F7862">
        <w:rPr>
          <w:lang w:val="fr-FR"/>
        </w:rPr>
        <w:t xml:space="preserve">proportion </w:t>
      </w:r>
      <w:r w:rsidR="009E0D44" w:rsidRPr="000F7862">
        <w:rPr>
          <w:lang w:val="fr-FR"/>
        </w:rPr>
        <w:t>des travailleurs indépendants et des travailleurs familiaux non rémunérés a été complété par une augmentation de la part de l</w:t>
      </w:r>
      <w:r w:rsidR="00120E2E" w:rsidRPr="000F7862">
        <w:rPr>
          <w:lang w:val="fr-FR"/>
        </w:rPr>
        <w:t>’</w:t>
      </w:r>
      <w:r w:rsidR="00E754EC" w:rsidRPr="000F7862">
        <w:rPr>
          <w:lang w:val="fr-FR"/>
        </w:rPr>
        <w:t xml:space="preserve">emploi salarié, en particulier dans les établissements privés </w:t>
      </w:r>
      <w:r w:rsidR="00195175" w:rsidRPr="000F7862">
        <w:rPr>
          <w:lang w:val="fr-FR"/>
        </w:rPr>
        <w:t>(</w:t>
      </w:r>
      <w:r w:rsidR="00E754EC" w:rsidRPr="000F7862">
        <w:rPr>
          <w:lang w:val="fr-FR"/>
        </w:rPr>
        <w:t>plus des deux cinquièmes de l</w:t>
      </w:r>
      <w:r w:rsidR="00120E2E" w:rsidRPr="000F7862">
        <w:rPr>
          <w:lang w:val="fr-FR"/>
        </w:rPr>
        <w:t>’</w:t>
      </w:r>
      <w:r w:rsidR="00E754EC" w:rsidRPr="000F7862">
        <w:rPr>
          <w:lang w:val="fr-FR"/>
        </w:rPr>
        <w:t>emploi total)</w:t>
      </w:r>
      <w:r w:rsidR="00195175" w:rsidRPr="000F7862">
        <w:rPr>
          <w:lang w:val="fr-FR"/>
        </w:rPr>
        <w:t>.</w:t>
      </w:r>
      <w:r w:rsidR="00446EA5" w:rsidRPr="000F7862">
        <w:rPr>
          <w:lang w:val="fr-FR"/>
        </w:rPr>
        <w:t xml:space="preserve"> </w:t>
      </w:r>
      <w:r w:rsidR="00E754EC" w:rsidRPr="000F7862">
        <w:rPr>
          <w:lang w:val="fr-FR"/>
        </w:rPr>
        <w:t xml:space="preserve">Ces salariés du secteur privé ont également enregistré les taux de croissance annuels les plus élevés </w:t>
      </w:r>
      <w:r w:rsidR="00195175" w:rsidRPr="000F7862">
        <w:rPr>
          <w:lang w:val="fr-FR"/>
        </w:rPr>
        <w:t>(5</w:t>
      </w:r>
      <w:r w:rsidR="00E754EC" w:rsidRPr="000F7862">
        <w:rPr>
          <w:lang w:val="fr-FR"/>
        </w:rPr>
        <w:t>,</w:t>
      </w:r>
      <w:r w:rsidR="00195175" w:rsidRPr="000F7862">
        <w:rPr>
          <w:lang w:val="fr-FR"/>
        </w:rPr>
        <w:t>4</w:t>
      </w:r>
      <w:r w:rsidR="00DC1196" w:rsidRPr="000F7862">
        <w:rPr>
          <w:lang w:val="fr-FR"/>
        </w:rPr>
        <w:t> %</w:t>
      </w:r>
      <w:r w:rsidR="00195175" w:rsidRPr="000F7862">
        <w:rPr>
          <w:lang w:val="fr-FR"/>
        </w:rPr>
        <w:t xml:space="preserve"> </w:t>
      </w:r>
      <w:r w:rsidR="00E754EC" w:rsidRPr="000F7862">
        <w:rPr>
          <w:lang w:val="fr-FR"/>
        </w:rPr>
        <w:t>e</w:t>
      </w:r>
      <w:r w:rsidR="00195175" w:rsidRPr="000F7862">
        <w:rPr>
          <w:lang w:val="fr-FR"/>
        </w:rPr>
        <w:t>n 2010; 5</w:t>
      </w:r>
      <w:r w:rsidR="00E754EC" w:rsidRPr="000F7862">
        <w:rPr>
          <w:lang w:val="fr-FR"/>
        </w:rPr>
        <w:t>,</w:t>
      </w:r>
      <w:r w:rsidR="00195175" w:rsidRPr="000F7862">
        <w:rPr>
          <w:lang w:val="fr-FR"/>
        </w:rPr>
        <w:t>9</w:t>
      </w:r>
      <w:r w:rsidR="00DC1196" w:rsidRPr="000F7862">
        <w:rPr>
          <w:lang w:val="fr-FR"/>
        </w:rPr>
        <w:t> %</w:t>
      </w:r>
      <w:r w:rsidR="00195175" w:rsidRPr="000F7862">
        <w:rPr>
          <w:lang w:val="fr-FR"/>
        </w:rPr>
        <w:t xml:space="preserve"> </w:t>
      </w:r>
      <w:r w:rsidR="00E754EC" w:rsidRPr="000F7862">
        <w:rPr>
          <w:lang w:val="fr-FR"/>
        </w:rPr>
        <w:t>e</w:t>
      </w:r>
      <w:r w:rsidR="00195175" w:rsidRPr="000F7862">
        <w:rPr>
          <w:lang w:val="fr-FR"/>
        </w:rPr>
        <w:t xml:space="preserve">n 2011; </w:t>
      </w:r>
      <w:r w:rsidR="00E754EC" w:rsidRPr="000F7862">
        <w:rPr>
          <w:lang w:val="fr-FR"/>
        </w:rPr>
        <w:t>et</w:t>
      </w:r>
      <w:r w:rsidR="00195175" w:rsidRPr="000F7862">
        <w:rPr>
          <w:lang w:val="fr-FR"/>
        </w:rPr>
        <w:t xml:space="preserve"> 6</w:t>
      </w:r>
      <w:r w:rsidR="00E754EC" w:rsidRPr="000F7862">
        <w:rPr>
          <w:lang w:val="fr-FR"/>
        </w:rPr>
        <w:t>,</w:t>
      </w:r>
      <w:r w:rsidR="00195175" w:rsidRPr="000F7862">
        <w:rPr>
          <w:lang w:val="fr-FR"/>
        </w:rPr>
        <w:t>1</w:t>
      </w:r>
      <w:r w:rsidR="00DC1196" w:rsidRPr="000F7862">
        <w:rPr>
          <w:lang w:val="fr-FR"/>
        </w:rPr>
        <w:t> %</w:t>
      </w:r>
      <w:r w:rsidR="00195175" w:rsidRPr="000F7862">
        <w:rPr>
          <w:lang w:val="fr-FR"/>
        </w:rPr>
        <w:t xml:space="preserve"> </w:t>
      </w:r>
      <w:r w:rsidR="00E754EC" w:rsidRPr="000F7862">
        <w:rPr>
          <w:lang w:val="fr-FR"/>
        </w:rPr>
        <w:t>e</w:t>
      </w:r>
      <w:r w:rsidR="00195175" w:rsidRPr="000F7862">
        <w:rPr>
          <w:lang w:val="fr-FR"/>
        </w:rPr>
        <w:t>n 2012).</w:t>
      </w:r>
      <w:r w:rsidR="00446EA5" w:rsidRPr="000F7862">
        <w:rPr>
          <w:lang w:val="fr-FR"/>
        </w:rPr>
        <w:t xml:space="preserve"> </w:t>
      </w:r>
      <w:r w:rsidR="00E754EC" w:rsidRPr="000F7862">
        <w:rPr>
          <w:lang w:val="fr-FR"/>
        </w:rPr>
        <w:t>E</w:t>
      </w:r>
      <w:r w:rsidR="00195175" w:rsidRPr="000F7862">
        <w:rPr>
          <w:lang w:val="fr-FR"/>
        </w:rPr>
        <w:t xml:space="preserve">n </w:t>
      </w:r>
      <w:r w:rsidR="00E754EC" w:rsidRPr="000F7862">
        <w:rPr>
          <w:lang w:val="fr-FR"/>
        </w:rPr>
        <w:t xml:space="preserve">janvier </w:t>
      </w:r>
      <w:r w:rsidR="00195175" w:rsidRPr="000F7862">
        <w:rPr>
          <w:lang w:val="fr-FR"/>
        </w:rPr>
        <w:t>2013</w:t>
      </w:r>
      <w:r w:rsidR="00E754EC" w:rsidRPr="000F7862">
        <w:rPr>
          <w:lang w:val="fr-FR"/>
        </w:rPr>
        <w:t>,</w:t>
      </w:r>
      <w:r w:rsidR="00195175" w:rsidRPr="000F7862">
        <w:rPr>
          <w:lang w:val="fr-FR"/>
        </w:rPr>
        <w:t xml:space="preserve"> </w:t>
      </w:r>
      <w:r w:rsidR="00E754EC" w:rsidRPr="000F7862">
        <w:rPr>
          <w:lang w:val="fr-FR"/>
        </w:rPr>
        <w:t>année au cours de laquelle l</w:t>
      </w:r>
      <w:r w:rsidR="00120E2E" w:rsidRPr="000F7862">
        <w:rPr>
          <w:lang w:val="fr-FR"/>
        </w:rPr>
        <w:t>’</w:t>
      </w:r>
      <w:r w:rsidR="00E754EC" w:rsidRPr="000F7862">
        <w:rPr>
          <w:lang w:val="fr-FR"/>
        </w:rPr>
        <w:t>emploi n</w:t>
      </w:r>
      <w:r w:rsidR="00120E2E" w:rsidRPr="000F7862">
        <w:rPr>
          <w:lang w:val="fr-FR"/>
        </w:rPr>
        <w:t>’</w:t>
      </w:r>
      <w:r w:rsidR="00E754EC" w:rsidRPr="000F7862">
        <w:rPr>
          <w:lang w:val="fr-FR"/>
        </w:rPr>
        <w:t xml:space="preserve">a crû que de </w:t>
      </w:r>
      <w:r w:rsidR="00195175" w:rsidRPr="000F7862">
        <w:rPr>
          <w:lang w:val="fr-FR"/>
        </w:rPr>
        <w:t>1</w:t>
      </w:r>
      <w:r w:rsidR="00E754EC" w:rsidRPr="000F7862">
        <w:rPr>
          <w:lang w:val="fr-FR"/>
        </w:rPr>
        <w:t>,</w:t>
      </w:r>
      <w:r w:rsidR="00195175" w:rsidRPr="000F7862">
        <w:rPr>
          <w:lang w:val="fr-FR"/>
        </w:rPr>
        <w:t>6</w:t>
      </w:r>
      <w:r w:rsidR="00DC1196" w:rsidRPr="000F7862">
        <w:rPr>
          <w:lang w:val="fr-FR"/>
        </w:rPr>
        <w:t> %</w:t>
      </w:r>
      <w:r w:rsidR="00195175" w:rsidRPr="000F7862">
        <w:rPr>
          <w:lang w:val="fr-FR"/>
        </w:rPr>
        <w:t xml:space="preserve">, </w:t>
      </w:r>
      <w:r w:rsidR="00E754EC" w:rsidRPr="000F7862">
        <w:rPr>
          <w:lang w:val="fr-FR"/>
        </w:rPr>
        <w:t>l</w:t>
      </w:r>
      <w:r w:rsidR="00120E2E" w:rsidRPr="000F7862">
        <w:rPr>
          <w:lang w:val="fr-FR"/>
        </w:rPr>
        <w:t>’</w:t>
      </w:r>
      <w:r w:rsidR="00E754EC" w:rsidRPr="000F7862">
        <w:rPr>
          <w:lang w:val="fr-FR"/>
        </w:rPr>
        <w:t>emploi salarié dans les établissements privés a enregistré sa plus forte croissance – 12,8</w:t>
      </w:r>
      <w:r w:rsidR="00DC1196" w:rsidRPr="000F7862">
        <w:rPr>
          <w:lang w:val="fr-FR"/>
        </w:rPr>
        <w:t> %</w:t>
      </w:r>
      <w:r w:rsidR="009346D3" w:rsidRPr="000F7862">
        <w:rPr>
          <w:lang w:val="fr-FR"/>
        </w:rPr>
        <w:t xml:space="preserve"> – </w:t>
      </w:r>
      <w:r w:rsidR="00E754EC" w:rsidRPr="000F7862">
        <w:rPr>
          <w:lang w:val="fr-FR"/>
        </w:rPr>
        <w:t>depuis juillet</w:t>
      </w:r>
      <w:r w:rsidR="00195175" w:rsidRPr="000F7862">
        <w:rPr>
          <w:lang w:val="fr-FR"/>
        </w:rPr>
        <w:t xml:space="preserve"> 2010.</w:t>
      </w:r>
      <w:r w:rsidR="00446EA5" w:rsidRPr="000F7862">
        <w:rPr>
          <w:lang w:val="fr-FR"/>
        </w:rPr>
        <w:t xml:space="preserve"> </w:t>
      </w:r>
      <w:r w:rsidR="00E754EC" w:rsidRPr="000F7862">
        <w:rPr>
          <w:lang w:val="fr-FR"/>
        </w:rPr>
        <w:t xml:space="preserve">Au cours de la même </w:t>
      </w:r>
      <w:r w:rsidR="00195175" w:rsidRPr="000F7862">
        <w:rPr>
          <w:lang w:val="fr-FR"/>
        </w:rPr>
        <w:t>p</w:t>
      </w:r>
      <w:r w:rsidR="00E754EC" w:rsidRPr="000F7862">
        <w:rPr>
          <w:lang w:val="fr-FR"/>
        </w:rPr>
        <w:t>é</w:t>
      </w:r>
      <w:r w:rsidR="00195175" w:rsidRPr="000F7862">
        <w:rPr>
          <w:lang w:val="fr-FR"/>
        </w:rPr>
        <w:t>riod</w:t>
      </w:r>
      <w:r w:rsidR="00E754EC" w:rsidRPr="000F7862">
        <w:rPr>
          <w:lang w:val="fr-FR"/>
        </w:rPr>
        <w:t>e</w:t>
      </w:r>
      <w:r w:rsidR="00195175" w:rsidRPr="000F7862">
        <w:rPr>
          <w:lang w:val="fr-FR"/>
        </w:rPr>
        <w:t xml:space="preserve">, </w:t>
      </w:r>
      <w:r w:rsidR="00E754EC" w:rsidRPr="000F7862">
        <w:rPr>
          <w:lang w:val="fr-FR"/>
        </w:rPr>
        <w:t xml:space="preserve">la </w:t>
      </w:r>
      <w:r w:rsidR="00195175" w:rsidRPr="000F7862">
        <w:rPr>
          <w:lang w:val="fr-FR"/>
        </w:rPr>
        <w:t xml:space="preserve">proportion </w:t>
      </w:r>
      <w:r w:rsidR="00E754EC" w:rsidRPr="000F7862">
        <w:rPr>
          <w:lang w:val="fr-FR"/>
        </w:rPr>
        <w:t>de travailleurs dans l</w:t>
      </w:r>
      <w:r w:rsidR="00120E2E" w:rsidRPr="000F7862">
        <w:rPr>
          <w:lang w:val="fr-FR"/>
        </w:rPr>
        <w:t>’</w:t>
      </w:r>
      <w:r w:rsidR="00E754EC" w:rsidRPr="000F7862">
        <w:rPr>
          <w:lang w:val="fr-FR"/>
        </w:rPr>
        <w:t>emploi précaire n</w:t>
      </w:r>
      <w:r w:rsidR="00120E2E" w:rsidRPr="000F7862">
        <w:rPr>
          <w:lang w:val="fr-FR"/>
        </w:rPr>
        <w:t>’</w:t>
      </w:r>
      <w:r w:rsidR="00E754EC" w:rsidRPr="000F7862">
        <w:rPr>
          <w:lang w:val="fr-FR"/>
        </w:rPr>
        <w:t xml:space="preserve">a pas dépassé </w:t>
      </w:r>
      <w:r w:rsidR="00195175" w:rsidRPr="000F7862">
        <w:rPr>
          <w:lang w:val="fr-FR"/>
        </w:rPr>
        <w:t>36</w:t>
      </w:r>
      <w:r w:rsidR="00E754EC" w:rsidRPr="000F7862">
        <w:rPr>
          <w:lang w:val="fr-FR"/>
        </w:rPr>
        <w:t>,</w:t>
      </w:r>
      <w:r w:rsidR="00195175" w:rsidRPr="000F7862">
        <w:rPr>
          <w:lang w:val="fr-FR"/>
        </w:rPr>
        <w:t>3</w:t>
      </w:r>
      <w:r w:rsidR="00DC1196" w:rsidRPr="000F7862">
        <w:rPr>
          <w:lang w:val="fr-FR"/>
        </w:rPr>
        <w:t> %</w:t>
      </w:r>
      <w:r w:rsidR="00195175" w:rsidRPr="000F7862">
        <w:rPr>
          <w:lang w:val="fr-FR"/>
        </w:rPr>
        <w:t>.</w:t>
      </w:r>
    </w:p>
    <w:p w:rsidR="00195175" w:rsidRPr="000F7862" w:rsidRDefault="003F7F57" w:rsidP="003F7F57">
      <w:pPr>
        <w:pStyle w:val="SingleTxtG"/>
        <w:rPr>
          <w:lang w:val="fr-FR"/>
        </w:rPr>
      </w:pPr>
      <w:r w:rsidRPr="000F7862">
        <w:rPr>
          <w:lang w:val="fr-FR"/>
        </w:rPr>
        <w:t>69.</w:t>
      </w:r>
      <w:r w:rsidRPr="000F7862">
        <w:rPr>
          <w:lang w:val="fr-FR"/>
        </w:rPr>
        <w:tab/>
      </w:r>
      <w:r w:rsidR="00E754EC" w:rsidRPr="000F7862">
        <w:rPr>
          <w:lang w:val="fr-FR"/>
        </w:rPr>
        <w:t>Il y a plus grave que le chômage</w:t>
      </w:r>
      <w:r w:rsidR="0005004C" w:rsidRPr="000F7862">
        <w:rPr>
          <w:lang w:val="fr-FR"/>
        </w:rPr>
        <w:t>:</w:t>
      </w:r>
      <w:r w:rsidR="00E754EC" w:rsidRPr="000F7862">
        <w:rPr>
          <w:lang w:val="fr-FR"/>
        </w:rPr>
        <w:t xml:space="preserve"> le taux de sous-emploi est demeuré élevé et a été plus instable que le taux de chômage, puisqu</w:t>
      </w:r>
      <w:r w:rsidR="00120E2E" w:rsidRPr="000F7862">
        <w:rPr>
          <w:lang w:val="fr-FR"/>
        </w:rPr>
        <w:t>’</w:t>
      </w:r>
      <w:r w:rsidR="00E754EC" w:rsidRPr="000F7862">
        <w:rPr>
          <w:lang w:val="fr-FR"/>
        </w:rPr>
        <w:t xml:space="preserve">il a oscillé entre </w:t>
      </w:r>
      <w:r w:rsidR="00195175" w:rsidRPr="000F7862">
        <w:rPr>
          <w:lang w:val="fr-FR"/>
        </w:rPr>
        <w:t>17</w:t>
      </w:r>
      <w:r w:rsidR="00E754EC" w:rsidRPr="000F7862">
        <w:rPr>
          <w:lang w:val="fr-FR"/>
        </w:rPr>
        <w:t>,</w:t>
      </w:r>
      <w:r w:rsidR="00195175" w:rsidRPr="000F7862">
        <w:rPr>
          <w:lang w:val="fr-FR"/>
        </w:rPr>
        <w:t>9</w:t>
      </w:r>
      <w:r w:rsidR="00DC1196" w:rsidRPr="000F7862">
        <w:rPr>
          <w:lang w:val="fr-FR"/>
        </w:rPr>
        <w:t> %</w:t>
      </w:r>
      <w:r w:rsidR="00195175" w:rsidRPr="000F7862">
        <w:rPr>
          <w:lang w:val="fr-FR"/>
        </w:rPr>
        <w:t xml:space="preserve"> (</w:t>
      </w:r>
      <w:r w:rsidR="00E754EC" w:rsidRPr="000F7862">
        <w:rPr>
          <w:lang w:val="fr-FR"/>
        </w:rPr>
        <w:t xml:space="preserve">juillet </w:t>
      </w:r>
      <w:r w:rsidR="00195175" w:rsidRPr="000F7862">
        <w:rPr>
          <w:lang w:val="fr-FR"/>
        </w:rPr>
        <w:t xml:space="preserve">2010) </w:t>
      </w:r>
      <w:r w:rsidR="00E754EC" w:rsidRPr="000F7862">
        <w:rPr>
          <w:lang w:val="fr-FR"/>
        </w:rPr>
        <w:t xml:space="preserve">et </w:t>
      </w:r>
      <w:r w:rsidR="00195175" w:rsidRPr="000F7862">
        <w:rPr>
          <w:lang w:val="fr-FR"/>
        </w:rPr>
        <w:t>22</w:t>
      </w:r>
      <w:r w:rsidR="00E754EC" w:rsidRPr="000F7862">
        <w:rPr>
          <w:lang w:val="fr-FR"/>
        </w:rPr>
        <w:t>,</w:t>
      </w:r>
      <w:r w:rsidR="00195175" w:rsidRPr="000F7862">
        <w:rPr>
          <w:lang w:val="fr-FR"/>
        </w:rPr>
        <w:t>8</w:t>
      </w:r>
      <w:r w:rsidR="00DC1196" w:rsidRPr="000F7862">
        <w:rPr>
          <w:lang w:val="fr-FR"/>
        </w:rPr>
        <w:t> %</w:t>
      </w:r>
      <w:r w:rsidR="00195175" w:rsidRPr="000F7862">
        <w:rPr>
          <w:lang w:val="fr-FR"/>
        </w:rPr>
        <w:t xml:space="preserve"> (</w:t>
      </w:r>
      <w:r w:rsidR="00E754EC" w:rsidRPr="000F7862">
        <w:rPr>
          <w:lang w:val="fr-FR"/>
        </w:rPr>
        <w:t xml:space="preserve">juillet </w:t>
      </w:r>
      <w:r w:rsidR="00195175" w:rsidRPr="000F7862">
        <w:rPr>
          <w:lang w:val="fr-FR"/>
        </w:rPr>
        <w:t>2012).</w:t>
      </w:r>
      <w:r w:rsidR="00446EA5" w:rsidRPr="000F7862">
        <w:rPr>
          <w:lang w:val="fr-FR"/>
        </w:rPr>
        <w:t xml:space="preserve"> </w:t>
      </w:r>
      <w:r w:rsidR="001E01BA" w:rsidRPr="000F7862">
        <w:rPr>
          <w:lang w:val="fr-FR"/>
        </w:rPr>
        <w:t>En d</w:t>
      </w:r>
      <w:r w:rsidR="00120E2E" w:rsidRPr="000F7862">
        <w:rPr>
          <w:lang w:val="fr-FR"/>
        </w:rPr>
        <w:t>’</w:t>
      </w:r>
      <w:r w:rsidR="001E01BA" w:rsidRPr="000F7862">
        <w:rPr>
          <w:lang w:val="fr-FR"/>
        </w:rPr>
        <w:t>autres termes, une personne employée sur cinq a exprimé le souhait d</w:t>
      </w:r>
      <w:r w:rsidR="00120E2E" w:rsidRPr="000F7862">
        <w:rPr>
          <w:lang w:val="fr-FR"/>
        </w:rPr>
        <w:t>’</w:t>
      </w:r>
      <w:r w:rsidR="001E01BA" w:rsidRPr="000F7862">
        <w:rPr>
          <w:lang w:val="fr-FR"/>
        </w:rPr>
        <w:t>obtenir des heures de travail supplémentaires parce qu</w:t>
      </w:r>
      <w:r w:rsidR="00120E2E" w:rsidRPr="000F7862">
        <w:rPr>
          <w:lang w:val="fr-FR"/>
        </w:rPr>
        <w:t>’</w:t>
      </w:r>
      <w:r w:rsidR="001E01BA" w:rsidRPr="000F7862">
        <w:rPr>
          <w:lang w:val="fr-FR"/>
        </w:rPr>
        <w:t xml:space="preserve">elle occupait un emploi mal rémunéré ou </w:t>
      </w:r>
      <w:r w:rsidR="00950C0C" w:rsidRPr="000F7862">
        <w:rPr>
          <w:lang w:val="fr-FR"/>
        </w:rPr>
        <w:t>à cause d</w:t>
      </w:r>
      <w:r w:rsidR="00120E2E" w:rsidRPr="000F7862">
        <w:rPr>
          <w:lang w:val="fr-FR"/>
        </w:rPr>
        <w:t>’</w:t>
      </w:r>
      <w:r w:rsidR="00950C0C" w:rsidRPr="000F7862">
        <w:rPr>
          <w:lang w:val="fr-FR"/>
        </w:rPr>
        <w:t>un décala</w:t>
      </w:r>
      <w:r w:rsidR="00195E5A" w:rsidRPr="000F7862">
        <w:rPr>
          <w:lang w:val="fr-FR"/>
        </w:rPr>
        <w:t>ge entre l</w:t>
      </w:r>
      <w:r w:rsidR="00120E2E" w:rsidRPr="000F7862">
        <w:rPr>
          <w:lang w:val="fr-FR"/>
        </w:rPr>
        <w:t>’</w:t>
      </w:r>
      <w:r w:rsidR="00195E5A" w:rsidRPr="000F7862">
        <w:rPr>
          <w:lang w:val="fr-FR"/>
        </w:rPr>
        <w:t>emploi offert et l</w:t>
      </w:r>
      <w:r w:rsidR="00120E2E" w:rsidRPr="000F7862">
        <w:rPr>
          <w:lang w:val="fr-FR"/>
        </w:rPr>
        <w:t>’</w:t>
      </w:r>
      <w:r w:rsidR="00195E5A" w:rsidRPr="000F7862">
        <w:rPr>
          <w:lang w:val="fr-FR"/>
        </w:rPr>
        <w:t>emploi demandé</w:t>
      </w:r>
      <w:r w:rsidR="00195175" w:rsidRPr="000F7862">
        <w:rPr>
          <w:lang w:val="fr-FR"/>
        </w:rPr>
        <w:t>.</w:t>
      </w:r>
    </w:p>
    <w:p w:rsidR="00195175" w:rsidRPr="000F7862" w:rsidRDefault="003F7F57" w:rsidP="003F7F57">
      <w:pPr>
        <w:pStyle w:val="SingleTxtG"/>
        <w:rPr>
          <w:lang w:val="fr-FR"/>
        </w:rPr>
      </w:pPr>
      <w:r w:rsidRPr="000F7862">
        <w:rPr>
          <w:lang w:val="fr-FR"/>
        </w:rPr>
        <w:t>70.</w:t>
      </w:r>
      <w:r w:rsidRPr="000F7862">
        <w:rPr>
          <w:lang w:val="fr-FR"/>
        </w:rPr>
        <w:tab/>
      </w:r>
      <w:r w:rsidR="008D723F" w:rsidRPr="000F7862">
        <w:rPr>
          <w:lang w:val="fr-FR"/>
        </w:rPr>
        <w:t>À la différence du chômage, qui touche principalement les jeunes, le sous-emploi ne tient pas compte de l</w:t>
      </w:r>
      <w:r w:rsidR="00120E2E" w:rsidRPr="000F7862">
        <w:rPr>
          <w:lang w:val="fr-FR"/>
        </w:rPr>
        <w:t>’</w:t>
      </w:r>
      <w:r w:rsidR="008D723F" w:rsidRPr="000F7862">
        <w:rPr>
          <w:lang w:val="fr-FR"/>
        </w:rPr>
        <w:t>âge et du sexe et est particulièrement fréquent parmi la main-d</w:t>
      </w:r>
      <w:r w:rsidR="00120E2E" w:rsidRPr="000F7862">
        <w:rPr>
          <w:lang w:val="fr-FR"/>
        </w:rPr>
        <w:t>’</w:t>
      </w:r>
      <w:r w:rsidR="008D723F" w:rsidRPr="000F7862">
        <w:rPr>
          <w:lang w:val="fr-FR"/>
        </w:rPr>
        <w:t>œuvre peu éduquée et dans les régions où l</w:t>
      </w:r>
      <w:r w:rsidR="00120E2E" w:rsidRPr="000F7862">
        <w:rPr>
          <w:lang w:val="fr-FR"/>
        </w:rPr>
        <w:t>’</w:t>
      </w:r>
      <w:r w:rsidR="00195175" w:rsidRPr="000F7862">
        <w:rPr>
          <w:lang w:val="fr-FR"/>
        </w:rPr>
        <w:t xml:space="preserve">agriculture </w:t>
      </w:r>
      <w:r w:rsidR="008D723F" w:rsidRPr="000F7862">
        <w:rPr>
          <w:lang w:val="fr-FR"/>
        </w:rPr>
        <w:t xml:space="preserve">est le secteur </w:t>
      </w:r>
      <w:r w:rsidR="00195175" w:rsidRPr="000F7862">
        <w:rPr>
          <w:lang w:val="fr-FR"/>
        </w:rPr>
        <w:t>dominant.</w:t>
      </w:r>
      <w:r w:rsidR="00446EA5" w:rsidRPr="000F7862">
        <w:rPr>
          <w:lang w:val="fr-FR"/>
        </w:rPr>
        <w:t xml:space="preserve"> </w:t>
      </w:r>
      <w:r w:rsidR="008D723F" w:rsidRPr="000F7862">
        <w:rPr>
          <w:lang w:val="fr-FR"/>
        </w:rPr>
        <w:t xml:space="preserve">On </w:t>
      </w:r>
      <w:r w:rsidR="00F17B58" w:rsidRPr="000F7862">
        <w:rPr>
          <w:lang w:val="fr-FR"/>
        </w:rPr>
        <w:t xml:space="preserve">voit </w:t>
      </w:r>
      <w:r w:rsidR="008D723F" w:rsidRPr="000F7862">
        <w:rPr>
          <w:lang w:val="fr-FR"/>
        </w:rPr>
        <w:t>que, si l</w:t>
      </w:r>
      <w:r w:rsidR="00120E2E" w:rsidRPr="000F7862">
        <w:rPr>
          <w:lang w:val="fr-FR"/>
        </w:rPr>
        <w:t>’</w:t>
      </w:r>
      <w:r w:rsidR="008D723F" w:rsidRPr="000F7862">
        <w:rPr>
          <w:lang w:val="fr-FR"/>
        </w:rPr>
        <w:t>économie crée des emplois, leur qualité n</w:t>
      </w:r>
      <w:r w:rsidR="00120E2E" w:rsidRPr="000F7862">
        <w:rPr>
          <w:lang w:val="fr-FR"/>
        </w:rPr>
        <w:t>’</w:t>
      </w:r>
      <w:r w:rsidR="008D723F" w:rsidRPr="000F7862">
        <w:rPr>
          <w:lang w:val="fr-FR"/>
        </w:rPr>
        <w:t>est pas toujours au rendez-vous</w:t>
      </w:r>
      <w:r w:rsidR="00195175" w:rsidRPr="000F7862">
        <w:rPr>
          <w:lang w:val="fr-FR"/>
        </w:rPr>
        <w:t>.</w:t>
      </w:r>
      <w:r w:rsidR="00446EA5" w:rsidRPr="000F7862">
        <w:rPr>
          <w:lang w:val="fr-FR"/>
        </w:rPr>
        <w:t xml:space="preserve"> </w:t>
      </w:r>
      <w:r w:rsidR="008D723F" w:rsidRPr="000F7862">
        <w:rPr>
          <w:lang w:val="fr-FR"/>
        </w:rPr>
        <w:t>L</w:t>
      </w:r>
      <w:r w:rsidR="00120E2E" w:rsidRPr="000F7862">
        <w:rPr>
          <w:lang w:val="fr-FR"/>
        </w:rPr>
        <w:t>’</w:t>
      </w:r>
      <w:r w:rsidR="008D723F" w:rsidRPr="000F7862">
        <w:rPr>
          <w:lang w:val="fr-FR"/>
        </w:rPr>
        <w:t>explication donnée d</w:t>
      </w:r>
      <w:r w:rsidR="00120E2E" w:rsidRPr="000F7862">
        <w:rPr>
          <w:lang w:val="fr-FR"/>
        </w:rPr>
        <w:t>’</w:t>
      </w:r>
      <w:r w:rsidR="008D723F" w:rsidRPr="000F7862">
        <w:rPr>
          <w:lang w:val="fr-FR"/>
        </w:rPr>
        <w:t>un taux de chômage élevé en dépit de la croissance économique vaut également pour la persistance d</w:t>
      </w:r>
      <w:r w:rsidR="00120E2E" w:rsidRPr="000F7862">
        <w:rPr>
          <w:lang w:val="fr-FR"/>
        </w:rPr>
        <w:t>’</w:t>
      </w:r>
      <w:r w:rsidR="008D723F" w:rsidRPr="000F7862">
        <w:rPr>
          <w:lang w:val="fr-FR"/>
        </w:rPr>
        <w:t>un sous-emploi important</w:t>
      </w:r>
      <w:r w:rsidR="00195175" w:rsidRPr="000F7862">
        <w:rPr>
          <w:lang w:val="fr-FR"/>
        </w:rPr>
        <w:t>.</w:t>
      </w:r>
      <w:r w:rsidR="00446EA5" w:rsidRPr="000F7862">
        <w:rPr>
          <w:lang w:val="fr-FR"/>
        </w:rPr>
        <w:t xml:space="preserve"> </w:t>
      </w:r>
      <w:r w:rsidR="008D723F" w:rsidRPr="000F7862">
        <w:rPr>
          <w:lang w:val="fr-FR"/>
        </w:rPr>
        <w:t xml:space="preserve">En effet, </w:t>
      </w:r>
      <w:r w:rsidR="004B0FCA" w:rsidRPr="000F7862">
        <w:rPr>
          <w:lang w:val="fr-FR"/>
        </w:rPr>
        <w:t xml:space="preserve">les personnes sont invitées à chercher à travailler davantage, mais leurs compétences du moment peuvent ne pas correspondre aux exigences </w:t>
      </w:r>
      <w:r w:rsidR="00F17B58" w:rsidRPr="000F7862">
        <w:rPr>
          <w:lang w:val="fr-FR"/>
        </w:rPr>
        <w:t>d</w:t>
      </w:r>
      <w:r w:rsidR="00120E2E" w:rsidRPr="000F7862">
        <w:rPr>
          <w:lang w:val="fr-FR"/>
        </w:rPr>
        <w:t>’</w:t>
      </w:r>
      <w:r w:rsidR="00F17B58" w:rsidRPr="000F7862">
        <w:rPr>
          <w:lang w:val="fr-FR"/>
        </w:rPr>
        <w:t>une économie du travail en pleine mutation</w:t>
      </w:r>
      <w:r w:rsidR="00195175" w:rsidRPr="000F7862">
        <w:rPr>
          <w:lang w:val="fr-FR"/>
        </w:rPr>
        <w:t>.</w:t>
      </w:r>
    </w:p>
    <w:p w:rsidR="00195175" w:rsidRPr="000F7862" w:rsidRDefault="00A03A96" w:rsidP="00A03A96">
      <w:pPr>
        <w:pStyle w:val="H23G"/>
        <w:rPr>
          <w:lang w:val="fr-FR"/>
        </w:rPr>
      </w:pPr>
      <w:r w:rsidRPr="000F7862">
        <w:rPr>
          <w:lang w:val="fr-FR"/>
        </w:rPr>
        <w:tab/>
      </w:r>
      <w:r w:rsidRPr="000F7862">
        <w:rPr>
          <w:lang w:val="fr-FR"/>
        </w:rPr>
        <w:tab/>
      </w:r>
      <w:r w:rsidR="00B928C5" w:rsidRPr="000F7862">
        <w:rPr>
          <w:lang w:val="fr-FR"/>
        </w:rPr>
        <w:t>Programmes et services facilitant la recherche d</w:t>
      </w:r>
      <w:r w:rsidR="00120E2E" w:rsidRPr="000F7862">
        <w:rPr>
          <w:lang w:val="fr-FR"/>
        </w:rPr>
        <w:t>’</w:t>
      </w:r>
      <w:r w:rsidR="00B928C5" w:rsidRPr="000F7862">
        <w:rPr>
          <w:lang w:val="fr-FR"/>
        </w:rPr>
        <w:t xml:space="preserve">un emploi </w:t>
      </w:r>
    </w:p>
    <w:p w:rsidR="00195175" w:rsidRPr="000F7862" w:rsidRDefault="003F7F57" w:rsidP="003F7F57">
      <w:pPr>
        <w:pStyle w:val="SingleTxtG"/>
        <w:rPr>
          <w:lang w:val="fr-FR"/>
        </w:rPr>
      </w:pPr>
      <w:r w:rsidRPr="000F7862">
        <w:rPr>
          <w:lang w:val="fr-FR"/>
        </w:rPr>
        <w:t>71.</w:t>
      </w:r>
      <w:r w:rsidRPr="000F7862">
        <w:rPr>
          <w:lang w:val="fr-FR"/>
        </w:rPr>
        <w:tab/>
      </w:r>
      <w:r w:rsidR="00B928C5" w:rsidRPr="000F7862">
        <w:rPr>
          <w:lang w:val="fr-FR"/>
        </w:rPr>
        <w:t xml:space="preserve">Pour remédier au chômage et au sous-emploi, le Gouvernement a mis en place différents </w:t>
      </w:r>
      <w:r w:rsidR="00867E43" w:rsidRPr="000F7862">
        <w:rPr>
          <w:lang w:val="fr-FR"/>
        </w:rPr>
        <w:t>programmes</w:t>
      </w:r>
      <w:r w:rsidR="00195175" w:rsidRPr="000F7862">
        <w:rPr>
          <w:lang w:val="fr-FR"/>
        </w:rPr>
        <w:t xml:space="preserve"> </w:t>
      </w:r>
      <w:r w:rsidR="00B928C5" w:rsidRPr="000F7862">
        <w:rPr>
          <w:lang w:val="fr-FR"/>
        </w:rPr>
        <w:t>et projets, dont plusieurs services et programmes facilitant la recherche d</w:t>
      </w:r>
      <w:r w:rsidR="00120E2E" w:rsidRPr="000F7862">
        <w:rPr>
          <w:lang w:val="fr-FR"/>
        </w:rPr>
        <w:t>’</w:t>
      </w:r>
      <w:r w:rsidR="00B928C5" w:rsidRPr="000F7862">
        <w:rPr>
          <w:lang w:val="fr-FR"/>
        </w:rPr>
        <w:t xml:space="preserve">un emploi </w:t>
      </w:r>
      <w:r w:rsidR="00187CD1" w:rsidRPr="000F7862">
        <w:rPr>
          <w:lang w:val="fr-FR"/>
        </w:rPr>
        <w:t>que le Ministère du travail et de l</w:t>
      </w:r>
      <w:r w:rsidR="00120E2E" w:rsidRPr="000F7862">
        <w:rPr>
          <w:lang w:val="fr-FR"/>
        </w:rPr>
        <w:t>’</w:t>
      </w:r>
      <w:r w:rsidR="00187CD1" w:rsidRPr="000F7862">
        <w:rPr>
          <w:lang w:val="fr-FR"/>
        </w:rPr>
        <w:t>emploi</w:t>
      </w:r>
      <w:r w:rsidR="00195175" w:rsidRPr="000F7862">
        <w:rPr>
          <w:lang w:val="fr-FR"/>
        </w:rPr>
        <w:t xml:space="preserve"> </w:t>
      </w:r>
      <w:r w:rsidR="00187CD1" w:rsidRPr="000F7862">
        <w:rPr>
          <w:lang w:val="fr-FR"/>
        </w:rPr>
        <w:t xml:space="preserve">supervise et coordonne et qui visent à aider les travailleurs philippins à accéder </w:t>
      </w:r>
      <w:r w:rsidR="00527CAF" w:rsidRPr="000F7862">
        <w:rPr>
          <w:lang w:val="fr-FR"/>
        </w:rPr>
        <w:t>à des possibilités d</w:t>
      </w:r>
      <w:r w:rsidR="00120E2E" w:rsidRPr="000F7862">
        <w:rPr>
          <w:lang w:val="fr-FR"/>
        </w:rPr>
        <w:t>’</w:t>
      </w:r>
      <w:r w:rsidR="00527CAF" w:rsidRPr="000F7862">
        <w:rPr>
          <w:lang w:val="fr-FR"/>
        </w:rPr>
        <w:t>emploi et à des solutions en matière d</w:t>
      </w:r>
      <w:r w:rsidR="00120E2E" w:rsidRPr="000F7862">
        <w:rPr>
          <w:lang w:val="fr-FR"/>
        </w:rPr>
        <w:t>’</w:t>
      </w:r>
      <w:r w:rsidR="00527CAF" w:rsidRPr="000F7862">
        <w:rPr>
          <w:lang w:val="fr-FR"/>
        </w:rPr>
        <w:t>emploi</w:t>
      </w:r>
      <w:r w:rsidR="00195175" w:rsidRPr="000F7862">
        <w:rPr>
          <w:lang w:val="fr-FR"/>
        </w:rPr>
        <w:t xml:space="preserve">. </w:t>
      </w:r>
      <w:r w:rsidR="00527CAF" w:rsidRPr="000F7862">
        <w:rPr>
          <w:lang w:val="fr-FR"/>
        </w:rPr>
        <w:t xml:space="preserve">De portée </w:t>
      </w:r>
      <w:r w:rsidR="00195175" w:rsidRPr="000F7862">
        <w:rPr>
          <w:lang w:val="fr-FR"/>
        </w:rPr>
        <w:t>national</w:t>
      </w:r>
      <w:r w:rsidR="00527CAF" w:rsidRPr="000F7862">
        <w:rPr>
          <w:lang w:val="fr-FR"/>
        </w:rPr>
        <w:t>e</w:t>
      </w:r>
      <w:r w:rsidR="00195175" w:rsidRPr="000F7862">
        <w:rPr>
          <w:lang w:val="fr-FR"/>
        </w:rPr>
        <w:t xml:space="preserve">, </w:t>
      </w:r>
      <w:r w:rsidR="00527CAF" w:rsidRPr="000F7862">
        <w:rPr>
          <w:lang w:val="fr-FR"/>
        </w:rPr>
        <w:t>le programme facilitant la recherche d</w:t>
      </w:r>
      <w:r w:rsidR="00120E2E" w:rsidRPr="000F7862">
        <w:rPr>
          <w:lang w:val="fr-FR"/>
        </w:rPr>
        <w:t>’</w:t>
      </w:r>
      <w:r w:rsidR="00527CAF" w:rsidRPr="000F7862">
        <w:rPr>
          <w:lang w:val="fr-FR"/>
        </w:rPr>
        <w:t xml:space="preserve">un emploi du Ministère est destiné aux </w:t>
      </w:r>
      <w:r w:rsidR="00FD28CB" w:rsidRPr="000F7862">
        <w:rPr>
          <w:lang w:val="fr-FR"/>
        </w:rPr>
        <w:t>personnes démunies</w:t>
      </w:r>
      <w:r w:rsidR="00527CAF" w:rsidRPr="000F7862">
        <w:rPr>
          <w:lang w:val="fr-FR"/>
        </w:rPr>
        <w:t>, aux chômeurs marginalisés et aux travailleurs déplacés dans les zones rurales</w:t>
      </w:r>
      <w:r w:rsidR="00DF7957" w:rsidRPr="000F7862">
        <w:rPr>
          <w:lang w:val="fr-FR"/>
        </w:rPr>
        <w:t xml:space="preserve"> de toutes les régions</w:t>
      </w:r>
      <w:r w:rsidR="00195175" w:rsidRPr="000F7862">
        <w:rPr>
          <w:lang w:val="fr-FR"/>
        </w:rPr>
        <w:t xml:space="preserve">. </w:t>
      </w:r>
    </w:p>
    <w:p w:rsidR="00195175" w:rsidRPr="000F7862" w:rsidRDefault="003F7F57" w:rsidP="003F7F57">
      <w:pPr>
        <w:pStyle w:val="SingleTxtG"/>
        <w:rPr>
          <w:lang w:val="fr-FR"/>
        </w:rPr>
      </w:pPr>
      <w:r w:rsidRPr="000F7862">
        <w:rPr>
          <w:lang w:val="fr-FR"/>
        </w:rPr>
        <w:t>72.</w:t>
      </w:r>
      <w:r w:rsidRPr="000F7862">
        <w:rPr>
          <w:lang w:val="fr-FR"/>
        </w:rPr>
        <w:tab/>
      </w:r>
      <w:r w:rsidR="00527CAF" w:rsidRPr="000F7862">
        <w:rPr>
          <w:u w:color="0000FF"/>
          <w:lang w:val="fr-FR"/>
        </w:rPr>
        <w:t>Ces services et programmes ont notamment les suivants</w:t>
      </w:r>
      <w:r w:rsidR="0005004C" w:rsidRPr="000F7862">
        <w:rPr>
          <w:u w:color="0000FF"/>
          <w:lang w:val="fr-FR"/>
        </w:rPr>
        <w:t>:</w:t>
      </w:r>
      <w:r w:rsidR="00527CAF" w:rsidRPr="000F7862">
        <w:rPr>
          <w:u w:color="0000FF"/>
          <w:lang w:val="fr-FR"/>
        </w:rPr>
        <w:t xml:space="preserve"> le </w:t>
      </w:r>
      <w:r w:rsidR="00527CAF" w:rsidRPr="000F7862">
        <w:rPr>
          <w:lang w:val="fr-FR"/>
        </w:rPr>
        <w:t>programme spécial pour l</w:t>
      </w:r>
      <w:r w:rsidR="00120E2E" w:rsidRPr="000F7862">
        <w:rPr>
          <w:lang w:val="fr-FR"/>
        </w:rPr>
        <w:t>’</w:t>
      </w:r>
      <w:r w:rsidR="00527CAF" w:rsidRPr="000F7862">
        <w:rPr>
          <w:lang w:val="fr-FR"/>
        </w:rPr>
        <w:t>emploi des étudiant</w:t>
      </w:r>
      <w:r w:rsidR="00FE215F" w:rsidRPr="000F7862">
        <w:rPr>
          <w:lang w:val="fr-FR"/>
        </w:rPr>
        <w:t>s</w:t>
      </w:r>
      <w:r w:rsidR="00527CAF" w:rsidRPr="000F7862">
        <w:rPr>
          <w:lang w:val="fr-FR"/>
        </w:rPr>
        <w:t>, les foires aux emplois et le</w:t>
      </w:r>
      <w:r w:rsidR="00DF7957" w:rsidRPr="000F7862">
        <w:rPr>
          <w:lang w:val="fr-FR"/>
        </w:rPr>
        <w:t>s bureaux publics pour l</w:t>
      </w:r>
      <w:r w:rsidR="00120E2E" w:rsidRPr="000F7862">
        <w:rPr>
          <w:lang w:val="fr-FR"/>
        </w:rPr>
        <w:t>’</w:t>
      </w:r>
      <w:r w:rsidR="00DF7957" w:rsidRPr="000F7862">
        <w:rPr>
          <w:lang w:val="fr-FR"/>
        </w:rPr>
        <w:t>emploi</w:t>
      </w:r>
      <w:r w:rsidR="00527CAF" w:rsidRPr="000F7862">
        <w:rPr>
          <w:lang w:val="fr-FR"/>
        </w:rPr>
        <w:t>, qui facilitent la recherche d</w:t>
      </w:r>
      <w:r w:rsidR="00120E2E" w:rsidRPr="000F7862">
        <w:rPr>
          <w:lang w:val="fr-FR"/>
        </w:rPr>
        <w:t>’</w:t>
      </w:r>
      <w:r w:rsidR="00527CAF" w:rsidRPr="000F7862">
        <w:rPr>
          <w:lang w:val="fr-FR"/>
        </w:rPr>
        <w:t>un emploi</w:t>
      </w:r>
      <w:r w:rsidR="00527CAF" w:rsidRPr="000F7862">
        <w:rPr>
          <w:u w:color="0000FF"/>
          <w:lang w:val="fr-FR"/>
        </w:rPr>
        <w:t>, les agences privées de r</w:t>
      </w:r>
      <w:r w:rsidR="00195175" w:rsidRPr="000F7862">
        <w:rPr>
          <w:lang w:val="fr-FR"/>
        </w:rPr>
        <w:t>ecru</w:t>
      </w:r>
      <w:r w:rsidR="00527CAF" w:rsidRPr="000F7862">
        <w:rPr>
          <w:lang w:val="fr-FR"/>
        </w:rPr>
        <w:t>te</w:t>
      </w:r>
      <w:r w:rsidR="00195175" w:rsidRPr="000F7862">
        <w:rPr>
          <w:lang w:val="fr-FR"/>
        </w:rPr>
        <w:t xml:space="preserve">ment </w:t>
      </w:r>
      <w:r w:rsidR="00527CAF" w:rsidRPr="000F7862">
        <w:rPr>
          <w:lang w:val="fr-FR"/>
        </w:rPr>
        <w:t>et de p</w:t>
      </w:r>
      <w:r w:rsidR="00DF7957" w:rsidRPr="000F7862">
        <w:rPr>
          <w:lang w:val="fr-FR"/>
        </w:rPr>
        <w:t xml:space="preserve">lacement </w:t>
      </w:r>
      <w:r w:rsidR="00527CAF" w:rsidRPr="000F7862">
        <w:rPr>
          <w:lang w:val="fr-FR"/>
        </w:rPr>
        <w:t xml:space="preserve">et les </w:t>
      </w:r>
      <w:r w:rsidR="007F5AF7" w:rsidRPr="000F7862">
        <w:rPr>
          <w:lang w:val="fr-FR"/>
        </w:rPr>
        <w:t>sous-traitants</w:t>
      </w:r>
      <w:r w:rsidR="00195175" w:rsidRPr="000F7862">
        <w:rPr>
          <w:lang w:val="fr-FR"/>
        </w:rPr>
        <w:t xml:space="preserve">. </w:t>
      </w:r>
    </w:p>
    <w:p w:rsidR="00195175" w:rsidRPr="000F7862" w:rsidRDefault="00195175" w:rsidP="00195175">
      <w:pPr>
        <w:pStyle w:val="H23G"/>
        <w:rPr>
          <w:lang w:val="fr-FR"/>
        </w:rPr>
      </w:pPr>
      <w:r w:rsidRPr="000F7862">
        <w:rPr>
          <w:lang w:val="fr-FR"/>
        </w:rPr>
        <w:tab/>
      </w:r>
      <w:r w:rsidRPr="000F7862">
        <w:rPr>
          <w:lang w:val="fr-FR"/>
        </w:rPr>
        <w:tab/>
      </w:r>
      <w:r w:rsidR="00867E43" w:rsidRPr="000F7862">
        <w:rPr>
          <w:lang w:val="fr-FR"/>
        </w:rPr>
        <w:t>Programme</w:t>
      </w:r>
      <w:r w:rsidRPr="000F7862">
        <w:rPr>
          <w:lang w:val="fr-FR"/>
        </w:rPr>
        <w:t xml:space="preserve"> </w:t>
      </w:r>
      <w:r w:rsidR="007F5AF7" w:rsidRPr="000F7862">
        <w:rPr>
          <w:lang w:val="fr-FR"/>
        </w:rPr>
        <w:t>spécial pour l</w:t>
      </w:r>
      <w:r w:rsidR="00120E2E" w:rsidRPr="000F7862">
        <w:rPr>
          <w:lang w:val="fr-FR"/>
        </w:rPr>
        <w:t>’</w:t>
      </w:r>
      <w:r w:rsidR="007F5AF7" w:rsidRPr="000F7862">
        <w:rPr>
          <w:lang w:val="fr-FR"/>
        </w:rPr>
        <w:t xml:space="preserve">emploi des </w:t>
      </w:r>
      <w:r w:rsidR="002D42BE" w:rsidRPr="000F7862">
        <w:rPr>
          <w:lang w:val="fr-FR"/>
        </w:rPr>
        <w:t>élèves/</w:t>
      </w:r>
      <w:r w:rsidR="007F5AF7" w:rsidRPr="000F7862">
        <w:rPr>
          <w:lang w:val="fr-FR"/>
        </w:rPr>
        <w:t xml:space="preserve">étudiants </w:t>
      </w:r>
    </w:p>
    <w:p w:rsidR="00195175" w:rsidRPr="000F7862" w:rsidRDefault="003F7F57" w:rsidP="003F7F57">
      <w:pPr>
        <w:pStyle w:val="SingleTxtG"/>
        <w:rPr>
          <w:lang w:val="fr-FR"/>
        </w:rPr>
      </w:pPr>
      <w:r w:rsidRPr="000F7862">
        <w:rPr>
          <w:lang w:val="fr-FR"/>
        </w:rPr>
        <w:t>73.</w:t>
      </w:r>
      <w:r w:rsidRPr="000F7862">
        <w:rPr>
          <w:lang w:val="fr-FR"/>
        </w:rPr>
        <w:tab/>
      </w:r>
      <w:r w:rsidR="00FE215F" w:rsidRPr="000F7862">
        <w:rPr>
          <w:lang w:val="fr-FR"/>
        </w:rPr>
        <w:t>Le Programme spécial pour l</w:t>
      </w:r>
      <w:r w:rsidR="00120E2E" w:rsidRPr="000F7862">
        <w:rPr>
          <w:lang w:val="fr-FR"/>
        </w:rPr>
        <w:t>’</w:t>
      </w:r>
      <w:r w:rsidR="00FE215F" w:rsidRPr="000F7862">
        <w:rPr>
          <w:lang w:val="fr-FR"/>
        </w:rPr>
        <w:t xml:space="preserve">emploi des </w:t>
      </w:r>
      <w:r w:rsidR="002D42BE" w:rsidRPr="000F7862">
        <w:rPr>
          <w:lang w:val="fr-FR"/>
        </w:rPr>
        <w:t>élèves/</w:t>
      </w:r>
      <w:r w:rsidR="00FE215F" w:rsidRPr="000F7862">
        <w:rPr>
          <w:lang w:val="fr-FR"/>
        </w:rPr>
        <w:t>étudiants</w:t>
      </w:r>
      <w:r w:rsidR="00195175" w:rsidRPr="000F7862">
        <w:rPr>
          <w:lang w:val="fr-FR"/>
        </w:rPr>
        <w:t xml:space="preserve"> </w:t>
      </w:r>
      <w:r w:rsidR="00FE215F" w:rsidRPr="000F7862">
        <w:rPr>
          <w:lang w:val="fr-FR"/>
        </w:rPr>
        <w:t xml:space="preserve">est un programme </w:t>
      </w:r>
      <w:r w:rsidR="00E443E7" w:rsidRPr="000F7862">
        <w:rPr>
          <w:lang w:val="fr-FR"/>
        </w:rPr>
        <w:t>relevant à la fois du</w:t>
      </w:r>
      <w:r w:rsidR="00FE215F" w:rsidRPr="000F7862">
        <w:rPr>
          <w:lang w:val="fr-FR"/>
        </w:rPr>
        <w:t xml:space="preserve"> Ministère du travail et de l</w:t>
      </w:r>
      <w:r w:rsidR="00120E2E" w:rsidRPr="000F7862">
        <w:rPr>
          <w:lang w:val="fr-FR"/>
        </w:rPr>
        <w:t>’</w:t>
      </w:r>
      <w:r w:rsidR="00FE215F" w:rsidRPr="000F7862">
        <w:rPr>
          <w:lang w:val="fr-FR"/>
        </w:rPr>
        <w:t>emploi</w:t>
      </w:r>
      <w:r w:rsidR="00195175" w:rsidRPr="000F7862">
        <w:rPr>
          <w:lang w:val="fr-FR"/>
        </w:rPr>
        <w:t xml:space="preserve">, </w:t>
      </w:r>
      <w:r w:rsidR="00E443E7" w:rsidRPr="000F7862">
        <w:rPr>
          <w:lang w:val="fr-FR"/>
        </w:rPr>
        <w:t xml:space="preserve">de </w:t>
      </w:r>
      <w:r w:rsidR="00FE215F" w:rsidRPr="000F7862">
        <w:rPr>
          <w:lang w:val="fr-FR"/>
        </w:rPr>
        <w:t>la Commission de l</w:t>
      </w:r>
      <w:r w:rsidR="00120E2E" w:rsidRPr="000F7862">
        <w:rPr>
          <w:lang w:val="fr-FR"/>
        </w:rPr>
        <w:t>’</w:t>
      </w:r>
      <w:r w:rsidR="00FE215F" w:rsidRPr="000F7862">
        <w:rPr>
          <w:lang w:val="fr-FR"/>
        </w:rPr>
        <w:t>enseignement supérieur</w:t>
      </w:r>
      <w:r w:rsidR="00195175" w:rsidRPr="000F7862">
        <w:rPr>
          <w:lang w:val="fr-FR"/>
        </w:rPr>
        <w:t xml:space="preserve">, </w:t>
      </w:r>
      <w:r w:rsidR="00E443E7" w:rsidRPr="000F7862">
        <w:rPr>
          <w:lang w:val="fr-FR"/>
        </w:rPr>
        <w:t>du</w:t>
      </w:r>
      <w:r w:rsidR="00FE215F" w:rsidRPr="000F7862">
        <w:rPr>
          <w:lang w:val="fr-FR"/>
        </w:rPr>
        <w:t xml:space="preserve"> Ministère du budget et de la gestion</w:t>
      </w:r>
      <w:r w:rsidR="00195175" w:rsidRPr="000F7862">
        <w:rPr>
          <w:lang w:val="fr-FR"/>
        </w:rPr>
        <w:t xml:space="preserve">, </w:t>
      </w:r>
      <w:r w:rsidR="00E443E7" w:rsidRPr="000F7862">
        <w:rPr>
          <w:lang w:val="fr-FR"/>
        </w:rPr>
        <w:t>du</w:t>
      </w:r>
      <w:r w:rsidR="00FE215F" w:rsidRPr="000F7862">
        <w:rPr>
          <w:lang w:val="fr-FR"/>
        </w:rPr>
        <w:t xml:space="preserve"> Ministère de la protection sociale et du développement et</w:t>
      </w:r>
      <w:r w:rsidR="00195175" w:rsidRPr="000F7862">
        <w:rPr>
          <w:lang w:val="fr-FR"/>
        </w:rPr>
        <w:t xml:space="preserve"> </w:t>
      </w:r>
      <w:r w:rsidR="00E443E7" w:rsidRPr="000F7862">
        <w:rPr>
          <w:lang w:val="fr-FR"/>
        </w:rPr>
        <w:t xml:space="preserve">du </w:t>
      </w:r>
      <w:r w:rsidR="00DF7957" w:rsidRPr="000F7862">
        <w:rPr>
          <w:lang w:val="fr-FR"/>
        </w:rPr>
        <w:t>Ministère des finances</w:t>
      </w:r>
      <w:r w:rsidR="00195175" w:rsidRPr="000F7862">
        <w:rPr>
          <w:lang w:val="fr-FR"/>
        </w:rPr>
        <w:t xml:space="preserve">. </w:t>
      </w:r>
      <w:r w:rsidR="00FE215F" w:rsidRPr="000F7862">
        <w:rPr>
          <w:lang w:val="fr-FR"/>
        </w:rPr>
        <w:t xml:space="preserve">En tant que président de ce </w:t>
      </w:r>
      <w:r w:rsidR="00867E43" w:rsidRPr="000F7862">
        <w:rPr>
          <w:lang w:val="fr-FR"/>
        </w:rPr>
        <w:t>Programme</w:t>
      </w:r>
      <w:r w:rsidR="00195175" w:rsidRPr="000F7862">
        <w:rPr>
          <w:lang w:val="fr-FR"/>
        </w:rPr>
        <w:t xml:space="preserve">, </w:t>
      </w:r>
      <w:r w:rsidR="00FE215F" w:rsidRPr="000F7862">
        <w:rPr>
          <w:lang w:val="fr-FR"/>
        </w:rPr>
        <w:t>le Ministère du travail et de l</w:t>
      </w:r>
      <w:r w:rsidR="00120E2E" w:rsidRPr="000F7862">
        <w:rPr>
          <w:lang w:val="fr-FR"/>
        </w:rPr>
        <w:t>’</w:t>
      </w:r>
      <w:r w:rsidR="00FE215F" w:rsidRPr="000F7862">
        <w:rPr>
          <w:lang w:val="fr-FR"/>
        </w:rPr>
        <w:t>emploi le met en œuvre par l</w:t>
      </w:r>
      <w:r w:rsidR="00120E2E" w:rsidRPr="000F7862">
        <w:rPr>
          <w:lang w:val="fr-FR"/>
        </w:rPr>
        <w:t>’</w:t>
      </w:r>
      <w:r w:rsidR="00FE215F" w:rsidRPr="000F7862">
        <w:rPr>
          <w:lang w:val="fr-FR"/>
        </w:rPr>
        <w:t>intermédiaire de son réseau de bureaux régionaux de première ligne</w:t>
      </w:r>
      <w:r w:rsidR="00195175" w:rsidRPr="000F7862">
        <w:rPr>
          <w:lang w:val="fr-FR"/>
        </w:rPr>
        <w:t xml:space="preserve">. </w:t>
      </w:r>
      <w:r w:rsidR="002D42BE" w:rsidRPr="000F7862">
        <w:rPr>
          <w:lang w:val="fr-FR"/>
        </w:rPr>
        <w:t xml:space="preserve">Ce </w:t>
      </w:r>
      <w:r w:rsidR="00867E43" w:rsidRPr="000F7862">
        <w:rPr>
          <w:lang w:val="fr-FR"/>
        </w:rPr>
        <w:t>programme</w:t>
      </w:r>
      <w:r w:rsidR="00195175" w:rsidRPr="000F7862">
        <w:rPr>
          <w:lang w:val="fr-FR"/>
        </w:rPr>
        <w:t xml:space="preserve"> </w:t>
      </w:r>
      <w:r w:rsidR="002D42BE" w:rsidRPr="000F7862">
        <w:rPr>
          <w:lang w:val="fr-FR"/>
        </w:rPr>
        <w:t>s</w:t>
      </w:r>
      <w:r w:rsidR="00120E2E" w:rsidRPr="000F7862">
        <w:rPr>
          <w:lang w:val="fr-FR"/>
        </w:rPr>
        <w:t>’</w:t>
      </w:r>
      <w:r w:rsidR="002D42BE" w:rsidRPr="000F7862">
        <w:rPr>
          <w:lang w:val="fr-FR"/>
        </w:rPr>
        <w:t xml:space="preserve">adresse aux élèves ou étudiants </w:t>
      </w:r>
      <w:r w:rsidR="00FD28CB" w:rsidRPr="000F7862">
        <w:rPr>
          <w:lang w:val="fr-FR"/>
        </w:rPr>
        <w:t>démunis</w:t>
      </w:r>
      <w:r w:rsidR="002D42BE" w:rsidRPr="000F7862">
        <w:rPr>
          <w:lang w:val="fr-FR"/>
        </w:rPr>
        <w:t xml:space="preserve"> méritants pour les aider à poursuivre leurs études en complétant leurs revenus dans le cadre de programmes d</w:t>
      </w:r>
      <w:r w:rsidR="00120E2E" w:rsidRPr="000F7862">
        <w:rPr>
          <w:lang w:val="fr-FR"/>
        </w:rPr>
        <w:t>’</w:t>
      </w:r>
      <w:r w:rsidR="002D42BE" w:rsidRPr="000F7862">
        <w:rPr>
          <w:lang w:val="fr-FR"/>
        </w:rPr>
        <w:t>emploi temporaire d</w:t>
      </w:r>
      <w:r w:rsidR="00120E2E" w:rsidRPr="000F7862">
        <w:rPr>
          <w:lang w:val="fr-FR"/>
        </w:rPr>
        <w:t>’</w:t>
      </w:r>
      <w:r w:rsidR="002D42BE" w:rsidRPr="000F7862">
        <w:rPr>
          <w:lang w:val="fr-FR"/>
        </w:rPr>
        <w:t>une durée de 10 à 15 jours pendant les vacances d</w:t>
      </w:r>
      <w:r w:rsidR="00120E2E" w:rsidRPr="000F7862">
        <w:rPr>
          <w:lang w:val="fr-FR"/>
        </w:rPr>
        <w:t>’</w:t>
      </w:r>
      <w:r w:rsidR="002D42BE" w:rsidRPr="000F7862">
        <w:rPr>
          <w:lang w:val="fr-FR"/>
        </w:rPr>
        <w:t>hiver et de 20 à 52 jours pendant les vacances d</w:t>
      </w:r>
      <w:r w:rsidR="00120E2E" w:rsidRPr="000F7862">
        <w:rPr>
          <w:lang w:val="fr-FR"/>
        </w:rPr>
        <w:t>’</w:t>
      </w:r>
      <w:r w:rsidR="002D42BE" w:rsidRPr="000F7862">
        <w:rPr>
          <w:lang w:val="fr-FR"/>
        </w:rPr>
        <w:t>été pour les élèves de l</w:t>
      </w:r>
      <w:r w:rsidR="00120E2E" w:rsidRPr="000F7862">
        <w:rPr>
          <w:lang w:val="fr-FR"/>
        </w:rPr>
        <w:t>’</w:t>
      </w:r>
      <w:r w:rsidR="002D42BE" w:rsidRPr="000F7862">
        <w:rPr>
          <w:lang w:val="fr-FR"/>
        </w:rPr>
        <w:t>enseignement secondaire,</w:t>
      </w:r>
      <w:r w:rsidR="00CD34C0" w:rsidRPr="000F7862">
        <w:rPr>
          <w:lang w:val="fr-FR"/>
        </w:rPr>
        <w:t xml:space="preserve"> </w:t>
      </w:r>
      <w:r w:rsidR="002D42BE" w:rsidRPr="000F7862">
        <w:rPr>
          <w:lang w:val="fr-FR"/>
        </w:rPr>
        <w:t>et d</w:t>
      </w:r>
      <w:r w:rsidR="00120E2E" w:rsidRPr="000F7862">
        <w:rPr>
          <w:lang w:val="fr-FR"/>
        </w:rPr>
        <w:t>’</w:t>
      </w:r>
      <w:r w:rsidR="002D42BE" w:rsidRPr="000F7862">
        <w:rPr>
          <w:lang w:val="fr-FR"/>
        </w:rPr>
        <w:t>une durée de 20 à 52 journées de travail répartis sur toute l</w:t>
      </w:r>
      <w:r w:rsidR="00120E2E" w:rsidRPr="000F7862">
        <w:rPr>
          <w:lang w:val="fr-FR"/>
        </w:rPr>
        <w:t>’</w:t>
      </w:r>
      <w:r w:rsidR="002D42BE" w:rsidRPr="000F7862">
        <w:rPr>
          <w:lang w:val="fr-FR"/>
        </w:rPr>
        <w:t xml:space="preserve">année pour </w:t>
      </w:r>
      <w:r w:rsidR="00CD34C0" w:rsidRPr="000F7862">
        <w:rPr>
          <w:lang w:val="fr-FR"/>
        </w:rPr>
        <w:t>les jeunes faisant des études supérieures générales, techniques ou professionnelles</w:t>
      </w:r>
      <w:r w:rsidR="00195175" w:rsidRPr="000F7862">
        <w:rPr>
          <w:lang w:val="fr-FR"/>
        </w:rPr>
        <w:t xml:space="preserve">. </w:t>
      </w:r>
      <w:r w:rsidR="00CD34C0" w:rsidRPr="000F7862">
        <w:rPr>
          <w:lang w:val="fr-FR"/>
        </w:rPr>
        <w:t xml:space="preserve">Les élèves et étudiants qui </w:t>
      </w:r>
      <w:r w:rsidR="00195175" w:rsidRPr="000F7862">
        <w:rPr>
          <w:lang w:val="fr-FR"/>
        </w:rPr>
        <w:t>partic</w:t>
      </w:r>
      <w:r w:rsidR="00CD34C0" w:rsidRPr="000F7862">
        <w:rPr>
          <w:lang w:val="fr-FR"/>
        </w:rPr>
        <w:t xml:space="preserve">ipent au </w:t>
      </w:r>
      <w:r w:rsidR="00867E43" w:rsidRPr="000F7862">
        <w:rPr>
          <w:lang w:val="fr-FR"/>
        </w:rPr>
        <w:t>programme</w:t>
      </w:r>
      <w:r w:rsidR="00195175" w:rsidRPr="000F7862">
        <w:rPr>
          <w:lang w:val="fr-FR"/>
        </w:rPr>
        <w:t xml:space="preserve"> </w:t>
      </w:r>
      <w:r w:rsidR="00CD34C0" w:rsidRPr="000F7862">
        <w:rPr>
          <w:lang w:val="fr-FR"/>
        </w:rPr>
        <w:t xml:space="preserve">touchent un salaire au moins égal au salaire minimal </w:t>
      </w:r>
      <w:r w:rsidR="00E443E7" w:rsidRPr="000F7862">
        <w:rPr>
          <w:lang w:val="fr-FR"/>
        </w:rPr>
        <w:t xml:space="preserve">en vigueur sous </w:t>
      </w:r>
      <w:r w:rsidR="00195175" w:rsidRPr="000F7862">
        <w:rPr>
          <w:lang w:val="fr-FR"/>
        </w:rPr>
        <w:t>form</w:t>
      </w:r>
      <w:r w:rsidR="00E443E7" w:rsidRPr="000F7862">
        <w:rPr>
          <w:lang w:val="fr-FR"/>
        </w:rPr>
        <w:t>e</w:t>
      </w:r>
      <w:r w:rsidR="00195175" w:rsidRPr="000F7862">
        <w:rPr>
          <w:lang w:val="fr-FR"/>
        </w:rPr>
        <w:t xml:space="preserve"> </w:t>
      </w:r>
      <w:r w:rsidR="00E443E7" w:rsidRPr="000F7862">
        <w:rPr>
          <w:lang w:val="fr-FR"/>
        </w:rPr>
        <w:t>de chèques é</w:t>
      </w:r>
      <w:r w:rsidR="00195175" w:rsidRPr="000F7862">
        <w:rPr>
          <w:lang w:val="fr-FR"/>
        </w:rPr>
        <w:t>ducation</w:t>
      </w:r>
      <w:r w:rsidR="00E443E7" w:rsidRPr="000F7862">
        <w:rPr>
          <w:lang w:val="fr-FR"/>
        </w:rPr>
        <w:t xml:space="preserve"> et en espèces, qu</w:t>
      </w:r>
      <w:r w:rsidR="00120E2E" w:rsidRPr="000F7862">
        <w:rPr>
          <w:lang w:val="fr-FR"/>
        </w:rPr>
        <w:t>’</w:t>
      </w:r>
      <w:r w:rsidR="00E443E7" w:rsidRPr="000F7862">
        <w:rPr>
          <w:lang w:val="fr-FR"/>
        </w:rPr>
        <w:t>ils peuvent utiliser pour l</w:t>
      </w:r>
      <w:r w:rsidR="00120E2E" w:rsidRPr="000F7862">
        <w:rPr>
          <w:lang w:val="fr-FR"/>
        </w:rPr>
        <w:t>’</w:t>
      </w:r>
      <w:r w:rsidR="00E443E7" w:rsidRPr="000F7862">
        <w:rPr>
          <w:lang w:val="fr-FR"/>
        </w:rPr>
        <w:t>admission dans un établissement d</w:t>
      </w:r>
      <w:r w:rsidR="00120E2E" w:rsidRPr="000F7862">
        <w:rPr>
          <w:lang w:val="fr-FR"/>
        </w:rPr>
        <w:t>’</w:t>
      </w:r>
      <w:r w:rsidR="00E443E7" w:rsidRPr="000F7862">
        <w:rPr>
          <w:lang w:val="fr-FR"/>
        </w:rPr>
        <w:t>enseignement</w:t>
      </w:r>
      <w:r w:rsidR="00195175" w:rsidRPr="000F7862">
        <w:rPr>
          <w:lang w:val="fr-FR"/>
        </w:rPr>
        <w:t xml:space="preserve">. </w:t>
      </w:r>
    </w:p>
    <w:p w:rsidR="00195175" w:rsidRPr="000F7862" w:rsidRDefault="003D7AF0" w:rsidP="00FB1A70">
      <w:pPr>
        <w:pStyle w:val="H23G"/>
        <w:rPr>
          <w:lang w:val="fr-FR"/>
        </w:rPr>
      </w:pPr>
      <w:r w:rsidRPr="000F7862">
        <w:rPr>
          <w:lang w:val="fr-FR"/>
        </w:rPr>
        <w:tab/>
      </w:r>
      <w:r w:rsidRPr="000F7862">
        <w:rPr>
          <w:lang w:val="fr-FR"/>
        </w:rPr>
        <w:tab/>
      </w:r>
      <w:r w:rsidR="00195175" w:rsidRPr="000F7862">
        <w:rPr>
          <w:b w:val="0"/>
          <w:bCs/>
          <w:lang w:val="fr-FR"/>
        </w:rPr>
        <w:t>Table</w:t>
      </w:r>
      <w:r w:rsidR="00E443E7" w:rsidRPr="000F7862">
        <w:rPr>
          <w:b w:val="0"/>
          <w:bCs/>
          <w:lang w:val="fr-FR"/>
        </w:rPr>
        <w:t>au</w:t>
      </w:r>
      <w:r w:rsidR="00195175" w:rsidRPr="000F7862">
        <w:rPr>
          <w:b w:val="0"/>
          <w:bCs/>
          <w:lang w:val="fr-FR"/>
        </w:rPr>
        <w:t xml:space="preserve"> 10</w:t>
      </w:r>
      <w:r w:rsidR="005A520A" w:rsidRPr="000F7862">
        <w:rPr>
          <w:lang w:val="fr-FR"/>
        </w:rPr>
        <w:br/>
      </w:r>
      <w:r w:rsidR="00E443E7" w:rsidRPr="000F7862">
        <w:rPr>
          <w:lang w:val="fr-FR"/>
        </w:rPr>
        <w:t>Programme spécial pour l</w:t>
      </w:r>
      <w:r w:rsidR="00120E2E" w:rsidRPr="000F7862">
        <w:rPr>
          <w:lang w:val="fr-FR"/>
        </w:rPr>
        <w:t>’</w:t>
      </w:r>
      <w:r w:rsidR="00E443E7" w:rsidRPr="000F7862">
        <w:rPr>
          <w:lang w:val="fr-FR"/>
        </w:rPr>
        <w:t>emploi des élèves/étudiants, p</w:t>
      </w:r>
      <w:r w:rsidR="00195175" w:rsidRPr="000F7862">
        <w:rPr>
          <w:lang w:val="fr-FR"/>
        </w:rPr>
        <w:t xml:space="preserve">lacement </w:t>
      </w:r>
      <w:r w:rsidR="00E443E7" w:rsidRPr="000F7862">
        <w:rPr>
          <w:lang w:val="fr-FR"/>
        </w:rPr>
        <w:t>par ré</w:t>
      </w:r>
      <w:r w:rsidR="00195175" w:rsidRPr="000F7862">
        <w:rPr>
          <w:lang w:val="fr-FR"/>
        </w:rPr>
        <w:t>gion</w:t>
      </w:r>
      <w:r w:rsidR="0005004C" w:rsidRPr="000F7862">
        <w:rPr>
          <w:lang w:val="fr-FR"/>
        </w:rPr>
        <w:t>:</w:t>
      </w:r>
      <w:r w:rsidR="00195175" w:rsidRPr="000F7862">
        <w:rPr>
          <w:lang w:val="fr-FR"/>
        </w:rPr>
        <w:t xml:space="preserve"> </w:t>
      </w:r>
      <w:r w:rsidR="005A520A" w:rsidRPr="000F7862">
        <w:rPr>
          <w:lang w:val="fr-FR"/>
        </w:rPr>
        <w:br/>
        <w:t>2</w:t>
      </w:r>
      <w:r w:rsidR="00195175" w:rsidRPr="000F7862">
        <w:rPr>
          <w:lang w:val="fr-FR"/>
        </w:rPr>
        <w:t>010</w:t>
      </w:r>
      <w:r w:rsidR="00E443E7" w:rsidRPr="000F7862">
        <w:rPr>
          <w:lang w:val="fr-FR"/>
        </w:rPr>
        <w:t>-</w:t>
      </w:r>
      <w:r w:rsidR="00195175" w:rsidRPr="000F7862">
        <w:rPr>
          <w:lang w:val="fr-FR"/>
        </w:rPr>
        <w:t>2012</w:t>
      </w:r>
    </w:p>
    <w:tbl>
      <w:tblPr>
        <w:tblW w:w="7371" w:type="dxa"/>
        <w:tblInd w:w="1134" w:type="dxa"/>
        <w:tblBorders>
          <w:top w:val="single" w:sz="4" w:space="0" w:color="auto"/>
          <w:bottom w:val="single" w:sz="12" w:space="0" w:color="auto"/>
        </w:tblBorders>
        <w:tblLayout w:type="fixed"/>
        <w:tblCellMar>
          <w:left w:w="0" w:type="dxa"/>
          <w:right w:w="0" w:type="dxa"/>
        </w:tblCellMar>
        <w:tblLook w:val="00A0"/>
      </w:tblPr>
      <w:tblGrid>
        <w:gridCol w:w="2977"/>
        <w:gridCol w:w="1464"/>
        <w:gridCol w:w="1465"/>
        <w:gridCol w:w="1465"/>
      </w:tblGrid>
      <w:tr w:rsidR="005A520A" w:rsidRPr="000F7862" w:rsidTr="00AA7B30">
        <w:trPr>
          <w:cantSplit/>
          <w:tblHeader/>
        </w:trPr>
        <w:tc>
          <w:tcPr>
            <w:tcW w:w="297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86185C" w:rsidRPr="000F7862" w:rsidRDefault="0086185C" w:rsidP="000A3D6C">
            <w:pPr>
              <w:pStyle w:val="ListParagraph"/>
              <w:keepNext/>
              <w:pBdr>
                <w:top w:val="none" w:sz="0" w:space="0" w:color="auto"/>
                <w:left w:val="none" w:sz="0" w:space="0" w:color="auto"/>
                <w:bottom w:val="none" w:sz="0" w:space="0" w:color="auto"/>
                <w:right w:val="none" w:sz="0" w:space="0" w:color="auto"/>
                <w:bar w:val="none" w:sz="0" w:color="auto"/>
              </w:pBdr>
              <w:spacing w:before="80" w:after="80" w:line="200" w:lineRule="exact"/>
              <w:ind w:left="0"/>
              <w:rPr>
                <w:rFonts w:ascii="Times New Roman" w:hAnsi="Times New Roman" w:cs="Times New Roman"/>
                <w:i/>
                <w:color w:val="auto"/>
                <w:sz w:val="16"/>
                <w:lang w:val="fr-FR"/>
              </w:rPr>
            </w:pPr>
            <w:r w:rsidRPr="000F7862">
              <w:rPr>
                <w:rFonts w:ascii="Times New Roman" w:hAnsi="Times New Roman" w:cs="Times New Roman"/>
                <w:bCs/>
                <w:i/>
                <w:color w:val="auto"/>
                <w:sz w:val="16"/>
                <w:szCs w:val="20"/>
                <w:lang w:val="fr-FR"/>
              </w:rPr>
              <w:t>R</w:t>
            </w:r>
            <w:r w:rsidR="000A3D6C" w:rsidRPr="000F7862">
              <w:rPr>
                <w:rFonts w:ascii="Times New Roman" w:hAnsi="Times New Roman" w:cs="Times New Roman"/>
                <w:bCs/>
                <w:i/>
                <w:color w:val="auto"/>
                <w:sz w:val="16"/>
                <w:szCs w:val="20"/>
                <w:lang w:val="fr-FR"/>
              </w:rPr>
              <w:t>é</w:t>
            </w:r>
            <w:r w:rsidR="005A520A" w:rsidRPr="000F7862">
              <w:rPr>
                <w:rFonts w:ascii="Times New Roman" w:hAnsi="Times New Roman" w:cs="Times New Roman"/>
                <w:bCs/>
                <w:i/>
                <w:color w:val="auto"/>
                <w:sz w:val="16"/>
                <w:szCs w:val="20"/>
                <w:lang w:val="fr-FR"/>
              </w:rPr>
              <w:t>gion</w:t>
            </w:r>
          </w:p>
        </w:tc>
        <w:tc>
          <w:tcPr>
            <w:tcW w:w="146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86185C" w:rsidRPr="000F7862" w:rsidRDefault="0086185C" w:rsidP="001C088C">
            <w:pPr>
              <w:pStyle w:val="ListParagraph"/>
              <w:keepNext/>
              <w:pBdr>
                <w:top w:val="none" w:sz="0" w:space="0" w:color="auto"/>
                <w:left w:val="none" w:sz="0" w:space="0" w:color="auto"/>
                <w:bottom w:val="none" w:sz="0" w:space="0" w:color="auto"/>
                <w:right w:val="none" w:sz="0" w:space="0" w:color="auto"/>
                <w:bar w:val="none" w:sz="0" w:color="auto"/>
              </w:pBdr>
              <w:spacing w:before="80" w:after="80" w:line="200" w:lineRule="exact"/>
              <w:ind w:left="0"/>
              <w:jc w:val="right"/>
              <w:rPr>
                <w:rFonts w:ascii="Times New Roman" w:hAnsi="Times New Roman" w:cs="Times New Roman"/>
                <w:i/>
                <w:color w:val="auto"/>
                <w:sz w:val="16"/>
                <w:lang w:val="fr-FR"/>
              </w:rPr>
            </w:pPr>
            <w:r w:rsidRPr="000F7862">
              <w:rPr>
                <w:rFonts w:ascii="Times New Roman" w:hAnsi="Times New Roman" w:cs="Times New Roman"/>
                <w:bCs/>
                <w:i/>
                <w:color w:val="auto"/>
                <w:sz w:val="16"/>
                <w:szCs w:val="20"/>
                <w:lang w:val="fr-FR"/>
              </w:rPr>
              <w:t>2010</w:t>
            </w:r>
          </w:p>
        </w:tc>
        <w:tc>
          <w:tcPr>
            <w:tcW w:w="146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86185C" w:rsidRPr="000F7862" w:rsidRDefault="0086185C" w:rsidP="001C088C">
            <w:pPr>
              <w:pStyle w:val="ListParagraph"/>
              <w:keepNext/>
              <w:pBdr>
                <w:top w:val="none" w:sz="0" w:space="0" w:color="auto"/>
                <w:left w:val="none" w:sz="0" w:space="0" w:color="auto"/>
                <w:bottom w:val="none" w:sz="0" w:space="0" w:color="auto"/>
                <w:right w:val="none" w:sz="0" w:space="0" w:color="auto"/>
                <w:bar w:val="none" w:sz="0" w:color="auto"/>
              </w:pBdr>
              <w:spacing w:before="80" w:after="80" w:line="200" w:lineRule="exact"/>
              <w:ind w:left="0"/>
              <w:jc w:val="right"/>
              <w:rPr>
                <w:rFonts w:ascii="Times New Roman" w:hAnsi="Times New Roman" w:cs="Times New Roman"/>
                <w:i/>
                <w:color w:val="auto"/>
                <w:sz w:val="16"/>
                <w:lang w:val="fr-FR"/>
              </w:rPr>
            </w:pPr>
            <w:r w:rsidRPr="000F7862">
              <w:rPr>
                <w:rFonts w:ascii="Times New Roman" w:hAnsi="Times New Roman" w:cs="Times New Roman"/>
                <w:bCs/>
                <w:i/>
                <w:color w:val="auto"/>
                <w:sz w:val="16"/>
                <w:szCs w:val="20"/>
                <w:lang w:val="fr-FR"/>
              </w:rPr>
              <w:t>2011</w:t>
            </w:r>
          </w:p>
        </w:tc>
        <w:tc>
          <w:tcPr>
            <w:tcW w:w="146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86185C" w:rsidRPr="000F7862" w:rsidRDefault="0086185C" w:rsidP="001C088C">
            <w:pPr>
              <w:pStyle w:val="ListParagraph"/>
              <w:keepNext/>
              <w:pBdr>
                <w:top w:val="none" w:sz="0" w:space="0" w:color="auto"/>
                <w:left w:val="none" w:sz="0" w:space="0" w:color="auto"/>
                <w:bottom w:val="none" w:sz="0" w:space="0" w:color="auto"/>
                <w:right w:val="none" w:sz="0" w:space="0" w:color="auto"/>
                <w:bar w:val="none" w:sz="0" w:color="auto"/>
              </w:pBdr>
              <w:spacing w:before="80" w:after="80" w:line="200" w:lineRule="exact"/>
              <w:ind w:left="0"/>
              <w:jc w:val="right"/>
              <w:rPr>
                <w:rFonts w:ascii="Times New Roman" w:hAnsi="Times New Roman" w:cs="Times New Roman"/>
                <w:i/>
                <w:color w:val="auto"/>
                <w:sz w:val="16"/>
                <w:lang w:val="fr-FR"/>
              </w:rPr>
            </w:pPr>
            <w:r w:rsidRPr="000F7862">
              <w:rPr>
                <w:rFonts w:ascii="Times New Roman" w:hAnsi="Times New Roman" w:cs="Times New Roman"/>
                <w:bCs/>
                <w:i/>
                <w:color w:val="auto"/>
                <w:sz w:val="16"/>
                <w:szCs w:val="20"/>
                <w:lang w:val="fr-FR"/>
              </w:rPr>
              <w:t>2012</w:t>
            </w:r>
          </w:p>
        </w:tc>
      </w:tr>
      <w:tr w:rsidR="005A520A" w:rsidRPr="000F7862" w:rsidTr="00AA7B30">
        <w:trPr>
          <w:cantSplit/>
        </w:trPr>
        <w:tc>
          <w:tcPr>
            <w:tcW w:w="2977" w:type="dxa"/>
            <w:tcBorders>
              <w:top w:val="single" w:sz="12" w:space="0" w:color="auto"/>
            </w:tcBorders>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rPr>
                <w:rFonts w:ascii="Times New Roman" w:hAnsi="Times New Roman" w:cs="Times New Roman"/>
                <w:color w:val="auto"/>
                <w:sz w:val="18"/>
                <w:lang w:val="fr-FR"/>
              </w:rPr>
            </w:pPr>
            <w:r w:rsidRPr="000F7862">
              <w:rPr>
                <w:rFonts w:ascii="Times New Roman" w:hAnsi="Times New Roman" w:cs="Times New Roman"/>
                <w:color w:val="auto"/>
                <w:sz w:val="18"/>
                <w:szCs w:val="20"/>
                <w:lang w:val="fr-FR"/>
              </w:rPr>
              <w:t>P</w:t>
            </w:r>
            <w:r w:rsidR="00A03A96" w:rsidRPr="000F7862">
              <w:rPr>
                <w:rFonts w:ascii="Times New Roman" w:hAnsi="Times New Roman" w:cs="Times New Roman"/>
                <w:color w:val="auto"/>
                <w:sz w:val="18"/>
                <w:szCs w:val="20"/>
                <w:lang w:val="fr-FR"/>
              </w:rPr>
              <w:t>hilippines</w:t>
            </w:r>
          </w:p>
        </w:tc>
        <w:tc>
          <w:tcPr>
            <w:tcW w:w="1464" w:type="dxa"/>
            <w:tcBorders>
              <w:top w:val="single" w:sz="12" w:space="0" w:color="auto"/>
            </w:tcBorders>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84</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786</w:t>
            </w:r>
          </w:p>
        </w:tc>
        <w:tc>
          <w:tcPr>
            <w:tcW w:w="1465" w:type="dxa"/>
            <w:tcBorders>
              <w:top w:val="single" w:sz="12" w:space="0" w:color="auto"/>
            </w:tcBorders>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120</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312</w:t>
            </w:r>
          </w:p>
        </w:tc>
        <w:tc>
          <w:tcPr>
            <w:tcW w:w="1465" w:type="dxa"/>
            <w:tcBorders>
              <w:top w:val="single" w:sz="12" w:space="0" w:color="auto"/>
            </w:tcBorders>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138</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381</w:t>
            </w:r>
          </w:p>
        </w:tc>
      </w:tr>
      <w:tr w:rsidR="005A520A" w:rsidRPr="000F7862" w:rsidTr="00AA7B30">
        <w:trPr>
          <w:cantSplit/>
        </w:trPr>
        <w:tc>
          <w:tcPr>
            <w:tcW w:w="2977" w:type="dxa"/>
            <w:shd w:val="clear" w:color="auto" w:fill="auto"/>
            <w:tcMar>
              <w:top w:w="0" w:type="dxa"/>
              <w:left w:w="0" w:type="dxa"/>
              <w:bottom w:w="0" w:type="dxa"/>
              <w:right w:w="0" w:type="dxa"/>
            </w:tcMar>
            <w:vAlign w:val="bottom"/>
          </w:tcPr>
          <w:p w:rsidR="0086185C" w:rsidRPr="000F7862" w:rsidRDefault="000A3D6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rPr>
                <w:rFonts w:ascii="Times New Roman" w:hAnsi="Times New Roman" w:cs="Times New Roman"/>
                <w:color w:val="auto"/>
                <w:sz w:val="18"/>
                <w:lang w:val="fr-FR"/>
              </w:rPr>
            </w:pPr>
            <w:r w:rsidRPr="000F7862">
              <w:rPr>
                <w:rFonts w:ascii="Times New Roman" w:hAnsi="Times New Roman" w:cs="Times New Roman"/>
                <w:color w:val="auto"/>
                <w:sz w:val="18"/>
                <w:szCs w:val="20"/>
                <w:lang w:val="fr-FR"/>
              </w:rPr>
              <w:t>Région de la capitale nationale</w:t>
            </w:r>
          </w:p>
        </w:tc>
        <w:tc>
          <w:tcPr>
            <w:tcW w:w="1464"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6</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480</w:t>
            </w:r>
          </w:p>
        </w:tc>
        <w:tc>
          <w:tcPr>
            <w:tcW w:w="1465"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11</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092</w:t>
            </w:r>
          </w:p>
        </w:tc>
        <w:tc>
          <w:tcPr>
            <w:tcW w:w="1465"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15</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441</w:t>
            </w:r>
          </w:p>
        </w:tc>
      </w:tr>
      <w:tr w:rsidR="005A520A" w:rsidRPr="000F7862" w:rsidTr="00AA7B30">
        <w:trPr>
          <w:cantSplit/>
        </w:trPr>
        <w:tc>
          <w:tcPr>
            <w:tcW w:w="2977" w:type="dxa"/>
            <w:shd w:val="clear" w:color="auto" w:fill="auto"/>
            <w:tcMar>
              <w:top w:w="0" w:type="dxa"/>
              <w:left w:w="0" w:type="dxa"/>
              <w:bottom w:w="0" w:type="dxa"/>
              <w:right w:w="0" w:type="dxa"/>
            </w:tcMar>
            <w:vAlign w:val="bottom"/>
          </w:tcPr>
          <w:p w:rsidR="0086185C" w:rsidRPr="000F7862" w:rsidRDefault="000A3D6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rPr>
                <w:rFonts w:ascii="Times New Roman" w:hAnsi="Times New Roman" w:cs="Times New Roman"/>
                <w:color w:val="auto"/>
                <w:sz w:val="18"/>
                <w:lang w:val="fr-FR"/>
              </w:rPr>
            </w:pPr>
            <w:r w:rsidRPr="000F7862">
              <w:rPr>
                <w:rFonts w:ascii="Times New Roman" w:hAnsi="Times New Roman" w:cs="Times New Roman"/>
                <w:color w:val="auto"/>
                <w:sz w:val="18"/>
                <w:szCs w:val="20"/>
                <w:lang w:val="fr-FR"/>
              </w:rPr>
              <w:t>Région administrative de la Cordillère</w:t>
            </w:r>
          </w:p>
        </w:tc>
        <w:tc>
          <w:tcPr>
            <w:tcW w:w="1464"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3</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248</w:t>
            </w:r>
          </w:p>
        </w:tc>
        <w:tc>
          <w:tcPr>
            <w:tcW w:w="1465"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4</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310</w:t>
            </w:r>
          </w:p>
        </w:tc>
        <w:tc>
          <w:tcPr>
            <w:tcW w:w="1465"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4</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914</w:t>
            </w:r>
          </w:p>
        </w:tc>
      </w:tr>
      <w:tr w:rsidR="005A520A" w:rsidRPr="000F7862" w:rsidTr="00AA7B30">
        <w:trPr>
          <w:cantSplit/>
        </w:trPr>
        <w:tc>
          <w:tcPr>
            <w:tcW w:w="2977"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rPr>
                <w:rFonts w:ascii="Times New Roman" w:hAnsi="Times New Roman" w:cs="Times New Roman"/>
                <w:color w:val="auto"/>
                <w:sz w:val="18"/>
                <w:lang w:val="fr-FR"/>
              </w:rPr>
            </w:pPr>
            <w:r w:rsidRPr="000F7862">
              <w:rPr>
                <w:rFonts w:ascii="Times New Roman" w:hAnsi="Times New Roman" w:cs="Times New Roman"/>
                <w:color w:val="auto"/>
                <w:sz w:val="18"/>
                <w:szCs w:val="20"/>
                <w:lang w:val="fr-FR"/>
              </w:rPr>
              <w:t>I</w:t>
            </w:r>
          </w:p>
        </w:tc>
        <w:tc>
          <w:tcPr>
            <w:tcW w:w="1464"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2</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804</w:t>
            </w:r>
          </w:p>
        </w:tc>
        <w:tc>
          <w:tcPr>
            <w:tcW w:w="1465"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4</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419</w:t>
            </w:r>
          </w:p>
        </w:tc>
        <w:tc>
          <w:tcPr>
            <w:tcW w:w="1465"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4</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869</w:t>
            </w:r>
          </w:p>
        </w:tc>
      </w:tr>
      <w:tr w:rsidR="005A520A" w:rsidRPr="000F7862" w:rsidTr="00AA7B30">
        <w:trPr>
          <w:cantSplit/>
        </w:trPr>
        <w:tc>
          <w:tcPr>
            <w:tcW w:w="2977"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rPr>
                <w:rFonts w:ascii="Times New Roman" w:hAnsi="Times New Roman" w:cs="Times New Roman"/>
                <w:color w:val="auto"/>
                <w:sz w:val="18"/>
                <w:lang w:val="fr-FR"/>
              </w:rPr>
            </w:pPr>
            <w:r w:rsidRPr="000F7862">
              <w:rPr>
                <w:rFonts w:ascii="Times New Roman" w:hAnsi="Times New Roman" w:cs="Times New Roman"/>
                <w:color w:val="auto"/>
                <w:sz w:val="18"/>
                <w:szCs w:val="20"/>
                <w:lang w:val="fr-FR"/>
              </w:rPr>
              <w:t>II</w:t>
            </w:r>
          </w:p>
        </w:tc>
        <w:tc>
          <w:tcPr>
            <w:tcW w:w="1464"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6</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925</w:t>
            </w:r>
          </w:p>
        </w:tc>
        <w:tc>
          <w:tcPr>
            <w:tcW w:w="1465"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8</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553</w:t>
            </w:r>
          </w:p>
        </w:tc>
        <w:tc>
          <w:tcPr>
            <w:tcW w:w="1465"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10</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337</w:t>
            </w:r>
          </w:p>
        </w:tc>
      </w:tr>
      <w:tr w:rsidR="005A520A" w:rsidRPr="000F7862" w:rsidTr="00AA7B30">
        <w:trPr>
          <w:cantSplit/>
        </w:trPr>
        <w:tc>
          <w:tcPr>
            <w:tcW w:w="2977"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rPr>
                <w:rFonts w:ascii="Times New Roman" w:hAnsi="Times New Roman" w:cs="Times New Roman"/>
                <w:color w:val="auto"/>
                <w:sz w:val="18"/>
                <w:lang w:val="fr-FR"/>
              </w:rPr>
            </w:pPr>
            <w:r w:rsidRPr="000F7862">
              <w:rPr>
                <w:rFonts w:ascii="Times New Roman" w:hAnsi="Times New Roman" w:cs="Times New Roman"/>
                <w:color w:val="auto"/>
                <w:sz w:val="18"/>
                <w:szCs w:val="20"/>
                <w:lang w:val="fr-FR"/>
              </w:rPr>
              <w:t>III</w:t>
            </w:r>
          </w:p>
        </w:tc>
        <w:tc>
          <w:tcPr>
            <w:tcW w:w="1464"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7</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349</w:t>
            </w:r>
          </w:p>
        </w:tc>
        <w:tc>
          <w:tcPr>
            <w:tcW w:w="1465"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9</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073</w:t>
            </w:r>
          </w:p>
        </w:tc>
        <w:tc>
          <w:tcPr>
            <w:tcW w:w="1465"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9</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322</w:t>
            </w:r>
          </w:p>
        </w:tc>
      </w:tr>
      <w:tr w:rsidR="005A520A" w:rsidRPr="000F7862" w:rsidTr="00AA7B30">
        <w:trPr>
          <w:cantSplit/>
        </w:trPr>
        <w:tc>
          <w:tcPr>
            <w:tcW w:w="2977"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rPr>
                <w:rFonts w:ascii="Times New Roman" w:hAnsi="Times New Roman" w:cs="Times New Roman"/>
                <w:color w:val="auto"/>
                <w:sz w:val="18"/>
                <w:lang w:val="fr-FR"/>
              </w:rPr>
            </w:pPr>
            <w:r w:rsidRPr="000F7862">
              <w:rPr>
                <w:rFonts w:ascii="Times New Roman" w:hAnsi="Times New Roman" w:cs="Times New Roman"/>
                <w:color w:val="auto"/>
                <w:sz w:val="18"/>
                <w:szCs w:val="20"/>
                <w:lang w:val="fr-FR"/>
              </w:rPr>
              <w:t>IV-A</w:t>
            </w:r>
          </w:p>
        </w:tc>
        <w:tc>
          <w:tcPr>
            <w:tcW w:w="1464"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4</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167</w:t>
            </w:r>
          </w:p>
        </w:tc>
        <w:tc>
          <w:tcPr>
            <w:tcW w:w="1465"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11</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795</w:t>
            </w:r>
          </w:p>
        </w:tc>
        <w:tc>
          <w:tcPr>
            <w:tcW w:w="1465"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7</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898</w:t>
            </w:r>
          </w:p>
        </w:tc>
      </w:tr>
      <w:tr w:rsidR="005A520A" w:rsidRPr="000F7862" w:rsidTr="00AA7B30">
        <w:trPr>
          <w:cantSplit/>
        </w:trPr>
        <w:tc>
          <w:tcPr>
            <w:tcW w:w="2977"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rPr>
                <w:rFonts w:ascii="Times New Roman" w:hAnsi="Times New Roman" w:cs="Times New Roman"/>
                <w:color w:val="auto"/>
                <w:sz w:val="18"/>
                <w:lang w:val="fr-FR"/>
              </w:rPr>
            </w:pPr>
            <w:r w:rsidRPr="000F7862">
              <w:rPr>
                <w:rFonts w:ascii="Times New Roman" w:hAnsi="Times New Roman" w:cs="Times New Roman"/>
                <w:color w:val="auto"/>
                <w:sz w:val="18"/>
                <w:szCs w:val="20"/>
                <w:lang w:val="fr-FR"/>
              </w:rPr>
              <w:t>IV-B</w:t>
            </w:r>
          </w:p>
        </w:tc>
        <w:tc>
          <w:tcPr>
            <w:tcW w:w="1464"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2</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574</w:t>
            </w:r>
          </w:p>
        </w:tc>
        <w:tc>
          <w:tcPr>
            <w:tcW w:w="1465"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4</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281</w:t>
            </w:r>
          </w:p>
        </w:tc>
        <w:tc>
          <w:tcPr>
            <w:tcW w:w="1465"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6</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320</w:t>
            </w:r>
          </w:p>
        </w:tc>
      </w:tr>
      <w:tr w:rsidR="005A520A" w:rsidRPr="000F7862" w:rsidTr="00AA7B30">
        <w:trPr>
          <w:cantSplit/>
        </w:trPr>
        <w:tc>
          <w:tcPr>
            <w:tcW w:w="2977"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rPr>
                <w:rFonts w:ascii="Times New Roman" w:hAnsi="Times New Roman" w:cs="Times New Roman"/>
                <w:color w:val="auto"/>
                <w:sz w:val="18"/>
                <w:lang w:val="fr-FR"/>
              </w:rPr>
            </w:pPr>
            <w:r w:rsidRPr="000F7862">
              <w:rPr>
                <w:rFonts w:ascii="Times New Roman" w:hAnsi="Times New Roman" w:cs="Times New Roman"/>
                <w:color w:val="auto"/>
                <w:sz w:val="18"/>
                <w:szCs w:val="20"/>
                <w:lang w:val="fr-FR"/>
              </w:rPr>
              <w:t>V</w:t>
            </w:r>
          </w:p>
        </w:tc>
        <w:tc>
          <w:tcPr>
            <w:tcW w:w="1464"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3</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114</w:t>
            </w:r>
          </w:p>
        </w:tc>
        <w:tc>
          <w:tcPr>
            <w:tcW w:w="1465"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3</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611</w:t>
            </w:r>
          </w:p>
        </w:tc>
        <w:tc>
          <w:tcPr>
            <w:tcW w:w="1465"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5</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144</w:t>
            </w:r>
          </w:p>
        </w:tc>
      </w:tr>
      <w:tr w:rsidR="005A520A" w:rsidRPr="000F7862" w:rsidTr="00AA7B30">
        <w:trPr>
          <w:cantSplit/>
        </w:trPr>
        <w:tc>
          <w:tcPr>
            <w:tcW w:w="2977"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rPr>
                <w:rFonts w:ascii="Times New Roman" w:hAnsi="Times New Roman" w:cs="Times New Roman"/>
                <w:color w:val="auto"/>
                <w:sz w:val="18"/>
                <w:lang w:val="fr-FR"/>
              </w:rPr>
            </w:pPr>
            <w:r w:rsidRPr="000F7862">
              <w:rPr>
                <w:rFonts w:ascii="Times New Roman" w:hAnsi="Times New Roman" w:cs="Times New Roman"/>
                <w:color w:val="auto"/>
                <w:sz w:val="18"/>
                <w:szCs w:val="20"/>
                <w:lang w:val="fr-FR"/>
              </w:rPr>
              <w:t>VI</w:t>
            </w:r>
          </w:p>
        </w:tc>
        <w:tc>
          <w:tcPr>
            <w:tcW w:w="1464"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9</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252</w:t>
            </w:r>
          </w:p>
        </w:tc>
        <w:tc>
          <w:tcPr>
            <w:tcW w:w="1465"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11</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459</w:t>
            </w:r>
          </w:p>
        </w:tc>
        <w:tc>
          <w:tcPr>
            <w:tcW w:w="1465"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8</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688</w:t>
            </w:r>
          </w:p>
        </w:tc>
      </w:tr>
      <w:tr w:rsidR="005A520A" w:rsidRPr="000F7862" w:rsidTr="00AA7B30">
        <w:trPr>
          <w:cantSplit/>
        </w:trPr>
        <w:tc>
          <w:tcPr>
            <w:tcW w:w="2977"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rPr>
                <w:rFonts w:ascii="Times New Roman" w:hAnsi="Times New Roman" w:cs="Times New Roman"/>
                <w:color w:val="auto"/>
                <w:sz w:val="18"/>
                <w:lang w:val="fr-FR"/>
              </w:rPr>
            </w:pPr>
            <w:r w:rsidRPr="000F7862">
              <w:rPr>
                <w:rFonts w:ascii="Times New Roman" w:hAnsi="Times New Roman" w:cs="Times New Roman"/>
                <w:color w:val="auto"/>
                <w:sz w:val="18"/>
                <w:szCs w:val="20"/>
                <w:lang w:val="fr-FR"/>
              </w:rPr>
              <w:t>VII</w:t>
            </w:r>
          </w:p>
        </w:tc>
        <w:tc>
          <w:tcPr>
            <w:tcW w:w="1464"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9</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222</w:t>
            </w:r>
          </w:p>
        </w:tc>
        <w:tc>
          <w:tcPr>
            <w:tcW w:w="1465"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6</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361</w:t>
            </w:r>
          </w:p>
        </w:tc>
        <w:tc>
          <w:tcPr>
            <w:tcW w:w="1465"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16</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135</w:t>
            </w:r>
          </w:p>
        </w:tc>
      </w:tr>
      <w:tr w:rsidR="005A520A" w:rsidRPr="000F7862" w:rsidTr="00AA7B30">
        <w:trPr>
          <w:cantSplit/>
        </w:trPr>
        <w:tc>
          <w:tcPr>
            <w:tcW w:w="2977"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rPr>
                <w:rFonts w:ascii="Times New Roman" w:hAnsi="Times New Roman" w:cs="Times New Roman"/>
                <w:color w:val="auto"/>
                <w:sz w:val="18"/>
                <w:lang w:val="fr-FR"/>
              </w:rPr>
            </w:pPr>
            <w:r w:rsidRPr="000F7862">
              <w:rPr>
                <w:rFonts w:ascii="Times New Roman" w:hAnsi="Times New Roman" w:cs="Times New Roman"/>
                <w:color w:val="auto"/>
                <w:sz w:val="18"/>
                <w:szCs w:val="20"/>
                <w:lang w:val="fr-FR"/>
              </w:rPr>
              <w:t>VIII</w:t>
            </w:r>
          </w:p>
        </w:tc>
        <w:tc>
          <w:tcPr>
            <w:tcW w:w="1464"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4</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234</w:t>
            </w:r>
          </w:p>
        </w:tc>
        <w:tc>
          <w:tcPr>
            <w:tcW w:w="1465"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6</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520</w:t>
            </w:r>
          </w:p>
        </w:tc>
        <w:tc>
          <w:tcPr>
            <w:tcW w:w="1465"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9</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143</w:t>
            </w:r>
          </w:p>
        </w:tc>
      </w:tr>
      <w:tr w:rsidR="005A520A" w:rsidRPr="000F7862" w:rsidTr="00AA7B30">
        <w:trPr>
          <w:cantSplit/>
        </w:trPr>
        <w:tc>
          <w:tcPr>
            <w:tcW w:w="2977"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rPr>
                <w:rFonts w:ascii="Times New Roman" w:hAnsi="Times New Roman" w:cs="Times New Roman"/>
                <w:color w:val="auto"/>
                <w:sz w:val="18"/>
                <w:lang w:val="fr-FR"/>
              </w:rPr>
            </w:pPr>
            <w:r w:rsidRPr="000F7862">
              <w:rPr>
                <w:rFonts w:ascii="Times New Roman" w:hAnsi="Times New Roman" w:cs="Times New Roman"/>
                <w:color w:val="auto"/>
                <w:sz w:val="18"/>
                <w:szCs w:val="20"/>
                <w:lang w:val="fr-FR"/>
              </w:rPr>
              <w:t>IX</w:t>
            </w:r>
          </w:p>
        </w:tc>
        <w:tc>
          <w:tcPr>
            <w:tcW w:w="1464"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5</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622</w:t>
            </w:r>
          </w:p>
        </w:tc>
        <w:tc>
          <w:tcPr>
            <w:tcW w:w="1465"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13</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862</w:t>
            </w:r>
          </w:p>
        </w:tc>
        <w:tc>
          <w:tcPr>
            <w:tcW w:w="1465"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9</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429</w:t>
            </w:r>
          </w:p>
        </w:tc>
      </w:tr>
      <w:tr w:rsidR="005A520A" w:rsidRPr="000F7862" w:rsidTr="00AA7B30">
        <w:trPr>
          <w:cantSplit/>
        </w:trPr>
        <w:tc>
          <w:tcPr>
            <w:tcW w:w="2977"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rPr>
                <w:rFonts w:ascii="Times New Roman" w:hAnsi="Times New Roman" w:cs="Times New Roman"/>
                <w:color w:val="auto"/>
                <w:sz w:val="18"/>
                <w:lang w:val="fr-FR"/>
              </w:rPr>
            </w:pPr>
            <w:r w:rsidRPr="000F7862">
              <w:rPr>
                <w:rFonts w:ascii="Times New Roman" w:hAnsi="Times New Roman" w:cs="Times New Roman"/>
                <w:color w:val="auto"/>
                <w:sz w:val="18"/>
                <w:szCs w:val="20"/>
                <w:lang w:val="fr-FR"/>
              </w:rPr>
              <w:t>X</w:t>
            </w:r>
          </w:p>
        </w:tc>
        <w:tc>
          <w:tcPr>
            <w:tcW w:w="1464"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2</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764</w:t>
            </w:r>
          </w:p>
        </w:tc>
        <w:tc>
          <w:tcPr>
            <w:tcW w:w="1465"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5</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755</w:t>
            </w:r>
          </w:p>
        </w:tc>
        <w:tc>
          <w:tcPr>
            <w:tcW w:w="1465"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9</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842</w:t>
            </w:r>
          </w:p>
        </w:tc>
      </w:tr>
      <w:tr w:rsidR="005A520A" w:rsidRPr="000F7862" w:rsidTr="00AA7B30">
        <w:trPr>
          <w:cantSplit/>
        </w:trPr>
        <w:tc>
          <w:tcPr>
            <w:tcW w:w="2977"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rPr>
                <w:rFonts w:ascii="Times New Roman" w:hAnsi="Times New Roman" w:cs="Times New Roman"/>
                <w:color w:val="auto"/>
                <w:sz w:val="18"/>
                <w:lang w:val="fr-FR"/>
              </w:rPr>
            </w:pPr>
            <w:r w:rsidRPr="000F7862">
              <w:rPr>
                <w:rFonts w:ascii="Times New Roman" w:hAnsi="Times New Roman" w:cs="Times New Roman"/>
                <w:color w:val="auto"/>
                <w:sz w:val="18"/>
                <w:szCs w:val="20"/>
                <w:lang w:val="fr-FR"/>
              </w:rPr>
              <w:t>XI</w:t>
            </w:r>
          </w:p>
        </w:tc>
        <w:tc>
          <w:tcPr>
            <w:tcW w:w="1464"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6</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274</w:t>
            </w:r>
          </w:p>
        </w:tc>
        <w:tc>
          <w:tcPr>
            <w:tcW w:w="1465"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6</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962</w:t>
            </w:r>
          </w:p>
        </w:tc>
        <w:tc>
          <w:tcPr>
            <w:tcW w:w="1465"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7</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884</w:t>
            </w:r>
          </w:p>
        </w:tc>
      </w:tr>
      <w:tr w:rsidR="005A520A" w:rsidRPr="000F7862" w:rsidTr="00AA7B30">
        <w:trPr>
          <w:cantSplit/>
        </w:trPr>
        <w:tc>
          <w:tcPr>
            <w:tcW w:w="2977" w:type="dxa"/>
            <w:shd w:val="clear" w:color="auto" w:fill="auto"/>
            <w:tcMar>
              <w:top w:w="0" w:type="dxa"/>
              <w:left w:w="0" w:type="dxa"/>
              <w:bottom w:w="0" w:type="dxa"/>
              <w:right w:w="0" w:type="dxa"/>
            </w:tcMar>
            <w:vAlign w:val="bottom"/>
          </w:tcPr>
          <w:p w:rsidR="0086185C" w:rsidRPr="000F7862" w:rsidRDefault="0086185C" w:rsidP="00A03A96">
            <w:pPr>
              <w:pStyle w:val="ListParagraph"/>
              <w:keepNext/>
              <w:pBdr>
                <w:top w:val="none" w:sz="0" w:space="0" w:color="auto"/>
                <w:left w:val="none" w:sz="0" w:space="0" w:color="auto"/>
                <w:bottom w:val="none" w:sz="0" w:space="0" w:color="auto"/>
                <w:right w:val="none" w:sz="0" w:space="0" w:color="auto"/>
                <w:bar w:val="none" w:sz="0" w:color="auto"/>
              </w:pBdr>
              <w:spacing w:before="40" w:after="40" w:line="220" w:lineRule="exact"/>
              <w:ind w:left="0"/>
              <w:rPr>
                <w:rFonts w:ascii="Times New Roman" w:hAnsi="Times New Roman" w:cs="Times New Roman"/>
                <w:color w:val="auto"/>
                <w:sz w:val="18"/>
                <w:lang w:val="fr-FR"/>
              </w:rPr>
            </w:pPr>
            <w:r w:rsidRPr="000F7862">
              <w:rPr>
                <w:rFonts w:ascii="Times New Roman" w:hAnsi="Times New Roman" w:cs="Times New Roman"/>
                <w:color w:val="auto"/>
                <w:sz w:val="18"/>
                <w:szCs w:val="20"/>
                <w:lang w:val="fr-FR"/>
              </w:rPr>
              <w:t>XII</w:t>
            </w:r>
          </w:p>
        </w:tc>
        <w:tc>
          <w:tcPr>
            <w:tcW w:w="1464" w:type="dxa"/>
            <w:shd w:val="clear" w:color="auto" w:fill="auto"/>
            <w:tcMar>
              <w:top w:w="0" w:type="dxa"/>
              <w:left w:w="0" w:type="dxa"/>
              <w:bottom w:w="0" w:type="dxa"/>
              <w:right w:w="0" w:type="dxa"/>
            </w:tcMar>
            <w:vAlign w:val="bottom"/>
          </w:tcPr>
          <w:p w:rsidR="0086185C" w:rsidRPr="000F7862" w:rsidRDefault="0086185C" w:rsidP="00A03A96">
            <w:pPr>
              <w:pStyle w:val="ListParagraph"/>
              <w:keepNext/>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5</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822</w:t>
            </w:r>
          </w:p>
        </w:tc>
        <w:tc>
          <w:tcPr>
            <w:tcW w:w="1465" w:type="dxa"/>
            <w:shd w:val="clear" w:color="auto" w:fill="auto"/>
            <w:tcMar>
              <w:top w:w="0" w:type="dxa"/>
              <w:left w:w="0" w:type="dxa"/>
              <w:bottom w:w="0" w:type="dxa"/>
              <w:right w:w="0" w:type="dxa"/>
            </w:tcMar>
            <w:vAlign w:val="bottom"/>
          </w:tcPr>
          <w:p w:rsidR="0086185C" w:rsidRPr="000F7862" w:rsidRDefault="0086185C" w:rsidP="00A03A96">
            <w:pPr>
              <w:pStyle w:val="ListParagraph"/>
              <w:keepNext/>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6</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005</w:t>
            </w:r>
          </w:p>
        </w:tc>
        <w:tc>
          <w:tcPr>
            <w:tcW w:w="1465" w:type="dxa"/>
            <w:shd w:val="clear" w:color="auto" w:fill="auto"/>
            <w:tcMar>
              <w:top w:w="0" w:type="dxa"/>
              <w:left w:w="0" w:type="dxa"/>
              <w:bottom w:w="0" w:type="dxa"/>
              <w:right w:w="0" w:type="dxa"/>
            </w:tcMar>
            <w:vAlign w:val="bottom"/>
          </w:tcPr>
          <w:p w:rsidR="0086185C" w:rsidRPr="000F7862" w:rsidRDefault="0086185C" w:rsidP="00A03A96">
            <w:pPr>
              <w:pStyle w:val="ListParagraph"/>
              <w:keepNext/>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7</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213</w:t>
            </w:r>
          </w:p>
        </w:tc>
      </w:tr>
      <w:tr w:rsidR="005A520A" w:rsidRPr="000F7862" w:rsidTr="00AA7B30">
        <w:trPr>
          <w:cantSplit/>
        </w:trPr>
        <w:tc>
          <w:tcPr>
            <w:tcW w:w="2977"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rPr>
                <w:rFonts w:ascii="Times New Roman" w:hAnsi="Times New Roman" w:cs="Times New Roman"/>
                <w:color w:val="auto"/>
                <w:sz w:val="18"/>
                <w:lang w:val="fr-FR"/>
              </w:rPr>
            </w:pPr>
            <w:r w:rsidRPr="000F7862">
              <w:rPr>
                <w:rFonts w:ascii="Times New Roman" w:hAnsi="Times New Roman" w:cs="Times New Roman"/>
                <w:color w:val="auto"/>
                <w:sz w:val="18"/>
                <w:szCs w:val="20"/>
                <w:lang w:val="fr-FR"/>
              </w:rPr>
              <w:t>Caraga</w:t>
            </w:r>
          </w:p>
        </w:tc>
        <w:tc>
          <w:tcPr>
            <w:tcW w:w="1464"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6</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254</w:t>
            </w:r>
          </w:p>
        </w:tc>
        <w:tc>
          <w:tcPr>
            <w:tcW w:w="1465"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6</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254</w:t>
            </w:r>
          </w:p>
        </w:tc>
        <w:tc>
          <w:tcPr>
            <w:tcW w:w="1465" w:type="dxa"/>
            <w:shd w:val="clear" w:color="auto" w:fill="auto"/>
            <w:tcMar>
              <w:top w:w="0" w:type="dxa"/>
              <w:left w:w="0" w:type="dxa"/>
              <w:bottom w:w="0" w:type="dxa"/>
              <w:right w:w="0" w:type="dxa"/>
            </w:tcMar>
            <w:vAlign w:val="bottom"/>
          </w:tcPr>
          <w:p w:rsidR="0086185C" w:rsidRPr="000F7862" w:rsidRDefault="0086185C" w:rsidP="00A03A96">
            <w:pPr>
              <w:pStyle w:val="ListParagraph"/>
              <w:pBdr>
                <w:top w:val="none" w:sz="0" w:space="0" w:color="auto"/>
                <w:left w:val="none" w:sz="0" w:space="0" w:color="auto"/>
                <w:bottom w:val="none" w:sz="0" w:space="0" w:color="auto"/>
                <w:right w:val="none" w:sz="0" w:space="0" w:color="auto"/>
                <w:bar w:val="none" w:sz="0" w:color="auto"/>
              </w:pBdr>
              <w:spacing w:before="40" w:after="40" w:line="220" w:lineRule="exact"/>
              <w:ind w:left="0"/>
              <w:jc w:val="right"/>
              <w:rPr>
                <w:rFonts w:ascii="Times New Roman" w:hAnsi="Times New Roman" w:cs="Times New Roman"/>
                <w:color w:val="auto"/>
                <w:sz w:val="18"/>
                <w:szCs w:val="18"/>
                <w:lang w:val="fr-FR"/>
              </w:rPr>
            </w:pPr>
            <w:r w:rsidRPr="000F7862">
              <w:rPr>
                <w:rFonts w:ascii="Times New Roman" w:hAnsi="Times New Roman" w:cs="Times New Roman"/>
                <w:color w:val="auto"/>
                <w:sz w:val="18"/>
                <w:szCs w:val="18"/>
                <w:lang w:val="fr-FR"/>
              </w:rPr>
              <w:t>7</w:t>
            </w:r>
            <w:r w:rsidR="00785DDC" w:rsidRPr="000F7862">
              <w:rPr>
                <w:rFonts w:ascii="Times New Roman" w:hAnsi="Times New Roman" w:cs="Times New Roman"/>
                <w:color w:val="auto"/>
                <w:sz w:val="18"/>
                <w:szCs w:val="18"/>
                <w:lang w:val="fr-FR"/>
              </w:rPr>
              <w:t> </w:t>
            </w:r>
            <w:r w:rsidRPr="000F7862">
              <w:rPr>
                <w:rFonts w:ascii="Times New Roman" w:hAnsi="Times New Roman" w:cs="Times New Roman"/>
                <w:color w:val="auto"/>
                <w:sz w:val="18"/>
                <w:szCs w:val="18"/>
                <w:lang w:val="fr-FR"/>
              </w:rPr>
              <w:t>802</w:t>
            </w:r>
          </w:p>
        </w:tc>
      </w:tr>
    </w:tbl>
    <w:p w:rsidR="0086185C" w:rsidRPr="000F7862" w:rsidRDefault="003F7F57" w:rsidP="003F7F57">
      <w:pPr>
        <w:pStyle w:val="SingleTxtG"/>
        <w:spacing w:before="240"/>
        <w:rPr>
          <w:iCs/>
          <w:lang w:val="fr-FR"/>
        </w:rPr>
      </w:pPr>
      <w:r w:rsidRPr="000F7862">
        <w:rPr>
          <w:iCs/>
          <w:lang w:val="fr-FR"/>
        </w:rPr>
        <w:t>74.</w:t>
      </w:r>
      <w:r w:rsidRPr="000F7862">
        <w:rPr>
          <w:iCs/>
          <w:lang w:val="fr-FR"/>
        </w:rPr>
        <w:tab/>
      </w:r>
      <w:r w:rsidR="0035564E" w:rsidRPr="000F7862">
        <w:rPr>
          <w:lang w:val="fr-FR"/>
        </w:rPr>
        <w:t xml:space="preserve">Le nombre de bénéficiaires du </w:t>
      </w:r>
      <w:r w:rsidR="00DF7957" w:rsidRPr="000F7862">
        <w:rPr>
          <w:lang w:val="fr-FR"/>
        </w:rPr>
        <w:t xml:space="preserve">Programme spécial </w:t>
      </w:r>
      <w:r w:rsidR="0035564E" w:rsidRPr="000F7862">
        <w:rPr>
          <w:lang w:val="fr-FR"/>
        </w:rPr>
        <w:t>a progressé à la suite d</w:t>
      </w:r>
      <w:r w:rsidR="00120E2E" w:rsidRPr="000F7862">
        <w:rPr>
          <w:lang w:val="fr-FR"/>
        </w:rPr>
        <w:t>’</w:t>
      </w:r>
      <w:r w:rsidR="0035564E" w:rsidRPr="000F7862">
        <w:rPr>
          <w:lang w:val="fr-FR"/>
        </w:rPr>
        <w:t>une augmentation d</w:t>
      </w:r>
      <w:r w:rsidR="00120E2E" w:rsidRPr="000F7862">
        <w:rPr>
          <w:lang w:val="fr-FR"/>
        </w:rPr>
        <w:t>’</w:t>
      </w:r>
      <w:r w:rsidR="0035564E" w:rsidRPr="000F7862">
        <w:rPr>
          <w:lang w:val="fr-FR"/>
        </w:rPr>
        <w:t>environ 20</w:t>
      </w:r>
      <w:r w:rsidR="00DC1196" w:rsidRPr="000F7862">
        <w:rPr>
          <w:lang w:val="fr-FR"/>
        </w:rPr>
        <w:t> %</w:t>
      </w:r>
      <w:r w:rsidR="0035564E" w:rsidRPr="000F7862">
        <w:rPr>
          <w:lang w:val="fr-FR"/>
        </w:rPr>
        <w:t xml:space="preserve"> du budget du programme</w:t>
      </w:r>
      <w:r w:rsidR="0086185C" w:rsidRPr="000F7862">
        <w:rPr>
          <w:lang w:val="fr-FR"/>
        </w:rPr>
        <w:t xml:space="preserve">. </w:t>
      </w:r>
      <w:r w:rsidR="0035564E" w:rsidRPr="000F7862">
        <w:rPr>
          <w:lang w:val="fr-FR"/>
        </w:rPr>
        <w:t>En 2011, le nombre de bénéficiaires au plan national a augmenté de près de 30</w:t>
      </w:r>
      <w:r w:rsidR="00DC1196" w:rsidRPr="000F7862">
        <w:rPr>
          <w:lang w:val="fr-FR"/>
        </w:rPr>
        <w:t> %</w:t>
      </w:r>
      <w:r w:rsidR="0035564E" w:rsidRPr="000F7862">
        <w:rPr>
          <w:lang w:val="fr-FR"/>
        </w:rPr>
        <w:t xml:space="preserve"> </w:t>
      </w:r>
      <w:r w:rsidR="0086185C" w:rsidRPr="000F7862">
        <w:rPr>
          <w:lang w:val="fr-FR"/>
        </w:rPr>
        <w:t>(29</w:t>
      </w:r>
      <w:r w:rsidR="0035564E" w:rsidRPr="000F7862">
        <w:rPr>
          <w:lang w:val="fr-FR"/>
        </w:rPr>
        <w:t>,</w:t>
      </w:r>
      <w:r w:rsidR="0086185C" w:rsidRPr="000F7862">
        <w:rPr>
          <w:lang w:val="fr-FR"/>
        </w:rPr>
        <w:t>5</w:t>
      </w:r>
      <w:r w:rsidR="00DC1196" w:rsidRPr="000F7862">
        <w:rPr>
          <w:lang w:val="fr-FR"/>
        </w:rPr>
        <w:t> %</w:t>
      </w:r>
      <w:r w:rsidR="0086185C" w:rsidRPr="000F7862">
        <w:rPr>
          <w:lang w:val="fr-FR"/>
        </w:rPr>
        <w:t>)</w:t>
      </w:r>
      <w:r w:rsidR="0035564E" w:rsidRPr="000F7862">
        <w:rPr>
          <w:lang w:val="fr-FR"/>
        </w:rPr>
        <w:t xml:space="preserve"> par rapport à 2010</w:t>
      </w:r>
      <w:r w:rsidR="0086185C" w:rsidRPr="000F7862">
        <w:rPr>
          <w:lang w:val="fr-FR"/>
        </w:rPr>
        <w:t xml:space="preserve">, </w:t>
      </w:r>
      <w:r w:rsidR="0035564E" w:rsidRPr="000F7862">
        <w:rPr>
          <w:lang w:val="fr-FR"/>
        </w:rPr>
        <w:t xml:space="preserve">et, en 2012, de </w:t>
      </w:r>
      <w:r w:rsidR="0086185C" w:rsidRPr="000F7862">
        <w:rPr>
          <w:lang w:val="fr-FR"/>
        </w:rPr>
        <w:t>13</w:t>
      </w:r>
      <w:r w:rsidR="0035564E" w:rsidRPr="000F7862">
        <w:rPr>
          <w:lang w:val="fr-FR"/>
        </w:rPr>
        <w:t>,</w:t>
      </w:r>
      <w:r w:rsidR="0086185C" w:rsidRPr="000F7862">
        <w:rPr>
          <w:lang w:val="fr-FR"/>
        </w:rPr>
        <w:t>1</w:t>
      </w:r>
      <w:r w:rsidR="00DC1196" w:rsidRPr="000F7862">
        <w:rPr>
          <w:lang w:val="fr-FR"/>
        </w:rPr>
        <w:t> %</w:t>
      </w:r>
      <w:r w:rsidR="0086185C" w:rsidRPr="000F7862">
        <w:rPr>
          <w:lang w:val="fr-FR"/>
        </w:rPr>
        <w:t xml:space="preserve"> </w:t>
      </w:r>
      <w:r w:rsidR="0035564E" w:rsidRPr="000F7862">
        <w:rPr>
          <w:lang w:val="fr-FR"/>
        </w:rPr>
        <w:t xml:space="preserve">par rapport à </w:t>
      </w:r>
      <w:r w:rsidR="0086185C" w:rsidRPr="000F7862">
        <w:rPr>
          <w:lang w:val="fr-FR"/>
        </w:rPr>
        <w:t xml:space="preserve">2011. </w:t>
      </w:r>
      <w:r w:rsidR="0035564E" w:rsidRPr="000F7862">
        <w:rPr>
          <w:lang w:val="fr-FR"/>
        </w:rPr>
        <w:t>Comme le montre le t</w:t>
      </w:r>
      <w:r w:rsidR="0086185C" w:rsidRPr="000F7862">
        <w:rPr>
          <w:lang w:val="fr-FR"/>
        </w:rPr>
        <w:t>able</w:t>
      </w:r>
      <w:r w:rsidR="0035564E" w:rsidRPr="000F7862">
        <w:rPr>
          <w:lang w:val="fr-FR"/>
        </w:rPr>
        <w:t>au</w:t>
      </w:r>
      <w:r w:rsidR="004B3B1E" w:rsidRPr="000F7862">
        <w:rPr>
          <w:lang w:val="fr-FR"/>
        </w:rPr>
        <w:t> </w:t>
      </w:r>
      <w:r w:rsidR="0086185C" w:rsidRPr="000F7862">
        <w:rPr>
          <w:lang w:val="fr-FR"/>
        </w:rPr>
        <w:t xml:space="preserve">10, </w:t>
      </w:r>
      <w:r w:rsidR="0035564E" w:rsidRPr="000F7862">
        <w:rPr>
          <w:lang w:val="fr-FR"/>
        </w:rPr>
        <w:t xml:space="preserve">le plus grand nombre de </w:t>
      </w:r>
      <w:r w:rsidR="0086185C" w:rsidRPr="000F7862">
        <w:rPr>
          <w:lang w:val="fr-FR"/>
        </w:rPr>
        <w:t>b</w:t>
      </w:r>
      <w:r w:rsidR="0035564E" w:rsidRPr="000F7862">
        <w:rPr>
          <w:lang w:val="fr-FR"/>
        </w:rPr>
        <w:t>é</w:t>
      </w:r>
      <w:r w:rsidR="0086185C" w:rsidRPr="000F7862">
        <w:rPr>
          <w:lang w:val="fr-FR"/>
        </w:rPr>
        <w:t>n</w:t>
      </w:r>
      <w:r w:rsidR="0035564E" w:rsidRPr="000F7862">
        <w:rPr>
          <w:lang w:val="fr-FR"/>
        </w:rPr>
        <w:t>é</w:t>
      </w:r>
      <w:r w:rsidR="0086185C" w:rsidRPr="000F7862">
        <w:rPr>
          <w:lang w:val="fr-FR"/>
        </w:rPr>
        <w:t>ficia</w:t>
      </w:r>
      <w:r w:rsidR="0035564E" w:rsidRPr="000F7862">
        <w:rPr>
          <w:lang w:val="fr-FR"/>
        </w:rPr>
        <w:t>ires a été enregistré dans les ré</w:t>
      </w:r>
      <w:r w:rsidR="0086185C" w:rsidRPr="000F7862">
        <w:rPr>
          <w:lang w:val="fr-FR"/>
        </w:rPr>
        <w:t>gions</w:t>
      </w:r>
      <w:r w:rsidR="005A520A" w:rsidRPr="000F7862">
        <w:rPr>
          <w:lang w:val="fr-FR"/>
        </w:rPr>
        <w:t> </w:t>
      </w:r>
      <w:r w:rsidR="0035564E" w:rsidRPr="000F7862">
        <w:rPr>
          <w:lang w:val="fr-FR"/>
        </w:rPr>
        <w:t xml:space="preserve">VI, </w:t>
      </w:r>
      <w:r w:rsidR="0086185C" w:rsidRPr="000F7862">
        <w:rPr>
          <w:lang w:val="fr-FR"/>
        </w:rPr>
        <w:t xml:space="preserve">IX </w:t>
      </w:r>
      <w:r w:rsidR="0035564E" w:rsidRPr="000F7862">
        <w:rPr>
          <w:lang w:val="fr-FR"/>
        </w:rPr>
        <w:t>et</w:t>
      </w:r>
      <w:r w:rsidR="0086185C" w:rsidRPr="000F7862">
        <w:rPr>
          <w:lang w:val="fr-FR"/>
        </w:rPr>
        <w:t xml:space="preserve"> VII </w:t>
      </w:r>
      <w:r w:rsidR="0035564E" w:rsidRPr="000F7862">
        <w:rPr>
          <w:lang w:val="fr-FR"/>
        </w:rPr>
        <w:t>e</w:t>
      </w:r>
      <w:r w:rsidR="0086185C" w:rsidRPr="000F7862">
        <w:rPr>
          <w:lang w:val="fr-FR"/>
        </w:rPr>
        <w:t xml:space="preserve">n 2010, 2011 </w:t>
      </w:r>
      <w:r w:rsidR="0035564E" w:rsidRPr="000F7862">
        <w:rPr>
          <w:lang w:val="fr-FR"/>
        </w:rPr>
        <w:t>et</w:t>
      </w:r>
      <w:r w:rsidR="0086185C" w:rsidRPr="000F7862">
        <w:rPr>
          <w:lang w:val="fr-FR"/>
        </w:rPr>
        <w:t xml:space="preserve"> 2012,</w:t>
      </w:r>
      <w:r w:rsidR="0035564E" w:rsidRPr="000F7862">
        <w:rPr>
          <w:lang w:val="fr-FR"/>
        </w:rPr>
        <w:t xml:space="preserve"> respectivement</w:t>
      </w:r>
      <w:r w:rsidR="0086185C" w:rsidRPr="000F7862">
        <w:rPr>
          <w:lang w:val="fr-FR"/>
        </w:rPr>
        <w:t>.</w:t>
      </w:r>
      <w:r w:rsidR="0086185C" w:rsidRPr="000F7862">
        <w:rPr>
          <w:iCs/>
          <w:lang w:val="fr-FR"/>
        </w:rPr>
        <w:t xml:space="preserve"> </w:t>
      </w:r>
    </w:p>
    <w:p w:rsidR="0086185C" w:rsidRPr="000F7862" w:rsidRDefault="00AF202A" w:rsidP="00AF202A">
      <w:pPr>
        <w:pStyle w:val="H23G"/>
        <w:rPr>
          <w:lang w:val="fr-FR"/>
        </w:rPr>
      </w:pPr>
      <w:r w:rsidRPr="000F7862">
        <w:rPr>
          <w:lang w:val="fr-FR"/>
        </w:rPr>
        <w:tab/>
      </w:r>
      <w:r w:rsidRPr="000F7862">
        <w:rPr>
          <w:lang w:val="fr-FR"/>
        </w:rPr>
        <w:tab/>
      </w:r>
      <w:r w:rsidR="0035564E" w:rsidRPr="000F7862">
        <w:rPr>
          <w:lang w:val="fr-FR"/>
        </w:rPr>
        <w:t xml:space="preserve">Foires aux emplois </w:t>
      </w:r>
    </w:p>
    <w:p w:rsidR="0086185C" w:rsidRPr="000F7862" w:rsidRDefault="003F7F57" w:rsidP="003F7F57">
      <w:pPr>
        <w:pStyle w:val="SingleTxtG"/>
        <w:rPr>
          <w:lang w:val="fr-FR"/>
        </w:rPr>
      </w:pPr>
      <w:r w:rsidRPr="000F7862">
        <w:rPr>
          <w:lang w:val="fr-FR"/>
        </w:rPr>
        <w:t>75.</w:t>
      </w:r>
      <w:r w:rsidRPr="000F7862">
        <w:rPr>
          <w:lang w:val="fr-FR"/>
        </w:rPr>
        <w:tab/>
      </w:r>
      <w:r w:rsidR="0035564E" w:rsidRPr="000F7862">
        <w:rPr>
          <w:lang w:val="fr-FR"/>
        </w:rPr>
        <w:t>Le Ministère du travail et de l</w:t>
      </w:r>
      <w:r w:rsidR="00120E2E" w:rsidRPr="000F7862">
        <w:rPr>
          <w:lang w:val="fr-FR"/>
        </w:rPr>
        <w:t>’</w:t>
      </w:r>
      <w:r w:rsidR="0035564E" w:rsidRPr="000F7862">
        <w:rPr>
          <w:lang w:val="fr-FR"/>
        </w:rPr>
        <w:t xml:space="preserve">emploi </w:t>
      </w:r>
      <w:r w:rsidR="003F44FD" w:rsidRPr="000F7862">
        <w:rPr>
          <w:lang w:val="fr-FR"/>
        </w:rPr>
        <w:t>organise des foires aux emplois tout au long de l</w:t>
      </w:r>
      <w:r w:rsidR="00120E2E" w:rsidRPr="000F7862">
        <w:rPr>
          <w:lang w:val="fr-FR"/>
        </w:rPr>
        <w:t>’</w:t>
      </w:r>
      <w:r w:rsidR="003F44FD" w:rsidRPr="000F7862">
        <w:rPr>
          <w:lang w:val="fr-FR"/>
        </w:rPr>
        <w:t>année</w:t>
      </w:r>
      <w:r w:rsidR="0086185C" w:rsidRPr="000F7862">
        <w:rPr>
          <w:lang w:val="fr-FR"/>
        </w:rPr>
        <w:t xml:space="preserve">. </w:t>
      </w:r>
      <w:r w:rsidR="003F44FD" w:rsidRPr="000F7862">
        <w:rPr>
          <w:lang w:val="fr-FR"/>
        </w:rPr>
        <w:t>Il s</w:t>
      </w:r>
      <w:r w:rsidR="00120E2E" w:rsidRPr="000F7862">
        <w:rPr>
          <w:lang w:val="fr-FR"/>
        </w:rPr>
        <w:t>’</w:t>
      </w:r>
      <w:r w:rsidR="003F44FD" w:rsidRPr="000F7862">
        <w:rPr>
          <w:lang w:val="fr-FR"/>
        </w:rPr>
        <w:t>agit des foires aux emplois qui se tiennent chaque année le 1</w:t>
      </w:r>
      <w:r w:rsidR="003F44FD" w:rsidRPr="000F7862">
        <w:rPr>
          <w:vertAlign w:val="superscript"/>
          <w:lang w:val="fr-FR"/>
        </w:rPr>
        <w:t>er</w:t>
      </w:r>
      <w:r w:rsidR="003F44FD" w:rsidRPr="000F7862">
        <w:rPr>
          <w:lang w:val="fr-FR"/>
        </w:rPr>
        <w:t xml:space="preserve"> mai à l</w:t>
      </w:r>
      <w:r w:rsidR="00120E2E" w:rsidRPr="000F7862">
        <w:rPr>
          <w:lang w:val="fr-FR"/>
        </w:rPr>
        <w:t>’</w:t>
      </w:r>
      <w:r w:rsidR="00B64CCC" w:rsidRPr="000F7862">
        <w:rPr>
          <w:lang w:val="fr-FR"/>
        </w:rPr>
        <w:t xml:space="preserve">occasion de la </w:t>
      </w:r>
      <w:r w:rsidR="00F20B64" w:rsidRPr="000F7862">
        <w:rPr>
          <w:lang w:val="fr-FR"/>
        </w:rPr>
        <w:t>Journée</w:t>
      </w:r>
      <w:r w:rsidR="00B64CCC" w:rsidRPr="000F7862">
        <w:rPr>
          <w:lang w:val="fr-FR"/>
        </w:rPr>
        <w:t xml:space="preserve"> du travail</w:t>
      </w:r>
      <w:r w:rsidR="003F44FD" w:rsidRPr="000F7862">
        <w:rPr>
          <w:lang w:val="fr-FR"/>
        </w:rPr>
        <w:t xml:space="preserve"> </w:t>
      </w:r>
      <w:r w:rsidR="00B64CCC" w:rsidRPr="000F7862">
        <w:rPr>
          <w:lang w:val="fr-FR"/>
        </w:rPr>
        <w:t>et des</w:t>
      </w:r>
      <w:r w:rsidR="003F44FD" w:rsidRPr="000F7862">
        <w:rPr>
          <w:lang w:val="fr-FR"/>
        </w:rPr>
        <w:t xml:space="preserve"> foires ordinaires organisées par les antennes régionales du Ministère</w:t>
      </w:r>
      <w:r w:rsidR="0086185C" w:rsidRPr="000F7862">
        <w:rPr>
          <w:lang w:val="fr-FR"/>
        </w:rPr>
        <w:t xml:space="preserve">. </w:t>
      </w:r>
      <w:r w:rsidR="003F44FD" w:rsidRPr="000F7862">
        <w:rPr>
          <w:lang w:val="fr-FR"/>
        </w:rPr>
        <w:t xml:space="preserve">Ces foires </w:t>
      </w:r>
      <w:r w:rsidR="00F20B64" w:rsidRPr="000F7862">
        <w:rPr>
          <w:lang w:val="fr-FR"/>
        </w:rPr>
        <w:t>réunissent les demandeurs d</w:t>
      </w:r>
      <w:r w:rsidR="00120E2E" w:rsidRPr="000F7862">
        <w:rPr>
          <w:lang w:val="fr-FR"/>
        </w:rPr>
        <w:t>’</w:t>
      </w:r>
      <w:r w:rsidR="00F20B64" w:rsidRPr="000F7862">
        <w:rPr>
          <w:lang w:val="fr-FR"/>
        </w:rPr>
        <w:t xml:space="preserve">emploi et les agents recruteurs et employeurs locaux et étrangers sous un même toit, à une heure donnée et un jour donné, </w:t>
      </w:r>
      <w:r w:rsidR="003F44FD" w:rsidRPr="000F7862">
        <w:rPr>
          <w:lang w:val="fr-FR"/>
        </w:rPr>
        <w:t>ce qui économise beaucoup d</w:t>
      </w:r>
      <w:r w:rsidR="00120E2E" w:rsidRPr="000F7862">
        <w:rPr>
          <w:lang w:val="fr-FR"/>
        </w:rPr>
        <w:t>’</w:t>
      </w:r>
      <w:r w:rsidR="003F44FD" w:rsidRPr="000F7862">
        <w:rPr>
          <w:lang w:val="fr-FR"/>
        </w:rPr>
        <w:t>argent, de temps et d</w:t>
      </w:r>
      <w:r w:rsidR="00120E2E" w:rsidRPr="000F7862">
        <w:rPr>
          <w:lang w:val="fr-FR"/>
        </w:rPr>
        <w:t>’</w:t>
      </w:r>
      <w:r w:rsidR="003F44FD" w:rsidRPr="000F7862">
        <w:rPr>
          <w:lang w:val="fr-FR"/>
        </w:rPr>
        <w:t>efforts, en particulier pour les demandeurs d</w:t>
      </w:r>
      <w:r w:rsidR="00120E2E" w:rsidRPr="000F7862">
        <w:rPr>
          <w:lang w:val="fr-FR"/>
        </w:rPr>
        <w:t>’</w:t>
      </w:r>
      <w:r w:rsidR="003F44FD" w:rsidRPr="000F7862">
        <w:rPr>
          <w:lang w:val="fr-FR"/>
        </w:rPr>
        <w:t>emploi</w:t>
      </w:r>
      <w:r w:rsidR="0086185C" w:rsidRPr="000F7862">
        <w:rPr>
          <w:lang w:val="fr-FR"/>
        </w:rPr>
        <w:t xml:space="preserve">. </w:t>
      </w:r>
      <w:r w:rsidR="00B64CCC" w:rsidRPr="000F7862">
        <w:rPr>
          <w:lang w:val="fr-FR"/>
        </w:rPr>
        <w:t xml:space="preserve">Elles appuient la campagne que mène le Ministère contre le recrutement illicite en </w:t>
      </w:r>
      <w:r w:rsidR="00F20B64" w:rsidRPr="000F7862">
        <w:rPr>
          <w:lang w:val="fr-FR"/>
        </w:rPr>
        <w:t>facilitant</w:t>
      </w:r>
      <w:r w:rsidR="00B64CCC" w:rsidRPr="000F7862">
        <w:rPr>
          <w:lang w:val="fr-FR"/>
        </w:rPr>
        <w:t xml:space="preserve"> </w:t>
      </w:r>
      <w:r w:rsidR="00F20B64" w:rsidRPr="000F7862">
        <w:rPr>
          <w:lang w:val="fr-FR"/>
        </w:rPr>
        <w:t>l</w:t>
      </w:r>
      <w:r w:rsidR="00120E2E" w:rsidRPr="000F7862">
        <w:rPr>
          <w:lang w:val="fr-FR"/>
        </w:rPr>
        <w:t>’</w:t>
      </w:r>
      <w:r w:rsidR="00B64CCC" w:rsidRPr="000F7862">
        <w:rPr>
          <w:lang w:val="fr-FR"/>
        </w:rPr>
        <w:t xml:space="preserve">accès </w:t>
      </w:r>
      <w:r w:rsidR="00F20B64" w:rsidRPr="000F7862">
        <w:rPr>
          <w:lang w:val="fr-FR"/>
        </w:rPr>
        <w:t xml:space="preserve">aux </w:t>
      </w:r>
      <w:r w:rsidR="00B64CCC" w:rsidRPr="000F7862">
        <w:rPr>
          <w:lang w:val="fr-FR"/>
        </w:rPr>
        <w:t xml:space="preserve">employeurs légitimes et </w:t>
      </w:r>
      <w:r w:rsidR="00F20B64" w:rsidRPr="000F7862">
        <w:rPr>
          <w:lang w:val="fr-FR"/>
        </w:rPr>
        <w:t xml:space="preserve">aux </w:t>
      </w:r>
      <w:r w:rsidR="00B64CCC" w:rsidRPr="000F7862">
        <w:rPr>
          <w:lang w:val="fr-FR"/>
        </w:rPr>
        <w:t xml:space="preserve">agences de recrutement </w:t>
      </w:r>
      <w:r w:rsidR="00F20B64" w:rsidRPr="000F7862">
        <w:rPr>
          <w:lang w:val="fr-FR"/>
        </w:rPr>
        <w:t xml:space="preserve">dûment </w:t>
      </w:r>
      <w:r w:rsidR="00B64CCC" w:rsidRPr="000F7862">
        <w:rPr>
          <w:lang w:val="fr-FR"/>
        </w:rPr>
        <w:t>agréées</w:t>
      </w:r>
      <w:r w:rsidR="0086185C" w:rsidRPr="000F7862">
        <w:rPr>
          <w:lang w:val="fr-FR"/>
        </w:rPr>
        <w:t>.</w:t>
      </w:r>
    </w:p>
    <w:p w:rsidR="0086185C" w:rsidRPr="000F7862" w:rsidRDefault="003F7F57" w:rsidP="003F7F57">
      <w:pPr>
        <w:pStyle w:val="SingleTxtG"/>
        <w:rPr>
          <w:lang w:val="fr-FR"/>
        </w:rPr>
      </w:pPr>
      <w:r w:rsidRPr="000F7862">
        <w:rPr>
          <w:lang w:val="fr-FR"/>
        </w:rPr>
        <w:t>76.</w:t>
      </w:r>
      <w:r w:rsidRPr="000F7862">
        <w:rPr>
          <w:lang w:val="fr-FR"/>
        </w:rPr>
        <w:tab/>
      </w:r>
      <w:r w:rsidR="0021022B" w:rsidRPr="000F7862">
        <w:rPr>
          <w:lang w:val="fr-FR"/>
        </w:rPr>
        <w:t>Outre la facilitation de la recherche d</w:t>
      </w:r>
      <w:r w:rsidR="00120E2E" w:rsidRPr="000F7862">
        <w:rPr>
          <w:lang w:val="fr-FR"/>
        </w:rPr>
        <w:t>’</w:t>
      </w:r>
      <w:r w:rsidR="0021022B" w:rsidRPr="000F7862">
        <w:rPr>
          <w:lang w:val="fr-FR"/>
        </w:rPr>
        <w:t xml:space="preserve">un emploi, </w:t>
      </w:r>
      <w:r w:rsidR="00F20B64" w:rsidRPr="000F7862">
        <w:rPr>
          <w:lang w:val="fr-FR"/>
        </w:rPr>
        <w:t>ces foires fournissent d</w:t>
      </w:r>
      <w:r w:rsidR="00120E2E" w:rsidRPr="000F7862">
        <w:rPr>
          <w:lang w:val="fr-FR"/>
        </w:rPr>
        <w:t>’</w:t>
      </w:r>
      <w:r w:rsidR="00F20B64" w:rsidRPr="000F7862">
        <w:rPr>
          <w:lang w:val="fr-FR"/>
        </w:rPr>
        <w:t>autres services convergents, à savoir des informations en matière d</w:t>
      </w:r>
      <w:r w:rsidR="00120E2E" w:rsidRPr="000F7862">
        <w:rPr>
          <w:lang w:val="fr-FR"/>
        </w:rPr>
        <w:t>’</w:t>
      </w:r>
      <w:r w:rsidR="00F20B64" w:rsidRPr="000F7862">
        <w:rPr>
          <w:lang w:val="fr-FR"/>
        </w:rPr>
        <w:t>aide à l</w:t>
      </w:r>
      <w:r w:rsidR="00120E2E" w:rsidRPr="000F7862">
        <w:rPr>
          <w:lang w:val="fr-FR"/>
        </w:rPr>
        <w:t>’</w:t>
      </w:r>
      <w:r w:rsidR="00F20B64" w:rsidRPr="000F7862">
        <w:rPr>
          <w:lang w:val="fr-FR"/>
        </w:rPr>
        <w:t>emploi,</w:t>
      </w:r>
      <w:r w:rsidR="000B1AF9" w:rsidRPr="000F7862">
        <w:rPr>
          <w:lang w:val="fr-FR"/>
        </w:rPr>
        <w:t xml:space="preserve"> des formations visant à </w:t>
      </w:r>
      <w:r w:rsidR="000B1AF9" w:rsidRPr="000F7862">
        <w:rPr>
          <w:shd w:val="clear" w:color="auto" w:fill="FFFFFF"/>
          <w:lang w:val="fr-FR"/>
        </w:rPr>
        <w:t>améliorer les perspectives professionnelles</w:t>
      </w:r>
      <w:r w:rsidR="00F20B64" w:rsidRPr="000F7862">
        <w:rPr>
          <w:lang w:val="fr-FR"/>
        </w:rPr>
        <w:t xml:space="preserve">, </w:t>
      </w:r>
      <w:r w:rsidR="00E90DBA" w:rsidRPr="000F7862">
        <w:rPr>
          <w:lang w:val="fr-FR"/>
        </w:rPr>
        <w:t xml:space="preserve">une </w:t>
      </w:r>
      <w:r w:rsidR="00F20B64" w:rsidRPr="000F7862">
        <w:rPr>
          <w:lang w:val="fr-FR"/>
        </w:rPr>
        <w:t>assistance aux indépendants ainsi que des services sociaux à l</w:t>
      </w:r>
      <w:r w:rsidR="00120E2E" w:rsidRPr="000F7862">
        <w:rPr>
          <w:lang w:val="fr-FR"/>
        </w:rPr>
        <w:t>’</w:t>
      </w:r>
      <w:r w:rsidR="00F20B64" w:rsidRPr="000F7862">
        <w:rPr>
          <w:lang w:val="fr-FR"/>
        </w:rPr>
        <w:t>intention des travailleurs philippins migrants</w:t>
      </w:r>
      <w:r w:rsidR="0086185C" w:rsidRPr="000F7862">
        <w:rPr>
          <w:lang w:val="fr-FR"/>
        </w:rPr>
        <w:t>.</w:t>
      </w:r>
    </w:p>
    <w:p w:rsidR="0086185C" w:rsidRPr="000F7862" w:rsidRDefault="009B3DB1" w:rsidP="009B3DB1">
      <w:pPr>
        <w:pStyle w:val="H23G"/>
        <w:rPr>
          <w:lang w:val="fr-FR"/>
        </w:rPr>
      </w:pPr>
      <w:r w:rsidRPr="000F7862">
        <w:rPr>
          <w:lang w:val="fr-FR"/>
        </w:rPr>
        <w:tab/>
      </w:r>
      <w:r w:rsidRPr="000F7862">
        <w:rPr>
          <w:lang w:val="fr-FR"/>
        </w:rPr>
        <w:tab/>
      </w:r>
      <w:r w:rsidR="0008327A" w:rsidRPr="000F7862">
        <w:rPr>
          <w:lang w:val="fr-FR"/>
        </w:rPr>
        <w:t>Bureaux publics pour l</w:t>
      </w:r>
      <w:r w:rsidR="00120E2E" w:rsidRPr="000F7862">
        <w:rPr>
          <w:lang w:val="fr-FR"/>
        </w:rPr>
        <w:t>’</w:t>
      </w:r>
      <w:r w:rsidR="0008327A" w:rsidRPr="000F7862">
        <w:rPr>
          <w:lang w:val="fr-FR"/>
        </w:rPr>
        <w:t xml:space="preserve">emploi </w:t>
      </w:r>
    </w:p>
    <w:p w:rsidR="0086185C" w:rsidRPr="000F7862" w:rsidRDefault="003F7F57" w:rsidP="009B3DB1">
      <w:pPr>
        <w:pStyle w:val="SingleTxtG"/>
        <w:rPr>
          <w:lang w:val="fr-FR"/>
        </w:rPr>
      </w:pPr>
      <w:r w:rsidRPr="000F7862">
        <w:rPr>
          <w:lang w:val="fr-FR"/>
        </w:rPr>
        <w:t>77.</w:t>
      </w:r>
      <w:r w:rsidRPr="000F7862">
        <w:rPr>
          <w:lang w:val="fr-FR"/>
        </w:rPr>
        <w:tab/>
      </w:r>
      <w:r w:rsidR="00905ADF" w:rsidRPr="000F7862">
        <w:rPr>
          <w:lang w:val="fr-FR"/>
        </w:rPr>
        <w:t>La recherche d</w:t>
      </w:r>
      <w:r w:rsidR="00120E2E" w:rsidRPr="000F7862">
        <w:rPr>
          <w:lang w:val="fr-FR"/>
        </w:rPr>
        <w:t>’</w:t>
      </w:r>
      <w:r w:rsidR="00905ADF" w:rsidRPr="000F7862">
        <w:rPr>
          <w:lang w:val="fr-FR"/>
        </w:rPr>
        <w:t>un emploi est également facilitée par un réseau national de bureaux publics pour l</w:t>
      </w:r>
      <w:r w:rsidR="00120E2E" w:rsidRPr="000F7862">
        <w:rPr>
          <w:lang w:val="fr-FR"/>
        </w:rPr>
        <w:t>’</w:t>
      </w:r>
      <w:r w:rsidR="00905ADF" w:rsidRPr="000F7862">
        <w:rPr>
          <w:lang w:val="fr-FR"/>
        </w:rPr>
        <w:t>emploi</w:t>
      </w:r>
      <w:r w:rsidR="0086185C" w:rsidRPr="000F7862">
        <w:rPr>
          <w:lang w:val="fr-FR"/>
        </w:rPr>
        <w:t xml:space="preserve">. </w:t>
      </w:r>
      <w:r w:rsidR="007C1751" w:rsidRPr="000F7862">
        <w:rPr>
          <w:lang w:val="fr-FR"/>
        </w:rPr>
        <w:t>Créés par la loi de la République</w:t>
      </w:r>
      <w:r w:rsidR="003D3A45" w:rsidRPr="000F7862">
        <w:rPr>
          <w:lang w:val="fr-FR"/>
        </w:rPr>
        <w:t xml:space="preserve"> </w:t>
      </w:r>
      <w:r w:rsidR="009B3DB1" w:rsidRPr="000F7862">
        <w:rPr>
          <w:lang w:val="fr-FR"/>
        </w:rPr>
        <w:t>n</w:t>
      </w:r>
      <w:r w:rsidR="009B3DB1" w:rsidRPr="000F7862">
        <w:rPr>
          <w:vertAlign w:val="superscript"/>
          <w:lang w:val="fr-FR"/>
        </w:rPr>
        <w:t>o</w:t>
      </w:r>
      <w:r w:rsidR="009B3DB1" w:rsidRPr="000F7862">
        <w:rPr>
          <w:lang w:val="fr-FR"/>
        </w:rPr>
        <w:t> </w:t>
      </w:r>
      <w:r w:rsidR="007C1751" w:rsidRPr="000F7862">
        <w:rPr>
          <w:lang w:val="fr-FR"/>
        </w:rPr>
        <w:t>9759, c</w:t>
      </w:r>
      <w:r w:rsidR="00905ADF" w:rsidRPr="000F7862">
        <w:rPr>
          <w:lang w:val="fr-FR"/>
        </w:rPr>
        <w:t>e</w:t>
      </w:r>
      <w:r w:rsidR="000A1DA9" w:rsidRPr="000F7862">
        <w:rPr>
          <w:lang w:val="fr-FR"/>
        </w:rPr>
        <w:t>s</w:t>
      </w:r>
      <w:r w:rsidR="00905ADF" w:rsidRPr="000F7862">
        <w:rPr>
          <w:lang w:val="fr-FR"/>
        </w:rPr>
        <w:t xml:space="preserve"> bureau</w:t>
      </w:r>
      <w:r w:rsidR="000A1DA9" w:rsidRPr="000F7862">
        <w:rPr>
          <w:lang w:val="fr-FR"/>
        </w:rPr>
        <w:t>x</w:t>
      </w:r>
      <w:r w:rsidR="00905ADF" w:rsidRPr="000F7862">
        <w:rPr>
          <w:lang w:val="fr-FR"/>
        </w:rPr>
        <w:t xml:space="preserve"> public</w:t>
      </w:r>
      <w:r w:rsidR="000A1DA9" w:rsidRPr="000F7862">
        <w:rPr>
          <w:lang w:val="fr-FR"/>
        </w:rPr>
        <w:t>s</w:t>
      </w:r>
      <w:r w:rsidR="00905ADF" w:rsidRPr="000F7862">
        <w:rPr>
          <w:lang w:val="fr-FR"/>
        </w:rPr>
        <w:t xml:space="preserve"> pour l</w:t>
      </w:r>
      <w:r w:rsidR="00120E2E" w:rsidRPr="000F7862">
        <w:rPr>
          <w:lang w:val="fr-FR"/>
        </w:rPr>
        <w:t>’</w:t>
      </w:r>
      <w:r w:rsidR="00905ADF" w:rsidRPr="000F7862">
        <w:rPr>
          <w:lang w:val="fr-FR"/>
        </w:rPr>
        <w:t xml:space="preserve">emploi </w:t>
      </w:r>
      <w:r w:rsidR="000A1DA9" w:rsidRPr="000F7862">
        <w:rPr>
          <w:lang w:val="fr-FR"/>
        </w:rPr>
        <w:t>constituent une facilité multiservices pour l</w:t>
      </w:r>
      <w:r w:rsidR="00120E2E" w:rsidRPr="000F7862">
        <w:rPr>
          <w:lang w:val="fr-FR"/>
        </w:rPr>
        <w:t>’</w:t>
      </w:r>
      <w:r w:rsidR="000A1DA9" w:rsidRPr="000F7862">
        <w:rPr>
          <w:lang w:val="fr-FR"/>
        </w:rPr>
        <w:t>emploi gratuite</w:t>
      </w:r>
      <w:r w:rsidR="0086185C" w:rsidRPr="000F7862">
        <w:rPr>
          <w:lang w:val="fr-FR"/>
        </w:rPr>
        <w:t xml:space="preserve">. </w:t>
      </w:r>
      <w:r w:rsidR="008766F3" w:rsidRPr="000F7862">
        <w:rPr>
          <w:lang w:val="fr-FR"/>
        </w:rPr>
        <w:t>O</w:t>
      </w:r>
      <w:r w:rsidR="000A1DA9" w:rsidRPr="000F7862">
        <w:rPr>
          <w:lang w:val="fr-FR"/>
        </w:rPr>
        <w:t xml:space="preserve">n en trouve dans </w:t>
      </w:r>
      <w:r w:rsidR="008766F3" w:rsidRPr="000F7862">
        <w:rPr>
          <w:lang w:val="fr-FR"/>
        </w:rPr>
        <w:t xml:space="preserve">les </w:t>
      </w:r>
      <w:r w:rsidR="000A1DA9" w:rsidRPr="000F7862">
        <w:rPr>
          <w:lang w:val="fr-FR"/>
        </w:rPr>
        <w:t>chefs-lieux de province</w:t>
      </w:r>
      <w:r w:rsidR="0086185C" w:rsidRPr="000F7862">
        <w:rPr>
          <w:lang w:val="fr-FR"/>
        </w:rPr>
        <w:t xml:space="preserve">, </w:t>
      </w:r>
      <w:r w:rsidR="000A1DA9" w:rsidRPr="000F7862">
        <w:rPr>
          <w:lang w:val="fr-FR"/>
        </w:rPr>
        <w:t>les villes principales et d</w:t>
      </w:r>
      <w:r w:rsidR="00120E2E" w:rsidRPr="000F7862">
        <w:rPr>
          <w:lang w:val="fr-FR"/>
        </w:rPr>
        <w:t>’</w:t>
      </w:r>
      <w:r w:rsidR="000A1DA9" w:rsidRPr="000F7862">
        <w:rPr>
          <w:lang w:val="fr-FR"/>
        </w:rPr>
        <w:t>autres lieux stratégiques</w:t>
      </w:r>
      <w:r w:rsidR="0086185C" w:rsidRPr="000F7862">
        <w:rPr>
          <w:lang w:val="fr-FR"/>
        </w:rPr>
        <w:t xml:space="preserve">. </w:t>
      </w:r>
      <w:r w:rsidR="007C1751" w:rsidRPr="000F7862">
        <w:rPr>
          <w:lang w:val="fr-FR"/>
        </w:rPr>
        <w:t>Ils sont gérés essentiellement par les organes administratifs locaux, certaines organisations non gouvernementales et associations locales, ainsi que par des établissements d</w:t>
      </w:r>
      <w:r w:rsidR="00120E2E" w:rsidRPr="000F7862">
        <w:rPr>
          <w:lang w:val="fr-FR"/>
        </w:rPr>
        <w:t>’</w:t>
      </w:r>
      <w:r w:rsidR="007C1751" w:rsidRPr="000F7862">
        <w:rPr>
          <w:lang w:val="fr-FR"/>
        </w:rPr>
        <w:t>enseignement supérieur publics</w:t>
      </w:r>
      <w:r w:rsidR="0086185C" w:rsidRPr="000F7862">
        <w:rPr>
          <w:lang w:val="fr-FR"/>
        </w:rPr>
        <w:t xml:space="preserve">. </w:t>
      </w:r>
      <w:r w:rsidR="007C1751" w:rsidRPr="000F7862">
        <w:rPr>
          <w:lang w:val="fr-FR"/>
        </w:rPr>
        <w:t>Ces bureaux sont reliés aux bureaux régionaux du Ministère du travail et de l</w:t>
      </w:r>
      <w:r w:rsidR="00120E2E" w:rsidRPr="000F7862">
        <w:rPr>
          <w:lang w:val="fr-FR"/>
        </w:rPr>
        <w:t>’</w:t>
      </w:r>
      <w:r w:rsidR="007C1751" w:rsidRPr="000F7862">
        <w:rPr>
          <w:lang w:val="fr-FR"/>
        </w:rPr>
        <w:t xml:space="preserve">emploi aux fins de </w:t>
      </w:r>
      <w:r w:rsidR="0086185C" w:rsidRPr="000F7862">
        <w:rPr>
          <w:lang w:val="fr-FR"/>
        </w:rPr>
        <w:t xml:space="preserve">coordination </w:t>
      </w:r>
      <w:r w:rsidR="007C1751" w:rsidRPr="000F7862">
        <w:rPr>
          <w:lang w:val="fr-FR"/>
        </w:rPr>
        <w:t>et de contrôle technique</w:t>
      </w:r>
      <w:r w:rsidR="0086185C" w:rsidRPr="000F7862">
        <w:rPr>
          <w:lang w:val="fr-FR"/>
        </w:rPr>
        <w:t xml:space="preserve">. </w:t>
      </w:r>
      <w:r w:rsidR="007C1751" w:rsidRPr="000F7862">
        <w:rPr>
          <w:lang w:val="fr-FR"/>
        </w:rPr>
        <w:t xml:space="preserve">En mai </w:t>
      </w:r>
      <w:r w:rsidR="0086185C" w:rsidRPr="000F7862">
        <w:rPr>
          <w:lang w:val="fr-FR"/>
        </w:rPr>
        <w:t xml:space="preserve">2013, </w:t>
      </w:r>
      <w:r w:rsidR="007C1751" w:rsidRPr="000F7862">
        <w:rPr>
          <w:lang w:val="fr-FR"/>
        </w:rPr>
        <w:t xml:space="preserve">le pays comptait au </w:t>
      </w:r>
      <w:r w:rsidR="0086185C" w:rsidRPr="000F7862">
        <w:rPr>
          <w:lang w:val="fr-FR"/>
        </w:rPr>
        <w:t>total 1</w:t>
      </w:r>
      <w:r w:rsidR="009B3DB1" w:rsidRPr="000F7862">
        <w:rPr>
          <w:lang w:val="fr-FR"/>
        </w:rPr>
        <w:t> </w:t>
      </w:r>
      <w:r w:rsidR="0086185C" w:rsidRPr="000F7862">
        <w:rPr>
          <w:lang w:val="fr-FR"/>
        </w:rPr>
        <w:t xml:space="preserve">835 </w:t>
      </w:r>
      <w:r w:rsidR="007C1751" w:rsidRPr="000F7862">
        <w:rPr>
          <w:lang w:val="fr-FR"/>
        </w:rPr>
        <w:t xml:space="preserve">bureaux </w:t>
      </w:r>
      <w:r w:rsidR="00DF7957" w:rsidRPr="000F7862">
        <w:rPr>
          <w:lang w:val="fr-FR"/>
        </w:rPr>
        <w:t>de ce type</w:t>
      </w:r>
      <w:r w:rsidR="0086185C" w:rsidRPr="000F7862">
        <w:rPr>
          <w:lang w:val="fr-FR"/>
        </w:rPr>
        <w:t xml:space="preserve">. </w:t>
      </w:r>
    </w:p>
    <w:p w:rsidR="0086185C" w:rsidRPr="000F7862" w:rsidRDefault="003F7F57" w:rsidP="009B3DB1">
      <w:pPr>
        <w:pStyle w:val="SingleTxtG"/>
        <w:rPr>
          <w:lang w:val="fr-FR"/>
        </w:rPr>
      </w:pPr>
      <w:r w:rsidRPr="000F7862">
        <w:rPr>
          <w:lang w:val="fr-FR"/>
        </w:rPr>
        <w:t>78.</w:t>
      </w:r>
      <w:r w:rsidRPr="000F7862">
        <w:rPr>
          <w:lang w:val="fr-FR"/>
        </w:rPr>
        <w:tab/>
      </w:r>
      <w:r w:rsidR="007C1751" w:rsidRPr="000F7862">
        <w:rPr>
          <w:u w:color="0000FF"/>
          <w:lang w:val="fr-FR"/>
        </w:rPr>
        <w:t>Ces bureaux offrent les services ci-après</w:t>
      </w:r>
      <w:r w:rsidR="0005004C" w:rsidRPr="000F7862">
        <w:rPr>
          <w:u w:color="0000FF"/>
          <w:lang w:val="fr-FR"/>
        </w:rPr>
        <w:t>:</w:t>
      </w:r>
      <w:r w:rsidR="0086185C" w:rsidRPr="000F7862">
        <w:rPr>
          <w:lang w:val="fr-FR"/>
        </w:rPr>
        <w:t xml:space="preserve"> </w:t>
      </w:r>
      <w:r w:rsidR="007C1751" w:rsidRPr="000F7862">
        <w:rPr>
          <w:lang w:val="fr-FR"/>
        </w:rPr>
        <w:t>foires aux emplois, bazars sur l</w:t>
      </w:r>
      <w:r w:rsidR="00120E2E" w:rsidRPr="000F7862">
        <w:rPr>
          <w:lang w:val="fr-FR"/>
        </w:rPr>
        <w:t>’</w:t>
      </w:r>
      <w:r w:rsidR="007C1751" w:rsidRPr="000F7862">
        <w:rPr>
          <w:lang w:val="fr-FR"/>
        </w:rPr>
        <w:t xml:space="preserve">emploi et le travail indépendant, crédits spéciaux pour les travailleurs expatriés, emplois aux écoliers et aux jeunes non scolarisés, programmes de motivation au travail </w:t>
      </w:r>
      <w:r w:rsidR="00886B88" w:rsidRPr="000F7862">
        <w:rPr>
          <w:lang w:val="fr-FR"/>
        </w:rPr>
        <w:t>pour inculquer aux jeunes les valeurs et l</w:t>
      </w:r>
      <w:r w:rsidR="00120E2E" w:rsidRPr="000F7862">
        <w:rPr>
          <w:lang w:val="fr-FR"/>
        </w:rPr>
        <w:t>’</w:t>
      </w:r>
      <w:r w:rsidR="00886B88" w:rsidRPr="000F7862">
        <w:rPr>
          <w:lang w:val="fr-FR"/>
        </w:rPr>
        <w:t xml:space="preserve">éthique du travail, </w:t>
      </w:r>
      <w:r w:rsidR="007C1751" w:rsidRPr="000F7862">
        <w:rPr>
          <w:lang w:val="fr-FR"/>
        </w:rPr>
        <w:t>et recrutement de travailleurs pour des projets d</w:t>
      </w:r>
      <w:r w:rsidR="00120E2E" w:rsidRPr="000F7862">
        <w:rPr>
          <w:lang w:val="fr-FR"/>
        </w:rPr>
        <w:t>’</w:t>
      </w:r>
      <w:r w:rsidR="007C1751" w:rsidRPr="000F7862">
        <w:rPr>
          <w:lang w:val="fr-FR"/>
        </w:rPr>
        <w:t>infrastructure</w:t>
      </w:r>
      <w:r w:rsidR="00886B88" w:rsidRPr="000F7862">
        <w:rPr>
          <w:lang w:val="fr-FR"/>
        </w:rPr>
        <w:t xml:space="preserve">, en application de la loi de la </w:t>
      </w:r>
      <w:r w:rsidR="0086185C" w:rsidRPr="000F7862">
        <w:rPr>
          <w:lang w:val="fr-FR"/>
        </w:rPr>
        <w:t>R</w:t>
      </w:r>
      <w:r w:rsidR="00886B88" w:rsidRPr="000F7862">
        <w:rPr>
          <w:lang w:val="fr-FR"/>
        </w:rPr>
        <w:t xml:space="preserve">épublique </w:t>
      </w:r>
      <w:r w:rsidR="009B3DB1" w:rsidRPr="000F7862">
        <w:rPr>
          <w:lang w:val="fr-FR"/>
        </w:rPr>
        <w:t>n</w:t>
      </w:r>
      <w:r w:rsidR="009B3DB1" w:rsidRPr="000F7862">
        <w:rPr>
          <w:vertAlign w:val="superscript"/>
          <w:lang w:val="fr-FR"/>
        </w:rPr>
        <w:t>o</w:t>
      </w:r>
      <w:r w:rsidR="009B3DB1" w:rsidRPr="000F7862">
        <w:rPr>
          <w:lang w:val="fr-FR"/>
        </w:rPr>
        <w:t> </w:t>
      </w:r>
      <w:r w:rsidR="0086185C" w:rsidRPr="000F7862">
        <w:rPr>
          <w:lang w:val="fr-FR"/>
        </w:rPr>
        <w:t xml:space="preserve">6685, </w:t>
      </w:r>
      <w:r w:rsidR="00886B88" w:rsidRPr="000F7862">
        <w:rPr>
          <w:lang w:val="fr-FR"/>
        </w:rPr>
        <w:t xml:space="preserve">en vertu de laquelle </w:t>
      </w:r>
      <w:r w:rsidR="0086185C" w:rsidRPr="000F7862">
        <w:rPr>
          <w:lang w:val="fr-FR"/>
        </w:rPr>
        <w:t>30</w:t>
      </w:r>
      <w:r w:rsidR="00DC1196" w:rsidRPr="000F7862">
        <w:rPr>
          <w:lang w:val="fr-FR"/>
        </w:rPr>
        <w:t> %</w:t>
      </w:r>
      <w:r w:rsidR="0086185C" w:rsidRPr="000F7862">
        <w:rPr>
          <w:lang w:val="fr-FR"/>
        </w:rPr>
        <w:t xml:space="preserve"> </w:t>
      </w:r>
      <w:r w:rsidR="00886B88" w:rsidRPr="000F7862">
        <w:rPr>
          <w:lang w:val="fr-FR"/>
        </w:rPr>
        <w:t>des besoins en main-d</w:t>
      </w:r>
      <w:r w:rsidR="00120E2E" w:rsidRPr="000F7862">
        <w:rPr>
          <w:lang w:val="fr-FR"/>
        </w:rPr>
        <w:t>’</w:t>
      </w:r>
      <w:r w:rsidR="00886B88" w:rsidRPr="000F7862">
        <w:rPr>
          <w:lang w:val="fr-FR"/>
        </w:rPr>
        <w:t xml:space="preserve">œuvre qualifiée et </w:t>
      </w:r>
      <w:r w:rsidR="0086185C" w:rsidRPr="000F7862">
        <w:rPr>
          <w:lang w:val="fr-FR"/>
        </w:rPr>
        <w:t>50</w:t>
      </w:r>
      <w:r w:rsidR="00DC1196" w:rsidRPr="000F7862">
        <w:rPr>
          <w:lang w:val="fr-FR"/>
        </w:rPr>
        <w:t> %</w:t>
      </w:r>
      <w:r w:rsidR="0086185C" w:rsidRPr="000F7862">
        <w:rPr>
          <w:lang w:val="fr-FR"/>
        </w:rPr>
        <w:t xml:space="preserve"> </w:t>
      </w:r>
      <w:r w:rsidR="00886B88" w:rsidRPr="000F7862">
        <w:rPr>
          <w:lang w:val="fr-FR"/>
        </w:rPr>
        <w:t>des besoins en main-d</w:t>
      </w:r>
      <w:r w:rsidR="00120E2E" w:rsidRPr="000F7862">
        <w:rPr>
          <w:lang w:val="fr-FR"/>
        </w:rPr>
        <w:t>’</w:t>
      </w:r>
      <w:r w:rsidR="00886B88" w:rsidRPr="000F7862">
        <w:rPr>
          <w:lang w:val="fr-FR"/>
        </w:rPr>
        <w:t xml:space="preserve">œuvre non qualifiée doivent être satisfaits </w:t>
      </w:r>
      <w:r w:rsidR="00706C29" w:rsidRPr="000F7862">
        <w:rPr>
          <w:lang w:val="fr-FR"/>
        </w:rPr>
        <w:t>dans les régions où sont exécutés des projets d</w:t>
      </w:r>
      <w:r w:rsidR="00120E2E" w:rsidRPr="000F7862">
        <w:rPr>
          <w:lang w:val="fr-FR"/>
        </w:rPr>
        <w:t>’</w:t>
      </w:r>
      <w:r w:rsidR="0086185C" w:rsidRPr="000F7862">
        <w:rPr>
          <w:lang w:val="fr-FR"/>
        </w:rPr>
        <w:t xml:space="preserve">infrastructure </w:t>
      </w:r>
      <w:r w:rsidR="00706C29" w:rsidRPr="000F7862">
        <w:rPr>
          <w:lang w:val="fr-FR"/>
        </w:rPr>
        <w:t>financés sur fonds publics</w:t>
      </w:r>
      <w:r w:rsidR="0086185C" w:rsidRPr="000F7862">
        <w:rPr>
          <w:lang w:val="fr-FR"/>
        </w:rPr>
        <w:t>.</w:t>
      </w:r>
    </w:p>
    <w:p w:rsidR="0086185C" w:rsidRPr="000F7862" w:rsidRDefault="00195175" w:rsidP="00195175">
      <w:pPr>
        <w:pStyle w:val="H23G"/>
        <w:rPr>
          <w:lang w:val="fr-FR"/>
        </w:rPr>
      </w:pPr>
      <w:r w:rsidRPr="000F7862">
        <w:rPr>
          <w:lang w:val="fr-FR"/>
        </w:rPr>
        <w:tab/>
      </w:r>
      <w:r w:rsidRPr="000F7862">
        <w:rPr>
          <w:lang w:val="fr-FR"/>
        </w:rPr>
        <w:tab/>
      </w:r>
      <w:r w:rsidR="002011FF" w:rsidRPr="000F7862">
        <w:rPr>
          <w:lang w:val="fr-FR"/>
        </w:rPr>
        <w:t>A</w:t>
      </w:r>
      <w:r w:rsidR="002011FF" w:rsidRPr="000F7862">
        <w:rPr>
          <w:u w:color="0000FF"/>
          <w:lang w:val="fr-FR"/>
        </w:rPr>
        <w:t>gences privées de r</w:t>
      </w:r>
      <w:r w:rsidR="002011FF" w:rsidRPr="000F7862">
        <w:rPr>
          <w:lang w:val="fr-FR"/>
        </w:rPr>
        <w:t>ecrutement et de p</w:t>
      </w:r>
      <w:r w:rsidR="00DF7957" w:rsidRPr="000F7862">
        <w:rPr>
          <w:lang w:val="fr-FR"/>
        </w:rPr>
        <w:t>lacement</w:t>
      </w:r>
      <w:r w:rsidR="0086185C" w:rsidRPr="000F7862">
        <w:rPr>
          <w:lang w:val="fr-FR"/>
        </w:rPr>
        <w:t xml:space="preserve"> </w:t>
      </w:r>
      <w:r w:rsidR="002011FF" w:rsidRPr="000F7862">
        <w:rPr>
          <w:lang w:val="fr-FR"/>
        </w:rPr>
        <w:t xml:space="preserve">et sous-traitants </w:t>
      </w:r>
    </w:p>
    <w:p w:rsidR="0086185C" w:rsidRPr="000F7862" w:rsidRDefault="003F7F57" w:rsidP="003F7F57">
      <w:pPr>
        <w:pStyle w:val="SingleTxtG"/>
        <w:rPr>
          <w:lang w:val="fr-FR"/>
        </w:rPr>
      </w:pPr>
      <w:r w:rsidRPr="000F7862">
        <w:rPr>
          <w:lang w:val="fr-FR"/>
        </w:rPr>
        <w:t>79.</w:t>
      </w:r>
      <w:r w:rsidRPr="000F7862">
        <w:rPr>
          <w:lang w:val="fr-FR"/>
        </w:rPr>
        <w:tab/>
      </w:r>
      <w:r w:rsidR="002011FF" w:rsidRPr="000F7862">
        <w:rPr>
          <w:lang w:val="fr-FR"/>
        </w:rPr>
        <w:t>Avec les agences privées de recrutement et de placement, le secteur privé fournit également des services d</w:t>
      </w:r>
      <w:r w:rsidR="00120E2E" w:rsidRPr="000F7862">
        <w:rPr>
          <w:lang w:val="fr-FR"/>
        </w:rPr>
        <w:t>’</w:t>
      </w:r>
      <w:r w:rsidR="002011FF" w:rsidRPr="000F7862">
        <w:rPr>
          <w:lang w:val="fr-FR"/>
        </w:rPr>
        <w:t>aide à la recherche d</w:t>
      </w:r>
      <w:r w:rsidR="00120E2E" w:rsidRPr="000F7862">
        <w:rPr>
          <w:lang w:val="fr-FR"/>
        </w:rPr>
        <w:t>’</w:t>
      </w:r>
      <w:r w:rsidR="002011FF" w:rsidRPr="000F7862">
        <w:rPr>
          <w:lang w:val="fr-FR"/>
        </w:rPr>
        <w:t>un emploi</w:t>
      </w:r>
      <w:r w:rsidR="0086185C" w:rsidRPr="000F7862">
        <w:rPr>
          <w:lang w:val="fr-FR"/>
        </w:rPr>
        <w:t xml:space="preserve">. </w:t>
      </w:r>
      <w:r w:rsidR="007E2545" w:rsidRPr="000F7862">
        <w:rPr>
          <w:lang w:val="fr-FR"/>
        </w:rPr>
        <w:t>L</w:t>
      </w:r>
      <w:r w:rsidR="00120E2E" w:rsidRPr="000F7862">
        <w:rPr>
          <w:lang w:val="fr-FR"/>
        </w:rPr>
        <w:t>’</w:t>
      </w:r>
      <w:r w:rsidR="007E2545" w:rsidRPr="000F7862">
        <w:rPr>
          <w:lang w:val="fr-FR"/>
        </w:rPr>
        <w:t xml:space="preserve">activité de ces agences a atteint un niveau record en </w:t>
      </w:r>
      <w:r w:rsidR="0086185C" w:rsidRPr="000F7862">
        <w:rPr>
          <w:lang w:val="fr-FR"/>
        </w:rPr>
        <w:t xml:space="preserve">2011, </w:t>
      </w:r>
      <w:r w:rsidR="007E2545" w:rsidRPr="000F7862">
        <w:rPr>
          <w:lang w:val="fr-FR"/>
        </w:rPr>
        <w:t xml:space="preserve">avec un taux de croissance de </w:t>
      </w:r>
      <w:r w:rsidR="0086185C" w:rsidRPr="000F7862">
        <w:rPr>
          <w:lang w:val="fr-FR"/>
        </w:rPr>
        <w:t>31</w:t>
      </w:r>
      <w:r w:rsidR="007E2545" w:rsidRPr="000F7862">
        <w:rPr>
          <w:lang w:val="fr-FR"/>
        </w:rPr>
        <w:t>,</w:t>
      </w:r>
      <w:r w:rsidR="0086185C" w:rsidRPr="000F7862">
        <w:rPr>
          <w:lang w:val="fr-FR"/>
        </w:rPr>
        <w:t>1</w:t>
      </w:r>
      <w:r w:rsidR="00DC1196" w:rsidRPr="000F7862">
        <w:rPr>
          <w:lang w:val="fr-FR"/>
        </w:rPr>
        <w:t> %</w:t>
      </w:r>
      <w:r w:rsidR="0086185C" w:rsidRPr="000F7862">
        <w:rPr>
          <w:lang w:val="fr-FR"/>
        </w:rPr>
        <w:t xml:space="preserve"> </w:t>
      </w:r>
      <w:r w:rsidR="007E2545" w:rsidRPr="000F7862">
        <w:rPr>
          <w:lang w:val="fr-FR"/>
        </w:rPr>
        <w:t xml:space="preserve">par rapport à </w:t>
      </w:r>
      <w:r w:rsidR="0086185C" w:rsidRPr="000F7862">
        <w:rPr>
          <w:lang w:val="fr-FR"/>
        </w:rPr>
        <w:t>2010</w:t>
      </w:r>
      <w:r w:rsidR="007E2545" w:rsidRPr="000F7862">
        <w:rPr>
          <w:lang w:val="fr-FR"/>
        </w:rPr>
        <w:t xml:space="preserve">, pour chuter ensuite de </w:t>
      </w:r>
      <w:r w:rsidR="0086185C" w:rsidRPr="000F7862">
        <w:rPr>
          <w:lang w:val="fr-FR"/>
        </w:rPr>
        <w:t>39</w:t>
      </w:r>
      <w:r w:rsidR="007E2545" w:rsidRPr="000F7862">
        <w:rPr>
          <w:lang w:val="fr-FR"/>
        </w:rPr>
        <w:t>,</w:t>
      </w:r>
      <w:r w:rsidR="0086185C" w:rsidRPr="000F7862">
        <w:rPr>
          <w:lang w:val="fr-FR"/>
        </w:rPr>
        <w:t>5</w:t>
      </w:r>
      <w:r w:rsidR="00DC1196" w:rsidRPr="000F7862">
        <w:rPr>
          <w:lang w:val="fr-FR"/>
        </w:rPr>
        <w:t> %</w:t>
      </w:r>
      <w:r w:rsidR="0086185C" w:rsidRPr="000F7862">
        <w:rPr>
          <w:lang w:val="fr-FR"/>
        </w:rPr>
        <w:t xml:space="preserve"> </w:t>
      </w:r>
      <w:r w:rsidR="007E2545" w:rsidRPr="000F7862">
        <w:rPr>
          <w:lang w:val="fr-FR"/>
        </w:rPr>
        <w:t xml:space="preserve">en 2012 par rapport à </w:t>
      </w:r>
      <w:r w:rsidR="0086185C" w:rsidRPr="000F7862">
        <w:rPr>
          <w:lang w:val="fr-FR"/>
        </w:rPr>
        <w:t xml:space="preserve">2011. </w:t>
      </w:r>
    </w:p>
    <w:p w:rsidR="0086185C" w:rsidRPr="000F7862" w:rsidRDefault="003F7F57" w:rsidP="003F7F57">
      <w:pPr>
        <w:pStyle w:val="SingleTxtG"/>
        <w:rPr>
          <w:lang w:val="fr-FR"/>
        </w:rPr>
      </w:pPr>
      <w:r w:rsidRPr="000F7862">
        <w:rPr>
          <w:lang w:val="fr-FR"/>
        </w:rPr>
        <w:t>80.</w:t>
      </w:r>
      <w:r w:rsidRPr="000F7862">
        <w:rPr>
          <w:lang w:val="fr-FR"/>
        </w:rPr>
        <w:tab/>
      </w:r>
      <w:r w:rsidR="00A66C7E" w:rsidRPr="000F7862">
        <w:rPr>
          <w:u w:color="0000FF"/>
          <w:lang w:val="fr-FR"/>
        </w:rPr>
        <w:t xml:space="preserve">Le </w:t>
      </w:r>
      <w:r w:rsidR="0086185C" w:rsidRPr="000F7862">
        <w:rPr>
          <w:lang w:val="fr-FR"/>
        </w:rPr>
        <w:t xml:space="preserve">placement </w:t>
      </w:r>
      <w:r w:rsidR="00A66C7E" w:rsidRPr="000F7862">
        <w:rPr>
          <w:lang w:val="fr-FR"/>
        </w:rPr>
        <w:t xml:space="preserve">par des entreprises prestataires de </w:t>
      </w:r>
      <w:r w:rsidR="0086185C" w:rsidRPr="000F7862">
        <w:rPr>
          <w:lang w:val="fr-FR"/>
        </w:rPr>
        <w:t>service</w:t>
      </w:r>
      <w:r w:rsidR="00A66C7E" w:rsidRPr="000F7862">
        <w:rPr>
          <w:lang w:val="fr-FR"/>
        </w:rPr>
        <w:t>s</w:t>
      </w:r>
      <w:r w:rsidR="0086185C" w:rsidRPr="000F7862">
        <w:rPr>
          <w:lang w:val="fr-FR"/>
        </w:rPr>
        <w:t xml:space="preserve"> </w:t>
      </w:r>
      <w:r w:rsidR="00A66C7E" w:rsidRPr="000F7862">
        <w:rPr>
          <w:lang w:val="fr-FR"/>
        </w:rPr>
        <w:t>et des sous-traitants</w:t>
      </w:r>
      <w:r w:rsidR="0086185C" w:rsidRPr="000F7862">
        <w:rPr>
          <w:lang w:val="fr-FR"/>
        </w:rPr>
        <w:t xml:space="preserve">, </w:t>
      </w:r>
      <w:r w:rsidR="00A66C7E" w:rsidRPr="000F7862">
        <w:rPr>
          <w:lang w:val="fr-FR"/>
        </w:rPr>
        <w:t xml:space="preserve">qui est autorisé par le Code du travail, </w:t>
      </w:r>
      <w:r w:rsidR="0086185C" w:rsidRPr="000F7862">
        <w:rPr>
          <w:lang w:val="fr-FR"/>
        </w:rPr>
        <w:t>pr</w:t>
      </w:r>
      <w:r w:rsidR="00A66C7E" w:rsidRPr="000F7862">
        <w:rPr>
          <w:lang w:val="fr-FR"/>
        </w:rPr>
        <w:t>édomine</w:t>
      </w:r>
      <w:r w:rsidR="0086185C" w:rsidRPr="000F7862">
        <w:rPr>
          <w:lang w:val="fr-FR"/>
        </w:rPr>
        <w:t xml:space="preserve"> </w:t>
      </w:r>
      <w:r w:rsidR="00A66C7E" w:rsidRPr="000F7862">
        <w:rPr>
          <w:lang w:val="fr-FR"/>
        </w:rPr>
        <w:t>dans les</w:t>
      </w:r>
      <w:r w:rsidR="0086185C" w:rsidRPr="000F7862">
        <w:rPr>
          <w:lang w:val="fr-FR"/>
        </w:rPr>
        <w:t xml:space="preserve"> </w:t>
      </w:r>
      <w:r w:rsidR="00A66C7E" w:rsidRPr="000F7862">
        <w:rPr>
          <w:lang w:val="fr-FR"/>
        </w:rPr>
        <w:t>ré</w:t>
      </w:r>
      <w:r w:rsidR="0086185C" w:rsidRPr="000F7862">
        <w:rPr>
          <w:lang w:val="fr-FR"/>
        </w:rPr>
        <w:t xml:space="preserve">gions IV-A, </w:t>
      </w:r>
      <w:r w:rsidR="00A66C7E" w:rsidRPr="000F7862">
        <w:rPr>
          <w:lang w:val="fr-FR"/>
        </w:rPr>
        <w:t xml:space="preserve">Région de la capitale nationale et </w:t>
      </w:r>
      <w:r w:rsidR="0086185C" w:rsidRPr="000F7862">
        <w:rPr>
          <w:lang w:val="fr-FR"/>
        </w:rPr>
        <w:t xml:space="preserve">XII. </w:t>
      </w:r>
      <w:r w:rsidR="00233189" w:rsidRPr="000F7862">
        <w:rPr>
          <w:lang w:val="fr-FR"/>
        </w:rPr>
        <w:t>Cela</w:t>
      </w:r>
      <w:r w:rsidR="00A66C7E" w:rsidRPr="000F7862">
        <w:rPr>
          <w:lang w:val="fr-FR"/>
        </w:rPr>
        <w:t xml:space="preserve"> peut tenir au fait que la région </w:t>
      </w:r>
      <w:r w:rsidR="0086185C" w:rsidRPr="000F7862">
        <w:rPr>
          <w:lang w:val="fr-FR"/>
        </w:rPr>
        <w:t xml:space="preserve">IV-A </w:t>
      </w:r>
      <w:r w:rsidR="00A66C7E" w:rsidRPr="000F7862">
        <w:rPr>
          <w:lang w:val="fr-FR"/>
        </w:rPr>
        <w:t>et la Région de la capitale nationale sont des</w:t>
      </w:r>
      <w:r w:rsidR="0086185C" w:rsidRPr="000F7862">
        <w:rPr>
          <w:lang w:val="fr-FR"/>
        </w:rPr>
        <w:t xml:space="preserve"> </w:t>
      </w:r>
      <w:r w:rsidR="00867E43" w:rsidRPr="000F7862">
        <w:rPr>
          <w:lang w:val="fr-FR"/>
        </w:rPr>
        <w:t>centres</w:t>
      </w:r>
      <w:r w:rsidR="0086185C" w:rsidRPr="000F7862">
        <w:rPr>
          <w:lang w:val="fr-FR"/>
        </w:rPr>
        <w:t xml:space="preserve"> </w:t>
      </w:r>
      <w:r w:rsidR="00A66C7E" w:rsidRPr="000F7862">
        <w:rPr>
          <w:lang w:val="fr-FR"/>
        </w:rPr>
        <w:t>très urbanisés dans lesquels de grandes entreprises ont besoin de recruter de la main-d</w:t>
      </w:r>
      <w:r w:rsidR="00120E2E" w:rsidRPr="000F7862">
        <w:rPr>
          <w:lang w:val="fr-FR"/>
        </w:rPr>
        <w:t>’</w:t>
      </w:r>
      <w:r w:rsidR="00A66C7E" w:rsidRPr="000F7862">
        <w:rPr>
          <w:lang w:val="fr-FR"/>
        </w:rPr>
        <w:t>œuvre pour une courte durée</w:t>
      </w:r>
      <w:r w:rsidR="0086185C" w:rsidRPr="000F7862">
        <w:rPr>
          <w:lang w:val="fr-FR"/>
        </w:rPr>
        <w:t xml:space="preserve">. </w:t>
      </w:r>
      <w:r w:rsidR="00A66C7E" w:rsidRPr="000F7862">
        <w:rPr>
          <w:lang w:val="fr-FR"/>
        </w:rPr>
        <w:t>La ré</w:t>
      </w:r>
      <w:r w:rsidR="0086185C" w:rsidRPr="000F7862">
        <w:rPr>
          <w:lang w:val="fr-FR"/>
        </w:rPr>
        <w:t xml:space="preserve">gion XII, </w:t>
      </w:r>
      <w:r w:rsidR="00A66C7E" w:rsidRPr="000F7862">
        <w:rPr>
          <w:lang w:val="fr-FR"/>
        </w:rPr>
        <w:t>quant à elle, est en plein essor et l</w:t>
      </w:r>
      <w:r w:rsidR="00120E2E" w:rsidRPr="000F7862">
        <w:rPr>
          <w:lang w:val="fr-FR"/>
        </w:rPr>
        <w:t>’</w:t>
      </w:r>
      <w:r w:rsidR="00A66C7E" w:rsidRPr="000F7862">
        <w:rPr>
          <w:lang w:val="fr-FR"/>
        </w:rPr>
        <w:t>activité des entreprises</w:t>
      </w:r>
      <w:r w:rsidR="0086185C" w:rsidRPr="000F7862">
        <w:rPr>
          <w:lang w:val="fr-FR"/>
        </w:rPr>
        <w:t xml:space="preserve">, </w:t>
      </w:r>
      <w:r w:rsidR="00A66C7E" w:rsidRPr="000F7862">
        <w:rPr>
          <w:lang w:val="fr-FR"/>
        </w:rPr>
        <w:t xml:space="preserve">en particulier à </w:t>
      </w:r>
      <w:r w:rsidR="0086185C" w:rsidRPr="000F7862">
        <w:rPr>
          <w:lang w:val="fr-FR"/>
        </w:rPr>
        <w:t xml:space="preserve">Cagayan de Oro, </w:t>
      </w:r>
      <w:r w:rsidR="00A66C7E" w:rsidRPr="000F7862">
        <w:rPr>
          <w:lang w:val="fr-FR"/>
        </w:rPr>
        <w:t>est florissante</w:t>
      </w:r>
      <w:r w:rsidR="0086185C" w:rsidRPr="000F7862">
        <w:rPr>
          <w:i/>
          <w:iCs/>
          <w:lang w:val="fr-FR"/>
        </w:rPr>
        <w:t>.</w:t>
      </w:r>
    </w:p>
    <w:p w:rsidR="0086185C" w:rsidRPr="000F7862" w:rsidRDefault="009B3DB1" w:rsidP="009B3DB1">
      <w:pPr>
        <w:pStyle w:val="H23G"/>
        <w:rPr>
          <w:lang w:val="fr-FR"/>
        </w:rPr>
      </w:pPr>
      <w:r w:rsidRPr="000F7862">
        <w:rPr>
          <w:lang w:val="fr-FR"/>
        </w:rPr>
        <w:tab/>
      </w:r>
      <w:r w:rsidRPr="000F7862">
        <w:rPr>
          <w:lang w:val="fr-FR"/>
        </w:rPr>
        <w:tab/>
      </w:r>
      <w:r w:rsidR="003672D4" w:rsidRPr="000F7862">
        <w:rPr>
          <w:lang w:val="fr-FR"/>
        </w:rPr>
        <w:t>Programme intégré du Ministère du travail et de l</w:t>
      </w:r>
      <w:r w:rsidR="00120E2E" w:rsidRPr="000F7862">
        <w:rPr>
          <w:lang w:val="fr-FR"/>
        </w:rPr>
        <w:t>’</w:t>
      </w:r>
      <w:r w:rsidR="003672D4" w:rsidRPr="000F7862">
        <w:rPr>
          <w:lang w:val="fr-FR"/>
        </w:rPr>
        <w:t>emploi relatif aux moyens</w:t>
      </w:r>
      <w:r w:rsidR="00276EFD" w:rsidRPr="000F7862">
        <w:rPr>
          <w:lang w:val="fr-FR"/>
        </w:rPr>
        <w:t xml:space="preserve"> d</w:t>
      </w:r>
      <w:r w:rsidR="00120E2E" w:rsidRPr="000F7862">
        <w:rPr>
          <w:lang w:val="fr-FR"/>
        </w:rPr>
        <w:t>’</w:t>
      </w:r>
      <w:r w:rsidR="00276EFD" w:rsidRPr="000F7862">
        <w:rPr>
          <w:lang w:val="fr-FR"/>
        </w:rPr>
        <w:t>existence</w:t>
      </w:r>
      <w:r w:rsidR="003672D4" w:rsidRPr="000F7862">
        <w:rPr>
          <w:lang w:val="fr-FR"/>
        </w:rPr>
        <w:t xml:space="preserve"> </w:t>
      </w:r>
    </w:p>
    <w:p w:rsidR="0086185C" w:rsidRPr="000F7862" w:rsidRDefault="003F7F57" w:rsidP="003F7F57">
      <w:pPr>
        <w:pStyle w:val="SingleTxtG"/>
        <w:rPr>
          <w:lang w:val="fr-FR"/>
        </w:rPr>
      </w:pPr>
      <w:r w:rsidRPr="000F7862">
        <w:rPr>
          <w:lang w:val="fr-FR"/>
        </w:rPr>
        <w:t>81.</w:t>
      </w:r>
      <w:r w:rsidRPr="000F7862">
        <w:rPr>
          <w:lang w:val="fr-FR"/>
        </w:rPr>
        <w:tab/>
      </w:r>
      <w:r w:rsidR="003672D4" w:rsidRPr="000F7862">
        <w:rPr>
          <w:u w:color="0000FF"/>
          <w:lang w:val="fr-FR"/>
        </w:rPr>
        <w:t>Le Programme intégré du Ministère du travail et de l</w:t>
      </w:r>
      <w:r w:rsidR="00120E2E" w:rsidRPr="000F7862">
        <w:rPr>
          <w:u w:color="0000FF"/>
          <w:lang w:val="fr-FR"/>
        </w:rPr>
        <w:t>’</w:t>
      </w:r>
      <w:r w:rsidR="003672D4" w:rsidRPr="000F7862">
        <w:rPr>
          <w:u w:color="0000FF"/>
          <w:lang w:val="fr-FR"/>
        </w:rPr>
        <w:t>emploi relatif aux moyens d</w:t>
      </w:r>
      <w:r w:rsidR="00120E2E" w:rsidRPr="000F7862">
        <w:rPr>
          <w:u w:color="0000FF"/>
          <w:lang w:val="fr-FR"/>
        </w:rPr>
        <w:t>’</w:t>
      </w:r>
      <w:r w:rsidR="00276EFD" w:rsidRPr="000F7862">
        <w:rPr>
          <w:u w:color="0000FF"/>
          <w:lang w:val="fr-FR"/>
        </w:rPr>
        <w:t xml:space="preserve">existence </w:t>
      </w:r>
      <w:r w:rsidR="00955527" w:rsidRPr="000F7862">
        <w:rPr>
          <w:u w:color="0000FF"/>
          <w:lang w:val="fr-FR"/>
        </w:rPr>
        <w:t>est la contribution du Ministère à la réalisation de l</w:t>
      </w:r>
      <w:r w:rsidR="00120E2E" w:rsidRPr="000F7862">
        <w:rPr>
          <w:u w:color="0000FF"/>
          <w:lang w:val="fr-FR"/>
        </w:rPr>
        <w:t>’</w:t>
      </w:r>
      <w:r w:rsidR="00955527" w:rsidRPr="000F7862">
        <w:rPr>
          <w:u w:color="0000FF"/>
          <w:lang w:val="fr-FR"/>
        </w:rPr>
        <w:t>objectif gouvernemental consistant à faire reculer la pauvreté, en particulier en réduisant le ch</w:t>
      </w:r>
      <w:r w:rsidR="00276EFD" w:rsidRPr="000F7862">
        <w:rPr>
          <w:u w:color="0000FF"/>
          <w:lang w:val="fr-FR"/>
        </w:rPr>
        <w:t>ômage et le sous-emploi grâce à des mesures ciblées</w:t>
      </w:r>
      <w:r w:rsidR="0086185C" w:rsidRPr="000F7862">
        <w:rPr>
          <w:lang w:val="fr-FR"/>
        </w:rPr>
        <w:t xml:space="preserve">. </w:t>
      </w:r>
      <w:r w:rsidR="00276EFD" w:rsidRPr="000F7862">
        <w:rPr>
          <w:lang w:val="fr-FR"/>
        </w:rPr>
        <w:t>Ce programme vise à transformer des moyens d</w:t>
      </w:r>
      <w:r w:rsidR="00120E2E" w:rsidRPr="000F7862">
        <w:rPr>
          <w:lang w:val="fr-FR"/>
        </w:rPr>
        <w:t>’</w:t>
      </w:r>
      <w:r w:rsidR="00276EFD" w:rsidRPr="000F7862">
        <w:rPr>
          <w:lang w:val="fr-FR"/>
        </w:rPr>
        <w:t xml:space="preserve">existence en entreprises communautaires par le biais de la </w:t>
      </w:r>
      <w:r w:rsidR="0086185C" w:rsidRPr="000F7862">
        <w:rPr>
          <w:lang w:val="fr-FR"/>
        </w:rPr>
        <w:t xml:space="preserve">convergence </w:t>
      </w:r>
      <w:r w:rsidR="00276EFD" w:rsidRPr="000F7862">
        <w:rPr>
          <w:lang w:val="fr-FR"/>
        </w:rPr>
        <w:t>des</w:t>
      </w:r>
      <w:r w:rsidR="0086185C" w:rsidRPr="000F7862">
        <w:rPr>
          <w:lang w:val="fr-FR"/>
        </w:rPr>
        <w:t xml:space="preserve"> services. </w:t>
      </w:r>
      <w:r w:rsidR="00276EFD" w:rsidRPr="000F7862">
        <w:rPr>
          <w:lang w:val="fr-FR"/>
        </w:rPr>
        <w:t>Il prévoit également de trouver un emploi productif</w:t>
      </w:r>
      <w:r w:rsidR="0086185C" w:rsidRPr="000F7862">
        <w:rPr>
          <w:lang w:val="fr-FR"/>
        </w:rPr>
        <w:t xml:space="preserve">, </w:t>
      </w:r>
      <w:r w:rsidR="00276EFD" w:rsidRPr="000F7862">
        <w:rPr>
          <w:lang w:val="fr-FR"/>
        </w:rPr>
        <w:t xml:space="preserve">rémunérateur et sûr aux travailleurs défavorisés et </w:t>
      </w:r>
      <w:r w:rsidR="0086185C" w:rsidRPr="000F7862">
        <w:rPr>
          <w:lang w:val="fr-FR"/>
        </w:rPr>
        <w:t>vuln</w:t>
      </w:r>
      <w:r w:rsidR="00276EFD" w:rsidRPr="000F7862">
        <w:rPr>
          <w:lang w:val="fr-FR"/>
        </w:rPr>
        <w:t>é</w:t>
      </w:r>
      <w:r w:rsidR="0086185C" w:rsidRPr="000F7862">
        <w:rPr>
          <w:lang w:val="fr-FR"/>
        </w:rPr>
        <w:t>rable</w:t>
      </w:r>
      <w:r w:rsidR="00276EFD" w:rsidRPr="000F7862">
        <w:rPr>
          <w:lang w:val="fr-FR"/>
        </w:rPr>
        <w:t>s</w:t>
      </w:r>
      <w:r w:rsidR="0086185C" w:rsidRPr="000F7862">
        <w:rPr>
          <w:lang w:val="fr-FR"/>
        </w:rPr>
        <w:t xml:space="preserve"> </w:t>
      </w:r>
      <w:r w:rsidR="00276EFD" w:rsidRPr="000F7862">
        <w:rPr>
          <w:lang w:val="fr-FR"/>
        </w:rPr>
        <w:t>du secteur non structuré de l</w:t>
      </w:r>
      <w:r w:rsidR="00120E2E" w:rsidRPr="000F7862">
        <w:rPr>
          <w:lang w:val="fr-FR"/>
        </w:rPr>
        <w:t>’</w:t>
      </w:r>
      <w:r w:rsidR="00276EFD" w:rsidRPr="000F7862">
        <w:rPr>
          <w:lang w:val="fr-FR"/>
        </w:rPr>
        <w:t>économie</w:t>
      </w:r>
      <w:r w:rsidR="0086185C" w:rsidRPr="000F7862">
        <w:rPr>
          <w:lang w:val="fr-FR"/>
        </w:rPr>
        <w:t xml:space="preserve">. </w:t>
      </w:r>
    </w:p>
    <w:p w:rsidR="0086185C" w:rsidRPr="000F7862" w:rsidRDefault="003F7F57" w:rsidP="003F7F57">
      <w:pPr>
        <w:pStyle w:val="SingleTxtG"/>
        <w:rPr>
          <w:lang w:val="fr-FR"/>
        </w:rPr>
      </w:pPr>
      <w:r w:rsidRPr="000F7862">
        <w:rPr>
          <w:lang w:val="fr-FR"/>
        </w:rPr>
        <w:t>82.</w:t>
      </w:r>
      <w:r w:rsidRPr="000F7862">
        <w:rPr>
          <w:lang w:val="fr-FR"/>
        </w:rPr>
        <w:tab/>
      </w:r>
      <w:r w:rsidR="00226A82" w:rsidRPr="000F7862">
        <w:rPr>
          <w:lang w:val="fr-FR"/>
        </w:rPr>
        <w:t>Ce programme encourage la création de moyens d</w:t>
      </w:r>
      <w:r w:rsidR="00120E2E" w:rsidRPr="000F7862">
        <w:rPr>
          <w:lang w:val="fr-FR"/>
        </w:rPr>
        <w:t>’</w:t>
      </w:r>
      <w:r w:rsidR="00226A82" w:rsidRPr="000F7862">
        <w:rPr>
          <w:lang w:val="fr-FR"/>
        </w:rPr>
        <w:t>existence et d</w:t>
      </w:r>
      <w:r w:rsidR="00120E2E" w:rsidRPr="000F7862">
        <w:rPr>
          <w:lang w:val="fr-FR"/>
        </w:rPr>
        <w:t>’</w:t>
      </w:r>
      <w:r w:rsidR="00226A82" w:rsidRPr="000F7862">
        <w:rPr>
          <w:lang w:val="fr-FR"/>
        </w:rPr>
        <w:t>entreprises par les</w:t>
      </w:r>
      <w:r w:rsidR="0086185C" w:rsidRPr="000F7862">
        <w:rPr>
          <w:i/>
          <w:iCs/>
          <w:lang w:val="fr-FR"/>
        </w:rPr>
        <w:t xml:space="preserve"> </w:t>
      </w:r>
      <w:r w:rsidR="00226A82" w:rsidRPr="000F7862">
        <w:rPr>
          <w:i/>
          <w:iCs/>
          <w:lang w:val="fr-FR"/>
        </w:rPr>
        <w:t>travailleurs défavorisés/au chômage</w:t>
      </w:r>
      <w:r w:rsidR="00226A82" w:rsidRPr="000F7862">
        <w:rPr>
          <w:iCs/>
          <w:lang w:val="fr-FR"/>
        </w:rPr>
        <w:t xml:space="preserve">, </w:t>
      </w:r>
      <w:r w:rsidR="005C5973" w:rsidRPr="000F7862">
        <w:rPr>
          <w:iCs/>
          <w:lang w:val="fr-FR"/>
        </w:rPr>
        <w:t>à la manière d</w:t>
      </w:r>
      <w:r w:rsidR="00226A82" w:rsidRPr="000F7862">
        <w:rPr>
          <w:iCs/>
          <w:lang w:val="fr-FR"/>
        </w:rPr>
        <w:t xml:space="preserve">es travailleurs </w:t>
      </w:r>
      <w:r w:rsidR="00226A82" w:rsidRPr="000F7862">
        <w:rPr>
          <w:lang w:val="fr-FR"/>
        </w:rPr>
        <w:t>du secteur non structuré de l</w:t>
      </w:r>
      <w:r w:rsidR="00120E2E" w:rsidRPr="000F7862">
        <w:rPr>
          <w:lang w:val="fr-FR"/>
        </w:rPr>
        <w:t>’</w:t>
      </w:r>
      <w:r w:rsidR="00226A82" w:rsidRPr="000F7862">
        <w:rPr>
          <w:lang w:val="fr-FR"/>
        </w:rPr>
        <w:t>économie</w:t>
      </w:r>
      <w:r w:rsidR="0086185C" w:rsidRPr="000F7862">
        <w:rPr>
          <w:lang w:val="fr-FR"/>
        </w:rPr>
        <w:t xml:space="preserve"> </w:t>
      </w:r>
      <w:r w:rsidR="00226A82" w:rsidRPr="000F7862">
        <w:rPr>
          <w:lang w:val="fr-FR"/>
        </w:rPr>
        <w:t xml:space="preserve">qui </w:t>
      </w:r>
      <w:r w:rsidR="005C5973" w:rsidRPr="000F7862">
        <w:rPr>
          <w:lang w:val="fr-FR"/>
        </w:rPr>
        <w:t>exploitent de petites entreprises de subsistance, tels que les vendeurs ambulants ou colporteurs, les conducteurs de tricycle ou de cyclo-pousse</w:t>
      </w:r>
      <w:r w:rsidR="0086185C" w:rsidRPr="000F7862">
        <w:rPr>
          <w:lang w:val="fr-FR"/>
        </w:rPr>
        <w:t xml:space="preserve">, </w:t>
      </w:r>
      <w:r w:rsidR="00DC1C03" w:rsidRPr="000F7862">
        <w:rPr>
          <w:lang w:val="fr-FR"/>
        </w:rPr>
        <w:t>les chefs de petites entreprises de construction ou de travail à domicile, et d</w:t>
      </w:r>
      <w:r w:rsidR="00120E2E" w:rsidRPr="000F7862">
        <w:rPr>
          <w:lang w:val="fr-FR"/>
        </w:rPr>
        <w:t>’</w:t>
      </w:r>
      <w:r w:rsidR="00DC1C03" w:rsidRPr="000F7862">
        <w:rPr>
          <w:lang w:val="fr-FR"/>
        </w:rPr>
        <w:t>entreprises agricoles, de pêche ou de services ambulants, ainsi que par d</w:t>
      </w:r>
      <w:r w:rsidR="00120E2E" w:rsidRPr="000F7862">
        <w:rPr>
          <w:lang w:val="fr-FR"/>
        </w:rPr>
        <w:t>’</w:t>
      </w:r>
      <w:r w:rsidR="00DC1C03" w:rsidRPr="000F7862">
        <w:rPr>
          <w:lang w:val="fr-FR"/>
        </w:rPr>
        <w:t>autres groupes de travailleurs vulnérables, comme les jeunes non scolarisés</w:t>
      </w:r>
      <w:r w:rsidR="0086185C" w:rsidRPr="000F7862">
        <w:rPr>
          <w:lang w:val="fr-FR"/>
        </w:rPr>
        <w:t xml:space="preserve">, </w:t>
      </w:r>
      <w:r w:rsidR="00DC1C03" w:rsidRPr="000F7862">
        <w:rPr>
          <w:lang w:val="fr-FR"/>
        </w:rPr>
        <w:t>les chômeuses</w:t>
      </w:r>
      <w:r w:rsidR="0086185C" w:rsidRPr="000F7862">
        <w:rPr>
          <w:lang w:val="fr-FR"/>
        </w:rPr>
        <w:t xml:space="preserve">, </w:t>
      </w:r>
      <w:r w:rsidR="00DC1C03" w:rsidRPr="000F7862">
        <w:rPr>
          <w:lang w:val="fr-FR"/>
        </w:rPr>
        <w:t xml:space="preserve">les </w:t>
      </w:r>
      <w:r w:rsidR="0086185C" w:rsidRPr="000F7862">
        <w:rPr>
          <w:lang w:val="fr-FR"/>
        </w:rPr>
        <w:t>person</w:t>
      </w:r>
      <w:r w:rsidR="00DC1C03" w:rsidRPr="000F7862">
        <w:rPr>
          <w:lang w:val="fr-FR"/>
        </w:rPr>
        <w:t>ne</w:t>
      </w:r>
      <w:r w:rsidR="0086185C" w:rsidRPr="000F7862">
        <w:rPr>
          <w:lang w:val="fr-FR"/>
        </w:rPr>
        <w:t>s</w:t>
      </w:r>
      <w:r w:rsidR="00DC1C03" w:rsidRPr="000F7862">
        <w:rPr>
          <w:lang w:val="fr-FR"/>
        </w:rPr>
        <w:t xml:space="preserve"> handicapées</w:t>
      </w:r>
      <w:r w:rsidR="0086185C" w:rsidRPr="000F7862">
        <w:rPr>
          <w:lang w:val="fr-FR"/>
        </w:rPr>
        <w:t xml:space="preserve">, </w:t>
      </w:r>
      <w:r w:rsidR="00DC1C03" w:rsidRPr="000F7862">
        <w:rPr>
          <w:lang w:val="fr-FR"/>
        </w:rPr>
        <w:t>les membres des populations autochtones</w:t>
      </w:r>
      <w:r w:rsidR="0086185C" w:rsidRPr="000F7862">
        <w:rPr>
          <w:lang w:val="fr-FR"/>
        </w:rPr>
        <w:t xml:space="preserve">, </w:t>
      </w:r>
      <w:r w:rsidR="00DC1C03" w:rsidRPr="000F7862">
        <w:rPr>
          <w:lang w:val="fr-FR"/>
        </w:rPr>
        <w:t xml:space="preserve">les </w:t>
      </w:r>
      <w:r w:rsidR="0086185C" w:rsidRPr="000F7862">
        <w:rPr>
          <w:lang w:val="fr-FR"/>
        </w:rPr>
        <w:t xml:space="preserve">parents </w:t>
      </w:r>
      <w:r w:rsidR="00DC1C03" w:rsidRPr="000F7862">
        <w:rPr>
          <w:lang w:val="fr-FR"/>
        </w:rPr>
        <w:t>d</w:t>
      </w:r>
      <w:r w:rsidR="00120E2E" w:rsidRPr="000F7862">
        <w:rPr>
          <w:lang w:val="fr-FR"/>
        </w:rPr>
        <w:t>’</w:t>
      </w:r>
      <w:r w:rsidR="00DC1C03" w:rsidRPr="000F7862">
        <w:rPr>
          <w:lang w:val="fr-FR"/>
        </w:rPr>
        <w:t>enfants qui travaillent</w:t>
      </w:r>
      <w:r w:rsidR="0086185C" w:rsidRPr="000F7862">
        <w:rPr>
          <w:lang w:val="fr-FR"/>
        </w:rPr>
        <w:t xml:space="preserve">, </w:t>
      </w:r>
      <w:r w:rsidR="00DC1C03" w:rsidRPr="000F7862">
        <w:rPr>
          <w:lang w:val="fr-FR"/>
        </w:rPr>
        <w:t>les travailleurs déplacés et les per</w:t>
      </w:r>
      <w:r w:rsidR="004B3B1B" w:rsidRPr="000F7862">
        <w:rPr>
          <w:lang w:val="fr-FR"/>
        </w:rPr>
        <w:t>so</w:t>
      </w:r>
      <w:r w:rsidR="00DC1C03" w:rsidRPr="000F7862">
        <w:rPr>
          <w:lang w:val="fr-FR"/>
        </w:rPr>
        <w:t>nnes âgées</w:t>
      </w:r>
      <w:r w:rsidR="0086185C" w:rsidRPr="000F7862">
        <w:rPr>
          <w:lang w:val="fr-FR"/>
        </w:rPr>
        <w:t xml:space="preserve">; </w:t>
      </w:r>
      <w:r w:rsidR="00DC1C03" w:rsidRPr="000F7862">
        <w:rPr>
          <w:lang w:val="fr-FR"/>
        </w:rPr>
        <w:t xml:space="preserve">les </w:t>
      </w:r>
      <w:r w:rsidR="00F03B57" w:rsidRPr="000F7862">
        <w:rPr>
          <w:i/>
          <w:iCs/>
          <w:lang w:val="fr-FR"/>
        </w:rPr>
        <w:t xml:space="preserve">groupes communautaires </w:t>
      </w:r>
      <w:r w:rsidR="0086185C" w:rsidRPr="000F7862">
        <w:rPr>
          <w:lang w:val="fr-FR"/>
        </w:rPr>
        <w:t>co</w:t>
      </w:r>
      <w:r w:rsidR="00F03B57" w:rsidRPr="000F7862">
        <w:rPr>
          <w:lang w:val="fr-FR"/>
        </w:rPr>
        <w:t xml:space="preserve">mposés de membres victimes du chômage et du sous-emploi de communautés </w:t>
      </w:r>
      <w:r w:rsidR="0086185C" w:rsidRPr="000F7862">
        <w:rPr>
          <w:lang w:val="fr-FR"/>
        </w:rPr>
        <w:t>(</w:t>
      </w:r>
      <w:r w:rsidR="00F03B57" w:rsidRPr="000F7862">
        <w:rPr>
          <w:lang w:val="fr-FR"/>
        </w:rPr>
        <w:t xml:space="preserve">groupes de </w:t>
      </w:r>
      <w:r w:rsidR="0086185C" w:rsidRPr="000F7862">
        <w:rPr>
          <w:lang w:val="fr-FR"/>
        </w:rPr>
        <w:t>barangays/municipalit</w:t>
      </w:r>
      <w:r w:rsidR="00F03B57" w:rsidRPr="000F7862">
        <w:rPr>
          <w:lang w:val="fr-FR"/>
        </w:rPr>
        <w:t>é</w:t>
      </w:r>
      <w:r w:rsidR="0086185C" w:rsidRPr="000F7862">
        <w:rPr>
          <w:lang w:val="fr-FR"/>
        </w:rPr>
        <w:t xml:space="preserve">s) </w:t>
      </w:r>
      <w:r w:rsidR="005970CF" w:rsidRPr="000F7862">
        <w:rPr>
          <w:lang w:val="fr-FR"/>
        </w:rPr>
        <w:t>où l</w:t>
      </w:r>
      <w:r w:rsidR="00120E2E" w:rsidRPr="000F7862">
        <w:rPr>
          <w:lang w:val="fr-FR"/>
        </w:rPr>
        <w:t>’</w:t>
      </w:r>
      <w:r w:rsidR="005970CF" w:rsidRPr="000F7862">
        <w:rPr>
          <w:lang w:val="fr-FR"/>
        </w:rPr>
        <w:t>incidence de la pauvreté est élevée</w:t>
      </w:r>
      <w:r w:rsidR="0086185C" w:rsidRPr="000F7862">
        <w:rPr>
          <w:lang w:val="fr-FR"/>
        </w:rPr>
        <w:t xml:space="preserve">; </w:t>
      </w:r>
      <w:r w:rsidR="005970CF" w:rsidRPr="000F7862">
        <w:rPr>
          <w:lang w:val="fr-FR"/>
        </w:rPr>
        <w:t>et les</w:t>
      </w:r>
      <w:r w:rsidR="0086185C" w:rsidRPr="000F7862">
        <w:rPr>
          <w:i/>
          <w:iCs/>
          <w:lang w:val="fr-FR"/>
        </w:rPr>
        <w:t xml:space="preserve"> </w:t>
      </w:r>
      <w:r w:rsidR="005970CF" w:rsidRPr="000F7862">
        <w:rPr>
          <w:i/>
          <w:iCs/>
          <w:lang w:val="fr-FR"/>
        </w:rPr>
        <w:t xml:space="preserve">travailleurs à bas salaires </w:t>
      </w:r>
      <w:r w:rsidR="005970CF" w:rsidRPr="000F7862">
        <w:rPr>
          <w:lang w:val="fr-FR"/>
        </w:rPr>
        <w:t>cherchant à augmenter leurs revenus</w:t>
      </w:r>
      <w:r w:rsidR="0086185C" w:rsidRPr="000F7862">
        <w:rPr>
          <w:lang w:val="fr-FR"/>
        </w:rPr>
        <w:t>.</w:t>
      </w:r>
    </w:p>
    <w:p w:rsidR="0086185C" w:rsidRPr="000F7862" w:rsidRDefault="003F7F57" w:rsidP="003F7F57">
      <w:pPr>
        <w:pStyle w:val="SingleTxtG"/>
        <w:rPr>
          <w:lang w:val="fr-FR"/>
        </w:rPr>
      </w:pPr>
      <w:r w:rsidRPr="000F7862">
        <w:rPr>
          <w:lang w:val="fr-FR"/>
        </w:rPr>
        <w:t>83.</w:t>
      </w:r>
      <w:r w:rsidRPr="000F7862">
        <w:rPr>
          <w:lang w:val="fr-FR"/>
        </w:rPr>
        <w:tab/>
      </w:r>
      <w:r w:rsidR="004B3B1B" w:rsidRPr="000F7862">
        <w:rPr>
          <w:lang w:val="fr-FR"/>
        </w:rPr>
        <w:t xml:space="preserve">Depuis sa mise en place en </w:t>
      </w:r>
      <w:r w:rsidR="0086185C" w:rsidRPr="000F7862">
        <w:rPr>
          <w:lang w:val="fr-FR"/>
        </w:rPr>
        <w:t xml:space="preserve">2008 </w:t>
      </w:r>
      <w:r w:rsidR="004B3B1B" w:rsidRPr="000F7862">
        <w:rPr>
          <w:lang w:val="fr-FR"/>
        </w:rPr>
        <w:t>jusqu</w:t>
      </w:r>
      <w:r w:rsidR="00120E2E" w:rsidRPr="000F7862">
        <w:rPr>
          <w:lang w:val="fr-FR"/>
        </w:rPr>
        <w:t>’</w:t>
      </w:r>
      <w:r w:rsidR="004B3B1B" w:rsidRPr="000F7862">
        <w:rPr>
          <w:lang w:val="fr-FR"/>
        </w:rPr>
        <w:t xml:space="preserve">en </w:t>
      </w:r>
      <w:r w:rsidR="0086185C" w:rsidRPr="000F7862">
        <w:rPr>
          <w:lang w:val="fr-FR"/>
        </w:rPr>
        <w:t xml:space="preserve">2012, </w:t>
      </w:r>
      <w:r w:rsidR="00DF7957" w:rsidRPr="000F7862">
        <w:rPr>
          <w:lang w:val="fr-FR"/>
        </w:rPr>
        <w:t xml:space="preserve">ce programme </w:t>
      </w:r>
      <w:r w:rsidR="004B3B1B" w:rsidRPr="000F7862">
        <w:rPr>
          <w:lang w:val="fr-FR"/>
        </w:rPr>
        <w:t xml:space="preserve">a bénéficié à </w:t>
      </w:r>
      <w:r w:rsidR="0086185C" w:rsidRPr="000F7862">
        <w:rPr>
          <w:lang w:val="fr-FR"/>
        </w:rPr>
        <w:t>453</w:t>
      </w:r>
      <w:r w:rsidR="009B3DB1" w:rsidRPr="000F7862">
        <w:rPr>
          <w:lang w:val="fr-FR"/>
        </w:rPr>
        <w:t> </w:t>
      </w:r>
      <w:r w:rsidR="0086185C" w:rsidRPr="000F7862">
        <w:rPr>
          <w:lang w:val="fr-FR"/>
        </w:rPr>
        <w:t xml:space="preserve">414 </w:t>
      </w:r>
      <w:r w:rsidR="004B3B1B" w:rsidRPr="000F7862">
        <w:rPr>
          <w:lang w:val="fr-FR"/>
        </w:rPr>
        <w:t>personnes</w:t>
      </w:r>
      <w:r w:rsidR="0086185C" w:rsidRPr="000F7862">
        <w:rPr>
          <w:lang w:val="fr-FR"/>
        </w:rPr>
        <w:t>.</w:t>
      </w:r>
    </w:p>
    <w:p w:rsidR="0086185C" w:rsidRPr="000F7862" w:rsidRDefault="009B3DB1" w:rsidP="009B3DB1">
      <w:pPr>
        <w:pStyle w:val="H23G"/>
        <w:rPr>
          <w:lang w:val="fr-FR"/>
        </w:rPr>
      </w:pPr>
      <w:r w:rsidRPr="000F7862">
        <w:rPr>
          <w:lang w:val="fr-FR"/>
        </w:rPr>
        <w:tab/>
      </w:r>
      <w:r w:rsidRPr="000F7862">
        <w:rPr>
          <w:lang w:val="fr-FR"/>
        </w:rPr>
        <w:tab/>
      </w:r>
      <w:r w:rsidR="004B3B1B" w:rsidRPr="000F7862">
        <w:rPr>
          <w:lang w:val="fr-FR"/>
        </w:rPr>
        <w:t xml:space="preserve">Projet </w:t>
      </w:r>
      <w:r w:rsidR="0086185C" w:rsidRPr="000F7862">
        <w:rPr>
          <w:lang w:val="fr-FR"/>
        </w:rPr>
        <w:t xml:space="preserve">Tulong Alalay sa Taong May Kapansanan (TULAY) </w:t>
      </w:r>
    </w:p>
    <w:p w:rsidR="0086185C" w:rsidRPr="000F7862" w:rsidRDefault="003F7F57" w:rsidP="003F7F57">
      <w:pPr>
        <w:pStyle w:val="SingleTxtG"/>
        <w:rPr>
          <w:lang w:val="fr-FR"/>
        </w:rPr>
      </w:pPr>
      <w:r w:rsidRPr="000F7862">
        <w:rPr>
          <w:lang w:val="fr-FR"/>
        </w:rPr>
        <w:t>84.</w:t>
      </w:r>
      <w:r w:rsidRPr="000F7862">
        <w:rPr>
          <w:lang w:val="fr-FR"/>
        </w:rPr>
        <w:tab/>
      </w:r>
      <w:r w:rsidR="0086285D" w:rsidRPr="000F7862">
        <w:rPr>
          <w:u w:color="0000FF"/>
          <w:lang w:val="fr-FR"/>
        </w:rPr>
        <w:t xml:space="preserve">Le projet </w:t>
      </w:r>
      <w:r w:rsidR="0086185C" w:rsidRPr="000F7862">
        <w:rPr>
          <w:i/>
          <w:lang w:val="fr-FR"/>
        </w:rPr>
        <w:t xml:space="preserve">Tulong Alalay sa Taong May Kapansanan (TULAY) </w:t>
      </w:r>
      <w:r w:rsidR="0086285D" w:rsidRPr="000F7862">
        <w:rPr>
          <w:lang w:val="fr-FR"/>
        </w:rPr>
        <w:t xml:space="preserve">est exécuté par le </w:t>
      </w:r>
      <w:r w:rsidR="0086285D" w:rsidRPr="000F7862">
        <w:rPr>
          <w:u w:color="0000FF"/>
          <w:lang w:val="fr-FR"/>
        </w:rPr>
        <w:t>Ministère du travail et de l</w:t>
      </w:r>
      <w:r w:rsidR="00120E2E" w:rsidRPr="000F7862">
        <w:rPr>
          <w:u w:color="0000FF"/>
          <w:lang w:val="fr-FR"/>
        </w:rPr>
        <w:t>’</w:t>
      </w:r>
      <w:r w:rsidR="0086285D" w:rsidRPr="000F7862">
        <w:rPr>
          <w:u w:color="0000FF"/>
          <w:lang w:val="fr-FR"/>
        </w:rPr>
        <w:t>emploi</w:t>
      </w:r>
      <w:r w:rsidR="0086185C" w:rsidRPr="000F7862">
        <w:rPr>
          <w:lang w:val="fr-FR"/>
        </w:rPr>
        <w:t xml:space="preserve"> </w:t>
      </w:r>
      <w:r w:rsidR="0086285D" w:rsidRPr="000F7862">
        <w:rPr>
          <w:lang w:val="fr-FR"/>
        </w:rPr>
        <w:t>par l</w:t>
      </w:r>
      <w:r w:rsidR="00120E2E" w:rsidRPr="000F7862">
        <w:rPr>
          <w:lang w:val="fr-FR"/>
        </w:rPr>
        <w:t>’</w:t>
      </w:r>
      <w:r w:rsidR="0086285D" w:rsidRPr="000F7862">
        <w:rPr>
          <w:lang w:val="fr-FR"/>
        </w:rPr>
        <w:t>intermédiaire de ses bureaux régionaux à l</w:t>
      </w:r>
      <w:r w:rsidR="00120E2E" w:rsidRPr="000F7862">
        <w:rPr>
          <w:lang w:val="fr-FR"/>
        </w:rPr>
        <w:t>’</w:t>
      </w:r>
      <w:r w:rsidR="0086285D" w:rsidRPr="000F7862">
        <w:rPr>
          <w:lang w:val="fr-FR"/>
        </w:rPr>
        <w:t>intention des personnes handicapées</w:t>
      </w:r>
      <w:r w:rsidR="0086185C" w:rsidRPr="000F7862">
        <w:rPr>
          <w:lang w:val="fr-FR"/>
        </w:rPr>
        <w:t xml:space="preserve">. </w:t>
      </w:r>
      <w:r w:rsidR="000C3AAC" w:rsidRPr="000F7862">
        <w:rPr>
          <w:lang w:val="fr-FR"/>
        </w:rPr>
        <w:t>Il</w:t>
      </w:r>
      <w:r w:rsidR="0086185C" w:rsidRPr="000F7862">
        <w:rPr>
          <w:lang w:val="fr-FR"/>
        </w:rPr>
        <w:t xml:space="preserve"> </w:t>
      </w:r>
      <w:r w:rsidR="000C3AAC" w:rsidRPr="000F7862">
        <w:rPr>
          <w:lang w:val="fr-FR"/>
        </w:rPr>
        <w:t>a pour obje</w:t>
      </w:r>
      <w:r w:rsidR="0086285D" w:rsidRPr="000F7862">
        <w:rPr>
          <w:lang w:val="fr-FR"/>
        </w:rPr>
        <w:t>t de contribuer à l</w:t>
      </w:r>
      <w:r w:rsidR="00120E2E" w:rsidRPr="000F7862">
        <w:rPr>
          <w:lang w:val="fr-FR"/>
        </w:rPr>
        <w:t>’</w:t>
      </w:r>
      <w:r w:rsidR="0086285D" w:rsidRPr="000F7862">
        <w:rPr>
          <w:lang w:val="fr-FR"/>
        </w:rPr>
        <w:t>intégration sociale de</w:t>
      </w:r>
      <w:r w:rsidR="000C3AAC" w:rsidRPr="000F7862">
        <w:rPr>
          <w:lang w:val="fr-FR"/>
        </w:rPr>
        <w:t xml:space="preserve"> ce</w:t>
      </w:r>
      <w:r w:rsidR="0086285D" w:rsidRPr="000F7862">
        <w:rPr>
          <w:lang w:val="fr-FR"/>
        </w:rPr>
        <w:t xml:space="preserve">s personnes </w:t>
      </w:r>
      <w:r w:rsidR="000C3AAC" w:rsidRPr="000F7862">
        <w:rPr>
          <w:lang w:val="fr-FR"/>
        </w:rPr>
        <w:t>en leur donnant accès à des possibilités de formation et d</w:t>
      </w:r>
      <w:r w:rsidR="00120E2E" w:rsidRPr="000F7862">
        <w:rPr>
          <w:lang w:val="fr-FR"/>
        </w:rPr>
        <w:t>’</w:t>
      </w:r>
      <w:r w:rsidR="00C40226" w:rsidRPr="000F7862">
        <w:rPr>
          <w:lang w:val="fr-FR"/>
        </w:rPr>
        <w:t>emploi dans le secteur structuré</w:t>
      </w:r>
      <w:r w:rsidR="000C3AAC" w:rsidRPr="000F7862">
        <w:rPr>
          <w:lang w:val="fr-FR"/>
        </w:rPr>
        <w:t xml:space="preserve"> et le secteur non structuré</w:t>
      </w:r>
      <w:r w:rsidR="0086185C" w:rsidRPr="000F7862">
        <w:rPr>
          <w:lang w:val="fr-FR"/>
        </w:rPr>
        <w:t xml:space="preserve">. </w:t>
      </w:r>
    </w:p>
    <w:p w:rsidR="0086185C" w:rsidRPr="000F7862" w:rsidRDefault="003F7F57" w:rsidP="003F7F57">
      <w:pPr>
        <w:pStyle w:val="SingleTxtG"/>
        <w:rPr>
          <w:lang w:val="fr-FR"/>
        </w:rPr>
      </w:pPr>
      <w:r w:rsidRPr="000F7862">
        <w:rPr>
          <w:lang w:val="fr-FR"/>
        </w:rPr>
        <w:t>85.</w:t>
      </w:r>
      <w:r w:rsidRPr="000F7862">
        <w:rPr>
          <w:lang w:val="fr-FR"/>
        </w:rPr>
        <w:tab/>
      </w:r>
      <w:r w:rsidR="003D6722" w:rsidRPr="000F7862">
        <w:rPr>
          <w:lang w:val="fr-FR"/>
        </w:rPr>
        <w:t>S</w:t>
      </w:r>
      <w:r w:rsidR="00120E2E" w:rsidRPr="000F7862">
        <w:rPr>
          <w:lang w:val="fr-FR"/>
        </w:rPr>
        <w:t>’</w:t>
      </w:r>
      <w:r w:rsidR="003D6722" w:rsidRPr="000F7862">
        <w:rPr>
          <w:lang w:val="fr-FR"/>
        </w:rPr>
        <w:t xml:space="preserve">agissant du secteur non structuré, les personnes handicapées qui sont tentées par le travail indépendant sont encouragées à élaborer leur propre projet </w:t>
      </w:r>
      <w:r w:rsidR="005E5737" w:rsidRPr="000F7862">
        <w:rPr>
          <w:lang w:val="fr-FR"/>
        </w:rPr>
        <w:t>d</w:t>
      </w:r>
      <w:r w:rsidR="00120E2E" w:rsidRPr="000F7862">
        <w:rPr>
          <w:lang w:val="fr-FR"/>
        </w:rPr>
        <w:t>’</w:t>
      </w:r>
      <w:r w:rsidR="005E5737" w:rsidRPr="000F7862">
        <w:rPr>
          <w:lang w:val="fr-FR"/>
        </w:rPr>
        <w:t>emploi indépendant soit individuellement, soit en groupe</w:t>
      </w:r>
      <w:r w:rsidR="0086185C" w:rsidRPr="000F7862">
        <w:rPr>
          <w:lang w:val="fr-FR"/>
        </w:rPr>
        <w:t xml:space="preserve">. </w:t>
      </w:r>
      <w:r w:rsidR="005E5737" w:rsidRPr="000F7862">
        <w:rPr>
          <w:lang w:val="fr-FR"/>
        </w:rPr>
        <w:t>Une assistance technique et financière leur est fournie par l</w:t>
      </w:r>
      <w:r w:rsidR="00120E2E" w:rsidRPr="000F7862">
        <w:rPr>
          <w:lang w:val="fr-FR"/>
        </w:rPr>
        <w:t>’</w:t>
      </w:r>
      <w:r w:rsidR="005E5737" w:rsidRPr="000F7862">
        <w:rPr>
          <w:lang w:val="fr-FR"/>
        </w:rPr>
        <w:t>intermédiaire du Programme intégré du Ministère du travail et de l</w:t>
      </w:r>
      <w:r w:rsidR="00120E2E" w:rsidRPr="000F7862">
        <w:rPr>
          <w:lang w:val="fr-FR"/>
        </w:rPr>
        <w:t>’</w:t>
      </w:r>
      <w:r w:rsidR="005E5737" w:rsidRPr="000F7862">
        <w:rPr>
          <w:lang w:val="fr-FR"/>
        </w:rPr>
        <w:t>emploi relatif aux moyens d</w:t>
      </w:r>
      <w:r w:rsidR="00120E2E" w:rsidRPr="000F7862">
        <w:rPr>
          <w:lang w:val="fr-FR"/>
        </w:rPr>
        <w:t>’</w:t>
      </w:r>
      <w:r w:rsidR="005E5737" w:rsidRPr="000F7862">
        <w:rPr>
          <w:lang w:val="fr-FR"/>
        </w:rPr>
        <w:t xml:space="preserve">existence et par le biais de la </w:t>
      </w:r>
      <w:r w:rsidR="0086185C" w:rsidRPr="000F7862">
        <w:rPr>
          <w:lang w:val="fr-FR"/>
        </w:rPr>
        <w:t xml:space="preserve">convergence </w:t>
      </w:r>
      <w:r w:rsidR="005E5737" w:rsidRPr="000F7862">
        <w:rPr>
          <w:lang w:val="fr-FR"/>
        </w:rPr>
        <w:t xml:space="preserve">des </w:t>
      </w:r>
      <w:r w:rsidR="00867E43" w:rsidRPr="000F7862">
        <w:rPr>
          <w:lang w:val="fr-FR"/>
        </w:rPr>
        <w:t>programmes</w:t>
      </w:r>
      <w:r w:rsidR="0086185C" w:rsidRPr="000F7862">
        <w:rPr>
          <w:lang w:val="fr-FR"/>
        </w:rPr>
        <w:t xml:space="preserve"> </w:t>
      </w:r>
      <w:r w:rsidR="005E5737" w:rsidRPr="000F7862">
        <w:rPr>
          <w:lang w:val="fr-FR"/>
        </w:rPr>
        <w:t xml:space="preserve">et des </w:t>
      </w:r>
      <w:r w:rsidR="0086185C" w:rsidRPr="000F7862">
        <w:rPr>
          <w:lang w:val="fr-FR"/>
        </w:rPr>
        <w:t xml:space="preserve">services </w:t>
      </w:r>
      <w:r w:rsidR="005E5737" w:rsidRPr="000F7862">
        <w:rPr>
          <w:lang w:val="fr-FR"/>
        </w:rPr>
        <w:t>avec d</w:t>
      </w:r>
      <w:r w:rsidR="00120E2E" w:rsidRPr="000F7862">
        <w:rPr>
          <w:lang w:val="fr-FR"/>
        </w:rPr>
        <w:t>’</w:t>
      </w:r>
      <w:r w:rsidR="005E5737" w:rsidRPr="000F7862">
        <w:rPr>
          <w:lang w:val="fr-FR"/>
        </w:rPr>
        <w:t>autres organismes publics et des organisations non gouvernementales</w:t>
      </w:r>
      <w:r w:rsidR="0086185C" w:rsidRPr="000F7862">
        <w:rPr>
          <w:lang w:val="fr-FR"/>
        </w:rPr>
        <w:t xml:space="preserve">. </w:t>
      </w:r>
    </w:p>
    <w:p w:rsidR="0086185C" w:rsidRPr="000F7862" w:rsidRDefault="009B3DB1" w:rsidP="009B3DB1">
      <w:pPr>
        <w:pStyle w:val="H23G"/>
        <w:rPr>
          <w:lang w:val="fr-FR"/>
        </w:rPr>
      </w:pPr>
      <w:r w:rsidRPr="000F7862">
        <w:rPr>
          <w:lang w:val="fr-FR"/>
        </w:rPr>
        <w:tab/>
      </w:r>
      <w:r w:rsidRPr="000F7862">
        <w:rPr>
          <w:lang w:val="fr-FR"/>
        </w:rPr>
        <w:tab/>
      </w:r>
      <w:r w:rsidR="00AD5352" w:rsidRPr="000F7862">
        <w:rPr>
          <w:lang w:val="fr-FR"/>
        </w:rPr>
        <w:t>Projet d</w:t>
      </w:r>
      <w:r w:rsidR="00120E2E" w:rsidRPr="000F7862">
        <w:rPr>
          <w:lang w:val="fr-FR"/>
        </w:rPr>
        <w:t>’</w:t>
      </w:r>
      <w:r w:rsidR="00AD5352" w:rsidRPr="000F7862">
        <w:rPr>
          <w:lang w:val="fr-FR"/>
        </w:rPr>
        <w:t>urgence pour l</w:t>
      </w:r>
      <w:r w:rsidR="00120E2E" w:rsidRPr="000F7862">
        <w:rPr>
          <w:lang w:val="fr-FR"/>
        </w:rPr>
        <w:t>’</w:t>
      </w:r>
      <w:r w:rsidR="00AD5352" w:rsidRPr="000F7862">
        <w:rPr>
          <w:lang w:val="fr-FR"/>
        </w:rPr>
        <w:t xml:space="preserve">emploi </w:t>
      </w:r>
      <w:r w:rsidR="0086185C" w:rsidRPr="000F7862">
        <w:rPr>
          <w:lang w:val="fr-FR"/>
        </w:rPr>
        <w:t>(</w:t>
      </w:r>
      <w:r w:rsidR="00AD5352" w:rsidRPr="000F7862">
        <w:rPr>
          <w:lang w:val="fr-FR"/>
        </w:rPr>
        <w:t xml:space="preserve">projet </w:t>
      </w:r>
      <w:r w:rsidR="0086185C" w:rsidRPr="000F7862">
        <w:rPr>
          <w:lang w:val="fr-FR"/>
        </w:rPr>
        <w:t>TUPAD)</w:t>
      </w:r>
    </w:p>
    <w:p w:rsidR="0086185C" w:rsidRPr="000F7862" w:rsidRDefault="003F7F57" w:rsidP="003F7F57">
      <w:pPr>
        <w:pStyle w:val="SingleTxtG"/>
        <w:rPr>
          <w:lang w:val="fr-FR"/>
        </w:rPr>
      </w:pPr>
      <w:r w:rsidRPr="000F7862">
        <w:rPr>
          <w:lang w:val="fr-FR"/>
        </w:rPr>
        <w:t>86.</w:t>
      </w:r>
      <w:r w:rsidRPr="000F7862">
        <w:rPr>
          <w:lang w:val="fr-FR"/>
        </w:rPr>
        <w:tab/>
      </w:r>
      <w:r w:rsidR="00AD5352" w:rsidRPr="000F7862">
        <w:rPr>
          <w:lang w:val="fr-FR"/>
        </w:rPr>
        <w:t xml:space="preserve">Le projet </w:t>
      </w:r>
      <w:r w:rsidR="0086185C" w:rsidRPr="000F7862">
        <w:rPr>
          <w:i/>
          <w:lang w:val="fr-FR"/>
        </w:rPr>
        <w:t>Tulong Panghanapbuhay sa Ating Disadvantaged Workers (TUPAD)</w:t>
      </w:r>
      <w:r w:rsidR="0086185C" w:rsidRPr="000F7862">
        <w:rPr>
          <w:lang w:val="fr-FR"/>
        </w:rPr>
        <w:t xml:space="preserve"> </w:t>
      </w:r>
      <w:r w:rsidR="00AD5352" w:rsidRPr="000F7862">
        <w:rPr>
          <w:lang w:val="fr-FR"/>
        </w:rPr>
        <w:t>s</w:t>
      </w:r>
      <w:r w:rsidR="00120E2E" w:rsidRPr="000F7862">
        <w:rPr>
          <w:lang w:val="fr-FR"/>
        </w:rPr>
        <w:t>’</w:t>
      </w:r>
      <w:r w:rsidR="00AD5352" w:rsidRPr="000F7862">
        <w:rPr>
          <w:lang w:val="fr-FR"/>
        </w:rPr>
        <w:t xml:space="preserve">adresse aux travailleurs déplacés </w:t>
      </w:r>
      <w:r w:rsidR="00D95E2D" w:rsidRPr="000F7862">
        <w:rPr>
          <w:lang w:val="fr-FR"/>
        </w:rPr>
        <w:t>en raison des</w:t>
      </w:r>
      <w:r w:rsidR="00AD5352" w:rsidRPr="000F7862">
        <w:rPr>
          <w:lang w:val="fr-FR"/>
        </w:rPr>
        <w:t xml:space="preserve"> crises financières mondiales et aux </w:t>
      </w:r>
      <w:r w:rsidR="00A434D2" w:rsidRPr="000F7862">
        <w:rPr>
          <w:lang w:val="fr-FR"/>
        </w:rPr>
        <w:t>pauvres sans emploi</w:t>
      </w:r>
      <w:r w:rsidR="008D40AD" w:rsidRPr="000F7862">
        <w:rPr>
          <w:lang w:val="fr-FR"/>
        </w:rPr>
        <w:t xml:space="preserve">, auxquels il </w:t>
      </w:r>
      <w:r w:rsidR="00A434D2" w:rsidRPr="000F7862">
        <w:rPr>
          <w:lang w:val="fr-FR"/>
        </w:rPr>
        <w:t>vise à</w:t>
      </w:r>
      <w:r w:rsidR="008D40AD" w:rsidRPr="000F7862">
        <w:rPr>
          <w:lang w:val="fr-FR"/>
        </w:rPr>
        <w:t xml:space="preserve"> fournir un emploi salarié à court terme constitu</w:t>
      </w:r>
      <w:r w:rsidR="00617015" w:rsidRPr="000F7862">
        <w:rPr>
          <w:lang w:val="fr-FR"/>
        </w:rPr>
        <w:t>ant</w:t>
      </w:r>
      <w:r w:rsidR="008D40AD" w:rsidRPr="000F7862">
        <w:rPr>
          <w:lang w:val="fr-FR"/>
        </w:rPr>
        <w:t xml:space="preserve"> une source immédiate de revenu </w:t>
      </w:r>
      <w:r w:rsidR="004D11EB" w:rsidRPr="000F7862">
        <w:rPr>
          <w:lang w:val="fr-FR"/>
        </w:rPr>
        <w:t>pour les bénéficiaires du projet et leur famille</w:t>
      </w:r>
      <w:r w:rsidR="0086185C" w:rsidRPr="000F7862">
        <w:rPr>
          <w:lang w:val="fr-FR"/>
        </w:rPr>
        <w:t>.</w:t>
      </w:r>
      <w:r w:rsidR="00446EA5" w:rsidRPr="000F7862">
        <w:rPr>
          <w:lang w:val="fr-FR"/>
        </w:rPr>
        <w:t xml:space="preserve"> </w:t>
      </w:r>
    </w:p>
    <w:p w:rsidR="0086185C" w:rsidRPr="000F7862" w:rsidRDefault="003F7F57" w:rsidP="003F7F57">
      <w:pPr>
        <w:pStyle w:val="SingleTxtG"/>
        <w:rPr>
          <w:lang w:val="fr-FR"/>
        </w:rPr>
      </w:pPr>
      <w:r w:rsidRPr="000F7862">
        <w:rPr>
          <w:lang w:val="fr-FR"/>
        </w:rPr>
        <w:t>87.</w:t>
      </w:r>
      <w:r w:rsidRPr="000F7862">
        <w:rPr>
          <w:lang w:val="fr-FR"/>
        </w:rPr>
        <w:tab/>
      </w:r>
      <w:r w:rsidR="004D11EB" w:rsidRPr="000F7862">
        <w:rPr>
          <w:lang w:val="fr-FR"/>
        </w:rPr>
        <w:t xml:space="preserve">Pendant la période durant laquelle les </w:t>
      </w:r>
      <w:r w:rsidR="0086185C" w:rsidRPr="000F7862">
        <w:rPr>
          <w:lang w:val="fr-FR"/>
        </w:rPr>
        <w:t>b</w:t>
      </w:r>
      <w:r w:rsidR="004D11EB" w:rsidRPr="000F7862">
        <w:rPr>
          <w:lang w:val="fr-FR"/>
        </w:rPr>
        <w:t>é</w:t>
      </w:r>
      <w:r w:rsidR="0086185C" w:rsidRPr="000F7862">
        <w:rPr>
          <w:lang w:val="fr-FR"/>
        </w:rPr>
        <w:t>n</w:t>
      </w:r>
      <w:r w:rsidR="004D11EB" w:rsidRPr="000F7862">
        <w:rPr>
          <w:lang w:val="fr-FR"/>
        </w:rPr>
        <w:t>é</w:t>
      </w:r>
      <w:r w:rsidR="0086185C" w:rsidRPr="000F7862">
        <w:rPr>
          <w:lang w:val="fr-FR"/>
        </w:rPr>
        <w:t>ficia</w:t>
      </w:r>
      <w:r w:rsidR="004D11EB" w:rsidRPr="000F7862">
        <w:rPr>
          <w:lang w:val="fr-FR"/>
        </w:rPr>
        <w:t>ires de ce projet sont employés, il</w:t>
      </w:r>
      <w:r w:rsidR="009B3DB1" w:rsidRPr="000F7862">
        <w:rPr>
          <w:lang w:val="fr-FR"/>
        </w:rPr>
        <w:t>s</w:t>
      </w:r>
      <w:r w:rsidR="004D11EB" w:rsidRPr="000F7862">
        <w:rPr>
          <w:lang w:val="fr-FR"/>
        </w:rPr>
        <w:t xml:space="preserve"> suivent une formation </w:t>
      </w:r>
      <w:r w:rsidR="00EF2B58" w:rsidRPr="000F7862">
        <w:rPr>
          <w:lang w:val="fr-FR"/>
        </w:rPr>
        <w:t>visant à renforcer leur aptitude à l</w:t>
      </w:r>
      <w:r w:rsidR="00120E2E" w:rsidRPr="000F7862">
        <w:rPr>
          <w:lang w:val="fr-FR"/>
        </w:rPr>
        <w:t>’</w:t>
      </w:r>
      <w:r w:rsidR="00EF2B58" w:rsidRPr="000F7862">
        <w:rPr>
          <w:lang w:val="fr-FR"/>
        </w:rPr>
        <w:t>emploi</w:t>
      </w:r>
      <w:r w:rsidR="00076E3F" w:rsidRPr="000F7862">
        <w:rPr>
          <w:lang w:val="fr-FR"/>
        </w:rPr>
        <w:t xml:space="preserve"> et de les </w:t>
      </w:r>
      <w:r w:rsidR="004D11EB" w:rsidRPr="000F7862">
        <w:rPr>
          <w:lang w:val="fr-FR"/>
        </w:rPr>
        <w:t>préparer</w:t>
      </w:r>
      <w:r w:rsidR="00076E3F" w:rsidRPr="000F7862">
        <w:rPr>
          <w:lang w:val="fr-FR"/>
        </w:rPr>
        <w:t xml:space="preserve"> ainsi</w:t>
      </w:r>
      <w:r w:rsidR="004D11EB" w:rsidRPr="000F7862">
        <w:rPr>
          <w:lang w:val="fr-FR"/>
        </w:rPr>
        <w:t xml:space="preserve"> à occuper un autre emploi une fois le projet achevé</w:t>
      </w:r>
      <w:r w:rsidR="0086185C" w:rsidRPr="000F7862">
        <w:rPr>
          <w:lang w:val="fr-FR"/>
        </w:rPr>
        <w:t>.</w:t>
      </w:r>
      <w:r w:rsidR="00446EA5" w:rsidRPr="000F7862">
        <w:rPr>
          <w:lang w:val="fr-FR"/>
        </w:rPr>
        <w:t xml:space="preserve"> </w:t>
      </w:r>
      <w:r w:rsidR="004D11EB" w:rsidRPr="000F7862">
        <w:rPr>
          <w:lang w:val="fr-FR"/>
        </w:rPr>
        <w:t xml:space="preserve">Ce dernier leur assure également une </w:t>
      </w:r>
      <w:r w:rsidR="0086185C" w:rsidRPr="000F7862">
        <w:rPr>
          <w:lang w:val="fr-FR"/>
        </w:rPr>
        <w:t xml:space="preserve">protection </w:t>
      </w:r>
      <w:r w:rsidR="004D11EB" w:rsidRPr="000F7862">
        <w:rPr>
          <w:lang w:val="fr-FR"/>
        </w:rPr>
        <w:t>sociale contre les risques liés à l</w:t>
      </w:r>
      <w:r w:rsidR="00120E2E" w:rsidRPr="000F7862">
        <w:rPr>
          <w:lang w:val="fr-FR"/>
        </w:rPr>
        <w:t>’</w:t>
      </w:r>
      <w:r w:rsidR="004D11EB" w:rsidRPr="000F7862">
        <w:rPr>
          <w:lang w:val="fr-FR"/>
        </w:rPr>
        <w:t xml:space="preserve">emploi. Les bénéficiaires sont employés pendant un mois dans le cadre de divers projets communautaires gérés par les organes administratifs locaux et suivent une formation de </w:t>
      </w:r>
      <w:r w:rsidR="00512707" w:rsidRPr="000F7862">
        <w:rPr>
          <w:lang w:val="fr-FR"/>
        </w:rPr>
        <w:t xml:space="preserve">mise à niveau ou </w:t>
      </w:r>
      <w:r w:rsidR="004D11EB" w:rsidRPr="000F7862">
        <w:rPr>
          <w:lang w:val="fr-FR"/>
        </w:rPr>
        <w:t xml:space="preserve">de recyclage </w:t>
      </w:r>
      <w:r w:rsidR="00512707" w:rsidRPr="000F7862">
        <w:rPr>
          <w:lang w:val="fr-FR"/>
        </w:rPr>
        <w:t>ou à la création d</w:t>
      </w:r>
      <w:r w:rsidR="00120E2E" w:rsidRPr="000F7862">
        <w:rPr>
          <w:lang w:val="fr-FR"/>
        </w:rPr>
        <w:t>’</w:t>
      </w:r>
      <w:r w:rsidR="00512707" w:rsidRPr="000F7862">
        <w:rPr>
          <w:lang w:val="fr-FR"/>
        </w:rPr>
        <w:t xml:space="preserve">entreprise les </w:t>
      </w:r>
      <w:r w:rsidR="0086185C" w:rsidRPr="000F7862">
        <w:rPr>
          <w:lang w:val="fr-FR"/>
        </w:rPr>
        <w:t>week</w:t>
      </w:r>
      <w:r w:rsidR="00512707" w:rsidRPr="000F7862">
        <w:rPr>
          <w:lang w:val="fr-FR"/>
        </w:rPr>
        <w:t>-</w:t>
      </w:r>
      <w:r w:rsidR="0086185C" w:rsidRPr="000F7862">
        <w:rPr>
          <w:lang w:val="fr-FR"/>
        </w:rPr>
        <w:t xml:space="preserve">ends </w:t>
      </w:r>
      <w:r w:rsidR="00512707" w:rsidRPr="000F7862">
        <w:rPr>
          <w:lang w:val="fr-FR"/>
        </w:rPr>
        <w:t>du mois en question. La protection sociale est assurée sous la forme de la couverture offerte par le système de sécurité sociale et la Société philippine d</w:t>
      </w:r>
      <w:r w:rsidR="00120E2E" w:rsidRPr="000F7862">
        <w:rPr>
          <w:lang w:val="fr-FR"/>
        </w:rPr>
        <w:t>’</w:t>
      </w:r>
      <w:r w:rsidR="00512707" w:rsidRPr="000F7862">
        <w:rPr>
          <w:lang w:val="fr-FR"/>
        </w:rPr>
        <w:t>assurance maladie</w:t>
      </w:r>
      <w:r w:rsidR="0086185C" w:rsidRPr="000F7862">
        <w:rPr>
          <w:lang w:val="fr-FR"/>
        </w:rPr>
        <w:t>.</w:t>
      </w:r>
      <w:r w:rsidR="00446EA5" w:rsidRPr="000F7862">
        <w:rPr>
          <w:lang w:val="fr-FR"/>
        </w:rPr>
        <w:t xml:space="preserve"> </w:t>
      </w:r>
      <w:r w:rsidR="00512707" w:rsidRPr="000F7862">
        <w:rPr>
          <w:lang w:val="fr-FR"/>
        </w:rPr>
        <w:t xml:space="preserve">Entre </w:t>
      </w:r>
      <w:r w:rsidR="0086185C" w:rsidRPr="000F7862">
        <w:rPr>
          <w:lang w:val="fr-FR"/>
        </w:rPr>
        <w:t>2009</w:t>
      </w:r>
      <w:r w:rsidR="00512707" w:rsidRPr="000F7862">
        <w:rPr>
          <w:lang w:val="fr-FR"/>
        </w:rPr>
        <w:t xml:space="preserve"> et </w:t>
      </w:r>
      <w:r w:rsidR="0086185C" w:rsidRPr="000F7862">
        <w:rPr>
          <w:lang w:val="fr-FR"/>
        </w:rPr>
        <w:t xml:space="preserve">2012, </w:t>
      </w:r>
      <w:r w:rsidR="00512707" w:rsidRPr="000F7862">
        <w:rPr>
          <w:lang w:val="fr-FR"/>
        </w:rPr>
        <w:t xml:space="preserve">le projet </w:t>
      </w:r>
      <w:r w:rsidR="0086185C" w:rsidRPr="000F7862">
        <w:rPr>
          <w:lang w:val="fr-FR"/>
        </w:rPr>
        <w:t xml:space="preserve">TUPAD </w:t>
      </w:r>
      <w:r w:rsidR="00512707" w:rsidRPr="000F7862">
        <w:rPr>
          <w:lang w:val="fr-FR"/>
        </w:rPr>
        <w:t xml:space="preserve">a bénéficié au </w:t>
      </w:r>
      <w:r w:rsidR="0086185C" w:rsidRPr="000F7862">
        <w:rPr>
          <w:lang w:val="fr-FR"/>
        </w:rPr>
        <w:t xml:space="preserve">total </w:t>
      </w:r>
      <w:r w:rsidR="00512707" w:rsidRPr="000F7862">
        <w:rPr>
          <w:lang w:val="fr-FR"/>
        </w:rPr>
        <w:t>à</w:t>
      </w:r>
      <w:r w:rsidR="0086185C" w:rsidRPr="000F7862">
        <w:rPr>
          <w:lang w:val="fr-FR"/>
        </w:rPr>
        <w:t xml:space="preserve"> 29</w:t>
      </w:r>
      <w:r w:rsidR="009B3DB1" w:rsidRPr="000F7862">
        <w:rPr>
          <w:lang w:val="fr-FR"/>
        </w:rPr>
        <w:t> </w:t>
      </w:r>
      <w:r w:rsidR="0086185C" w:rsidRPr="000F7862">
        <w:rPr>
          <w:lang w:val="fr-FR"/>
        </w:rPr>
        <w:t xml:space="preserve">346 </w:t>
      </w:r>
      <w:r w:rsidR="00512707" w:rsidRPr="000F7862">
        <w:rPr>
          <w:lang w:val="fr-FR"/>
        </w:rPr>
        <w:t>personnes et a alloué des fonds</w:t>
      </w:r>
      <w:r w:rsidR="0086185C" w:rsidRPr="000F7862">
        <w:rPr>
          <w:lang w:val="fr-FR"/>
        </w:rPr>
        <w:t xml:space="preserve"> </w:t>
      </w:r>
      <w:r w:rsidR="00512707" w:rsidRPr="000F7862">
        <w:rPr>
          <w:lang w:val="fr-FR"/>
        </w:rPr>
        <w:t>d</w:t>
      </w:r>
      <w:r w:rsidR="00120E2E" w:rsidRPr="000F7862">
        <w:rPr>
          <w:lang w:val="fr-FR"/>
        </w:rPr>
        <w:t>’</w:t>
      </w:r>
      <w:r w:rsidR="00512707" w:rsidRPr="000F7862">
        <w:rPr>
          <w:lang w:val="fr-FR"/>
        </w:rPr>
        <w:t xml:space="preserve">un montant </w:t>
      </w:r>
      <w:r w:rsidR="0086185C" w:rsidRPr="000F7862">
        <w:rPr>
          <w:lang w:val="fr-FR"/>
        </w:rPr>
        <w:t xml:space="preserve">total </w:t>
      </w:r>
      <w:r w:rsidR="00512707" w:rsidRPr="000F7862">
        <w:rPr>
          <w:lang w:val="fr-FR"/>
        </w:rPr>
        <w:t xml:space="preserve">de </w:t>
      </w:r>
      <w:r w:rsidR="0086185C" w:rsidRPr="000F7862">
        <w:rPr>
          <w:lang w:val="fr-FR"/>
        </w:rPr>
        <w:t>125</w:t>
      </w:r>
      <w:r w:rsidR="00512707" w:rsidRPr="000F7862">
        <w:rPr>
          <w:lang w:val="fr-FR"/>
        </w:rPr>
        <w:t> </w:t>
      </w:r>
      <w:r w:rsidR="0086185C" w:rsidRPr="000F7862">
        <w:rPr>
          <w:lang w:val="fr-FR"/>
        </w:rPr>
        <w:t>584</w:t>
      </w:r>
      <w:r w:rsidR="00512707" w:rsidRPr="000F7862">
        <w:rPr>
          <w:lang w:val="fr-FR"/>
        </w:rPr>
        <w:t> </w:t>
      </w:r>
      <w:r w:rsidR="0086185C" w:rsidRPr="000F7862">
        <w:rPr>
          <w:lang w:val="fr-FR"/>
        </w:rPr>
        <w:t>789</w:t>
      </w:r>
      <w:r w:rsidR="00512707" w:rsidRPr="000F7862">
        <w:rPr>
          <w:lang w:val="fr-FR"/>
        </w:rPr>
        <w:t xml:space="preserve"> pesos</w:t>
      </w:r>
      <w:r w:rsidR="0086185C" w:rsidRPr="000F7862">
        <w:rPr>
          <w:lang w:val="fr-FR"/>
        </w:rPr>
        <w:t xml:space="preserve">. </w:t>
      </w:r>
    </w:p>
    <w:p w:rsidR="0086185C" w:rsidRPr="000F7862" w:rsidRDefault="00195175" w:rsidP="00195175">
      <w:pPr>
        <w:pStyle w:val="H23G"/>
        <w:rPr>
          <w:lang w:val="fr-FR"/>
        </w:rPr>
      </w:pPr>
      <w:r w:rsidRPr="000F7862">
        <w:rPr>
          <w:lang w:val="fr-FR"/>
        </w:rPr>
        <w:tab/>
      </w:r>
      <w:r w:rsidRPr="000F7862">
        <w:rPr>
          <w:lang w:val="fr-FR"/>
        </w:rPr>
        <w:tab/>
      </w:r>
      <w:r w:rsidR="0086185C" w:rsidRPr="000F7862">
        <w:rPr>
          <w:lang w:val="fr-FR"/>
        </w:rPr>
        <w:t xml:space="preserve">Programme </w:t>
      </w:r>
      <w:r w:rsidR="0053796B" w:rsidRPr="000F7862">
        <w:rPr>
          <w:lang w:val="fr-FR"/>
        </w:rPr>
        <w:t xml:space="preserve">commun </w:t>
      </w:r>
      <w:r w:rsidR="00AB349B" w:rsidRPr="000F7862">
        <w:rPr>
          <w:lang w:val="fr-FR"/>
        </w:rPr>
        <w:t xml:space="preserve">portant </w:t>
      </w:r>
      <w:r w:rsidR="0053796B" w:rsidRPr="000F7862">
        <w:rPr>
          <w:lang w:val="fr-FR"/>
        </w:rPr>
        <w:t>sur</w:t>
      </w:r>
      <w:r w:rsidR="00C40226" w:rsidRPr="000F7862">
        <w:rPr>
          <w:lang w:val="fr-FR"/>
        </w:rPr>
        <w:t xml:space="preserve"> la</w:t>
      </w:r>
      <w:r w:rsidR="00512707" w:rsidRPr="000F7862">
        <w:rPr>
          <w:lang w:val="fr-FR"/>
        </w:rPr>
        <w:t xml:space="preserve"> jeunesse, l</w:t>
      </w:r>
      <w:r w:rsidR="00120E2E" w:rsidRPr="000F7862">
        <w:rPr>
          <w:lang w:val="fr-FR"/>
        </w:rPr>
        <w:t>’</w:t>
      </w:r>
      <w:r w:rsidR="00512707" w:rsidRPr="000F7862">
        <w:rPr>
          <w:lang w:val="fr-FR"/>
        </w:rPr>
        <w:t>emploi et la migration</w:t>
      </w:r>
    </w:p>
    <w:p w:rsidR="0086185C" w:rsidRPr="000F7862" w:rsidRDefault="003F7F57" w:rsidP="009B3DB1">
      <w:pPr>
        <w:pStyle w:val="SingleTxtG"/>
        <w:rPr>
          <w:lang w:val="fr-FR"/>
        </w:rPr>
      </w:pPr>
      <w:r w:rsidRPr="000F7862">
        <w:rPr>
          <w:lang w:val="fr-FR"/>
        </w:rPr>
        <w:t>88.</w:t>
      </w:r>
      <w:r w:rsidRPr="000F7862">
        <w:rPr>
          <w:lang w:val="fr-FR"/>
        </w:rPr>
        <w:tab/>
      </w:r>
      <w:r w:rsidR="0053796B" w:rsidRPr="000F7862">
        <w:rPr>
          <w:lang w:val="fr-FR"/>
        </w:rPr>
        <w:t>Le projet intitulé Solutions de remplacement à la m</w:t>
      </w:r>
      <w:r w:rsidR="0086185C" w:rsidRPr="000F7862">
        <w:rPr>
          <w:lang w:val="fr-FR"/>
        </w:rPr>
        <w:t>igration</w:t>
      </w:r>
      <w:r w:rsidR="0005004C" w:rsidRPr="000F7862">
        <w:rPr>
          <w:lang w:val="fr-FR"/>
        </w:rPr>
        <w:t>:</w:t>
      </w:r>
      <w:r w:rsidR="0086185C" w:rsidRPr="000F7862">
        <w:rPr>
          <w:lang w:val="fr-FR"/>
        </w:rPr>
        <w:t xml:space="preserve"> </w:t>
      </w:r>
      <w:r w:rsidR="0053796B" w:rsidRPr="000F7862">
        <w:rPr>
          <w:lang w:val="fr-FR"/>
        </w:rPr>
        <w:t>des emplois décents pour les jeunes Philippins a également fait l</w:t>
      </w:r>
      <w:r w:rsidR="00120E2E" w:rsidRPr="000F7862">
        <w:rPr>
          <w:lang w:val="fr-FR"/>
        </w:rPr>
        <w:t>’</w:t>
      </w:r>
      <w:r w:rsidR="0053796B" w:rsidRPr="000F7862">
        <w:rPr>
          <w:lang w:val="fr-FR"/>
        </w:rPr>
        <w:t>objet d</w:t>
      </w:r>
      <w:r w:rsidR="00120E2E" w:rsidRPr="000F7862">
        <w:rPr>
          <w:lang w:val="fr-FR"/>
        </w:rPr>
        <w:t>’</w:t>
      </w:r>
      <w:r w:rsidR="0053796B" w:rsidRPr="000F7862">
        <w:rPr>
          <w:lang w:val="fr-FR"/>
        </w:rPr>
        <w:t xml:space="preserve">un essai pilote dans les </w:t>
      </w:r>
      <w:r w:rsidR="0086185C" w:rsidRPr="000F7862">
        <w:rPr>
          <w:lang w:val="fr-FR"/>
        </w:rPr>
        <w:t xml:space="preserve">provinces </w:t>
      </w:r>
      <w:r w:rsidR="0053796B" w:rsidRPr="000F7862">
        <w:rPr>
          <w:lang w:val="fr-FR"/>
        </w:rPr>
        <w:t>de</w:t>
      </w:r>
      <w:r w:rsidR="0086185C" w:rsidRPr="000F7862">
        <w:rPr>
          <w:lang w:val="fr-FR"/>
        </w:rPr>
        <w:t xml:space="preserve"> Masbate, Agusan del Sur, Maguindanao </w:t>
      </w:r>
      <w:r w:rsidR="0053796B" w:rsidRPr="000F7862">
        <w:rPr>
          <w:lang w:val="fr-FR"/>
        </w:rPr>
        <w:t xml:space="preserve">et </w:t>
      </w:r>
      <w:r w:rsidR="0086185C" w:rsidRPr="000F7862">
        <w:rPr>
          <w:lang w:val="fr-FR"/>
        </w:rPr>
        <w:t xml:space="preserve">Antique </w:t>
      </w:r>
      <w:r w:rsidR="0053796B" w:rsidRPr="000F7862">
        <w:rPr>
          <w:lang w:val="fr-FR"/>
        </w:rPr>
        <w:t>e</w:t>
      </w:r>
      <w:r w:rsidR="0086185C" w:rsidRPr="000F7862">
        <w:rPr>
          <w:lang w:val="fr-FR"/>
        </w:rPr>
        <w:t xml:space="preserve">n 2009. </w:t>
      </w:r>
      <w:r w:rsidR="001B2C4E" w:rsidRPr="000F7862">
        <w:rPr>
          <w:lang w:val="fr-FR"/>
        </w:rPr>
        <w:t>Au nombre</w:t>
      </w:r>
      <w:r w:rsidR="0053796B" w:rsidRPr="000F7862">
        <w:rPr>
          <w:lang w:val="fr-FR"/>
        </w:rPr>
        <w:t xml:space="preserve"> des </w:t>
      </w:r>
      <w:r w:rsidR="001B2C4E" w:rsidRPr="000F7862">
        <w:rPr>
          <w:lang w:val="fr-FR"/>
        </w:rPr>
        <w:t>résultats escomptés</w:t>
      </w:r>
      <w:r w:rsidR="0053796B" w:rsidRPr="000F7862">
        <w:rPr>
          <w:lang w:val="fr-FR"/>
        </w:rPr>
        <w:t xml:space="preserve"> du projet </w:t>
      </w:r>
      <w:r w:rsidR="001B2C4E" w:rsidRPr="000F7862">
        <w:rPr>
          <w:lang w:val="fr-FR"/>
        </w:rPr>
        <w:t>figur</w:t>
      </w:r>
      <w:r w:rsidR="00644ECD" w:rsidRPr="000F7862">
        <w:rPr>
          <w:lang w:val="fr-FR"/>
        </w:rPr>
        <w:t>e</w:t>
      </w:r>
      <w:r w:rsidR="0053796B" w:rsidRPr="000F7862">
        <w:rPr>
          <w:lang w:val="fr-FR"/>
        </w:rPr>
        <w:t xml:space="preserve"> la formation à la création d</w:t>
      </w:r>
      <w:r w:rsidR="00120E2E" w:rsidRPr="000F7862">
        <w:rPr>
          <w:lang w:val="fr-FR"/>
        </w:rPr>
        <w:t>’</w:t>
      </w:r>
      <w:r w:rsidR="0053796B" w:rsidRPr="000F7862">
        <w:rPr>
          <w:lang w:val="fr-FR"/>
        </w:rPr>
        <w:t xml:space="preserve">entreprise </w:t>
      </w:r>
      <w:r w:rsidR="00644ECD" w:rsidRPr="000F7862">
        <w:rPr>
          <w:lang w:val="fr-FR"/>
        </w:rPr>
        <w:t>de</w:t>
      </w:r>
      <w:r w:rsidR="0053796B" w:rsidRPr="000F7862">
        <w:rPr>
          <w:lang w:val="fr-FR"/>
        </w:rPr>
        <w:t xml:space="preserve"> jeunes défavorisés âgés de </w:t>
      </w:r>
      <w:r w:rsidR="0086185C" w:rsidRPr="000F7862">
        <w:rPr>
          <w:lang w:val="fr-FR"/>
        </w:rPr>
        <w:t>15</w:t>
      </w:r>
      <w:r w:rsidR="0053796B" w:rsidRPr="000F7862">
        <w:rPr>
          <w:lang w:val="fr-FR"/>
        </w:rPr>
        <w:t xml:space="preserve"> à </w:t>
      </w:r>
      <w:r w:rsidR="0086185C" w:rsidRPr="000F7862">
        <w:rPr>
          <w:lang w:val="fr-FR"/>
        </w:rPr>
        <w:t>24</w:t>
      </w:r>
      <w:r w:rsidR="00796D18" w:rsidRPr="000F7862">
        <w:rPr>
          <w:lang w:val="fr-FR"/>
        </w:rPr>
        <w:t> </w:t>
      </w:r>
      <w:r w:rsidR="0053796B" w:rsidRPr="000F7862">
        <w:rPr>
          <w:lang w:val="fr-FR"/>
        </w:rPr>
        <w:t>ans</w:t>
      </w:r>
      <w:r w:rsidR="0086185C" w:rsidRPr="000F7862">
        <w:rPr>
          <w:lang w:val="fr-FR"/>
        </w:rPr>
        <w:t xml:space="preserve">. </w:t>
      </w:r>
      <w:r w:rsidR="00644ECD" w:rsidRPr="000F7862">
        <w:rPr>
          <w:lang w:val="fr-FR"/>
        </w:rPr>
        <w:t>En outre</w:t>
      </w:r>
      <w:r w:rsidR="0053796B" w:rsidRPr="000F7862">
        <w:rPr>
          <w:lang w:val="fr-FR"/>
        </w:rPr>
        <w:t>, ce projet a utilisé le module de l</w:t>
      </w:r>
      <w:r w:rsidR="00120E2E" w:rsidRPr="000F7862">
        <w:rPr>
          <w:lang w:val="fr-FR"/>
        </w:rPr>
        <w:t>’</w:t>
      </w:r>
      <w:r w:rsidR="0053796B" w:rsidRPr="000F7862">
        <w:rPr>
          <w:lang w:val="fr-FR"/>
        </w:rPr>
        <w:t xml:space="preserve">Organisation internationale du Travail </w:t>
      </w:r>
      <w:r w:rsidR="00644ECD" w:rsidRPr="000F7862">
        <w:rPr>
          <w:lang w:val="fr-FR"/>
        </w:rPr>
        <w:t>intitulé</w:t>
      </w:r>
      <w:r w:rsidR="0053796B" w:rsidRPr="000F7862">
        <w:rPr>
          <w:lang w:val="fr-FR"/>
        </w:rPr>
        <w:t xml:space="preserve"> </w:t>
      </w:r>
      <w:r w:rsidR="0053796B" w:rsidRPr="000F7862">
        <w:rPr>
          <w:i/>
          <w:iCs/>
          <w:lang w:val="fr-FR"/>
        </w:rPr>
        <w:t>Démarrez votre entreprise et gérez mieux votre affaire</w:t>
      </w:r>
      <w:r w:rsidR="0086185C" w:rsidRPr="000F7862">
        <w:rPr>
          <w:lang w:val="fr-FR"/>
        </w:rPr>
        <w:t xml:space="preserve">. </w:t>
      </w:r>
      <w:r w:rsidR="0053796B" w:rsidRPr="000F7862">
        <w:rPr>
          <w:lang w:val="fr-FR"/>
        </w:rPr>
        <w:t>En 2012, les résultats du projet ont été les suivants</w:t>
      </w:r>
      <w:r w:rsidR="0005004C" w:rsidRPr="000F7862">
        <w:rPr>
          <w:lang w:val="fr-FR"/>
        </w:rPr>
        <w:t>:</w:t>
      </w:r>
      <w:r w:rsidR="0086185C" w:rsidRPr="000F7862">
        <w:rPr>
          <w:lang w:val="fr-FR"/>
        </w:rPr>
        <w:t xml:space="preserve"> 480 </w:t>
      </w:r>
      <w:r w:rsidR="0053796B" w:rsidRPr="000F7862">
        <w:rPr>
          <w:lang w:val="fr-FR"/>
        </w:rPr>
        <w:t>jeunes défavorisés ont suivi une formation à la création d</w:t>
      </w:r>
      <w:r w:rsidR="00120E2E" w:rsidRPr="000F7862">
        <w:rPr>
          <w:lang w:val="fr-FR"/>
        </w:rPr>
        <w:t>’</w:t>
      </w:r>
      <w:r w:rsidR="0053796B" w:rsidRPr="000F7862">
        <w:rPr>
          <w:lang w:val="fr-FR"/>
        </w:rPr>
        <w:t>entreprise</w:t>
      </w:r>
      <w:r w:rsidR="00F95298" w:rsidRPr="000F7862">
        <w:rPr>
          <w:lang w:val="fr-FR"/>
        </w:rPr>
        <w:t xml:space="preserve">, notamment </w:t>
      </w:r>
      <w:r w:rsidR="00A01D2B" w:rsidRPr="000F7862">
        <w:rPr>
          <w:lang w:val="fr-FR"/>
        </w:rPr>
        <w:t>d</w:t>
      </w:r>
      <w:r w:rsidR="00F95298" w:rsidRPr="000F7862">
        <w:rPr>
          <w:lang w:val="fr-FR"/>
        </w:rPr>
        <w:t>es diplômés des centres de formation technique et professionnelle et les bénéficiaires d</w:t>
      </w:r>
      <w:r w:rsidR="00120E2E" w:rsidRPr="000F7862">
        <w:rPr>
          <w:lang w:val="fr-FR"/>
        </w:rPr>
        <w:t>’</w:t>
      </w:r>
      <w:r w:rsidR="00F95298" w:rsidRPr="000F7862">
        <w:rPr>
          <w:lang w:val="fr-FR"/>
        </w:rPr>
        <w:t>une allocation scolaire;</w:t>
      </w:r>
      <w:r w:rsidR="0086185C" w:rsidRPr="000F7862">
        <w:rPr>
          <w:lang w:val="fr-FR"/>
        </w:rPr>
        <w:t xml:space="preserve"> </w:t>
      </w:r>
      <w:r w:rsidR="00F95298" w:rsidRPr="000F7862">
        <w:rPr>
          <w:lang w:val="fr-FR"/>
        </w:rPr>
        <w:t>240</w:t>
      </w:r>
      <w:r w:rsidR="00210BAD" w:rsidRPr="000F7862">
        <w:rPr>
          <w:lang w:val="fr-FR"/>
        </w:rPr>
        <w:t xml:space="preserve"> des 254</w:t>
      </w:r>
      <w:r w:rsidR="00F95298" w:rsidRPr="000F7862">
        <w:rPr>
          <w:lang w:val="fr-FR"/>
        </w:rPr>
        <w:t xml:space="preserve"> jeunes désavantagés ciblés </w:t>
      </w:r>
      <w:r w:rsidR="003C5787" w:rsidRPr="000F7862">
        <w:rPr>
          <w:lang w:val="fr-FR"/>
        </w:rPr>
        <w:t>ayant un</w:t>
      </w:r>
      <w:r w:rsidR="00F95298" w:rsidRPr="000F7862">
        <w:rPr>
          <w:lang w:val="fr-FR"/>
        </w:rPr>
        <w:t xml:space="preserve"> plan d</w:t>
      </w:r>
      <w:r w:rsidR="00120E2E" w:rsidRPr="000F7862">
        <w:rPr>
          <w:lang w:val="fr-FR"/>
        </w:rPr>
        <w:t>’</w:t>
      </w:r>
      <w:r w:rsidR="00F95298" w:rsidRPr="000F7862">
        <w:rPr>
          <w:lang w:val="fr-FR"/>
        </w:rPr>
        <w:t xml:space="preserve">entreprise </w:t>
      </w:r>
      <w:r w:rsidR="003C5787" w:rsidRPr="000F7862">
        <w:rPr>
          <w:lang w:val="fr-FR"/>
        </w:rPr>
        <w:t>réalisable</w:t>
      </w:r>
      <w:r w:rsidR="00F95298" w:rsidRPr="000F7862">
        <w:rPr>
          <w:lang w:val="fr-FR"/>
        </w:rPr>
        <w:t xml:space="preserve"> ont reçu un matériel de démarrage et </w:t>
      </w:r>
      <w:r w:rsidR="0086185C" w:rsidRPr="000F7862">
        <w:rPr>
          <w:lang w:val="fr-FR"/>
        </w:rPr>
        <w:t xml:space="preserve">96 </w:t>
      </w:r>
      <w:r w:rsidR="003C5787" w:rsidRPr="000F7862">
        <w:rPr>
          <w:lang w:val="fr-FR"/>
        </w:rPr>
        <w:t xml:space="preserve">des 151 </w:t>
      </w:r>
      <w:r w:rsidR="00F95298" w:rsidRPr="000F7862">
        <w:rPr>
          <w:lang w:val="fr-FR"/>
        </w:rPr>
        <w:t>jeunes désavantagés</w:t>
      </w:r>
      <w:r w:rsidR="003C5787" w:rsidRPr="000F7862">
        <w:rPr>
          <w:lang w:val="fr-FR"/>
        </w:rPr>
        <w:t xml:space="preserve"> </w:t>
      </w:r>
      <w:r w:rsidR="00F95298" w:rsidRPr="000F7862">
        <w:rPr>
          <w:lang w:val="fr-FR"/>
        </w:rPr>
        <w:t>ont créé leur propre microent</w:t>
      </w:r>
      <w:r w:rsidR="009B3DB1" w:rsidRPr="000F7862">
        <w:rPr>
          <w:lang w:val="fr-FR"/>
        </w:rPr>
        <w:t>re</w:t>
      </w:r>
      <w:r w:rsidR="00F95298" w:rsidRPr="000F7862">
        <w:rPr>
          <w:lang w:val="fr-FR"/>
        </w:rPr>
        <w:t>prise</w:t>
      </w:r>
      <w:r w:rsidR="0086185C" w:rsidRPr="000F7862">
        <w:rPr>
          <w:lang w:val="fr-FR"/>
        </w:rPr>
        <w:t>.</w:t>
      </w:r>
    </w:p>
    <w:p w:rsidR="0086185C" w:rsidRPr="000F7862" w:rsidRDefault="009B3DB1" w:rsidP="009B3DB1">
      <w:pPr>
        <w:pStyle w:val="H23G"/>
        <w:rPr>
          <w:lang w:val="fr-FR"/>
        </w:rPr>
      </w:pPr>
      <w:r w:rsidRPr="000F7862">
        <w:rPr>
          <w:lang w:val="fr-FR"/>
        </w:rPr>
        <w:tab/>
      </w:r>
      <w:r w:rsidRPr="000F7862">
        <w:rPr>
          <w:lang w:val="fr-FR"/>
        </w:rPr>
        <w:tab/>
      </w:r>
      <w:r w:rsidR="00D80E90" w:rsidRPr="000F7862">
        <w:rPr>
          <w:lang w:val="fr-FR"/>
        </w:rPr>
        <w:t xml:space="preserve">Assistance technique et professionnelle </w:t>
      </w:r>
    </w:p>
    <w:p w:rsidR="0086185C" w:rsidRPr="000F7862" w:rsidRDefault="003F7F57" w:rsidP="003F7F57">
      <w:pPr>
        <w:pStyle w:val="SingleTxtG"/>
        <w:rPr>
          <w:lang w:val="fr-FR"/>
        </w:rPr>
      </w:pPr>
      <w:r w:rsidRPr="000F7862">
        <w:rPr>
          <w:lang w:val="fr-FR"/>
        </w:rPr>
        <w:t>89.</w:t>
      </w:r>
      <w:r w:rsidRPr="000F7862">
        <w:rPr>
          <w:lang w:val="fr-FR"/>
        </w:rPr>
        <w:tab/>
      </w:r>
      <w:r w:rsidR="00D80E90" w:rsidRPr="000F7862">
        <w:rPr>
          <w:lang w:val="fr-FR"/>
        </w:rPr>
        <w:t>L</w:t>
      </w:r>
      <w:r w:rsidR="00120E2E" w:rsidRPr="000F7862">
        <w:rPr>
          <w:lang w:val="fr-FR"/>
        </w:rPr>
        <w:t>’</w:t>
      </w:r>
      <w:r w:rsidR="00D80E90" w:rsidRPr="000F7862">
        <w:rPr>
          <w:lang w:val="fr-FR"/>
        </w:rPr>
        <w:t>Office pour l</w:t>
      </w:r>
      <w:r w:rsidR="00120E2E" w:rsidRPr="000F7862">
        <w:rPr>
          <w:lang w:val="fr-FR"/>
        </w:rPr>
        <w:t>’</w:t>
      </w:r>
      <w:r w:rsidR="00D80E90" w:rsidRPr="000F7862">
        <w:rPr>
          <w:lang w:val="fr-FR"/>
        </w:rPr>
        <w:t>enseignement technique et le perfectionnement des compétences (TESDA), qui est l</w:t>
      </w:r>
      <w:r w:rsidR="00120E2E" w:rsidRPr="000F7862">
        <w:rPr>
          <w:lang w:val="fr-FR"/>
        </w:rPr>
        <w:t>’</w:t>
      </w:r>
      <w:r w:rsidR="00D80E90" w:rsidRPr="000F7862">
        <w:rPr>
          <w:lang w:val="fr-FR"/>
        </w:rPr>
        <w:t>organisme public chargé de l</w:t>
      </w:r>
      <w:r w:rsidR="00120E2E" w:rsidRPr="000F7862">
        <w:rPr>
          <w:lang w:val="fr-FR"/>
        </w:rPr>
        <w:t>’</w:t>
      </w:r>
      <w:r w:rsidR="00D80E90" w:rsidRPr="000F7862">
        <w:rPr>
          <w:lang w:val="fr-FR"/>
        </w:rPr>
        <w:t>enseignement et de la formation techniques et professionnels,</w:t>
      </w:r>
      <w:r w:rsidR="0086185C" w:rsidRPr="000F7862">
        <w:rPr>
          <w:lang w:val="fr-FR"/>
        </w:rPr>
        <w:t xml:space="preserve"> </w:t>
      </w:r>
      <w:r w:rsidR="00D80E90" w:rsidRPr="000F7862">
        <w:rPr>
          <w:lang w:val="fr-FR"/>
        </w:rPr>
        <w:t xml:space="preserve">fournit des orientations et exécute des </w:t>
      </w:r>
      <w:r w:rsidR="00867E43" w:rsidRPr="000F7862">
        <w:rPr>
          <w:lang w:val="fr-FR"/>
        </w:rPr>
        <w:t>programmes</w:t>
      </w:r>
      <w:r w:rsidR="0086185C" w:rsidRPr="000F7862">
        <w:rPr>
          <w:lang w:val="fr-FR"/>
        </w:rPr>
        <w:t xml:space="preserve"> </w:t>
      </w:r>
      <w:r w:rsidR="00D80E90" w:rsidRPr="000F7862">
        <w:rPr>
          <w:lang w:val="fr-FR"/>
        </w:rPr>
        <w:t>à l</w:t>
      </w:r>
      <w:r w:rsidR="00120E2E" w:rsidRPr="000F7862">
        <w:rPr>
          <w:lang w:val="fr-FR"/>
        </w:rPr>
        <w:t>’</w:t>
      </w:r>
      <w:r w:rsidR="00D80E90" w:rsidRPr="000F7862">
        <w:rPr>
          <w:lang w:val="fr-FR"/>
        </w:rPr>
        <w:t>intention des jeunes scolarisés ou non et des membres du public qui s</w:t>
      </w:r>
      <w:r w:rsidR="00120E2E" w:rsidRPr="000F7862">
        <w:rPr>
          <w:lang w:val="fr-FR"/>
        </w:rPr>
        <w:t>’</w:t>
      </w:r>
      <w:r w:rsidR="00D80E90" w:rsidRPr="000F7862">
        <w:rPr>
          <w:lang w:val="fr-FR"/>
        </w:rPr>
        <w:t>intéressent à l</w:t>
      </w:r>
      <w:r w:rsidR="00120E2E" w:rsidRPr="000F7862">
        <w:rPr>
          <w:lang w:val="fr-FR"/>
        </w:rPr>
        <w:t>’</w:t>
      </w:r>
      <w:r w:rsidR="00D80E90" w:rsidRPr="000F7862">
        <w:rPr>
          <w:lang w:val="fr-FR"/>
        </w:rPr>
        <w:t>enseignement et à la formation techniques et professionnels.</w:t>
      </w:r>
    </w:p>
    <w:p w:rsidR="0086185C" w:rsidRPr="000F7862" w:rsidRDefault="003F7F57" w:rsidP="003F7F57">
      <w:pPr>
        <w:pStyle w:val="SingleTxtG"/>
        <w:rPr>
          <w:lang w:val="fr-FR"/>
        </w:rPr>
      </w:pPr>
      <w:r w:rsidRPr="000F7862">
        <w:rPr>
          <w:lang w:val="fr-FR"/>
        </w:rPr>
        <w:t>90.</w:t>
      </w:r>
      <w:r w:rsidRPr="000F7862">
        <w:rPr>
          <w:lang w:val="fr-FR"/>
        </w:rPr>
        <w:tab/>
      </w:r>
      <w:r w:rsidR="00D80E90" w:rsidRPr="000F7862">
        <w:rPr>
          <w:lang w:val="fr-FR"/>
        </w:rPr>
        <w:t xml:space="preserve">Le </w:t>
      </w:r>
      <w:r w:rsidR="0086185C" w:rsidRPr="000F7862">
        <w:rPr>
          <w:lang w:val="fr-FR"/>
        </w:rPr>
        <w:t xml:space="preserve">TESDA </w:t>
      </w:r>
      <w:r w:rsidR="000C6160" w:rsidRPr="000F7862">
        <w:rPr>
          <w:lang w:val="fr-FR"/>
        </w:rPr>
        <w:t>fournit également des orientations dans les domaines de l</w:t>
      </w:r>
      <w:r w:rsidR="00120E2E" w:rsidRPr="000F7862">
        <w:rPr>
          <w:lang w:val="fr-FR"/>
        </w:rPr>
        <w:t>’</w:t>
      </w:r>
      <w:r w:rsidR="000C6160" w:rsidRPr="000F7862">
        <w:rPr>
          <w:lang w:val="fr-FR"/>
        </w:rPr>
        <w:t>information sur le marché de l</w:t>
      </w:r>
      <w:r w:rsidR="00120E2E" w:rsidRPr="000F7862">
        <w:rPr>
          <w:lang w:val="fr-FR"/>
        </w:rPr>
        <w:t>’</w:t>
      </w:r>
      <w:r w:rsidR="000C6160" w:rsidRPr="000F7862">
        <w:rPr>
          <w:lang w:val="fr-FR"/>
        </w:rPr>
        <w:t>emploi, de la cartographie des compétences</w:t>
      </w:r>
      <w:r w:rsidR="0086185C" w:rsidRPr="000F7862">
        <w:rPr>
          <w:lang w:val="fr-FR"/>
        </w:rPr>
        <w:t xml:space="preserve"> </w:t>
      </w:r>
      <w:r w:rsidR="000C6160" w:rsidRPr="000F7862">
        <w:rPr>
          <w:lang w:val="fr-FR"/>
        </w:rPr>
        <w:t>à l</w:t>
      </w:r>
      <w:r w:rsidR="00120E2E" w:rsidRPr="000F7862">
        <w:rPr>
          <w:lang w:val="fr-FR"/>
        </w:rPr>
        <w:t>’</w:t>
      </w:r>
      <w:r w:rsidR="000C6160" w:rsidRPr="000F7862">
        <w:rPr>
          <w:lang w:val="fr-FR"/>
        </w:rPr>
        <w:t>échelon national</w:t>
      </w:r>
      <w:r w:rsidR="0086185C" w:rsidRPr="000F7862">
        <w:rPr>
          <w:lang w:val="fr-FR"/>
        </w:rPr>
        <w:t xml:space="preserve">, </w:t>
      </w:r>
      <w:r w:rsidR="008B6D08" w:rsidRPr="000F7862">
        <w:rPr>
          <w:lang w:val="fr-FR"/>
        </w:rPr>
        <w:t xml:space="preserve">du </w:t>
      </w:r>
      <w:r w:rsidR="0086185C" w:rsidRPr="000F7862">
        <w:rPr>
          <w:lang w:val="fr-FR"/>
        </w:rPr>
        <w:t xml:space="preserve">marketing </w:t>
      </w:r>
      <w:r w:rsidR="008B6D08" w:rsidRPr="000F7862">
        <w:rPr>
          <w:lang w:val="fr-FR"/>
        </w:rPr>
        <w:t>social sur l</w:t>
      </w:r>
      <w:r w:rsidR="00120E2E" w:rsidRPr="000F7862">
        <w:rPr>
          <w:lang w:val="fr-FR"/>
        </w:rPr>
        <w:t>’</w:t>
      </w:r>
      <w:r w:rsidR="008B6D08" w:rsidRPr="000F7862">
        <w:rPr>
          <w:lang w:val="fr-FR"/>
        </w:rPr>
        <w:t>enseignement et la formation techniques et professionnels</w:t>
      </w:r>
      <w:r w:rsidR="0086185C" w:rsidRPr="000F7862">
        <w:rPr>
          <w:lang w:val="fr-FR"/>
        </w:rPr>
        <w:t xml:space="preserve">, </w:t>
      </w:r>
      <w:r w:rsidR="008B6D08" w:rsidRPr="000F7862">
        <w:rPr>
          <w:lang w:val="fr-FR"/>
        </w:rPr>
        <w:t xml:space="preserve">et de la </w:t>
      </w:r>
      <w:r w:rsidR="0086185C" w:rsidRPr="000F7862">
        <w:rPr>
          <w:lang w:val="fr-FR"/>
        </w:rPr>
        <w:t>g</w:t>
      </w:r>
      <w:r w:rsidR="008B6D08" w:rsidRPr="000F7862">
        <w:rPr>
          <w:lang w:val="fr-FR"/>
        </w:rPr>
        <w:t>é</w:t>
      </w:r>
      <w:r w:rsidR="0086185C" w:rsidRPr="000F7862">
        <w:rPr>
          <w:lang w:val="fr-FR"/>
        </w:rPr>
        <w:t>n</w:t>
      </w:r>
      <w:r w:rsidR="008B6D08" w:rsidRPr="000F7862">
        <w:rPr>
          <w:lang w:val="fr-FR"/>
        </w:rPr>
        <w:t>é</w:t>
      </w:r>
      <w:r w:rsidR="0086185C" w:rsidRPr="000F7862">
        <w:rPr>
          <w:lang w:val="fr-FR"/>
        </w:rPr>
        <w:t xml:space="preserve">ration </w:t>
      </w:r>
      <w:r w:rsidR="008B6D08" w:rsidRPr="000F7862">
        <w:rPr>
          <w:lang w:val="fr-FR"/>
        </w:rPr>
        <w:t>et de la mobilis</w:t>
      </w:r>
      <w:r w:rsidR="0086185C" w:rsidRPr="000F7862">
        <w:rPr>
          <w:lang w:val="fr-FR"/>
        </w:rPr>
        <w:t>ation</w:t>
      </w:r>
      <w:r w:rsidR="008B6D08" w:rsidRPr="000F7862">
        <w:rPr>
          <w:lang w:val="fr-FR"/>
        </w:rPr>
        <w:t xml:space="preserve"> de ressources</w:t>
      </w:r>
      <w:r w:rsidR="0086185C" w:rsidRPr="000F7862">
        <w:rPr>
          <w:lang w:val="fr-FR"/>
        </w:rPr>
        <w:t>.</w:t>
      </w:r>
    </w:p>
    <w:p w:rsidR="0086185C" w:rsidRPr="000F7862" w:rsidRDefault="003F7F57" w:rsidP="003F7F57">
      <w:pPr>
        <w:pStyle w:val="SingleTxtG"/>
        <w:rPr>
          <w:lang w:val="fr-FR"/>
        </w:rPr>
      </w:pPr>
      <w:r w:rsidRPr="000F7862">
        <w:rPr>
          <w:lang w:val="fr-FR"/>
        </w:rPr>
        <w:t>91.</w:t>
      </w:r>
      <w:r w:rsidRPr="000F7862">
        <w:rPr>
          <w:lang w:val="fr-FR"/>
        </w:rPr>
        <w:tab/>
      </w:r>
      <w:r w:rsidR="008B6D08" w:rsidRPr="000F7862">
        <w:rPr>
          <w:lang w:val="fr-FR"/>
        </w:rPr>
        <w:t>E</w:t>
      </w:r>
      <w:r w:rsidR="0086185C" w:rsidRPr="000F7862">
        <w:rPr>
          <w:lang w:val="fr-FR"/>
        </w:rPr>
        <w:t>n coop</w:t>
      </w:r>
      <w:r w:rsidR="008B6D08" w:rsidRPr="000F7862">
        <w:rPr>
          <w:lang w:val="fr-FR"/>
        </w:rPr>
        <w:t>é</w:t>
      </w:r>
      <w:r w:rsidR="0086185C" w:rsidRPr="000F7862">
        <w:rPr>
          <w:lang w:val="fr-FR"/>
        </w:rPr>
        <w:t xml:space="preserve">ration </w:t>
      </w:r>
      <w:r w:rsidR="008B6D08" w:rsidRPr="000F7862">
        <w:rPr>
          <w:lang w:val="fr-FR"/>
        </w:rPr>
        <w:t>avec des entreprises publiques et privées</w:t>
      </w:r>
      <w:r w:rsidR="0086185C" w:rsidRPr="000F7862">
        <w:rPr>
          <w:lang w:val="fr-FR"/>
        </w:rPr>
        <w:t xml:space="preserve">, </w:t>
      </w:r>
      <w:r w:rsidR="008B6D08" w:rsidRPr="000F7862">
        <w:rPr>
          <w:lang w:val="fr-FR"/>
        </w:rPr>
        <w:t xml:space="preserve">le TESDA évalue et certifie les compétences des </w:t>
      </w:r>
      <w:r w:rsidR="009B3DB1" w:rsidRPr="000F7862">
        <w:rPr>
          <w:lang w:val="fr-FR"/>
        </w:rPr>
        <w:t>travailleurs</w:t>
      </w:r>
      <w:r w:rsidR="008B6D08" w:rsidRPr="000F7862">
        <w:rPr>
          <w:lang w:val="fr-FR"/>
        </w:rPr>
        <w:t xml:space="preserve"> afin d</w:t>
      </w:r>
      <w:r w:rsidR="00120E2E" w:rsidRPr="000F7862">
        <w:rPr>
          <w:lang w:val="fr-FR"/>
        </w:rPr>
        <w:t>’</w:t>
      </w:r>
      <w:r w:rsidR="008B6D08" w:rsidRPr="000F7862">
        <w:rPr>
          <w:lang w:val="fr-FR"/>
        </w:rPr>
        <w:t xml:space="preserve">améliorer la </w:t>
      </w:r>
      <w:r w:rsidR="0086185C" w:rsidRPr="000F7862">
        <w:rPr>
          <w:lang w:val="fr-FR"/>
        </w:rPr>
        <w:t>productivit</w:t>
      </w:r>
      <w:r w:rsidR="008B6D08" w:rsidRPr="000F7862">
        <w:rPr>
          <w:lang w:val="fr-FR"/>
        </w:rPr>
        <w:t>é</w:t>
      </w:r>
      <w:r w:rsidR="0086185C" w:rsidRPr="000F7862">
        <w:rPr>
          <w:lang w:val="fr-FR"/>
        </w:rPr>
        <w:t>.</w:t>
      </w:r>
      <w:r w:rsidR="00446EA5" w:rsidRPr="000F7862">
        <w:rPr>
          <w:lang w:val="fr-FR"/>
        </w:rPr>
        <w:t xml:space="preserve"> </w:t>
      </w:r>
      <w:r w:rsidR="008B6D08" w:rsidRPr="000F7862">
        <w:rPr>
          <w:lang w:val="fr-FR"/>
        </w:rPr>
        <w:t xml:space="preserve">Pour les jeunes, il </w:t>
      </w:r>
      <w:r w:rsidR="0086185C" w:rsidRPr="000F7862">
        <w:rPr>
          <w:lang w:val="fr-FR"/>
        </w:rPr>
        <w:t xml:space="preserve">continue </w:t>
      </w:r>
      <w:r w:rsidR="008B6D08" w:rsidRPr="000F7862">
        <w:rPr>
          <w:lang w:val="fr-FR"/>
        </w:rPr>
        <w:t>de dispenser une formation par l</w:t>
      </w:r>
      <w:r w:rsidR="00120E2E" w:rsidRPr="000F7862">
        <w:rPr>
          <w:lang w:val="fr-FR"/>
        </w:rPr>
        <w:t>’</w:t>
      </w:r>
      <w:r w:rsidR="008B6D08" w:rsidRPr="000F7862">
        <w:rPr>
          <w:lang w:val="fr-FR"/>
        </w:rPr>
        <w:t xml:space="preserve">intermédiaire de son réseau </w:t>
      </w:r>
      <w:r w:rsidR="001E5A44" w:rsidRPr="000F7862">
        <w:rPr>
          <w:lang w:val="fr-FR"/>
        </w:rPr>
        <w:t>d</w:t>
      </w:r>
      <w:r w:rsidR="00120E2E" w:rsidRPr="000F7862">
        <w:rPr>
          <w:lang w:val="fr-FR"/>
        </w:rPr>
        <w:t>’</w:t>
      </w:r>
      <w:r w:rsidR="001E5A44" w:rsidRPr="000F7862">
        <w:rPr>
          <w:lang w:val="fr-FR"/>
        </w:rPr>
        <w:t>instituts techniques accrédités</w:t>
      </w:r>
      <w:r w:rsidR="0086185C" w:rsidRPr="000F7862">
        <w:rPr>
          <w:lang w:val="fr-FR"/>
        </w:rPr>
        <w:t xml:space="preserve">. </w:t>
      </w:r>
      <w:r w:rsidR="001E5A44" w:rsidRPr="000F7862">
        <w:rPr>
          <w:lang w:val="fr-FR"/>
        </w:rPr>
        <w:t>Il fournit également des bourses d</w:t>
      </w:r>
      <w:r w:rsidR="00120E2E" w:rsidRPr="000F7862">
        <w:rPr>
          <w:lang w:val="fr-FR"/>
        </w:rPr>
        <w:t>’</w:t>
      </w:r>
      <w:r w:rsidR="001E5A44" w:rsidRPr="000F7862">
        <w:rPr>
          <w:lang w:val="fr-FR"/>
        </w:rPr>
        <w:t>études pour élargir l</w:t>
      </w:r>
      <w:r w:rsidR="00120E2E" w:rsidRPr="000F7862">
        <w:rPr>
          <w:lang w:val="fr-FR"/>
        </w:rPr>
        <w:t>’</w:t>
      </w:r>
      <w:r w:rsidR="001E5A44" w:rsidRPr="000F7862">
        <w:rPr>
          <w:lang w:val="fr-FR"/>
        </w:rPr>
        <w:t>accès aux possibilités d</w:t>
      </w:r>
      <w:r w:rsidR="00120E2E" w:rsidRPr="000F7862">
        <w:rPr>
          <w:lang w:val="fr-FR"/>
        </w:rPr>
        <w:t>’</w:t>
      </w:r>
      <w:r w:rsidR="001E5A44" w:rsidRPr="000F7862">
        <w:rPr>
          <w:lang w:val="fr-FR"/>
        </w:rPr>
        <w:t>enseignement et de formation techniques et professionnels</w:t>
      </w:r>
      <w:r w:rsidR="0086185C" w:rsidRPr="000F7862">
        <w:rPr>
          <w:lang w:val="fr-FR"/>
        </w:rPr>
        <w:t>.</w:t>
      </w:r>
    </w:p>
    <w:p w:rsidR="0086185C" w:rsidRPr="000F7862" w:rsidRDefault="009B3DB1" w:rsidP="009B3DB1">
      <w:pPr>
        <w:pStyle w:val="H23G"/>
        <w:rPr>
          <w:lang w:val="fr-FR"/>
        </w:rPr>
      </w:pPr>
      <w:r w:rsidRPr="000F7862">
        <w:rPr>
          <w:lang w:val="fr-FR"/>
        </w:rPr>
        <w:tab/>
      </w:r>
      <w:r w:rsidRPr="000F7862">
        <w:rPr>
          <w:lang w:val="fr-FR"/>
        </w:rPr>
        <w:tab/>
      </w:r>
      <w:r w:rsidR="001E5A44" w:rsidRPr="000F7862">
        <w:rPr>
          <w:lang w:val="fr-FR"/>
        </w:rPr>
        <w:t>Programmes d</w:t>
      </w:r>
      <w:r w:rsidR="00120E2E" w:rsidRPr="000F7862">
        <w:rPr>
          <w:lang w:val="fr-FR"/>
        </w:rPr>
        <w:t>’</w:t>
      </w:r>
      <w:r w:rsidR="001E5A44" w:rsidRPr="000F7862">
        <w:rPr>
          <w:lang w:val="fr-FR"/>
        </w:rPr>
        <w:t xml:space="preserve">apprentissage </w:t>
      </w:r>
      <w:r w:rsidR="00DC1BF9" w:rsidRPr="000F7862">
        <w:rPr>
          <w:lang w:val="fr-FR"/>
        </w:rPr>
        <w:t xml:space="preserve">et </w:t>
      </w:r>
      <w:r w:rsidR="008A33F6" w:rsidRPr="000F7862">
        <w:rPr>
          <w:lang w:val="fr-FR"/>
        </w:rPr>
        <w:t xml:space="preserve">de formation en </w:t>
      </w:r>
      <w:r w:rsidR="00DC1BF9" w:rsidRPr="000F7862">
        <w:rPr>
          <w:lang w:val="fr-FR"/>
        </w:rPr>
        <w:t>alternance</w:t>
      </w:r>
    </w:p>
    <w:p w:rsidR="0086185C" w:rsidRPr="000F7862" w:rsidRDefault="003F7F57" w:rsidP="003F7F57">
      <w:pPr>
        <w:pStyle w:val="SingleTxtG"/>
        <w:rPr>
          <w:lang w:val="fr-FR"/>
        </w:rPr>
      </w:pPr>
      <w:r w:rsidRPr="000F7862">
        <w:rPr>
          <w:lang w:val="fr-FR"/>
        </w:rPr>
        <w:t>92.</w:t>
      </w:r>
      <w:r w:rsidRPr="000F7862">
        <w:rPr>
          <w:lang w:val="fr-FR"/>
        </w:rPr>
        <w:tab/>
      </w:r>
      <w:r w:rsidR="00DC1BF9" w:rsidRPr="000F7862">
        <w:rPr>
          <w:lang w:val="fr-FR"/>
        </w:rPr>
        <w:t>Une entreprise</w:t>
      </w:r>
      <w:r w:rsidR="008E2377" w:rsidRPr="000F7862">
        <w:rPr>
          <w:lang w:val="fr-FR"/>
        </w:rPr>
        <w:t xml:space="preserve"> cherchant à recruter des apprentis fait une demande d</w:t>
      </w:r>
      <w:r w:rsidR="00120E2E" w:rsidRPr="000F7862">
        <w:rPr>
          <w:lang w:val="fr-FR"/>
        </w:rPr>
        <w:t>’</w:t>
      </w:r>
      <w:r w:rsidR="008E2377" w:rsidRPr="000F7862">
        <w:rPr>
          <w:lang w:val="fr-FR"/>
        </w:rPr>
        <w:t xml:space="preserve">enregistrement auprès du </w:t>
      </w:r>
      <w:r w:rsidR="0086185C" w:rsidRPr="000F7862">
        <w:rPr>
          <w:lang w:val="fr-FR"/>
        </w:rPr>
        <w:t xml:space="preserve">TESDA </w:t>
      </w:r>
      <w:r w:rsidR="008E2377" w:rsidRPr="000F7862">
        <w:rPr>
          <w:lang w:val="fr-FR"/>
        </w:rPr>
        <w:t>avant d</w:t>
      </w:r>
      <w:r w:rsidR="00120E2E" w:rsidRPr="000F7862">
        <w:rPr>
          <w:lang w:val="fr-FR"/>
        </w:rPr>
        <w:t>’</w:t>
      </w:r>
      <w:r w:rsidR="008E2377" w:rsidRPr="000F7862">
        <w:rPr>
          <w:lang w:val="fr-FR"/>
        </w:rPr>
        <w:t>accepter des apprentis</w:t>
      </w:r>
      <w:r w:rsidR="0086185C" w:rsidRPr="000F7862">
        <w:rPr>
          <w:lang w:val="fr-FR"/>
        </w:rPr>
        <w:t xml:space="preserve">. </w:t>
      </w:r>
      <w:r w:rsidR="008E2377" w:rsidRPr="000F7862">
        <w:rPr>
          <w:lang w:val="fr-FR"/>
        </w:rPr>
        <w:t>L</w:t>
      </w:r>
      <w:r w:rsidR="00120E2E" w:rsidRPr="000F7862">
        <w:rPr>
          <w:lang w:val="fr-FR"/>
        </w:rPr>
        <w:t>’</w:t>
      </w:r>
      <w:r w:rsidR="008E2377" w:rsidRPr="000F7862">
        <w:rPr>
          <w:lang w:val="fr-FR"/>
        </w:rPr>
        <w:t>apprentissage s</w:t>
      </w:r>
      <w:r w:rsidR="00120E2E" w:rsidRPr="000F7862">
        <w:rPr>
          <w:lang w:val="fr-FR"/>
        </w:rPr>
        <w:t>’</w:t>
      </w:r>
      <w:r w:rsidR="008E2377" w:rsidRPr="000F7862">
        <w:rPr>
          <w:lang w:val="fr-FR"/>
        </w:rPr>
        <w:t>entend d</w:t>
      </w:r>
      <w:r w:rsidR="00120E2E" w:rsidRPr="000F7862">
        <w:rPr>
          <w:lang w:val="fr-FR"/>
        </w:rPr>
        <w:t>’</w:t>
      </w:r>
      <w:r w:rsidR="008E2377" w:rsidRPr="000F7862">
        <w:rPr>
          <w:lang w:val="fr-FR"/>
        </w:rPr>
        <w:t>une formation dans l</w:t>
      </w:r>
      <w:r w:rsidR="00120E2E" w:rsidRPr="000F7862">
        <w:rPr>
          <w:lang w:val="fr-FR"/>
        </w:rPr>
        <w:t>’</w:t>
      </w:r>
      <w:r w:rsidR="008E2377" w:rsidRPr="000F7862">
        <w:rPr>
          <w:lang w:val="fr-FR"/>
        </w:rPr>
        <w:t>emploi donnant lieu à des instructions théoriques obligatoires prévoyant un contrat entre un apprenti et un employeur au sujet d</w:t>
      </w:r>
      <w:r w:rsidR="00120E2E" w:rsidRPr="000F7862">
        <w:rPr>
          <w:lang w:val="fr-FR"/>
        </w:rPr>
        <w:t>’</w:t>
      </w:r>
      <w:r w:rsidR="008E2377" w:rsidRPr="000F7862">
        <w:rPr>
          <w:lang w:val="fr-FR"/>
        </w:rPr>
        <w:t>un métier faisant l</w:t>
      </w:r>
      <w:r w:rsidR="00120E2E" w:rsidRPr="000F7862">
        <w:rPr>
          <w:lang w:val="fr-FR"/>
        </w:rPr>
        <w:t>’</w:t>
      </w:r>
      <w:r w:rsidR="008E2377" w:rsidRPr="000F7862">
        <w:rPr>
          <w:lang w:val="fr-FR"/>
        </w:rPr>
        <w:t>objet d</w:t>
      </w:r>
      <w:r w:rsidR="00120E2E" w:rsidRPr="000F7862">
        <w:rPr>
          <w:lang w:val="fr-FR"/>
        </w:rPr>
        <w:t>’</w:t>
      </w:r>
      <w:r w:rsidR="008E2377" w:rsidRPr="000F7862">
        <w:rPr>
          <w:lang w:val="fr-FR"/>
        </w:rPr>
        <w:t>un apprentissage app</w:t>
      </w:r>
      <w:r w:rsidR="008A33F6" w:rsidRPr="000F7862">
        <w:rPr>
          <w:lang w:val="fr-FR"/>
        </w:rPr>
        <w:t>rouvé</w:t>
      </w:r>
      <w:r w:rsidR="0086185C" w:rsidRPr="000F7862">
        <w:rPr>
          <w:lang w:val="fr-FR"/>
        </w:rPr>
        <w:t>.</w:t>
      </w:r>
      <w:r w:rsidR="00446EA5" w:rsidRPr="000F7862">
        <w:rPr>
          <w:lang w:val="fr-FR"/>
        </w:rPr>
        <w:t xml:space="preserve"> </w:t>
      </w:r>
      <w:r w:rsidR="008A33F6" w:rsidRPr="000F7862">
        <w:rPr>
          <w:lang w:val="fr-FR"/>
        </w:rPr>
        <w:t xml:space="preserve">La </w:t>
      </w:r>
      <w:r w:rsidR="0086185C" w:rsidRPr="000F7862">
        <w:rPr>
          <w:lang w:val="fr-FR"/>
        </w:rPr>
        <w:t>p</w:t>
      </w:r>
      <w:r w:rsidR="008A33F6" w:rsidRPr="000F7862">
        <w:rPr>
          <w:lang w:val="fr-FR"/>
        </w:rPr>
        <w:t>é</w:t>
      </w:r>
      <w:r w:rsidR="0086185C" w:rsidRPr="000F7862">
        <w:rPr>
          <w:lang w:val="fr-FR"/>
        </w:rPr>
        <w:t>riod</w:t>
      </w:r>
      <w:r w:rsidR="008A33F6" w:rsidRPr="000F7862">
        <w:rPr>
          <w:lang w:val="fr-FR"/>
        </w:rPr>
        <w:t>e</w:t>
      </w:r>
      <w:r w:rsidR="0086185C" w:rsidRPr="000F7862">
        <w:rPr>
          <w:lang w:val="fr-FR"/>
        </w:rPr>
        <w:t xml:space="preserve"> </w:t>
      </w:r>
      <w:r w:rsidR="008A33F6" w:rsidRPr="000F7862">
        <w:rPr>
          <w:lang w:val="fr-FR"/>
        </w:rPr>
        <w:t>d</w:t>
      </w:r>
      <w:r w:rsidR="00120E2E" w:rsidRPr="000F7862">
        <w:rPr>
          <w:lang w:val="fr-FR"/>
        </w:rPr>
        <w:t>’</w:t>
      </w:r>
      <w:r w:rsidR="008A33F6" w:rsidRPr="000F7862">
        <w:rPr>
          <w:lang w:val="fr-FR"/>
        </w:rPr>
        <w:t xml:space="preserve">apprentissage ne peut être inférieure à trois mois ou </w:t>
      </w:r>
      <w:r w:rsidR="0086185C" w:rsidRPr="000F7862">
        <w:rPr>
          <w:lang w:val="fr-FR"/>
        </w:rPr>
        <w:t>600 h</w:t>
      </w:r>
      <w:r w:rsidR="008A33F6" w:rsidRPr="000F7862">
        <w:rPr>
          <w:lang w:val="fr-FR"/>
        </w:rPr>
        <w:t xml:space="preserve">eures sans dépasser </w:t>
      </w:r>
      <w:r w:rsidR="0086185C" w:rsidRPr="000F7862">
        <w:rPr>
          <w:lang w:val="fr-FR"/>
        </w:rPr>
        <w:t>six mo</w:t>
      </w:r>
      <w:r w:rsidR="008A33F6" w:rsidRPr="000F7862">
        <w:rPr>
          <w:lang w:val="fr-FR"/>
        </w:rPr>
        <w:t>i</w:t>
      </w:r>
      <w:r w:rsidR="0086185C" w:rsidRPr="000F7862">
        <w:rPr>
          <w:lang w:val="fr-FR"/>
        </w:rPr>
        <w:t>s o</w:t>
      </w:r>
      <w:r w:rsidR="008A33F6" w:rsidRPr="000F7862">
        <w:rPr>
          <w:lang w:val="fr-FR"/>
        </w:rPr>
        <w:t>u</w:t>
      </w:r>
      <w:r w:rsidR="0086185C" w:rsidRPr="000F7862">
        <w:rPr>
          <w:lang w:val="fr-FR"/>
        </w:rPr>
        <w:t xml:space="preserve"> 1</w:t>
      </w:r>
      <w:r w:rsidR="00F3745C" w:rsidRPr="000F7862">
        <w:rPr>
          <w:lang w:val="fr-FR"/>
        </w:rPr>
        <w:t> </w:t>
      </w:r>
      <w:r w:rsidR="0086185C" w:rsidRPr="000F7862">
        <w:rPr>
          <w:lang w:val="fr-FR"/>
        </w:rPr>
        <w:t>200 h</w:t>
      </w:r>
      <w:r w:rsidR="008A33F6" w:rsidRPr="000F7862">
        <w:rPr>
          <w:lang w:val="fr-FR"/>
        </w:rPr>
        <w:t>eure</w:t>
      </w:r>
      <w:r w:rsidR="0086185C" w:rsidRPr="000F7862">
        <w:rPr>
          <w:lang w:val="fr-FR"/>
        </w:rPr>
        <w:t>s.</w:t>
      </w:r>
      <w:r w:rsidR="00446EA5" w:rsidRPr="000F7862">
        <w:rPr>
          <w:lang w:val="fr-FR"/>
        </w:rPr>
        <w:t xml:space="preserve"> </w:t>
      </w:r>
    </w:p>
    <w:p w:rsidR="0086185C" w:rsidRPr="000F7862" w:rsidRDefault="0004212C" w:rsidP="0004212C">
      <w:pPr>
        <w:pStyle w:val="H23G"/>
        <w:rPr>
          <w:lang w:val="fr-FR"/>
        </w:rPr>
      </w:pPr>
      <w:r w:rsidRPr="000F7862">
        <w:rPr>
          <w:lang w:val="fr-FR"/>
        </w:rPr>
        <w:tab/>
      </w:r>
      <w:r w:rsidRPr="000F7862">
        <w:rPr>
          <w:lang w:val="fr-FR"/>
        </w:rPr>
        <w:tab/>
      </w:r>
      <w:r w:rsidR="0086185C" w:rsidRPr="000F7862">
        <w:rPr>
          <w:b w:val="0"/>
          <w:bCs/>
          <w:lang w:val="fr-FR"/>
        </w:rPr>
        <w:t>Table</w:t>
      </w:r>
      <w:r w:rsidR="008A33F6" w:rsidRPr="000F7862">
        <w:rPr>
          <w:b w:val="0"/>
          <w:bCs/>
          <w:lang w:val="fr-FR"/>
        </w:rPr>
        <w:t>au</w:t>
      </w:r>
      <w:r w:rsidR="0086185C" w:rsidRPr="000F7862">
        <w:rPr>
          <w:b w:val="0"/>
          <w:bCs/>
          <w:lang w:val="fr-FR"/>
        </w:rPr>
        <w:t xml:space="preserve"> 11</w:t>
      </w:r>
      <w:r w:rsidR="005A520A" w:rsidRPr="000F7862">
        <w:rPr>
          <w:b w:val="0"/>
          <w:bCs/>
          <w:lang w:val="fr-FR"/>
        </w:rPr>
        <w:br/>
      </w:r>
      <w:r w:rsidR="008A33F6" w:rsidRPr="000F7862">
        <w:rPr>
          <w:lang w:val="fr-FR"/>
        </w:rPr>
        <w:t>Résultats du p</w:t>
      </w:r>
      <w:r w:rsidR="00867E43" w:rsidRPr="000F7862">
        <w:rPr>
          <w:lang w:val="fr-FR"/>
        </w:rPr>
        <w:t>rogramme</w:t>
      </w:r>
      <w:r w:rsidR="0086185C" w:rsidRPr="000F7862">
        <w:rPr>
          <w:lang w:val="fr-FR"/>
        </w:rPr>
        <w:t>, 2009</w:t>
      </w:r>
      <w:r w:rsidR="008A33F6" w:rsidRPr="000F7862">
        <w:rPr>
          <w:lang w:val="fr-FR"/>
        </w:rPr>
        <w:t>-</w:t>
      </w:r>
      <w:r w:rsidR="0086185C" w:rsidRPr="000F7862">
        <w:rPr>
          <w:lang w:val="fr-FR"/>
        </w:rPr>
        <w:t>2012</w:t>
      </w:r>
    </w:p>
    <w:tbl>
      <w:tblPr>
        <w:tblW w:w="7371" w:type="dxa"/>
        <w:tblInd w:w="1134" w:type="dxa"/>
        <w:tblBorders>
          <w:top w:val="single" w:sz="4" w:space="0" w:color="auto"/>
          <w:bottom w:val="single" w:sz="12" w:space="0" w:color="auto"/>
        </w:tblBorders>
        <w:tblLayout w:type="fixed"/>
        <w:tblCellMar>
          <w:left w:w="0" w:type="dxa"/>
          <w:right w:w="0" w:type="dxa"/>
        </w:tblCellMar>
        <w:tblLook w:val="00A0"/>
      </w:tblPr>
      <w:tblGrid>
        <w:gridCol w:w="709"/>
        <w:gridCol w:w="1843"/>
        <w:gridCol w:w="1134"/>
        <w:gridCol w:w="1134"/>
        <w:gridCol w:w="2551"/>
      </w:tblGrid>
      <w:tr w:rsidR="005A520A" w:rsidRPr="000F7862" w:rsidTr="001C088C">
        <w:trPr>
          <w:cantSplit/>
          <w:tblHeader/>
        </w:trPr>
        <w:tc>
          <w:tcPr>
            <w:tcW w:w="709"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86185C" w:rsidRPr="000F7862" w:rsidRDefault="008A33F6" w:rsidP="001C088C">
            <w:pPr>
              <w:keepNext/>
              <w:suppressAutoHyphens w:val="0"/>
              <w:spacing w:before="80" w:after="80" w:line="200" w:lineRule="exact"/>
              <w:rPr>
                <w:i/>
                <w:sz w:val="16"/>
                <w:lang w:val="fr-FR"/>
              </w:rPr>
            </w:pPr>
            <w:r w:rsidRPr="000F7862">
              <w:rPr>
                <w:bCs/>
                <w:i/>
                <w:sz w:val="16"/>
                <w:lang w:val="fr-FR"/>
              </w:rPr>
              <w:t>Année</w:t>
            </w:r>
          </w:p>
        </w:tc>
        <w:tc>
          <w:tcPr>
            <w:tcW w:w="1843"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86185C" w:rsidRPr="000F7862" w:rsidRDefault="008A33F6" w:rsidP="003D2892">
            <w:pPr>
              <w:keepNext/>
              <w:suppressAutoHyphens w:val="0"/>
              <w:spacing w:before="80" w:after="80" w:line="200" w:lineRule="exact"/>
              <w:jc w:val="right"/>
              <w:rPr>
                <w:i/>
                <w:sz w:val="16"/>
                <w:lang w:val="fr-FR"/>
              </w:rPr>
            </w:pPr>
            <w:r w:rsidRPr="000F7862">
              <w:rPr>
                <w:bCs/>
                <w:i/>
                <w:sz w:val="16"/>
                <w:lang w:val="fr-FR"/>
              </w:rPr>
              <w:t>Entr</w:t>
            </w:r>
            <w:r w:rsidR="003D2892" w:rsidRPr="000F7862">
              <w:rPr>
                <w:bCs/>
                <w:i/>
                <w:sz w:val="16"/>
                <w:lang w:val="fr-FR"/>
              </w:rPr>
              <w:t>epr</w:t>
            </w:r>
            <w:r w:rsidRPr="000F7862">
              <w:rPr>
                <w:bCs/>
                <w:i/>
                <w:sz w:val="16"/>
                <w:lang w:val="fr-FR"/>
              </w:rPr>
              <w:t>ises participantes</w:t>
            </w:r>
          </w:p>
        </w:tc>
        <w:tc>
          <w:tcPr>
            <w:tcW w:w="113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86185C" w:rsidRPr="000F7862" w:rsidRDefault="008A33F6" w:rsidP="001C088C">
            <w:pPr>
              <w:keepNext/>
              <w:suppressAutoHyphens w:val="0"/>
              <w:spacing w:before="80" w:after="80" w:line="200" w:lineRule="exact"/>
              <w:jc w:val="right"/>
              <w:rPr>
                <w:i/>
                <w:sz w:val="16"/>
                <w:lang w:val="fr-FR"/>
              </w:rPr>
            </w:pPr>
            <w:r w:rsidRPr="000F7862">
              <w:rPr>
                <w:bCs/>
                <w:i/>
                <w:sz w:val="16"/>
                <w:lang w:val="fr-FR"/>
              </w:rPr>
              <w:t>Inscrits</w:t>
            </w:r>
          </w:p>
        </w:tc>
        <w:tc>
          <w:tcPr>
            <w:tcW w:w="113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86185C" w:rsidRPr="000F7862" w:rsidRDefault="008A33F6" w:rsidP="008A33F6">
            <w:pPr>
              <w:keepNext/>
              <w:suppressAutoHyphens w:val="0"/>
              <w:spacing w:before="80" w:after="80" w:line="200" w:lineRule="exact"/>
              <w:jc w:val="right"/>
              <w:rPr>
                <w:i/>
                <w:sz w:val="16"/>
                <w:lang w:val="fr-FR"/>
              </w:rPr>
            </w:pPr>
            <w:r w:rsidRPr="000F7862">
              <w:rPr>
                <w:bCs/>
                <w:i/>
                <w:sz w:val="16"/>
                <w:lang w:val="fr-FR"/>
              </w:rPr>
              <w:t>Diplômés</w:t>
            </w:r>
          </w:p>
        </w:tc>
        <w:tc>
          <w:tcPr>
            <w:tcW w:w="255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86185C" w:rsidRPr="000F7862" w:rsidRDefault="0086185C" w:rsidP="00DE44B9">
            <w:pPr>
              <w:keepNext/>
              <w:suppressAutoHyphens w:val="0"/>
              <w:spacing w:before="80" w:after="80" w:line="200" w:lineRule="exact"/>
              <w:jc w:val="right"/>
              <w:rPr>
                <w:i/>
                <w:sz w:val="16"/>
                <w:lang w:val="fr-FR"/>
              </w:rPr>
            </w:pPr>
            <w:r w:rsidRPr="000F7862">
              <w:rPr>
                <w:bCs/>
                <w:i/>
                <w:sz w:val="16"/>
                <w:lang w:val="fr-FR"/>
              </w:rPr>
              <w:t>Absorb</w:t>
            </w:r>
            <w:r w:rsidR="00DE44B9" w:rsidRPr="000F7862">
              <w:rPr>
                <w:bCs/>
                <w:i/>
                <w:sz w:val="16"/>
                <w:lang w:val="fr-FR"/>
              </w:rPr>
              <w:t>és par le marché du travail</w:t>
            </w:r>
          </w:p>
        </w:tc>
      </w:tr>
      <w:tr w:rsidR="005A520A" w:rsidRPr="000F7862" w:rsidTr="001C088C">
        <w:trPr>
          <w:cantSplit/>
        </w:trPr>
        <w:tc>
          <w:tcPr>
            <w:tcW w:w="709" w:type="dxa"/>
            <w:tcBorders>
              <w:top w:val="single" w:sz="12" w:space="0" w:color="auto"/>
            </w:tcBorders>
            <w:shd w:val="clear" w:color="auto" w:fill="auto"/>
            <w:tcMar>
              <w:top w:w="0" w:type="dxa"/>
              <w:left w:w="0" w:type="dxa"/>
              <w:bottom w:w="0" w:type="dxa"/>
              <w:right w:w="0" w:type="dxa"/>
            </w:tcMar>
          </w:tcPr>
          <w:p w:rsidR="0086185C" w:rsidRPr="000F7862" w:rsidRDefault="0086185C" w:rsidP="001C088C">
            <w:pPr>
              <w:keepNext/>
              <w:suppressAutoHyphens w:val="0"/>
              <w:spacing w:before="40" w:after="40" w:line="220" w:lineRule="exact"/>
              <w:rPr>
                <w:sz w:val="18"/>
                <w:lang w:val="fr-FR"/>
              </w:rPr>
            </w:pPr>
            <w:r w:rsidRPr="000F7862">
              <w:rPr>
                <w:sz w:val="18"/>
                <w:lang w:val="fr-FR"/>
              </w:rPr>
              <w:t>2009</w:t>
            </w:r>
          </w:p>
        </w:tc>
        <w:tc>
          <w:tcPr>
            <w:tcW w:w="1843" w:type="dxa"/>
            <w:tcBorders>
              <w:top w:val="single" w:sz="12" w:space="0" w:color="auto"/>
            </w:tcBorders>
            <w:shd w:val="clear" w:color="auto" w:fill="auto"/>
            <w:tcMar>
              <w:top w:w="0" w:type="dxa"/>
              <w:left w:w="0" w:type="dxa"/>
              <w:bottom w:w="0" w:type="dxa"/>
              <w:right w:w="0" w:type="dxa"/>
            </w:tcMar>
          </w:tcPr>
          <w:p w:rsidR="0086185C" w:rsidRPr="000F7862" w:rsidRDefault="0086185C" w:rsidP="001C088C">
            <w:pPr>
              <w:keepNext/>
              <w:suppressAutoHyphens w:val="0"/>
              <w:spacing w:before="40" w:after="40" w:line="220" w:lineRule="exact"/>
              <w:jc w:val="right"/>
              <w:rPr>
                <w:sz w:val="18"/>
                <w:lang w:val="fr-FR"/>
              </w:rPr>
            </w:pPr>
            <w:r w:rsidRPr="000F7862">
              <w:rPr>
                <w:sz w:val="18"/>
                <w:lang w:val="fr-FR"/>
              </w:rPr>
              <w:t>736</w:t>
            </w:r>
          </w:p>
        </w:tc>
        <w:tc>
          <w:tcPr>
            <w:tcW w:w="1134" w:type="dxa"/>
            <w:tcBorders>
              <w:top w:val="single" w:sz="12" w:space="0" w:color="auto"/>
            </w:tcBorders>
            <w:shd w:val="clear" w:color="auto" w:fill="auto"/>
            <w:tcMar>
              <w:top w:w="0" w:type="dxa"/>
              <w:left w:w="0" w:type="dxa"/>
              <w:bottom w:w="0" w:type="dxa"/>
              <w:right w:w="0" w:type="dxa"/>
            </w:tcMar>
          </w:tcPr>
          <w:p w:rsidR="0086185C" w:rsidRPr="000F7862" w:rsidRDefault="0086185C" w:rsidP="001C088C">
            <w:pPr>
              <w:keepNext/>
              <w:suppressAutoHyphens w:val="0"/>
              <w:spacing w:before="40" w:after="40" w:line="220" w:lineRule="exact"/>
              <w:jc w:val="right"/>
              <w:rPr>
                <w:sz w:val="18"/>
                <w:lang w:val="fr-FR"/>
              </w:rPr>
            </w:pPr>
            <w:r w:rsidRPr="000F7862">
              <w:rPr>
                <w:sz w:val="18"/>
                <w:lang w:val="fr-FR"/>
              </w:rPr>
              <w:t>73</w:t>
            </w:r>
            <w:r w:rsidR="00F3745C" w:rsidRPr="000F7862">
              <w:rPr>
                <w:sz w:val="18"/>
                <w:lang w:val="fr-FR"/>
              </w:rPr>
              <w:t> </w:t>
            </w:r>
            <w:r w:rsidRPr="000F7862">
              <w:rPr>
                <w:sz w:val="18"/>
                <w:lang w:val="fr-FR"/>
              </w:rPr>
              <w:t>952</w:t>
            </w:r>
          </w:p>
        </w:tc>
        <w:tc>
          <w:tcPr>
            <w:tcW w:w="1134" w:type="dxa"/>
            <w:tcBorders>
              <w:top w:val="single" w:sz="12" w:space="0" w:color="auto"/>
            </w:tcBorders>
            <w:shd w:val="clear" w:color="auto" w:fill="auto"/>
            <w:tcMar>
              <w:top w:w="0" w:type="dxa"/>
              <w:left w:w="0" w:type="dxa"/>
              <w:bottom w:w="0" w:type="dxa"/>
              <w:right w:w="0" w:type="dxa"/>
            </w:tcMar>
          </w:tcPr>
          <w:p w:rsidR="0086185C" w:rsidRPr="000F7862" w:rsidRDefault="0086185C" w:rsidP="001C088C">
            <w:pPr>
              <w:keepNext/>
              <w:suppressAutoHyphens w:val="0"/>
              <w:spacing w:before="40" w:after="40" w:line="220" w:lineRule="exact"/>
              <w:jc w:val="right"/>
              <w:rPr>
                <w:sz w:val="18"/>
                <w:lang w:val="fr-FR"/>
              </w:rPr>
            </w:pPr>
            <w:r w:rsidRPr="000F7862">
              <w:rPr>
                <w:sz w:val="18"/>
                <w:lang w:val="fr-FR"/>
              </w:rPr>
              <w:t>66</w:t>
            </w:r>
            <w:r w:rsidR="00F3745C" w:rsidRPr="000F7862">
              <w:rPr>
                <w:sz w:val="18"/>
                <w:lang w:val="fr-FR"/>
              </w:rPr>
              <w:t> </w:t>
            </w:r>
            <w:r w:rsidRPr="000F7862">
              <w:rPr>
                <w:sz w:val="18"/>
                <w:lang w:val="fr-FR"/>
              </w:rPr>
              <w:t>588</w:t>
            </w:r>
          </w:p>
        </w:tc>
        <w:tc>
          <w:tcPr>
            <w:tcW w:w="2551" w:type="dxa"/>
            <w:tcBorders>
              <w:top w:val="single" w:sz="12" w:space="0" w:color="auto"/>
            </w:tcBorders>
            <w:shd w:val="clear" w:color="auto" w:fill="auto"/>
            <w:tcMar>
              <w:top w:w="0" w:type="dxa"/>
              <w:left w:w="0" w:type="dxa"/>
              <w:bottom w:w="0" w:type="dxa"/>
              <w:right w:w="0" w:type="dxa"/>
            </w:tcMar>
          </w:tcPr>
          <w:p w:rsidR="0086185C" w:rsidRPr="000F7862" w:rsidRDefault="0086185C" w:rsidP="001C088C">
            <w:pPr>
              <w:keepNext/>
              <w:suppressAutoHyphens w:val="0"/>
              <w:spacing w:before="40" w:after="40" w:line="220" w:lineRule="exact"/>
              <w:jc w:val="right"/>
              <w:rPr>
                <w:sz w:val="18"/>
                <w:lang w:val="fr-FR"/>
              </w:rPr>
            </w:pPr>
            <w:r w:rsidRPr="000F7862">
              <w:rPr>
                <w:sz w:val="18"/>
                <w:lang w:val="fr-FR"/>
              </w:rPr>
              <w:t>47</w:t>
            </w:r>
            <w:r w:rsidR="00F3745C" w:rsidRPr="000F7862">
              <w:rPr>
                <w:sz w:val="18"/>
                <w:lang w:val="fr-FR"/>
              </w:rPr>
              <w:t> </w:t>
            </w:r>
            <w:r w:rsidRPr="000F7862">
              <w:rPr>
                <w:sz w:val="18"/>
                <w:lang w:val="fr-FR"/>
              </w:rPr>
              <w:t>063</w:t>
            </w:r>
          </w:p>
        </w:tc>
      </w:tr>
      <w:tr w:rsidR="005A520A" w:rsidRPr="000F7862" w:rsidTr="005A520A">
        <w:trPr>
          <w:cantSplit/>
        </w:trPr>
        <w:tc>
          <w:tcPr>
            <w:tcW w:w="709" w:type="dxa"/>
            <w:shd w:val="clear" w:color="auto" w:fill="auto"/>
            <w:tcMar>
              <w:top w:w="0" w:type="dxa"/>
              <w:left w:w="0" w:type="dxa"/>
              <w:bottom w:w="0" w:type="dxa"/>
              <w:right w:w="0" w:type="dxa"/>
            </w:tcMar>
          </w:tcPr>
          <w:p w:rsidR="0086185C" w:rsidRPr="000F7862" w:rsidRDefault="0086185C" w:rsidP="001C088C">
            <w:pPr>
              <w:keepNext/>
              <w:suppressAutoHyphens w:val="0"/>
              <w:spacing w:before="40" w:after="40" w:line="220" w:lineRule="exact"/>
              <w:rPr>
                <w:sz w:val="18"/>
                <w:lang w:val="fr-FR"/>
              </w:rPr>
            </w:pPr>
            <w:r w:rsidRPr="000F7862">
              <w:rPr>
                <w:sz w:val="18"/>
                <w:lang w:val="fr-FR"/>
              </w:rPr>
              <w:t>2010</w:t>
            </w:r>
          </w:p>
        </w:tc>
        <w:tc>
          <w:tcPr>
            <w:tcW w:w="1843" w:type="dxa"/>
            <w:shd w:val="clear" w:color="auto" w:fill="auto"/>
            <w:tcMar>
              <w:top w:w="0" w:type="dxa"/>
              <w:left w:w="0" w:type="dxa"/>
              <w:bottom w:w="0" w:type="dxa"/>
              <w:right w:w="0" w:type="dxa"/>
            </w:tcMar>
          </w:tcPr>
          <w:p w:rsidR="0086185C" w:rsidRPr="000F7862" w:rsidRDefault="0086185C" w:rsidP="001C088C">
            <w:pPr>
              <w:keepNext/>
              <w:suppressAutoHyphens w:val="0"/>
              <w:spacing w:before="40" w:after="40" w:line="220" w:lineRule="exact"/>
              <w:jc w:val="right"/>
              <w:rPr>
                <w:sz w:val="18"/>
                <w:lang w:val="fr-FR"/>
              </w:rPr>
            </w:pPr>
            <w:r w:rsidRPr="000F7862">
              <w:rPr>
                <w:sz w:val="18"/>
                <w:lang w:val="fr-FR"/>
              </w:rPr>
              <w:t>792</w:t>
            </w:r>
          </w:p>
        </w:tc>
        <w:tc>
          <w:tcPr>
            <w:tcW w:w="1134" w:type="dxa"/>
            <w:shd w:val="clear" w:color="auto" w:fill="auto"/>
            <w:tcMar>
              <w:top w:w="0" w:type="dxa"/>
              <w:left w:w="0" w:type="dxa"/>
              <w:bottom w:w="0" w:type="dxa"/>
              <w:right w:w="0" w:type="dxa"/>
            </w:tcMar>
          </w:tcPr>
          <w:p w:rsidR="0086185C" w:rsidRPr="000F7862" w:rsidRDefault="0086185C" w:rsidP="001C088C">
            <w:pPr>
              <w:keepNext/>
              <w:suppressAutoHyphens w:val="0"/>
              <w:spacing w:before="40" w:after="40" w:line="220" w:lineRule="exact"/>
              <w:jc w:val="right"/>
              <w:rPr>
                <w:sz w:val="18"/>
                <w:lang w:val="fr-FR"/>
              </w:rPr>
            </w:pPr>
            <w:r w:rsidRPr="000F7862">
              <w:rPr>
                <w:sz w:val="18"/>
                <w:lang w:val="fr-FR"/>
              </w:rPr>
              <w:t>75</w:t>
            </w:r>
            <w:r w:rsidR="00F3745C" w:rsidRPr="000F7862">
              <w:rPr>
                <w:sz w:val="18"/>
                <w:lang w:val="fr-FR"/>
              </w:rPr>
              <w:t> </w:t>
            </w:r>
            <w:r w:rsidRPr="000F7862">
              <w:rPr>
                <w:sz w:val="18"/>
                <w:lang w:val="fr-FR"/>
              </w:rPr>
              <w:t>587</w:t>
            </w:r>
          </w:p>
        </w:tc>
        <w:tc>
          <w:tcPr>
            <w:tcW w:w="1134" w:type="dxa"/>
            <w:shd w:val="clear" w:color="auto" w:fill="auto"/>
            <w:tcMar>
              <w:top w:w="0" w:type="dxa"/>
              <w:left w:w="0" w:type="dxa"/>
              <w:bottom w:w="0" w:type="dxa"/>
              <w:right w:w="0" w:type="dxa"/>
            </w:tcMar>
          </w:tcPr>
          <w:p w:rsidR="0086185C" w:rsidRPr="000F7862" w:rsidRDefault="0086185C" w:rsidP="001C088C">
            <w:pPr>
              <w:keepNext/>
              <w:suppressAutoHyphens w:val="0"/>
              <w:spacing w:before="40" w:after="40" w:line="220" w:lineRule="exact"/>
              <w:jc w:val="right"/>
              <w:rPr>
                <w:sz w:val="18"/>
                <w:lang w:val="fr-FR"/>
              </w:rPr>
            </w:pPr>
            <w:r w:rsidRPr="000F7862">
              <w:rPr>
                <w:sz w:val="18"/>
                <w:lang w:val="fr-FR"/>
              </w:rPr>
              <w:t>62</w:t>
            </w:r>
            <w:r w:rsidR="00F3745C" w:rsidRPr="000F7862">
              <w:rPr>
                <w:sz w:val="18"/>
                <w:lang w:val="fr-FR"/>
              </w:rPr>
              <w:t> </w:t>
            </w:r>
            <w:r w:rsidRPr="000F7862">
              <w:rPr>
                <w:sz w:val="18"/>
                <w:lang w:val="fr-FR"/>
              </w:rPr>
              <w:t>597</w:t>
            </w:r>
          </w:p>
        </w:tc>
        <w:tc>
          <w:tcPr>
            <w:tcW w:w="2551" w:type="dxa"/>
            <w:shd w:val="clear" w:color="auto" w:fill="auto"/>
            <w:tcMar>
              <w:top w:w="0" w:type="dxa"/>
              <w:left w:w="0" w:type="dxa"/>
              <w:bottom w:w="0" w:type="dxa"/>
              <w:right w:w="0" w:type="dxa"/>
            </w:tcMar>
          </w:tcPr>
          <w:p w:rsidR="0086185C" w:rsidRPr="000F7862" w:rsidRDefault="0086185C" w:rsidP="001C088C">
            <w:pPr>
              <w:keepNext/>
              <w:suppressAutoHyphens w:val="0"/>
              <w:spacing w:before="40" w:after="40" w:line="220" w:lineRule="exact"/>
              <w:jc w:val="right"/>
              <w:rPr>
                <w:sz w:val="18"/>
                <w:lang w:val="fr-FR"/>
              </w:rPr>
            </w:pPr>
            <w:r w:rsidRPr="000F7862">
              <w:rPr>
                <w:sz w:val="18"/>
                <w:lang w:val="fr-FR"/>
              </w:rPr>
              <w:t>52</w:t>
            </w:r>
            <w:r w:rsidR="00F3745C" w:rsidRPr="000F7862">
              <w:rPr>
                <w:sz w:val="18"/>
                <w:lang w:val="fr-FR"/>
              </w:rPr>
              <w:t> </w:t>
            </w:r>
            <w:r w:rsidRPr="000F7862">
              <w:rPr>
                <w:sz w:val="18"/>
                <w:lang w:val="fr-FR"/>
              </w:rPr>
              <w:t>527</w:t>
            </w:r>
          </w:p>
        </w:tc>
      </w:tr>
      <w:tr w:rsidR="005A520A" w:rsidRPr="000F7862" w:rsidTr="005A520A">
        <w:trPr>
          <w:cantSplit/>
        </w:trPr>
        <w:tc>
          <w:tcPr>
            <w:tcW w:w="709" w:type="dxa"/>
            <w:shd w:val="clear" w:color="auto" w:fill="auto"/>
            <w:tcMar>
              <w:top w:w="0" w:type="dxa"/>
              <w:left w:w="0" w:type="dxa"/>
              <w:bottom w:w="0" w:type="dxa"/>
              <w:right w:w="0" w:type="dxa"/>
            </w:tcMar>
          </w:tcPr>
          <w:p w:rsidR="0086185C" w:rsidRPr="000F7862" w:rsidRDefault="0086185C" w:rsidP="001C088C">
            <w:pPr>
              <w:keepNext/>
              <w:suppressAutoHyphens w:val="0"/>
              <w:spacing w:before="40" w:after="40" w:line="220" w:lineRule="exact"/>
              <w:rPr>
                <w:sz w:val="18"/>
                <w:lang w:val="fr-FR"/>
              </w:rPr>
            </w:pPr>
            <w:r w:rsidRPr="000F7862">
              <w:rPr>
                <w:sz w:val="18"/>
                <w:lang w:val="fr-FR"/>
              </w:rPr>
              <w:t>2011</w:t>
            </w:r>
          </w:p>
        </w:tc>
        <w:tc>
          <w:tcPr>
            <w:tcW w:w="1843" w:type="dxa"/>
            <w:shd w:val="clear" w:color="auto" w:fill="auto"/>
            <w:tcMar>
              <w:top w:w="0" w:type="dxa"/>
              <w:left w:w="0" w:type="dxa"/>
              <w:bottom w:w="0" w:type="dxa"/>
              <w:right w:w="0" w:type="dxa"/>
            </w:tcMar>
          </w:tcPr>
          <w:p w:rsidR="0086185C" w:rsidRPr="000F7862" w:rsidRDefault="0086185C" w:rsidP="001C088C">
            <w:pPr>
              <w:keepNext/>
              <w:suppressAutoHyphens w:val="0"/>
              <w:spacing w:before="40" w:after="40" w:line="220" w:lineRule="exact"/>
              <w:jc w:val="right"/>
              <w:rPr>
                <w:sz w:val="18"/>
                <w:lang w:val="fr-FR"/>
              </w:rPr>
            </w:pPr>
            <w:r w:rsidRPr="000F7862">
              <w:rPr>
                <w:sz w:val="18"/>
                <w:lang w:val="fr-FR"/>
              </w:rPr>
              <w:t>801</w:t>
            </w:r>
          </w:p>
        </w:tc>
        <w:tc>
          <w:tcPr>
            <w:tcW w:w="1134" w:type="dxa"/>
            <w:shd w:val="clear" w:color="auto" w:fill="auto"/>
            <w:tcMar>
              <w:top w:w="0" w:type="dxa"/>
              <w:left w:w="0" w:type="dxa"/>
              <w:bottom w:w="0" w:type="dxa"/>
              <w:right w:w="0" w:type="dxa"/>
            </w:tcMar>
          </w:tcPr>
          <w:p w:rsidR="0086185C" w:rsidRPr="000F7862" w:rsidRDefault="0086185C" w:rsidP="001C088C">
            <w:pPr>
              <w:keepNext/>
              <w:suppressAutoHyphens w:val="0"/>
              <w:spacing w:before="40" w:after="40" w:line="220" w:lineRule="exact"/>
              <w:jc w:val="right"/>
              <w:rPr>
                <w:sz w:val="18"/>
                <w:lang w:val="fr-FR"/>
              </w:rPr>
            </w:pPr>
            <w:r w:rsidRPr="000F7862">
              <w:rPr>
                <w:sz w:val="18"/>
                <w:lang w:val="fr-FR"/>
              </w:rPr>
              <w:t>71</w:t>
            </w:r>
            <w:r w:rsidR="00F3745C" w:rsidRPr="000F7862">
              <w:rPr>
                <w:sz w:val="18"/>
                <w:lang w:val="fr-FR"/>
              </w:rPr>
              <w:t> </w:t>
            </w:r>
            <w:r w:rsidRPr="000F7862">
              <w:rPr>
                <w:sz w:val="18"/>
                <w:lang w:val="fr-FR"/>
              </w:rPr>
              <w:t>489</w:t>
            </w:r>
          </w:p>
        </w:tc>
        <w:tc>
          <w:tcPr>
            <w:tcW w:w="1134" w:type="dxa"/>
            <w:shd w:val="clear" w:color="auto" w:fill="auto"/>
            <w:tcMar>
              <w:top w:w="0" w:type="dxa"/>
              <w:left w:w="0" w:type="dxa"/>
              <w:bottom w:w="0" w:type="dxa"/>
              <w:right w:w="0" w:type="dxa"/>
            </w:tcMar>
          </w:tcPr>
          <w:p w:rsidR="0086185C" w:rsidRPr="000F7862" w:rsidRDefault="0086185C" w:rsidP="001C088C">
            <w:pPr>
              <w:keepNext/>
              <w:suppressAutoHyphens w:val="0"/>
              <w:spacing w:before="40" w:after="40" w:line="220" w:lineRule="exact"/>
              <w:jc w:val="right"/>
              <w:rPr>
                <w:sz w:val="18"/>
                <w:lang w:val="fr-FR"/>
              </w:rPr>
            </w:pPr>
            <w:r w:rsidRPr="000F7862">
              <w:rPr>
                <w:sz w:val="18"/>
                <w:lang w:val="fr-FR"/>
              </w:rPr>
              <w:t>63</w:t>
            </w:r>
            <w:r w:rsidR="00F3745C" w:rsidRPr="000F7862">
              <w:rPr>
                <w:sz w:val="18"/>
                <w:lang w:val="fr-FR"/>
              </w:rPr>
              <w:t> </w:t>
            </w:r>
            <w:r w:rsidRPr="000F7862">
              <w:rPr>
                <w:sz w:val="18"/>
                <w:lang w:val="fr-FR"/>
              </w:rPr>
              <w:t>753</w:t>
            </w:r>
          </w:p>
        </w:tc>
        <w:tc>
          <w:tcPr>
            <w:tcW w:w="2551" w:type="dxa"/>
            <w:shd w:val="clear" w:color="auto" w:fill="auto"/>
            <w:tcMar>
              <w:top w:w="0" w:type="dxa"/>
              <w:left w:w="0" w:type="dxa"/>
              <w:bottom w:w="0" w:type="dxa"/>
              <w:right w:w="0" w:type="dxa"/>
            </w:tcMar>
          </w:tcPr>
          <w:p w:rsidR="0086185C" w:rsidRPr="000F7862" w:rsidRDefault="0086185C" w:rsidP="001C088C">
            <w:pPr>
              <w:keepNext/>
              <w:suppressAutoHyphens w:val="0"/>
              <w:spacing w:before="40" w:after="40" w:line="220" w:lineRule="exact"/>
              <w:jc w:val="right"/>
              <w:rPr>
                <w:sz w:val="18"/>
                <w:lang w:val="fr-FR"/>
              </w:rPr>
            </w:pPr>
            <w:r w:rsidRPr="000F7862">
              <w:rPr>
                <w:sz w:val="18"/>
                <w:lang w:val="fr-FR"/>
              </w:rPr>
              <w:t>49</w:t>
            </w:r>
            <w:r w:rsidR="00F3745C" w:rsidRPr="000F7862">
              <w:rPr>
                <w:sz w:val="18"/>
                <w:lang w:val="fr-FR"/>
              </w:rPr>
              <w:t> </w:t>
            </w:r>
            <w:r w:rsidRPr="000F7862">
              <w:rPr>
                <w:sz w:val="18"/>
                <w:lang w:val="fr-FR"/>
              </w:rPr>
              <w:t>777</w:t>
            </w:r>
          </w:p>
        </w:tc>
      </w:tr>
      <w:tr w:rsidR="005A520A" w:rsidRPr="000F7862" w:rsidTr="005A520A">
        <w:trPr>
          <w:cantSplit/>
        </w:trPr>
        <w:tc>
          <w:tcPr>
            <w:tcW w:w="709" w:type="dxa"/>
            <w:shd w:val="clear" w:color="auto" w:fill="auto"/>
            <w:tcMar>
              <w:top w:w="0" w:type="dxa"/>
              <w:left w:w="0" w:type="dxa"/>
              <w:bottom w:w="0" w:type="dxa"/>
              <w:right w:w="0" w:type="dxa"/>
            </w:tcMar>
          </w:tcPr>
          <w:p w:rsidR="0086185C" w:rsidRPr="000F7862" w:rsidRDefault="0086185C" w:rsidP="00FB1A70">
            <w:pPr>
              <w:suppressAutoHyphens w:val="0"/>
              <w:spacing w:before="40" w:after="40" w:line="220" w:lineRule="exact"/>
              <w:rPr>
                <w:sz w:val="18"/>
                <w:lang w:val="fr-FR"/>
              </w:rPr>
            </w:pPr>
            <w:r w:rsidRPr="000F7862">
              <w:rPr>
                <w:sz w:val="18"/>
                <w:lang w:val="fr-FR"/>
              </w:rPr>
              <w:t>2012</w:t>
            </w:r>
          </w:p>
        </w:tc>
        <w:tc>
          <w:tcPr>
            <w:tcW w:w="1843" w:type="dxa"/>
            <w:shd w:val="clear" w:color="auto" w:fill="auto"/>
            <w:tcMar>
              <w:top w:w="0" w:type="dxa"/>
              <w:left w:w="0" w:type="dxa"/>
              <w:bottom w:w="0" w:type="dxa"/>
              <w:right w:w="0" w:type="dxa"/>
            </w:tcMar>
          </w:tcPr>
          <w:p w:rsidR="0086185C" w:rsidRPr="000F7862" w:rsidRDefault="0086185C" w:rsidP="001C088C">
            <w:pPr>
              <w:suppressAutoHyphens w:val="0"/>
              <w:spacing w:before="40" w:after="40" w:line="220" w:lineRule="exact"/>
              <w:jc w:val="right"/>
              <w:rPr>
                <w:sz w:val="18"/>
                <w:lang w:val="fr-FR"/>
              </w:rPr>
            </w:pPr>
            <w:r w:rsidRPr="000F7862">
              <w:rPr>
                <w:sz w:val="18"/>
                <w:lang w:val="fr-FR"/>
              </w:rPr>
              <w:t>777</w:t>
            </w:r>
          </w:p>
        </w:tc>
        <w:tc>
          <w:tcPr>
            <w:tcW w:w="1134" w:type="dxa"/>
            <w:shd w:val="clear" w:color="auto" w:fill="auto"/>
            <w:tcMar>
              <w:top w:w="0" w:type="dxa"/>
              <w:left w:w="0" w:type="dxa"/>
              <w:bottom w:w="0" w:type="dxa"/>
              <w:right w:w="0" w:type="dxa"/>
            </w:tcMar>
          </w:tcPr>
          <w:p w:rsidR="0086185C" w:rsidRPr="000F7862" w:rsidRDefault="0086185C" w:rsidP="001C088C">
            <w:pPr>
              <w:suppressAutoHyphens w:val="0"/>
              <w:spacing w:before="40" w:after="40" w:line="220" w:lineRule="exact"/>
              <w:jc w:val="right"/>
              <w:rPr>
                <w:sz w:val="18"/>
                <w:lang w:val="fr-FR"/>
              </w:rPr>
            </w:pPr>
            <w:r w:rsidRPr="000F7862">
              <w:rPr>
                <w:sz w:val="18"/>
                <w:lang w:val="fr-FR"/>
              </w:rPr>
              <w:t>66</w:t>
            </w:r>
            <w:r w:rsidR="00F3745C" w:rsidRPr="000F7862">
              <w:rPr>
                <w:sz w:val="18"/>
                <w:lang w:val="fr-FR"/>
              </w:rPr>
              <w:t> </w:t>
            </w:r>
            <w:r w:rsidRPr="000F7862">
              <w:rPr>
                <w:sz w:val="18"/>
                <w:lang w:val="fr-FR"/>
              </w:rPr>
              <w:t>365</w:t>
            </w:r>
          </w:p>
        </w:tc>
        <w:tc>
          <w:tcPr>
            <w:tcW w:w="1134" w:type="dxa"/>
            <w:shd w:val="clear" w:color="auto" w:fill="auto"/>
            <w:tcMar>
              <w:top w:w="0" w:type="dxa"/>
              <w:left w:w="0" w:type="dxa"/>
              <w:bottom w:w="0" w:type="dxa"/>
              <w:right w:w="0" w:type="dxa"/>
            </w:tcMar>
          </w:tcPr>
          <w:p w:rsidR="0086185C" w:rsidRPr="000F7862" w:rsidRDefault="0086185C" w:rsidP="001C088C">
            <w:pPr>
              <w:suppressAutoHyphens w:val="0"/>
              <w:spacing w:before="40" w:after="40" w:line="220" w:lineRule="exact"/>
              <w:jc w:val="right"/>
              <w:rPr>
                <w:sz w:val="18"/>
                <w:lang w:val="fr-FR"/>
              </w:rPr>
            </w:pPr>
            <w:r w:rsidRPr="000F7862">
              <w:rPr>
                <w:sz w:val="18"/>
                <w:lang w:val="fr-FR"/>
              </w:rPr>
              <w:t>60</w:t>
            </w:r>
            <w:r w:rsidR="00F3745C" w:rsidRPr="000F7862">
              <w:rPr>
                <w:sz w:val="18"/>
                <w:lang w:val="fr-FR"/>
              </w:rPr>
              <w:t> </w:t>
            </w:r>
            <w:r w:rsidRPr="000F7862">
              <w:rPr>
                <w:sz w:val="18"/>
                <w:lang w:val="fr-FR"/>
              </w:rPr>
              <w:t>360</w:t>
            </w:r>
          </w:p>
        </w:tc>
        <w:tc>
          <w:tcPr>
            <w:tcW w:w="2551" w:type="dxa"/>
            <w:shd w:val="clear" w:color="auto" w:fill="auto"/>
            <w:tcMar>
              <w:top w:w="0" w:type="dxa"/>
              <w:left w:w="0" w:type="dxa"/>
              <w:bottom w:w="0" w:type="dxa"/>
              <w:right w:w="0" w:type="dxa"/>
            </w:tcMar>
          </w:tcPr>
          <w:p w:rsidR="0086185C" w:rsidRPr="000F7862" w:rsidRDefault="0086185C" w:rsidP="001C088C">
            <w:pPr>
              <w:suppressAutoHyphens w:val="0"/>
              <w:spacing w:before="40" w:after="40" w:line="220" w:lineRule="exact"/>
              <w:jc w:val="right"/>
              <w:rPr>
                <w:sz w:val="18"/>
                <w:lang w:val="fr-FR"/>
              </w:rPr>
            </w:pPr>
            <w:r w:rsidRPr="000F7862">
              <w:rPr>
                <w:sz w:val="18"/>
                <w:lang w:val="fr-FR"/>
              </w:rPr>
              <w:t>30</w:t>
            </w:r>
            <w:r w:rsidR="00F3745C" w:rsidRPr="000F7862">
              <w:rPr>
                <w:sz w:val="18"/>
                <w:lang w:val="fr-FR"/>
              </w:rPr>
              <w:t> </w:t>
            </w:r>
            <w:r w:rsidRPr="000F7862">
              <w:rPr>
                <w:sz w:val="18"/>
                <w:lang w:val="fr-FR"/>
              </w:rPr>
              <w:t>836</w:t>
            </w:r>
          </w:p>
        </w:tc>
      </w:tr>
    </w:tbl>
    <w:p w:rsidR="0086185C" w:rsidRPr="000F7862" w:rsidRDefault="003F7F57" w:rsidP="003F7F57">
      <w:pPr>
        <w:pStyle w:val="SingleTxtG"/>
        <w:spacing w:before="240"/>
        <w:rPr>
          <w:lang w:val="fr-FR"/>
        </w:rPr>
      </w:pPr>
      <w:r w:rsidRPr="000F7862">
        <w:rPr>
          <w:lang w:val="fr-FR"/>
        </w:rPr>
        <w:t>93.</w:t>
      </w:r>
      <w:r w:rsidRPr="000F7862">
        <w:rPr>
          <w:lang w:val="fr-FR"/>
        </w:rPr>
        <w:tab/>
      </w:r>
      <w:r w:rsidR="008A33F6" w:rsidRPr="000F7862">
        <w:rPr>
          <w:lang w:val="fr-FR"/>
        </w:rPr>
        <w:t xml:space="preserve">Une entreprise est également tenue de faire enregistrer un programme de formation en alternance par le </w:t>
      </w:r>
      <w:r w:rsidR="0086185C" w:rsidRPr="000F7862">
        <w:rPr>
          <w:lang w:val="fr-FR"/>
        </w:rPr>
        <w:t xml:space="preserve">TESDA. </w:t>
      </w:r>
      <w:r w:rsidR="00DE44B9" w:rsidRPr="000F7862">
        <w:rPr>
          <w:lang w:val="fr-FR"/>
        </w:rPr>
        <w:t xml:space="preserve">On entend par formation en alternance une formation pratique en entreprise pour </w:t>
      </w:r>
      <w:r w:rsidR="001677B2" w:rsidRPr="000F7862">
        <w:rPr>
          <w:lang w:val="fr-FR"/>
        </w:rPr>
        <w:t xml:space="preserve">des </w:t>
      </w:r>
      <w:r w:rsidR="00DC1BF9" w:rsidRPr="000F7862">
        <w:rPr>
          <w:lang w:val="fr-FR"/>
        </w:rPr>
        <w:t>métiers ne faisan</w:t>
      </w:r>
      <w:r w:rsidR="00DE44B9" w:rsidRPr="000F7862">
        <w:rPr>
          <w:lang w:val="fr-FR"/>
        </w:rPr>
        <w:t>t</w:t>
      </w:r>
      <w:r w:rsidR="00DC1BF9" w:rsidRPr="000F7862">
        <w:rPr>
          <w:lang w:val="fr-FR"/>
        </w:rPr>
        <w:t xml:space="preserve"> pas l</w:t>
      </w:r>
      <w:r w:rsidR="00120E2E" w:rsidRPr="000F7862">
        <w:rPr>
          <w:lang w:val="fr-FR"/>
        </w:rPr>
        <w:t>’</w:t>
      </w:r>
      <w:r w:rsidR="00DC1BF9" w:rsidRPr="000F7862">
        <w:rPr>
          <w:lang w:val="fr-FR"/>
        </w:rPr>
        <w:t>objet d</w:t>
      </w:r>
      <w:r w:rsidR="00120E2E" w:rsidRPr="000F7862">
        <w:rPr>
          <w:lang w:val="fr-FR"/>
        </w:rPr>
        <w:t>’</w:t>
      </w:r>
      <w:r w:rsidR="00DC1BF9" w:rsidRPr="000F7862">
        <w:rPr>
          <w:lang w:val="fr-FR"/>
        </w:rPr>
        <w:t>un apprentissage</w:t>
      </w:r>
      <w:r w:rsidR="0086185C" w:rsidRPr="000F7862">
        <w:rPr>
          <w:lang w:val="fr-FR"/>
        </w:rPr>
        <w:t>,</w:t>
      </w:r>
      <w:r w:rsidR="00446EA5" w:rsidRPr="000F7862">
        <w:rPr>
          <w:lang w:val="fr-FR"/>
        </w:rPr>
        <w:t xml:space="preserve"> </w:t>
      </w:r>
      <w:r w:rsidR="001677B2" w:rsidRPr="000F7862">
        <w:rPr>
          <w:lang w:val="fr-FR"/>
        </w:rPr>
        <w:t>et assortie ou non d</w:t>
      </w:r>
      <w:r w:rsidR="00120E2E" w:rsidRPr="000F7862">
        <w:rPr>
          <w:lang w:val="fr-FR"/>
        </w:rPr>
        <w:t>’</w:t>
      </w:r>
      <w:r w:rsidR="001677B2" w:rsidRPr="000F7862">
        <w:rPr>
          <w:lang w:val="fr-FR"/>
        </w:rPr>
        <w:t>instructions théoriques</w:t>
      </w:r>
      <w:r w:rsidR="007A1FD9" w:rsidRPr="000F7862">
        <w:rPr>
          <w:lang w:val="fr-FR"/>
        </w:rPr>
        <w:t>, pour une période ne pouvant dépasser trois mois</w:t>
      </w:r>
      <w:r w:rsidR="0086185C" w:rsidRPr="000F7862">
        <w:rPr>
          <w:lang w:val="fr-FR"/>
        </w:rPr>
        <w:t xml:space="preserve">. </w:t>
      </w:r>
      <w:r w:rsidR="007A1FD9" w:rsidRPr="000F7862">
        <w:rPr>
          <w:lang w:val="fr-FR"/>
        </w:rPr>
        <w:t xml:space="preserve">Entre </w:t>
      </w:r>
      <w:r w:rsidR="0086185C" w:rsidRPr="000F7862">
        <w:rPr>
          <w:lang w:val="fr-FR"/>
        </w:rPr>
        <w:t>2009</w:t>
      </w:r>
      <w:r w:rsidR="007A1FD9" w:rsidRPr="000F7862">
        <w:rPr>
          <w:lang w:val="fr-FR"/>
        </w:rPr>
        <w:t xml:space="preserve"> et </w:t>
      </w:r>
      <w:r w:rsidR="0086185C" w:rsidRPr="000F7862">
        <w:rPr>
          <w:lang w:val="fr-FR"/>
        </w:rPr>
        <w:t>2012, 193</w:t>
      </w:r>
      <w:r w:rsidR="009B3DB1" w:rsidRPr="000F7862">
        <w:rPr>
          <w:lang w:val="fr-FR"/>
        </w:rPr>
        <w:t> </w:t>
      </w:r>
      <w:r w:rsidR="0086185C" w:rsidRPr="000F7862">
        <w:rPr>
          <w:lang w:val="fr-FR"/>
        </w:rPr>
        <w:t xml:space="preserve">298 </w:t>
      </w:r>
      <w:r w:rsidR="007A1FD9" w:rsidRPr="000F7862">
        <w:rPr>
          <w:lang w:val="fr-FR"/>
        </w:rPr>
        <w:t>diplômés ont achevé leur programme d</w:t>
      </w:r>
      <w:r w:rsidR="00120E2E" w:rsidRPr="000F7862">
        <w:rPr>
          <w:lang w:val="fr-FR"/>
        </w:rPr>
        <w:t>’</w:t>
      </w:r>
      <w:r w:rsidR="007A1FD9" w:rsidRPr="000F7862">
        <w:rPr>
          <w:lang w:val="fr-FR"/>
        </w:rPr>
        <w:t>apprentissage ou d</w:t>
      </w:r>
      <w:r w:rsidR="00120E2E" w:rsidRPr="000F7862">
        <w:rPr>
          <w:lang w:val="fr-FR"/>
        </w:rPr>
        <w:t>’</w:t>
      </w:r>
      <w:r w:rsidR="007A1FD9" w:rsidRPr="000F7862">
        <w:rPr>
          <w:lang w:val="fr-FR"/>
        </w:rPr>
        <w:t>alternance;</w:t>
      </w:r>
      <w:r w:rsidR="0086185C" w:rsidRPr="000F7862">
        <w:rPr>
          <w:lang w:val="fr-FR"/>
        </w:rPr>
        <w:t xml:space="preserve"> 180</w:t>
      </w:r>
      <w:r w:rsidR="009B3DB1" w:rsidRPr="000F7862">
        <w:rPr>
          <w:lang w:val="fr-FR"/>
        </w:rPr>
        <w:t> </w:t>
      </w:r>
      <w:r w:rsidR="0086185C" w:rsidRPr="000F7862">
        <w:rPr>
          <w:lang w:val="fr-FR"/>
        </w:rPr>
        <w:t xml:space="preserve">203 </w:t>
      </w:r>
      <w:r w:rsidR="007A1FD9" w:rsidRPr="000F7862">
        <w:rPr>
          <w:lang w:val="fr-FR"/>
        </w:rPr>
        <w:t>d</w:t>
      </w:r>
      <w:r w:rsidR="00120E2E" w:rsidRPr="000F7862">
        <w:rPr>
          <w:lang w:val="fr-FR"/>
        </w:rPr>
        <w:t>’</w:t>
      </w:r>
      <w:r w:rsidR="007A1FD9" w:rsidRPr="000F7862">
        <w:rPr>
          <w:lang w:val="fr-FR"/>
        </w:rPr>
        <w:t>entre eux ont été absorbés par le marché du travail</w:t>
      </w:r>
      <w:r w:rsidR="0086185C" w:rsidRPr="000F7862">
        <w:rPr>
          <w:lang w:val="fr-FR"/>
        </w:rPr>
        <w:t>.</w:t>
      </w:r>
    </w:p>
    <w:p w:rsidR="0086185C" w:rsidRPr="000F7862" w:rsidRDefault="009B3DB1" w:rsidP="009B3DB1">
      <w:pPr>
        <w:pStyle w:val="H23G"/>
        <w:rPr>
          <w:lang w:val="fr-FR"/>
        </w:rPr>
      </w:pPr>
      <w:r w:rsidRPr="000F7862">
        <w:rPr>
          <w:lang w:val="fr-FR"/>
        </w:rPr>
        <w:tab/>
      </w:r>
      <w:r w:rsidRPr="000F7862">
        <w:rPr>
          <w:lang w:val="fr-FR"/>
        </w:rPr>
        <w:tab/>
      </w:r>
      <w:r w:rsidR="007A1FD9" w:rsidRPr="000F7862">
        <w:rPr>
          <w:lang w:val="fr-FR"/>
        </w:rPr>
        <w:t xml:space="preserve">Système de formation mixte </w:t>
      </w:r>
    </w:p>
    <w:p w:rsidR="0086185C" w:rsidRPr="000F7862" w:rsidRDefault="003F7F57" w:rsidP="009B3DB1">
      <w:pPr>
        <w:pStyle w:val="SingleTxtG"/>
        <w:rPr>
          <w:lang w:val="fr-FR"/>
        </w:rPr>
      </w:pPr>
      <w:r w:rsidRPr="000F7862">
        <w:rPr>
          <w:lang w:val="fr-FR"/>
        </w:rPr>
        <w:t>94.</w:t>
      </w:r>
      <w:r w:rsidRPr="000F7862">
        <w:rPr>
          <w:lang w:val="fr-FR"/>
        </w:rPr>
        <w:tab/>
      </w:r>
      <w:r w:rsidR="007A1FD9" w:rsidRPr="000F7862">
        <w:rPr>
          <w:lang w:val="fr-FR"/>
        </w:rPr>
        <w:t>La loi de la République</w:t>
      </w:r>
      <w:r w:rsidR="003D3A45" w:rsidRPr="000F7862">
        <w:rPr>
          <w:lang w:val="fr-FR"/>
        </w:rPr>
        <w:t xml:space="preserve"> </w:t>
      </w:r>
      <w:r w:rsidR="009B3DB1" w:rsidRPr="000F7862">
        <w:rPr>
          <w:lang w:val="fr-FR"/>
        </w:rPr>
        <w:t>n</w:t>
      </w:r>
      <w:r w:rsidR="009B3DB1" w:rsidRPr="000F7862">
        <w:rPr>
          <w:vertAlign w:val="superscript"/>
          <w:lang w:val="fr-FR"/>
        </w:rPr>
        <w:t>o</w:t>
      </w:r>
      <w:r w:rsidR="009B3DB1" w:rsidRPr="000F7862">
        <w:rPr>
          <w:lang w:val="fr-FR"/>
        </w:rPr>
        <w:t> </w:t>
      </w:r>
      <w:r w:rsidR="0086185C" w:rsidRPr="000F7862">
        <w:rPr>
          <w:lang w:val="fr-FR"/>
        </w:rPr>
        <w:t xml:space="preserve">7686 </w:t>
      </w:r>
      <w:r w:rsidR="007A1FD9" w:rsidRPr="000F7862">
        <w:rPr>
          <w:lang w:val="fr-FR"/>
        </w:rPr>
        <w:t>institue le système de formation mixte en tant que mode</w:t>
      </w:r>
      <w:r w:rsidR="00155CAA" w:rsidRPr="000F7862">
        <w:rPr>
          <w:lang w:val="fr-FR"/>
        </w:rPr>
        <w:t xml:space="preserve"> de formation qui associe une formation en entreprise</w:t>
      </w:r>
      <w:r w:rsidR="0086185C" w:rsidRPr="000F7862">
        <w:rPr>
          <w:lang w:val="fr-FR"/>
        </w:rPr>
        <w:t xml:space="preserve"> (60</w:t>
      </w:r>
      <w:r w:rsidR="00DC1196" w:rsidRPr="000F7862">
        <w:rPr>
          <w:lang w:val="fr-FR"/>
        </w:rPr>
        <w:t> %</w:t>
      </w:r>
      <w:r w:rsidR="0086185C" w:rsidRPr="000F7862">
        <w:rPr>
          <w:lang w:val="fr-FR"/>
        </w:rPr>
        <w:t xml:space="preserve">) </w:t>
      </w:r>
      <w:r w:rsidR="00155CAA" w:rsidRPr="000F7862">
        <w:rPr>
          <w:lang w:val="fr-FR"/>
        </w:rPr>
        <w:t>et une formation scolaire</w:t>
      </w:r>
      <w:r w:rsidR="0086185C" w:rsidRPr="000F7862">
        <w:rPr>
          <w:lang w:val="fr-FR"/>
        </w:rPr>
        <w:t xml:space="preserve"> (40</w:t>
      </w:r>
      <w:r w:rsidR="00DC1196" w:rsidRPr="000F7862">
        <w:rPr>
          <w:lang w:val="fr-FR"/>
        </w:rPr>
        <w:t> %</w:t>
      </w:r>
      <w:r w:rsidR="0086185C" w:rsidRPr="000F7862">
        <w:rPr>
          <w:lang w:val="fr-FR"/>
        </w:rPr>
        <w:t xml:space="preserve">) </w:t>
      </w:r>
      <w:r w:rsidR="002B7A8C" w:rsidRPr="000F7862">
        <w:rPr>
          <w:lang w:val="fr-FR"/>
        </w:rPr>
        <w:t>sur la base d</w:t>
      </w:r>
      <w:r w:rsidR="00120E2E" w:rsidRPr="000F7862">
        <w:rPr>
          <w:lang w:val="fr-FR"/>
        </w:rPr>
        <w:t>’</w:t>
      </w:r>
      <w:r w:rsidR="002B7A8C" w:rsidRPr="000F7862">
        <w:rPr>
          <w:lang w:val="fr-FR"/>
        </w:rPr>
        <w:t>un plan de formation établi en collaboration et exécuté par un institut d</w:t>
      </w:r>
      <w:r w:rsidR="00120E2E" w:rsidRPr="000F7862">
        <w:rPr>
          <w:lang w:val="fr-FR"/>
        </w:rPr>
        <w:t>’</w:t>
      </w:r>
      <w:r w:rsidR="002B7A8C" w:rsidRPr="000F7862">
        <w:rPr>
          <w:lang w:val="fr-FR"/>
        </w:rPr>
        <w:t>enseignement et de formation techniques et professionnels (TVI) et l</w:t>
      </w:r>
      <w:r w:rsidR="00120E2E" w:rsidRPr="000F7862">
        <w:rPr>
          <w:lang w:val="fr-FR"/>
        </w:rPr>
        <w:t>’</w:t>
      </w:r>
      <w:r w:rsidR="002B7A8C" w:rsidRPr="000F7862">
        <w:rPr>
          <w:lang w:val="fr-FR"/>
        </w:rPr>
        <w:t xml:space="preserve">établissement partenaire. Le </w:t>
      </w:r>
      <w:r w:rsidR="0086185C" w:rsidRPr="000F7862">
        <w:rPr>
          <w:lang w:val="fr-FR"/>
        </w:rPr>
        <w:t xml:space="preserve">TVI </w:t>
      </w:r>
      <w:r w:rsidR="002B7A8C" w:rsidRPr="000F7862">
        <w:rPr>
          <w:lang w:val="fr-FR"/>
        </w:rPr>
        <w:t>et l</w:t>
      </w:r>
      <w:r w:rsidR="00120E2E" w:rsidRPr="000F7862">
        <w:rPr>
          <w:lang w:val="fr-FR"/>
        </w:rPr>
        <w:t>’</w:t>
      </w:r>
      <w:r w:rsidR="002B7A8C" w:rsidRPr="000F7862">
        <w:rPr>
          <w:lang w:val="fr-FR"/>
        </w:rPr>
        <w:t>établissement sollicitent l</w:t>
      </w:r>
      <w:r w:rsidR="00120E2E" w:rsidRPr="000F7862">
        <w:rPr>
          <w:lang w:val="fr-FR"/>
        </w:rPr>
        <w:t>’</w:t>
      </w:r>
      <w:r w:rsidR="002B7A8C" w:rsidRPr="000F7862">
        <w:rPr>
          <w:lang w:val="fr-FR"/>
        </w:rPr>
        <w:t>accréditation de leur programme de formation mixte auprès du TESDA</w:t>
      </w:r>
      <w:r w:rsidR="0086185C" w:rsidRPr="000F7862">
        <w:rPr>
          <w:lang w:val="fr-FR"/>
        </w:rPr>
        <w:t xml:space="preserve">. </w:t>
      </w:r>
      <w:r w:rsidR="002B7A8C" w:rsidRPr="000F7862">
        <w:rPr>
          <w:lang w:val="fr-FR"/>
        </w:rPr>
        <w:t>En vertu de la loi sur le système de formation mixte, les stagiaires reçoivent une allocation de formation d</w:t>
      </w:r>
      <w:r w:rsidR="00120E2E" w:rsidRPr="000F7862">
        <w:rPr>
          <w:lang w:val="fr-FR"/>
        </w:rPr>
        <w:t>’</w:t>
      </w:r>
      <w:r w:rsidR="002B7A8C" w:rsidRPr="000F7862">
        <w:rPr>
          <w:lang w:val="fr-FR"/>
        </w:rPr>
        <w:t>un montant é</w:t>
      </w:r>
      <w:r w:rsidR="0086185C" w:rsidRPr="000F7862">
        <w:rPr>
          <w:lang w:val="fr-FR"/>
        </w:rPr>
        <w:t>quival</w:t>
      </w:r>
      <w:r w:rsidR="002B7A8C" w:rsidRPr="000F7862">
        <w:rPr>
          <w:lang w:val="fr-FR"/>
        </w:rPr>
        <w:t>a</w:t>
      </w:r>
      <w:r w:rsidR="0086185C" w:rsidRPr="000F7862">
        <w:rPr>
          <w:lang w:val="fr-FR"/>
        </w:rPr>
        <w:t xml:space="preserve">nt </w:t>
      </w:r>
      <w:r w:rsidR="002B7A8C" w:rsidRPr="000F7862">
        <w:rPr>
          <w:lang w:val="fr-FR"/>
        </w:rPr>
        <w:t>à</w:t>
      </w:r>
      <w:r w:rsidR="0086185C" w:rsidRPr="000F7862">
        <w:rPr>
          <w:lang w:val="fr-FR"/>
        </w:rPr>
        <w:t xml:space="preserve"> 75</w:t>
      </w:r>
      <w:r w:rsidR="00DC1196" w:rsidRPr="000F7862">
        <w:rPr>
          <w:lang w:val="fr-FR"/>
        </w:rPr>
        <w:t> %</w:t>
      </w:r>
      <w:r w:rsidR="0086185C" w:rsidRPr="000F7862">
        <w:rPr>
          <w:lang w:val="fr-FR"/>
        </w:rPr>
        <w:t xml:space="preserve"> </w:t>
      </w:r>
      <w:r w:rsidR="002B7A8C" w:rsidRPr="000F7862">
        <w:rPr>
          <w:lang w:val="fr-FR"/>
        </w:rPr>
        <w:t>du salaire minimal en vigueur</w:t>
      </w:r>
      <w:r w:rsidR="0086185C" w:rsidRPr="000F7862">
        <w:rPr>
          <w:lang w:val="fr-FR"/>
        </w:rPr>
        <w:t>.</w:t>
      </w:r>
    </w:p>
    <w:p w:rsidR="0086185C" w:rsidRPr="000F7862" w:rsidRDefault="0004212C" w:rsidP="0004212C">
      <w:pPr>
        <w:pStyle w:val="H23G"/>
        <w:rPr>
          <w:lang w:val="fr-FR"/>
        </w:rPr>
      </w:pPr>
      <w:r w:rsidRPr="000F7862">
        <w:rPr>
          <w:lang w:val="fr-FR"/>
        </w:rPr>
        <w:tab/>
      </w:r>
      <w:r w:rsidRPr="000F7862">
        <w:rPr>
          <w:lang w:val="fr-FR"/>
        </w:rPr>
        <w:tab/>
      </w:r>
      <w:r w:rsidR="0086185C" w:rsidRPr="000F7862">
        <w:rPr>
          <w:b w:val="0"/>
          <w:bCs/>
          <w:lang w:val="fr-FR"/>
        </w:rPr>
        <w:t>Table</w:t>
      </w:r>
      <w:r w:rsidR="007A1FD9" w:rsidRPr="000F7862">
        <w:rPr>
          <w:b w:val="0"/>
          <w:bCs/>
          <w:lang w:val="fr-FR"/>
        </w:rPr>
        <w:t>au</w:t>
      </w:r>
      <w:r w:rsidR="0086185C" w:rsidRPr="000F7862">
        <w:rPr>
          <w:b w:val="0"/>
          <w:bCs/>
          <w:lang w:val="fr-FR"/>
        </w:rPr>
        <w:t xml:space="preserve"> 12</w:t>
      </w:r>
      <w:r w:rsidR="005A520A" w:rsidRPr="000F7862">
        <w:rPr>
          <w:b w:val="0"/>
          <w:bCs/>
          <w:lang w:val="fr-FR"/>
        </w:rPr>
        <w:br/>
      </w:r>
      <w:r w:rsidR="007A1FD9" w:rsidRPr="000F7862">
        <w:rPr>
          <w:lang w:val="fr-FR"/>
        </w:rPr>
        <w:t>Inscrits et diplômés des programmes de formation mixte</w:t>
      </w:r>
      <w:r w:rsidR="0086185C" w:rsidRPr="000F7862">
        <w:rPr>
          <w:lang w:val="fr-FR"/>
        </w:rPr>
        <w:t>, 2009</w:t>
      </w:r>
      <w:r w:rsidR="007A1FD9" w:rsidRPr="000F7862">
        <w:rPr>
          <w:lang w:val="fr-FR"/>
        </w:rPr>
        <w:t>-</w:t>
      </w:r>
      <w:r w:rsidR="0086185C" w:rsidRPr="000F7862">
        <w:rPr>
          <w:lang w:val="fr-FR"/>
        </w:rPr>
        <w:t>2012</w:t>
      </w:r>
    </w:p>
    <w:tbl>
      <w:tblPr>
        <w:tblW w:w="7370" w:type="dxa"/>
        <w:tblInd w:w="1134" w:type="dxa"/>
        <w:tblBorders>
          <w:top w:val="single" w:sz="4" w:space="0" w:color="auto"/>
          <w:bottom w:val="single" w:sz="12" w:space="0" w:color="auto"/>
        </w:tblBorders>
        <w:tblLayout w:type="fixed"/>
        <w:tblCellMar>
          <w:left w:w="0" w:type="dxa"/>
          <w:right w:w="0" w:type="dxa"/>
        </w:tblCellMar>
        <w:tblLook w:val="00A0"/>
      </w:tblPr>
      <w:tblGrid>
        <w:gridCol w:w="2136"/>
        <w:gridCol w:w="1548"/>
        <w:gridCol w:w="1106"/>
        <w:gridCol w:w="1253"/>
        <w:gridCol w:w="1327"/>
      </w:tblGrid>
      <w:tr w:rsidR="005A520A" w:rsidRPr="000F7862" w:rsidTr="001C088C">
        <w:trPr>
          <w:cantSplit/>
          <w:tblHeader/>
        </w:trPr>
        <w:tc>
          <w:tcPr>
            <w:tcW w:w="2610"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86185C" w:rsidRPr="000F7862" w:rsidRDefault="0086185C" w:rsidP="001C088C">
            <w:pPr>
              <w:keepNext/>
              <w:suppressAutoHyphens w:val="0"/>
              <w:spacing w:before="80" w:after="80" w:line="200" w:lineRule="exact"/>
              <w:rPr>
                <w:i/>
                <w:sz w:val="16"/>
                <w:lang w:val="fr-FR"/>
              </w:rPr>
            </w:pPr>
          </w:p>
        </w:tc>
        <w:tc>
          <w:tcPr>
            <w:tcW w:w="1890"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86185C" w:rsidRPr="000F7862" w:rsidRDefault="0086185C" w:rsidP="001C088C">
            <w:pPr>
              <w:keepNext/>
              <w:suppressAutoHyphens w:val="0"/>
              <w:spacing w:before="80" w:after="80" w:line="200" w:lineRule="exact"/>
              <w:jc w:val="right"/>
              <w:rPr>
                <w:i/>
                <w:sz w:val="16"/>
                <w:lang w:val="fr-FR"/>
              </w:rPr>
            </w:pPr>
            <w:r w:rsidRPr="000F7862">
              <w:rPr>
                <w:bCs/>
                <w:i/>
                <w:sz w:val="16"/>
                <w:lang w:val="fr-FR"/>
              </w:rPr>
              <w:t>2009</w:t>
            </w:r>
          </w:p>
        </w:tc>
        <w:tc>
          <w:tcPr>
            <w:tcW w:w="1350"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86185C" w:rsidRPr="000F7862" w:rsidRDefault="0086185C" w:rsidP="001C088C">
            <w:pPr>
              <w:keepNext/>
              <w:suppressAutoHyphens w:val="0"/>
              <w:spacing w:before="80" w:after="80" w:line="200" w:lineRule="exact"/>
              <w:jc w:val="right"/>
              <w:rPr>
                <w:i/>
                <w:sz w:val="16"/>
                <w:lang w:val="fr-FR"/>
              </w:rPr>
            </w:pPr>
            <w:r w:rsidRPr="000F7862">
              <w:rPr>
                <w:bCs/>
                <w:i/>
                <w:sz w:val="16"/>
                <w:lang w:val="fr-FR"/>
              </w:rPr>
              <w:t>2010</w:t>
            </w:r>
          </w:p>
        </w:tc>
        <w:tc>
          <w:tcPr>
            <w:tcW w:w="1530"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86185C" w:rsidRPr="000F7862" w:rsidRDefault="0086185C" w:rsidP="001C088C">
            <w:pPr>
              <w:keepNext/>
              <w:suppressAutoHyphens w:val="0"/>
              <w:spacing w:before="80" w:after="80" w:line="200" w:lineRule="exact"/>
              <w:jc w:val="right"/>
              <w:rPr>
                <w:i/>
                <w:sz w:val="16"/>
                <w:lang w:val="fr-FR"/>
              </w:rPr>
            </w:pPr>
            <w:r w:rsidRPr="000F7862">
              <w:rPr>
                <w:bCs/>
                <w:i/>
                <w:sz w:val="16"/>
                <w:lang w:val="fr-FR"/>
              </w:rPr>
              <w:t>2011</w:t>
            </w:r>
          </w:p>
        </w:tc>
        <w:tc>
          <w:tcPr>
            <w:tcW w:w="1620"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86185C" w:rsidRPr="000F7862" w:rsidRDefault="0086185C" w:rsidP="001C088C">
            <w:pPr>
              <w:keepNext/>
              <w:suppressAutoHyphens w:val="0"/>
              <w:spacing w:before="80" w:after="80" w:line="200" w:lineRule="exact"/>
              <w:jc w:val="right"/>
              <w:rPr>
                <w:i/>
                <w:sz w:val="16"/>
                <w:lang w:val="fr-FR"/>
              </w:rPr>
            </w:pPr>
            <w:r w:rsidRPr="000F7862">
              <w:rPr>
                <w:bCs/>
                <w:i/>
                <w:sz w:val="16"/>
                <w:lang w:val="fr-FR"/>
              </w:rPr>
              <w:t>2012</w:t>
            </w:r>
          </w:p>
        </w:tc>
      </w:tr>
      <w:tr w:rsidR="005A520A" w:rsidRPr="000F7862" w:rsidTr="001C088C">
        <w:trPr>
          <w:cantSplit/>
        </w:trPr>
        <w:tc>
          <w:tcPr>
            <w:tcW w:w="2610" w:type="dxa"/>
            <w:tcBorders>
              <w:top w:val="single" w:sz="12" w:space="0" w:color="auto"/>
            </w:tcBorders>
            <w:shd w:val="clear" w:color="auto" w:fill="auto"/>
            <w:tcMar>
              <w:top w:w="0" w:type="dxa"/>
              <w:left w:w="0" w:type="dxa"/>
              <w:bottom w:w="0" w:type="dxa"/>
              <w:right w:w="0" w:type="dxa"/>
            </w:tcMar>
          </w:tcPr>
          <w:p w:rsidR="0086185C" w:rsidRPr="000F7862" w:rsidRDefault="00B63BFB" w:rsidP="002B7A8C">
            <w:pPr>
              <w:keepNext/>
              <w:suppressAutoHyphens w:val="0"/>
              <w:spacing w:before="40" w:after="40" w:line="220" w:lineRule="exact"/>
              <w:rPr>
                <w:sz w:val="18"/>
                <w:lang w:val="fr-FR"/>
              </w:rPr>
            </w:pPr>
            <w:r w:rsidRPr="000F7862">
              <w:rPr>
                <w:sz w:val="18"/>
                <w:lang w:val="fr-FR"/>
              </w:rPr>
              <w:t>No</w:t>
            </w:r>
            <w:r w:rsidR="002B7A8C" w:rsidRPr="000F7862">
              <w:rPr>
                <w:sz w:val="18"/>
                <w:lang w:val="fr-FR"/>
              </w:rPr>
              <w:t>mbre d</w:t>
            </w:r>
            <w:r w:rsidR="00120E2E" w:rsidRPr="000F7862">
              <w:rPr>
                <w:sz w:val="18"/>
                <w:lang w:val="fr-FR"/>
              </w:rPr>
              <w:t>’</w:t>
            </w:r>
            <w:r w:rsidR="002B7A8C" w:rsidRPr="000F7862">
              <w:rPr>
                <w:sz w:val="18"/>
                <w:lang w:val="fr-FR"/>
              </w:rPr>
              <w:t>inscrits</w:t>
            </w:r>
          </w:p>
        </w:tc>
        <w:tc>
          <w:tcPr>
            <w:tcW w:w="1890" w:type="dxa"/>
            <w:tcBorders>
              <w:top w:val="single" w:sz="12" w:space="0" w:color="auto"/>
            </w:tcBorders>
            <w:shd w:val="clear" w:color="auto" w:fill="auto"/>
            <w:tcMar>
              <w:top w:w="0" w:type="dxa"/>
              <w:left w:w="0" w:type="dxa"/>
              <w:bottom w:w="0" w:type="dxa"/>
              <w:right w:w="0" w:type="dxa"/>
            </w:tcMar>
          </w:tcPr>
          <w:p w:rsidR="0086185C" w:rsidRPr="000F7862" w:rsidRDefault="0086185C" w:rsidP="001C088C">
            <w:pPr>
              <w:keepNext/>
              <w:suppressAutoHyphens w:val="0"/>
              <w:spacing w:before="40" w:after="40" w:line="220" w:lineRule="exact"/>
              <w:jc w:val="right"/>
              <w:rPr>
                <w:sz w:val="18"/>
                <w:lang w:val="fr-FR"/>
              </w:rPr>
            </w:pPr>
            <w:r w:rsidRPr="000F7862">
              <w:rPr>
                <w:sz w:val="18"/>
                <w:lang w:val="fr-FR"/>
              </w:rPr>
              <w:t>1</w:t>
            </w:r>
            <w:r w:rsidR="00AA7B30" w:rsidRPr="000F7862">
              <w:rPr>
                <w:sz w:val="18"/>
                <w:lang w:val="fr-FR"/>
              </w:rPr>
              <w:t> </w:t>
            </w:r>
            <w:r w:rsidRPr="000F7862">
              <w:rPr>
                <w:sz w:val="18"/>
                <w:lang w:val="fr-FR"/>
              </w:rPr>
              <w:t>009</w:t>
            </w:r>
          </w:p>
        </w:tc>
        <w:tc>
          <w:tcPr>
            <w:tcW w:w="1350" w:type="dxa"/>
            <w:tcBorders>
              <w:top w:val="single" w:sz="12" w:space="0" w:color="auto"/>
            </w:tcBorders>
            <w:shd w:val="clear" w:color="auto" w:fill="auto"/>
            <w:tcMar>
              <w:top w:w="0" w:type="dxa"/>
              <w:left w:w="0" w:type="dxa"/>
              <w:bottom w:w="0" w:type="dxa"/>
              <w:right w:w="0" w:type="dxa"/>
            </w:tcMar>
          </w:tcPr>
          <w:p w:rsidR="0086185C" w:rsidRPr="000F7862" w:rsidRDefault="0086185C" w:rsidP="001C088C">
            <w:pPr>
              <w:keepNext/>
              <w:suppressAutoHyphens w:val="0"/>
              <w:spacing w:before="40" w:after="40" w:line="220" w:lineRule="exact"/>
              <w:jc w:val="right"/>
              <w:rPr>
                <w:sz w:val="18"/>
                <w:lang w:val="fr-FR"/>
              </w:rPr>
            </w:pPr>
            <w:r w:rsidRPr="000F7862">
              <w:rPr>
                <w:sz w:val="18"/>
                <w:lang w:val="fr-FR"/>
              </w:rPr>
              <w:t>6</w:t>
            </w:r>
            <w:r w:rsidR="00AA7B30" w:rsidRPr="000F7862">
              <w:rPr>
                <w:sz w:val="18"/>
                <w:lang w:val="fr-FR"/>
              </w:rPr>
              <w:t> </w:t>
            </w:r>
            <w:r w:rsidRPr="000F7862">
              <w:rPr>
                <w:sz w:val="18"/>
                <w:lang w:val="fr-FR"/>
              </w:rPr>
              <w:t>776</w:t>
            </w:r>
          </w:p>
        </w:tc>
        <w:tc>
          <w:tcPr>
            <w:tcW w:w="1530" w:type="dxa"/>
            <w:tcBorders>
              <w:top w:val="single" w:sz="12" w:space="0" w:color="auto"/>
            </w:tcBorders>
            <w:shd w:val="clear" w:color="auto" w:fill="auto"/>
            <w:tcMar>
              <w:top w:w="0" w:type="dxa"/>
              <w:left w:w="0" w:type="dxa"/>
              <w:bottom w:w="0" w:type="dxa"/>
              <w:right w:w="0" w:type="dxa"/>
            </w:tcMar>
          </w:tcPr>
          <w:p w:rsidR="0086185C" w:rsidRPr="000F7862" w:rsidRDefault="0086185C" w:rsidP="001C088C">
            <w:pPr>
              <w:keepNext/>
              <w:suppressAutoHyphens w:val="0"/>
              <w:spacing w:before="40" w:after="40" w:line="220" w:lineRule="exact"/>
              <w:jc w:val="right"/>
              <w:rPr>
                <w:sz w:val="18"/>
                <w:lang w:val="fr-FR"/>
              </w:rPr>
            </w:pPr>
            <w:r w:rsidRPr="000F7862">
              <w:rPr>
                <w:sz w:val="18"/>
                <w:lang w:val="fr-FR"/>
              </w:rPr>
              <w:t>4</w:t>
            </w:r>
            <w:r w:rsidR="00F3745C" w:rsidRPr="000F7862">
              <w:rPr>
                <w:sz w:val="18"/>
                <w:lang w:val="fr-FR"/>
              </w:rPr>
              <w:t> </w:t>
            </w:r>
            <w:r w:rsidRPr="000F7862">
              <w:rPr>
                <w:sz w:val="18"/>
                <w:lang w:val="fr-FR"/>
              </w:rPr>
              <w:t>518</w:t>
            </w:r>
          </w:p>
        </w:tc>
        <w:tc>
          <w:tcPr>
            <w:tcW w:w="1620" w:type="dxa"/>
            <w:tcBorders>
              <w:top w:val="single" w:sz="12" w:space="0" w:color="auto"/>
            </w:tcBorders>
            <w:shd w:val="clear" w:color="auto" w:fill="auto"/>
            <w:tcMar>
              <w:top w:w="0" w:type="dxa"/>
              <w:left w:w="0" w:type="dxa"/>
              <w:bottom w:w="0" w:type="dxa"/>
              <w:right w:w="0" w:type="dxa"/>
            </w:tcMar>
          </w:tcPr>
          <w:p w:rsidR="0086185C" w:rsidRPr="000F7862" w:rsidRDefault="0086185C" w:rsidP="001C088C">
            <w:pPr>
              <w:keepNext/>
              <w:suppressAutoHyphens w:val="0"/>
              <w:spacing w:before="40" w:after="40" w:line="220" w:lineRule="exact"/>
              <w:jc w:val="right"/>
              <w:rPr>
                <w:sz w:val="18"/>
                <w:lang w:val="fr-FR"/>
              </w:rPr>
            </w:pPr>
            <w:r w:rsidRPr="000F7862">
              <w:rPr>
                <w:sz w:val="18"/>
                <w:lang w:val="fr-FR"/>
              </w:rPr>
              <w:t>6</w:t>
            </w:r>
            <w:r w:rsidR="00F3745C" w:rsidRPr="000F7862">
              <w:rPr>
                <w:sz w:val="18"/>
                <w:lang w:val="fr-FR"/>
              </w:rPr>
              <w:t> </w:t>
            </w:r>
            <w:r w:rsidRPr="000F7862">
              <w:rPr>
                <w:sz w:val="18"/>
                <w:lang w:val="fr-FR"/>
              </w:rPr>
              <w:t>335</w:t>
            </w:r>
          </w:p>
        </w:tc>
      </w:tr>
      <w:tr w:rsidR="005A520A" w:rsidRPr="000F7862" w:rsidTr="001C088C">
        <w:trPr>
          <w:cantSplit/>
        </w:trPr>
        <w:tc>
          <w:tcPr>
            <w:tcW w:w="2610" w:type="dxa"/>
            <w:shd w:val="clear" w:color="auto" w:fill="auto"/>
            <w:tcMar>
              <w:top w:w="0" w:type="dxa"/>
              <w:left w:w="0" w:type="dxa"/>
              <w:bottom w:w="0" w:type="dxa"/>
              <w:right w:w="0" w:type="dxa"/>
            </w:tcMar>
          </w:tcPr>
          <w:p w:rsidR="0086185C" w:rsidRPr="000F7862" w:rsidRDefault="00B63BFB" w:rsidP="002B7A8C">
            <w:pPr>
              <w:suppressAutoHyphens w:val="0"/>
              <w:spacing w:before="40" w:after="40" w:line="220" w:lineRule="exact"/>
              <w:rPr>
                <w:sz w:val="18"/>
                <w:lang w:val="fr-FR"/>
              </w:rPr>
            </w:pPr>
            <w:r w:rsidRPr="000F7862">
              <w:rPr>
                <w:sz w:val="18"/>
                <w:lang w:val="fr-FR"/>
              </w:rPr>
              <w:t>No</w:t>
            </w:r>
            <w:r w:rsidR="003D2892" w:rsidRPr="000F7862">
              <w:rPr>
                <w:sz w:val="18"/>
                <w:lang w:val="fr-FR"/>
              </w:rPr>
              <w:t>mb</w:t>
            </w:r>
            <w:r w:rsidR="002B7A8C" w:rsidRPr="000F7862">
              <w:rPr>
                <w:sz w:val="18"/>
                <w:lang w:val="fr-FR"/>
              </w:rPr>
              <w:t>re de diplômés</w:t>
            </w:r>
            <w:r w:rsidR="0086185C" w:rsidRPr="000F7862">
              <w:rPr>
                <w:sz w:val="18"/>
                <w:lang w:val="fr-FR"/>
              </w:rPr>
              <w:t xml:space="preserve"> </w:t>
            </w:r>
          </w:p>
        </w:tc>
        <w:tc>
          <w:tcPr>
            <w:tcW w:w="1890" w:type="dxa"/>
            <w:shd w:val="clear" w:color="auto" w:fill="auto"/>
            <w:tcMar>
              <w:top w:w="0" w:type="dxa"/>
              <w:left w:w="0" w:type="dxa"/>
              <w:bottom w:w="0" w:type="dxa"/>
              <w:right w:w="0" w:type="dxa"/>
            </w:tcMar>
          </w:tcPr>
          <w:p w:rsidR="0086185C" w:rsidRPr="000F7862" w:rsidRDefault="0086185C" w:rsidP="001C088C">
            <w:pPr>
              <w:suppressAutoHyphens w:val="0"/>
              <w:spacing w:before="40" w:after="40" w:line="220" w:lineRule="exact"/>
              <w:jc w:val="right"/>
              <w:rPr>
                <w:sz w:val="18"/>
                <w:lang w:val="fr-FR"/>
              </w:rPr>
            </w:pPr>
            <w:r w:rsidRPr="000F7862">
              <w:rPr>
                <w:sz w:val="18"/>
                <w:lang w:val="fr-FR"/>
              </w:rPr>
              <w:t>1</w:t>
            </w:r>
            <w:r w:rsidR="00AA7B30" w:rsidRPr="000F7862">
              <w:rPr>
                <w:sz w:val="18"/>
                <w:lang w:val="fr-FR"/>
              </w:rPr>
              <w:t> </w:t>
            </w:r>
            <w:r w:rsidRPr="000F7862">
              <w:rPr>
                <w:sz w:val="18"/>
                <w:lang w:val="fr-FR"/>
              </w:rPr>
              <w:t>187</w:t>
            </w:r>
          </w:p>
        </w:tc>
        <w:tc>
          <w:tcPr>
            <w:tcW w:w="1350" w:type="dxa"/>
            <w:shd w:val="clear" w:color="auto" w:fill="auto"/>
            <w:tcMar>
              <w:top w:w="0" w:type="dxa"/>
              <w:left w:w="0" w:type="dxa"/>
              <w:bottom w:w="0" w:type="dxa"/>
              <w:right w:w="0" w:type="dxa"/>
            </w:tcMar>
          </w:tcPr>
          <w:p w:rsidR="0086185C" w:rsidRPr="000F7862" w:rsidRDefault="0086185C" w:rsidP="001C088C">
            <w:pPr>
              <w:suppressAutoHyphens w:val="0"/>
              <w:spacing w:before="40" w:after="40" w:line="220" w:lineRule="exact"/>
              <w:jc w:val="right"/>
              <w:rPr>
                <w:sz w:val="18"/>
                <w:lang w:val="fr-FR"/>
              </w:rPr>
            </w:pPr>
            <w:r w:rsidRPr="000F7862">
              <w:rPr>
                <w:sz w:val="18"/>
                <w:lang w:val="fr-FR"/>
              </w:rPr>
              <w:t>2</w:t>
            </w:r>
            <w:r w:rsidR="00AA7B30" w:rsidRPr="000F7862">
              <w:rPr>
                <w:sz w:val="18"/>
                <w:lang w:val="fr-FR"/>
              </w:rPr>
              <w:t> </w:t>
            </w:r>
            <w:r w:rsidRPr="000F7862">
              <w:rPr>
                <w:sz w:val="18"/>
                <w:lang w:val="fr-FR"/>
              </w:rPr>
              <w:t>406</w:t>
            </w:r>
          </w:p>
        </w:tc>
        <w:tc>
          <w:tcPr>
            <w:tcW w:w="1530" w:type="dxa"/>
            <w:shd w:val="clear" w:color="auto" w:fill="auto"/>
            <w:tcMar>
              <w:top w:w="0" w:type="dxa"/>
              <w:left w:w="0" w:type="dxa"/>
              <w:bottom w:w="0" w:type="dxa"/>
              <w:right w:w="0" w:type="dxa"/>
            </w:tcMar>
          </w:tcPr>
          <w:p w:rsidR="0086185C" w:rsidRPr="000F7862" w:rsidRDefault="0086185C" w:rsidP="001C088C">
            <w:pPr>
              <w:suppressAutoHyphens w:val="0"/>
              <w:spacing w:before="40" w:after="40" w:line="220" w:lineRule="exact"/>
              <w:jc w:val="right"/>
              <w:rPr>
                <w:sz w:val="18"/>
                <w:lang w:val="fr-FR"/>
              </w:rPr>
            </w:pPr>
            <w:r w:rsidRPr="000F7862">
              <w:rPr>
                <w:sz w:val="18"/>
                <w:lang w:val="fr-FR"/>
              </w:rPr>
              <w:t>1</w:t>
            </w:r>
            <w:r w:rsidR="00F3745C" w:rsidRPr="000F7862">
              <w:rPr>
                <w:sz w:val="18"/>
                <w:lang w:val="fr-FR"/>
              </w:rPr>
              <w:t> </w:t>
            </w:r>
            <w:r w:rsidRPr="000F7862">
              <w:rPr>
                <w:sz w:val="18"/>
                <w:lang w:val="fr-FR"/>
              </w:rPr>
              <w:t>366</w:t>
            </w:r>
          </w:p>
        </w:tc>
        <w:tc>
          <w:tcPr>
            <w:tcW w:w="1620" w:type="dxa"/>
            <w:shd w:val="clear" w:color="auto" w:fill="auto"/>
            <w:tcMar>
              <w:top w:w="0" w:type="dxa"/>
              <w:left w:w="0" w:type="dxa"/>
              <w:bottom w:w="0" w:type="dxa"/>
              <w:right w:w="0" w:type="dxa"/>
            </w:tcMar>
          </w:tcPr>
          <w:p w:rsidR="0086185C" w:rsidRPr="000F7862" w:rsidRDefault="0086185C" w:rsidP="001C088C">
            <w:pPr>
              <w:suppressAutoHyphens w:val="0"/>
              <w:spacing w:before="40" w:after="40" w:line="220" w:lineRule="exact"/>
              <w:jc w:val="right"/>
              <w:rPr>
                <w:sz w:val="18"/>
                <w:lang w:val="fr-FR"/>
              </w:rPr>
            </w:pPr>
            <w:r w:rsidRPr="000F7862">
              <w:rPr>
                <w:sz w:val="18"/>
                <w:lang w:val="fr-FR"/>
              </w:rPr>
              <w:t>2</w:t>
            </w:r>
            <w:r w:rsidR="00F3745C" w:rsidRPr="000F7862">
              <w:rPr>
                <w:sz w:val="18"/>
                <w:lang w:val="fr-FR"/>
              </w:rPr>
              <w:t> </w:t>
            </w:r>
            <w:r w:rsidRPr="000F7862">
              <w:rPr>
                <w:sz w:val="18"/>
                <w:lang w:val="fr-FR"/>
              </w:rPr>
              <w:t>340</w:t>
            </w:r>
          </w:p>
        </w:tc>
      </w:tr>
    </w:tbl>
    <w:p w:rsidR="0086185C" w:rsidRPr="000F7862" w:rsidRDefault="0092122D" w:rsidP="0092122D">
      <w:pPr>
        <w:pStyle w:val="H23G"/>
        <w:rPr>
          <w:b w:val="0"/>
          <w:bCs/>
          <w:lang w:val="fr-FR"/>
        </w:rPr>
      </w:pPr>
      <w:r w:rsidRPr="000F7862">
        <w:rPr>
          <w:lang w:val="fr-FR"/>
        </w:rPr>
        <w:tab/>
      </w:r>
      <w:r w:rsidRPr="000F7862">
        <w:rPr>
          <w:lang w:val="fr-FR"/>
        </w:rPr>
        <w:tab/>
      </w:r>
      <w:r w:rsidR="0086185C" w:rsidRPr="000F7862">
        <w:rPr>
          <w:b w:val="0"/>
          <w:bCs/>
          <w:lang w:val="fr-FR"/>
        </w:rPr>
        <w:t>Table</w:t>
      </w:r>
      <w:r w:rsidR="002B7A8C" w:rsidRPr="000F7862">
        <w:rPr>
          <w:b w:val="0"/>
          <w:bCs/>
          <w:lang w:val="fr-FR"/>
        </w:rPr>
        <w:t>au</w:t>
      </w:r>
      <w:r w:rsidR="0086185C" w:rsidRPr="000F7862">
        <w:rPr>
          <w:b w:val="0"/>
          <w:bCs/>
          <w:lang w:val="fr-FR"/>
        </w:rPr>
        <w:t xml:space="preserve"> 13</w:t>
      </w:r>
      <w:r w:rsidR="005A520A" w:rsidRPr="000F7862">
        <w:rPr>
          <w:lang w:val="fr-FR"/>
        </w:rPr>
        <w:br/>
      </w:r>
      <w:r w:rsidR="002B7A8C" w:rsidRPr="000F7862">
        <w:rPr>
          <w:lang w:val="fr-FR"/>
        </w:rPr>
        <w:t>Instituts d</w:t>
      </w:r>
      <w:r w:rsidR="00120E2E" w:rsidRPr="000F7862">
        <w:rPr>
          <w:lang w:val="fr-FR"/>
        </w:rPr>
        <w:t>’</w:t>
      </w:r>
      <w:r w:rsidR="002B7A8C" w:rsidRPr="000F7862">
        <w:rPr>
          <w:lang w:val="fr-FR"/>
        </w:rPr>
        <w:t>enseignement et de formation techni</w:t>
      </w:r>
      <w:r w:rsidR="00AA7B30" w:rsidRPr="000F7862">
        <w:rPr>
          <w:lang w:val="fr-FR"/>
        </w:rPr>
        <w:t>ques et professionnels (TVI) et </w:t>
      </w:r>
      <w:r w:rsidR="002B7A8C" w:rsidRPr="000F7862">
        <w:rPr>
          <w:lang w:val="fr-FR"/>
        </w:rPr>
        <w:t>entreprises participants</w:t>
      </w:r>
      <w:r w:rsidR="0086185C" w:rsidRPr="000F7862">
        <w:rPr>
          <w:lang w:val="fr-FR"/>
        </w:rPr>
        <w:t>, 2009</w:t>
      </w:r>
      <w:r w:rsidR="002B7A8C" w:rsidRPr="000F7862">
        <w:rPr>
          <w:lang w:val="fr-FR"/>
        </w:rPr>
        <w:t>-</w:t>
      </w:r>
      <w:r w:rsidR="0086185C" w:rsidRPr="000F7862">
        <w:rPr>
          <w:lang w:val="fr-FR"/>
        </w:rPr>
        <w:t>2011</w:t>
      </w:r>
    </w:p>
    <w:tbl>
      <w:tblPr>
        <w:tblW w:w="7371" w:type="dxa"/>
        <w:tblInd w:w="1134" w:type="dxa"/>
        <w:tblBorders>
          <w:top w:val="single" w:sz="4" w:space="0" w:color="auto"/>
          <w:bottom w:val="single" w:sz="12" w:space="0" w:color="auto"/>
        </w:tblBorders>
        <w:tblLayout w:type="fixed"/>
        <w:tblCellMar>
          <w:left w:w="0" w:type="dxa"/>
          <w:right w:w="0" w:type="dxa"/>
        </w:tblCellMar>
        <w:tblLook w:val="00A0"/>
      </w:tblPr>
      <w:tblGrid>
        <w:gridCol w:w="2213"/>
        <w:gridCol w:w="1561"/>
        <w:gridCol w:w="983"/>
        <w:gridCol w:w="1307"/>
        <w:gridCol w:w="1307"/>
      </w:tblGrid>
      <w:tr w:rsidR="005A520A" w:rsidRPr="000F7862" w:rsidTr="001C088C">
        <w:trPr>
          <w:cantSplit/>
          <w:tblHeader/>
        </w:trPr>
        <w:tc>
          <w:tcPr>
            <w:tcW w:w="2212"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86185C" w:rsidRPr="000F7862" w:rsidRDefault="0086185C" w:rsidP="001C088C">
            <w:pPr>
              <w:keepNext/>
              <w:suppressAutoHyphens w:val="0"/>
              <w:spacing w:before="80" w:after="80" w:line="200" w:lineRule="exact"/>
              <w:rPr>
                <w:i/>
                <w:sz w:val="16"/>
                <w:lang w:val="fr-FR"/>
              </w:rPr>
            </w:pPr>
          </w:p>
        </w:tc>
        <w:tc>
          <w:tcPr>
            <w:tcW w:w="156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86185C" w:rsidRPr="000F7862" w:rsidRDefault="0086185C" w:rsidP="001C088C">
            <w:pPr>
              <w:keepNext/>
              <w:suppressAutoHyphens w:val="0"/>
              <w:spacing w:before="80" w:after="80" w:line="200" w:lineRule="exact"/>
              <w:jc w:val="right"/>
              <w:rPr>
                <w:i/>
                <w:sz w:val="16"/>
                <w:lang w:val="fr-FR"/>
              </w:rPr>
            </w:pPr>
            <w:r w:rsidRPr="000F7862">
              <w:rPr>
                <w:bCs/>
                <w:i/>
                <w:sz w:val="16"/>
                <w:lang w:val="fr-FR"/>
              </w:rPr>
              <w:t>2009</w:t>
            </w:r>
          </w:p>
        </w:tc>
        <w:tc>
          <w:tcPr>
            <w:tcW w:w="983"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86185C" w:rsidRPr="000F7862" w:rsidRDefault="0086185C" w:rsidP="001C088C">
            <w:pPr>
              <w:keepNext/>
              <w:suppressAutoHyphens w:val="0"/>
              <w:spacing w:before="80" w:after="80" w:line="200" w:lineRule="exact"/>
              <w:jc w:val="right"/>
              <w:rPr>
                <w:i/>
                <w:sz w:val="16"/>
                <w:lang w:val="fr-FR"/>
              </w:rPr>
            </w:pPr>
            <w:r w:rsidRPr="000F7862">
              <w:rPr>
                <w:bCs/>
                <w:i/>
                <w:sz w:val="16"/>
                <w:lang w:val="fr-FR"/>
              </w:rPr>
              <w:t>2010</w:t>
            </w:r>
          </w:p>
        </w:tc>
        <w:tc>
          <w:tcPr>
            <w:tcW w:w="130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86185C" w:rsidRPr="000F7862" w:rsidRDefault="0086185C" w:rsidP="001C088C">
            <w:pPr>
              <w:keepNext/>
              <w:suppressAutoHyphens w:val="0"/>
              <w:spacing w:before="80" w:after="80" w:line="200" w:lineRule="exact"/>
              <w:jc w:val="right"/>
              <w:rPr>
                <w:i/>
                <w:sz w:val="16"/>
                <w:lang w:val="fr-FR"/>
              </w:rPr>
            </w:pPr>
            <w:r w:rsidRPr="000F7862">
              <w:rPr>
                <w:bCs/>
                <w:i/>
                <w:sz w:val="16"/>
                <w:lang w:val="fr-FR"/>
              </w:rPr>
              <w:t>2011</w:t>
            </w:r>
          </w:p>
        </w:tc>
        <w:tc>
          <w:tcPr>
            <w:tcW w:w="130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86185C" w:rsidRPr="000F7862" w:rsidRDefault="0086185C" w:rsidP="001C088C">
            <w:pPr>
              <w:keepNext/>
              <w:suppressAutoHyphens w:val="0"/>
              <w:spacing w:before="80" w:after="80" w:line="200" w:lineRule="exact"/>
              <w:jc w:val="right"/>
              <w:rPr>
                <w:i/>
                <w:sz w:val="16"/>
                <w:lang w:val="fr-FR"/>
              </w:rPr>
            </w:pPr>
            <w:r w:rsidRPr="000F7862">
              <w:rPr>
                <w:bCs/>
                <w:i/>
                <w:sz w:val="16"/>
                <w:lang w:val="fr-FR"/>
              </w:rPr>
              <w:t>2012</w:t>
            </w:r>
          </w:p>
        </w:tc>
      </w:tr>
      <w:tr w:rsidR="005A520A" w:rsidRPr="000F7862" w:rsidTr="001C088C">
        <w:trPr>
          <w:cantSplit/>
        </w:trPr>
        <w:tc>
          <w:tcPr>
            <w:tcW w:w="2212" w:type="dxa"/>
            <w:tcBorders>
              <w:top w:val="single" w:sz="12" w:space="0" w:color="auto"/>
            </w:tcBorders>
            <w:shd w:val="clear" w:color="auto" w:fill="auto"/>
            <w:tcMar>
              <w:top w:w="0" w:type="dxa"/>
              <w:left w:w="0" w:type="dxa"/>
              <w:bottom w:w="0" w:type="dxa"/>
              <w:right w:w="0" w:type="dxa"/>
            </w:tcMar>
          </w:tcPr>
          <w:p w:rsidR="0086185C" w:rsidRPr="000F7862" w:rsidRDefault="002B7A8C" w:rsidP="002B7A8C">
            <w:pPr>
              <w:keepNext/>
              <w:suppressAutoHyphens w:val="0"/>
              <w:spacing w:before="40" w:after="40" w:line="220" w:lineRule="exact"/>
              <w:rPr>
                <w:sz w:val="18"/>
                <w:lang w:val="fr-FR"/>
              </w:rPr>
            </w:pPr>
            <w:r w:rsidRPr="000F7862">
              <w:rPr>
                <w:sz w:val="18"/>
                <w:lang w:val="fr-FR"/>
              </w:rPr>
              <w:t>TVI participants</w:t>
            </w:r>
          </w:p>
        </w:tc>
        <w:tc>
          <w:tcPr>
            <w:tcW w:w="1561" w:type="dxa"/>
            <w:tcBorders>
              <w:top w:val="single" w:sz="12" w:space="0" w:color="auto"/>
            </w:tcBorders>
            <w:shd w:val="clear" w:color="auto" w:fill="auto"/>
            <w:tcMar>
              <w:top w:w="0" w:type="dxa"/>
              <w:left w:w="0" w:type="dxa"/>
              <w:bottom w:w="0" w:type="dxa"/>
              <w:right w:w="0" w:type="dxa"/>
            </w:tcMar>
          </w:tcPr>
          <w:p w:rsidR="0086185C" w:rsidRPr="000F7862" w:rsidRDefault="0086185C" w:rsidP="001C088C">
            <w:pPr>
              <w:keepNext/>
              <w:suppressAutoHyphens w:val="0"/>
              <w:spacing w:before="40" w:after="40" w:line="220" w:lineRule="exact"/>
              <w:jc w:val="right"/>
              <w:rPr>
                <w:sz w:val="18"/>
                <w:lang w:val="fr-FR"/>
              </w:rPr>
            </w:pPr>
            <w:r w:rsidRPr="000F7862">
              <w:rPr>
                <w:sz w:val="18"/>
                <w:lang w:val="fr-FR"/>
              </w:rPr>
              <w:t>62</w:t>
            </w:r>
          </w:p>
        </w:tc>
        <w:tc>
          <w:tcPr>
            <w:tcW w:w="983" w:type="dxa"/>
            <w:tcBorders>
              <w:top w:val="single" w:sz="12" w:space="0" w:color="auto"/>
            </w:tcBorders>
            <w:shd w:val="clear" w:color="auto" w:fill="auto"/>
            <w:tcMar>
              <w:top w:w="0" w:type="dxa"/>
              <w:left w:w="0" w:type="dxa"/>
              <w:bottom w:w="0" w:type="dxa"/>
              <w:right w:w="0" w:type="dxa"/>
            </w:tcMar>
          </w:tcPr>
          <w:p w:rsidR="0086185C" w:rsidRPr="000F7862" w:rsidRDefault="0086185C" w:rsidP="001C088C">
            <w:pPr>
              <w:keepNext/>
              <w:suppressAutoHyphens w:val="0"/>
              <w:spacing w:before="40" w:after="40" w:line="220" w:lineRule="exact"/>
              <w:jc w:val="right"/>
              <w:rPr>
                <w:sz w:val="18"/>
                <w:lang w:val="fr-FR"/>
              </w:rPr>
            </w:pPr>
            <w:r w:rsidRPr="000F7862">
              <w:rPr>
                <w:sz w:val="18"/>
                <w:lang w:val="fr-FR"/>
              </w:rPr>
              <w:t>44</w:t>
            </w:r>
          </w:p>
        </w:tc>
        <w:tc>
          <w:tcPr>
            <w:tcW w:w="1307" w:type="dxa"/>
            <w:tcBorders>
              <w:top w:val="single" w:sz="12" w:space="0" w:color="auto"/>
            </w:tcBorders>
            <w:shd w:val="clear" w:color="auto" w:fill="auto"/>
            <w:tcMar>
              <w:top w:w="0" w:type="dxa"/>
              <w:left w:w="0" w:type="dxa"/>
              <w:bottom w:w="0" w:type="dxa"/>
              <w:right w:w="0" w:type="dxa"/>
            </w:tcMar>
          </w:tcPr>
          <w:p w:rsidR="0086185C" w:rsidRPr="000F7862" w:rsidRDefault="0086185C" w:rsidP="001C088C">
            <w:pPr>
              <w:keepNext/>
              <w:suppressAutoHyphens w:val="0"/>
              <w:spacing w:before="40" w:after="40" w:line="220" w:lineRule="exact"/>
              <w:jc w:val="right"/>
              <w:rPr>
                <w:sz w:val="18"/>
                <w:lang w:val="fr-FR"/>
              </w:rPr>
            </w:pPr>
            <w:r w:rsidRPr="000F7862">
              <w:rPr>
                <w:sz w:val="18"/>
                <w:lang w:val="fr-FR"/>
              </w:rPr>
              <w:t>58</w:t>
            </w:r>
          </w:p>
        </w:tc>
        <w:tc>
          <w:tcPr>
            <w:tcW w:w="1307" w:type="dxa"/>
            <w:tcBorders>
              <w:top w:val="single" w:sz="12" w:space="0" w:color="auto"/>
            </w:tcBorders>
            <w:shd w:val="clear" w:color="auto" w:fill="auto"/>
            <w:tcMar>
              <w:top w:w="0" w:type="dxa"/>
              <w:left w:w="0" w:type="dxa"/>
              <w:bottom w:w="0" w:type="dxa"/>
              <w:right w:w="0" w:type="dxa"/>
            </w:tcMar>
          </w:tcPr>
          <w:p w:rsidR="0086185C" w:rsidRPr="000F7862" w:rsidRDefault="0086185C" w:rsidP="001C088C">
            <w:pPr>
              <w:keepNext/>
              <w:suppressAutoHyphens w:val="0"/>
              <w:spacing w:before="40" w:after="40" w:line="220" w:lineRule="exact"/>
              <w:jc w:val="right"/>
              <w:rPr>
                <w:sz w:val="18"/>
                <w:lang w:val="fr-FR"/>
              </w:rPr>
            </w:pPr>
            <w:r w:rsidRPr="000F7862">
              <w:rPr>
                <w:sz w:val="18"/>
                <w:lang w:val="fr-FR"/>
              </w:rPr>
              <w:t>61</w:t>
            </w:r>
          </w:p>
        </w:tc>
      </w:tr>
      <w:tr w:rsidR="005A520A" w:rsidRPr="000F7862" w:rsidTr="001C088C">
        <w:trPr>
          <w:cantSplit/>
        </w:trPr>
        <w:tc>
          <w:tcPr>
            <w:tcW w:w="2212" w:type="dxa"/>
            <w:shd w:val="clear" w:color="auto" w:fill="auto"/>
            <w:tcMar>
              <w:top w:w="0" w:type="dxa"/>
              <w:left w:w="0" w:type="dxa"/>
              <w:bottom w:w="0" w:type="dxa"/>
              <w:right w:w="0" w:type="dxa"/>
            </w:tcMar>
          </w:tcPr>
          <w:p w:rsidR="0086185C" w:rsidRPr="000F7862" w:rsidRDefault="002B7A8C" w:rsidP="002B7A8C">
            <w:pPr>
              <w:suppressAutoHyphens w:val="0"/>
              <w:spacing w:before="40" w:after="40" w:line="220" w:lineRule="exact"/>
              <w:rPr>
                <w:sz w:val="18"/>
                <w:lang w:val="fr-FR"/>
              </w:rPr>
            </w:pPr>
            <w:r w:rsidRPr="000F7862">
              <w:rPr>
                <w:sz w:val="18"/>
                <w:lang w:val="fr-FR"/>
              </w:rPr>
              <w:t xml:space="preserve">Entreprises participantes </w:t>
            </w:r>
          </w:p>
        </w:tc>
        <w:tc>
          <w:tcPr>
            <w:tcW w:w="1561" w:type="dxa"/>
            <w:shd w:val="clear" w:color="auto" w:fill="auto"/>
            <w:tcMar>
              <w:top w:w="0" w:type="dxa"/>
              <w:left w:w="0" w:type="dxa"/>
              <w:bottom w:w="0" w:type="dxa"/>
              <w:right w:w="0" w:type="dxa"/>
            </w:tcMar>
          </w:tcPr>
          <w:p w:rsidR="0086185C" w:rsidRPr="000F7862" w:rsidRDefault="0086185C" w:rsidP="001C088C">
            <w:pPr>
              <w:suppressAutoHyphens w:val="0"/>
              <w:spacing w:before="40" w:after="40" w:line="220" w:lineRule="exact"/>
              <w:jc w:val="right"/>
              <w:rPr>
                <w:sz w:val="18"/>
                <w:lang w:val="fr-FR"/>
              </w:rPr>
            </w:pPr>
            <w:r w:rsidRPr="000F7862">
              <w:rPr>
                <w:sz w:val="18"/>
                <w:lang w:val="fr-FR"/>
              </w:rPr>
              <w:t>385</w:t>
            </w:r>
          </w:p>
        </w:tc>
        <w:tc>
          <w:tcPr>
            <w:tcW w:w="983" w:type="dxa"/>
            <w:shd w:val="clear" w:color="auto" w:fill="auto"/>
            <w:tcMar>
              <w:top w:w="0" w:type="dxa"/>
              <w:left w:w="0" w:type="dxa"/>
              <w:bottom w:w="0" w:type="dxa"/>
              <w:right w:w="0" w:type="dxa"/>
            </w:tcMar>
          </w:tcPr>
          <w:p w:rsidR="0086185C" w:rsidRPr="000F7862" w:rsidRDefault="0086185C" w:rsidP="001C088C">
            <w:pPr>
              <w:suppressAutoHyphens w:val="0"/>
              <w:spacing w:before="40" w:after="40" w:line="220" w:lineRule="exact"/>
              <w:jc w:val="right"/>
              <w:rPr>
                <w:sz w:val="18"/>
                <w:lang w:val="fr-FR"/>
              </w:rPr>
            </w:pPr>
            <w:r w:rsidRPr="000F7862">
              <w:rPr>
                <w:sz w:val="18"/>
                <w:lang w:val="fr-FR"/>
              </w:rPr>
              <w:t>723</w:t>
            </w:r>
          </w:p>
        </w:tc>
        <w:tc>
          <w:tcPr>
            <w:tcW w:w="1307" w:type="dxa"/>
            <w:shd w:val="clear" w:color="auto" w:fill="auto"/>
            <w:tcMar>
              <w:top w:w="0" w:type="dxa"/>
              <w:left w:w="0" w:type="dxa"/>
              <w:bottom w:w="0" w:type="dxa"/>
              <w:right w:w="0" w:type="dxa"/>
            </w:tcMar>
          </w:tcPr>
          <w:p w:rsidR="0086185C" w:rsidRPr="000F7862" w:rsidRDefault="0086185C" w:rsidP="001C088C">
            <w:pPr>
              <w:suppressAutoHyphens w:val="0"/>
              <w:spacing w:before="40" w:after="40" w:line="220" w:lineRule="exact"/>
              <w:jc w:val="right"/>
              <w:rPr>
                <w:sz w:val="18"/>
                <w:lang w:val="fr-FR"/>
              </w:rPr>
            </w:pPr>
            <w:r w:rsidRPr="000F7862">
              <w:rPr>
                <w:sz w:val="18"/>
                <w:lang w:val="fr-FR"/>
              </w:rPr>
              <w:t>747</w:t>
            </w:r>
          </w:p>
        </w:tc>
        <w:tc>
          <w:tcPr>
            <w:tcW w:w="1307" w:type="dxa"/>
            <w:shd w:val="clear" w:color="auto" w:fill="auto"/>
            <w:tcMar>
              <w:top w:w="0" w:type="dxa"/>
              <w:left w:w="0" w:type="dxa"/>
              <w:bottom w:w="0" w:type="dxa"/>
              <w:right w:w="0" w:type="dxa"/>
            </w:tcMar>
          </w:tcPr>
          <w:p w:rsidR="0086185C" w:rsidRPr="000F7862" w:rsidRDefault="0086185C" w:rsidP="001C088C">
            <w:pPr>
              <w:suppressAutoHyphens w:val="0"/>
              <w:spacing w:before="40" w:after="40" w:line="220" w:lineRule="exact"/>
              <w:jc w:val="right"/>
              <w:rPr>
                <w:sz w:val="18"/>
                <w:lang w:val="fr-FR"/>
              </w:rPr>
            </w:pPr>
            <w:r w:rsidRPr="000F7862">
              <w:rPr>
                <w:sz w:val="18"/>
                <w:lang w:val="fr-FR"/>
              </w:rPr>
              <w:t>385</w:t>
            </w:r>
          </w:p>
        </w:tc>
      </w:tr>
    </w:tbl>
    <w:p w:rsidR="0086185C" w:rsidRPr="000F7862" w:rsidRDefault="003F7F57" w:rsidP="003F7F57">
      <w:pPr>
        <w:pStyle w:val="SingleTxtG"/>
        <w:spacing w:before="240"/>
        <w:rPr>
          <w:lang w:val="fr-FR"/>
        </w:rPr>
      </w:pPr>
      <w:r w:rsidRPr="000F7862">
        <w:rPr>
          <w:lang w:val="fr-FR"/>
        </w:rPr>
        <w:t>95.</w:t>
      </w:r>
      <w:r w:rsidRPr="000F7862">
        <w:rPr>
          <w:lang w:val="fr-FR"/>
        </w:rPr>
        <w:tab/>
      </w:r>
      <w:r w:rsidR="002B7A8C" w:rsidRPr="000F7862">
        <w:rPr>
          <w:lang w:val="fr-FR"/>
        </w:rPr>
        <w:t xml:space="preserve">On présente ci-après les mesures </w:t>
      </w:r>
      <w:r w:rsidR="009C1CCB" w:rsidRPr="000F7862">
        <w:rPr>
          <w:lang w:val="fr-FR"/>
        </w:rPr>
        <w:t>que le Ministère de la protection sociale et du développement est en train d</w:t>
      </w:r>
      <w:r w:rsidR="00120E2E" w:rsidRPr="000F7862">
        <w:rPr>
          <w:lang w:val="fr-FR"/>
        </w:rPr>
        <w:t>’</w:t>
      </w:r>
      <w:r w:rsidR="009C1CCB" w:rsidRPr="000F7862">
        <w:rPr>
          <w:lang w:val="fr-FR"/>
        </w:rPr>
        <w:t>adopter pour créer des possibilités d</w:t>
      </w:r>
      <w:r w:rsidR="00120E2E" w:rsidRPr="000F7862">
        <w:rPr>
          <w:lang w:val="fr-FR"/>
        </w:rPr>
        <w:t>’</w:t>
      </w:r>
      <w:r w:rsidR="009C1CCB" w:rsidRPr="000F7862">
        <w:rPr>
          <w:lang w:val="fr-FR"/>
        </w:rPr>
        <w:t>emploi comme source de revenus</w:t>
      </w:r>
      <w:r w:rsidR="0086185C" w:rsidRPr="000F7862">
        <w:rPr>
          <w:lang w:val="fr-FR"/>
        </w:rPr>
        <w:t xml:space="preserve">. </w:t>
      </w:r>
    </w:p>
    <w:p w:rsidR="0086185C" w:rsidRPr="000F7862" w:rsidRDefault="00195175" w:rsidP="009561C6">
      <w:pPr>
        <w:pStyle w:val="H23G"/>
        <w:rPr>
          <w:lang w:val="fr-FR"/>
        </w:rPr>
      </w:pPr>
      <w:r w:rsidRPr="000F7862">
        <w:rPr>
          <w:lang w:val="fr-FR"/>
        </w:rPr>
        <w:tab/>
      </w:r>
      <w:r w:rsidRPr="000F7862">
        <w:rPr>
          <w:lang w:val="fr-FR"/>
        </w:rPr>
        <w:tab/>
      </w:r>
      <w:r w:rsidR="003D2892" w:rsidRPr="000F7862">
        <w:rPr>
          <w:lang w:val="fr-FR"/>
        </w:rPr>
        <w:t>Le</w:t>
      </w:r>
      <w:r w:rsidR="0086185C" w:rsidRPr="000F7862">
        <w:rPr>
          <w:lang w:val="fr-FR"/>
        </w:rPr>
        <w:t xml:space="preserve"> Kapit-Bisig Laban sa Kahirapan </w:t>
      </w:r>
      <w:r w:rsidR="00B63BFB" w:rsidRPr="000F7862">
        <w:rPr>
          <w:lang w:val="fr-FR"/>
        </w:rPr>
        <w:t>–</w:t>
      </w:r>
      <w:r w:rsidR="0086185C" w:rsidRPr="000F7862">
        <w:rPr>
          <w:lang w:val="fr-FR"/>
        </w:rPr>
        <w:t xml:space="preserve"> </w:t>
      </w:r>
      <w:r w:rsidR="009C1CCB" w:rsidRPr="000F7862">
        <w:rPr>
          <w:lang w:val="fr-FR"/>
        </w:rPr>
        <w:t xml:space="preserve">Programme global </w:t>
      </w:r>
      <w:r w:rsidR="003D2892" w:rsidRPr="000F7862">
        <w:rPr>
          <w:lang w:val="fr-FR"/>
        </w:rPr>
        <w:t xml:space="preserve">et </w:t>
      </w:r>
      <w:r w:rsidR="009C1CCB" w:rsidRPr="000F7862">
        <w:rPr>
          <w:lang w:val="fr-FR"/>
        </w:rPr>
        <w:t>intégré pour la fourniture de services sociaux (KAKAHI-CIDSS)</w:t>
      </w:r>
    </w:p>
    <w:p w:rsidR="0086185C" w:rsidRPr="000F7862" w:rsidRDefault="003F7F57" w:rsidP="009B3DB1">
      <w:pPr>
        <w:pStyle w:val="SingleTxtG"/>
        <w:rPr>
          <w:lang w:val="fr-FR"/>
        </w:rPr>
      </w:pPr>
      <w:r w:rsidRPr="000F7862">
        <w:rPr>
          <w:lang w:val="fr-FR"/>
        </w:rPr>
        <w:t>96.</w:t>
      </w:r>
      <w:r w:rsidRPr="000F7862">
        <w:rPr>
          <w:lang w:val="fr-FR"/>
        </w:rPr>
        <w:tab/>
      </w:r>
      <w:r w:rsidR="009C1CCB" w:rsidRPr="000F7862">
        <w:rPr>
          <w:iCs/>
          <w:lang w:val="fr-FR"/>
        </w:rPr>
        <w:t xml:space="preserve">Le Programme </w:t>
      </w:r>
      <w:r w:rsidR="0086185C" w:rsidRPr="000F7862">
        <w:rPr>
          <w:i/>
          <w:iCs/>
          <w:lang w:val="fr-FR"/>
        </w:rPr>
        <w:t>KALAHI-CIDSS</w:t>
      </w:r>
      <w:r w:rsidR="009C1CCB" w:rsidRPr="000F7862">
        <w:rPr>
          <w:lang w:val="fr-FR"/>
        </w:rPr>
        <w:t xml:space="preserve"> e</w:t>
      </w:r>
      <w:r w:rsidR="0086185C" w:rsidRPr="000F7862">
        <w:rPr>
          <w:lang w:val="fr-FR"/>
        </w:rPr>
        <w:t>s</w:t>
      </w:r>
      <w:r w:rsidR="009C1CCB" w:rsidRPr="000F7862">
        <w:rPr>
          <w:lang w:val="fr-FR"/>
        </w:rPr>
        <w:t>t</w:t>
      </w:r>
      <w:r w:rsidR="0086185C" w:rsidRPr="000F7862">
        <w:rPr>
          <w:lang w:val="fr-FR"/>
        </w:rPr>
        <w:t xml:space="preserve"> </w:t>
      </w:r>
      <w:r w:rsidR="009C1CCB" w:rsidRPr="000F7862">
        <w:rPr>
          <w:lang w:val="fr-FR"/>
        </w:rPr>
        <w:t xml:space="preserve">un programme de développement </w:t>
      </w:r>
      <w:r w:rsidR="00D43E34" w:rsidRPr="000F7862">
        <w:rPr>
          <w:lang w:val="fr-FR"/>
        </w:rPr>
        <w:t>axé sur la collectivité et cherchant à renforcer les moyens d</w:t>
      </w:r>
      <w:r w:rsidR="00120E2E" w:rsidRPr="000F7862">
        <w:rPr>
          <w:lang w:val="fr-FR"/>
        </w:rPr>
        <w:t>’</w:t>
      </w:r>
      <w:r w:rsidR="00D43E34" w:rsidRPr="000F7862">
        <w:rPr>
          <w:lang w:val="fr-FR"/>
        </w:rPr>
        <w:t>action de</w:t>
      </w:r>
      <w:r w:rsidR="00B6122E" w:rsidRPr="000F7862">
        <w:rPr>
          <w:lang w:val="fr-FR"/>
        </w:rPr>
        <w:t>s communautés en les associant davantage à la gouvernance locale et à l</w:t>
      </w:r>
      <w:r w:rsidR="00120E2E" w:rsidRPr="000F7862">
        <w:rPr>
          <w:lang w:val="fr-FR"/>
        </w:rPr>
        <w:t>’</w:t>
      </w:r>
      <w:r w:rsidR="00B6122E" w:rsidRPr="000F7862">
        <w:rPr>
          <w:lang w:val="fr-FR"/>
        </w:rPr>
        <w:t>exécution de projets communautaires visant</w:t>
      </w:r>
      <w:r w:rsidR="0086185C" w:rsidRPr="000F7862">
        <w:rPr>
          <w:lang w:val="fr-FR"/>
        </w:rPr>
        <w:t xml:space="preserve"> </w:t>
      </w:r>
      <w:r w:rsidR="00B6122E" w:rsidRPr="000F7862">
        <w:rPr>
          <w:lang w:val="fr-FR"/>
        </w:rPr>
        <w:t xml:space="preserve">à réduire la pauvreté </w:t>
      </w:r>
      <w:r w:rsidR="00997B42" w:rsidRPr="000F7862">
        <w:rPr>
          <w:lang w:val="fr-FR"/>
        </w:rPr>
        <w:t xml:space="preserve">et consistant à </w:t>
      </w:r>
      <w:r w:rsidR="00B6122E" w:rsidRPr="000F7862">
        <w:rPr>
          <w:lang w:val="fr-FR"/>
        </w:rPr>
        <w:t>donn</w:t>
      </w:r>
      <w:r w:rsidR="00997B42" w:rsidRPr="000F7862">
        <w:rPr>
          <w:lang w:val="fr-FR"/>
        </w:rPr>
        <w:t>er</w:t>
      </w:r>
      <w:r w:rsidR="00B6122E" w:rsidRPr="000F7862">
        <w:rPr>
          <w:lang w:val="fr-FR"/>
        </w:rPr>
        <w:t xml:space="preserve"> aux </w:t>
      </w:r>
      <w:r w:rsidR="00FD28CB" w:rsidRPr="000F7862">
        <w:rPr>
          <w:lang w:val="fr-FR"/>
        </w:rPr>
        <w:t>personnes démunies</w:t>
      </w:r>
      <w:r w:rsidR="00B6122E" w:rsidRPr="000F7862">
        <w:rPr>
          <w:lang w:val="fr-FR"/>
        </w:rPr>
        <w:t xml:space="preserve"> des moyens d</w:t>
      </w:r>
      <w:r w:rsidR="00120E2E" w:rsidRPr="000F7862">
        <w:rPr>
          <w:lang w:val="fr-FR"/>
        </w:rPr>
        <w:t>’</w:t>
      </w:r>
      <w:r w:rsidR="00B6122E" w:rsidRPr="000F7862">
        <w:rPr>
          <w:lang w:val="fr-FR"/>
        </w:rPr>
        <w:t>agir en les faisant participer utilement aux processus de développement et en adaptant les programmes de développement à leurs besoins</w:t>
      </w:r>
      <w:r w:rsidR="0086185C" w:rsidRPr="000F7862">
        <w:rPr>
          <w:lang w:val="fr-FR"/>
        </w:rPr>
        <w:t>. I</w:t>
      </w:r>
      <w:r w:rsidR="00B6122E" w:rsidRPr="000F7862">
        <w:rPr>
          <w:lang w:val="fr-FR"/>
        </w:rPr>
        <w:t xml:space="preserve">l cible les municipalités démunies des provinces </w:t>
      </w:r>
      <w:r w:rsidR="00E32728" w:rsidRPr="000F7862">
        <w:rPr>
          <w:lang w:val="fr-FR"/>
        </w:rPr>
        <w:t xml:space="preserve">les plus </w:t>
      </w:r>
      <w:r w:rsidR="003D2892" w:rsidRPr="000F7862">
        <w:rPr>
          <w:lang w:val="fr-FR"/>
        </w:rPr>
        <w:t>pauvres</w:t>
      </w:r>
      <w:r w:rsidR="00E32728" w:rsidRPr="000F7862">
        <w:rPr>
          <w:lang w:val="fr-FR"/>
        </w:rPr>
        <w:t xml:space="preserve"> en s</w:t>
      </w:r>
      <w:r w:rsidR="00120E2E" w:rsidRPr="000F7862">
        <w:rPr>
          <w:lang w:val="fr-FR"/>
        </w:rPr>
        <w:t>’</w:t>
      </w:r>
      <w:r w:rsidR="00E32728" w:rsidRPr="000F7862">
        <w:rPr>
          <w:lang w:val="fr-FR"/>
        </w:rPr>
        <w:t xml:space="preserve">appuyant sur le rapport du </w:t>
      </w:r>
      <w:r w:rsidR="00E32728" w:rsidRPr="000F7862">
        <w:rPr>
          <w:iCs/>
          <w:snapToGrid w:val="0"/>
          <w:color w:val="000000"/>
          <w:lang w:val="fr-FR"/>
        </w:rPr>
        <w:t>Conseil national de coordination statistique</w:t>
      </w:r>
      <w:r w:rsidR="0086185C" w:rsidRPr="000F7862">
        <w:rPr>
          <w:lang w:val="fr-FR"/>
        </w:rPr>
        <w:t>.</w:t>
      </w:r>
      <w:r w:rsidR="00446EA5" w:rsidRPr="000F7862">
        <w:rPr>
          <w:lang w:val="fr-FR"/>
        </w:rPr>
        <w:t xml:space="preserve"> </w:t>
      </w:r>
      <w:r w:rsidR="00E32728" w:rsidRPr="000F7862">
        <w:rPr>
          <w:lang w:val="fr-FR"/>
        </w:rPr>
        <w:t>Ces municipalités constituent le quart des municipalité</w:t>
      </w:r>
      <w:r w:rsidR="0086185C" w:rsidRPr="000F7862">
        <w:rPr>
          <w:lang w:val="fr-FR"/>
        </w:rPr>
        <w:t xml:space="preserve">s </w:t>
      </w:r>
      <w:r w:rsidR="00E32728" w:rsidRPr="000F7862">
        <w:rPr>
          <w:lang w:val="fr-FR"/>
        </w:rPr>
        <w:t xml:space="preserve">les plus </w:t>
      </w:r>
      <w:r w:rsidR="003D2892" w:rsidRPr="000F7862">
        <w:rPr>
          <w:lang w:val="fr-FR"/>
        </w:rPr>
        <w:t>pauvres</w:t>
      </w:r>
      <w:r w:rsidR="00E32728" w:rsidRPr="000F7862">
        <w:rPr>
          <w:lang w:val="fr-FR"/>
        </w:rPr>
        <w:t xml:space="preserve"> des </w:t>
      </w:r>
      <w:r w:rsidR="0086185C" w:rsidRPr="000F7862">
        <w:rPr>
          <w:lang w:val="fr-FR"/>
        </w:rPr>
        <w:t>42 provinces</w:t>
      </w:r>
      <w:r w:rsidR="00E32728" w:rsidRPr="000F7862">
        <w:rPr>
          <w:lang w:val="fr-FR"/>
        </w:rPr>
        <w:t xml:space="preserve"> les plus </w:t>
      </w:r>
      <w:r w:rsidR="003D2892" w:rsidRPr="000F7862">
        <w:rPr>
          <w:lang w:val="fr-FR"/>
        </w:rPr>
        <w:t>pauvres</w:t>
      </w:r>
      <w:r w:rsidR="0086185C" w:rsidRPr="000F7862">
        <w:rPr>
          <w:lang w:val="fr-FR"/>
        </w:rPr>
        <w:t xml:space="preserve">. </w:t>
      </w:r>
    </w:p>
    <w:p w:rsidR="0086185C" w:rsidRPr="000F7862" w:rsidRDefault="003F7F57" w:rsidP="003F7F57">
      <w:pPr>
        <w:pStyle w:val="SingleTxtG"/>
        <w:rPr>
          <w:lang w:val="fr-FR"/>
        </w:rPr>
      </w:pPr>
      <w:r w:rsidRPr="000F7862">
        <w:rPr>
          <w:lang w:val="fr-FR"/>
        </w:rPr>
        <w:t>97.</w:t>
      </w:r>
      <w:r w:rsidRPr="000F7862">
        <w:rPr>
          <w:lang w:val="fr-FR"/>
        </w:rPr>
        <w:tab/>
      </w:r>
      <w:r w:rsidR="00997B42" w:rsidRPr="000F7862">
        <w:rPr>
          <w:lang w:val="fr-FR"/>
        </w:rPr>
        <w:t>Les activités de ce programme reposent sur les éléments ci-après</w:t>
      </w:r>
      <w:r w:rsidR="0005004C" w:rsidRPr="000F7862">
        <w:rPr>
          <w:lang w:val="fr-FR"/>
        </w:rPr>
        <w:t>:</w:t>
      </w:r>
      <w:r w:rsidR="00997B42" w:rsidRPr="000F7862">
        <w:rPr>
          <w:lang w:val="fr-FR"/>
        </w:rPr>
        <w:t xml:space="preserve"> mobilis</w:t>
      </w:r>
      <w:r w:rsidR="0086185C" w:rsidRPr="000F7862">
        <w:rPr>
          <w:lang w:val="fr-FR"/>
        </w:rPr>
        <w:t xml:space="preserve">ation </w:t>
      </w:r>
      <w:r w:rsidR="00997B42" w:rsidRPr="000F7862">
        <w:rPr>
          <w:lang w:val="fr-FR"/>
        </w:rPr>
        <w:t xml:space="preserve">des </w:t>
      </w:r>
      <w:r w:rsidR="0086185C" w:rsidRPr="000F7862">
        <w:rPr>
          <w:lang w:val="fr-FR"/>
        </w:rPr>
        <w:t xml:space="preserve">structures </w:t>
      </w:r>
      <w:r w:rsidR="00997B42" w:rsidRPr="000F7862">
        <w:rPr>
          <w:lang w:val="fr-FR"/>
        </w:rPr>
        <w:t>communautaires et de l</w:t>
      </w:r>
      <w:r w:rsidR="00120E2E" w:rsidRPr="000F7862">
        <w:rPr>
          <w:lang w:val="fr-FR"/>
        </w:rPr>
        <w:t>’</w:t>
      </w:r>
      <w:r w:rsidR="00997B42" w:rsidRPr="000F7862">
        <w:rPr>
          <w:lang w:val="fr-FR"/>
        </w:rPr>
        <w:t>appui des organes administratifs locaux</w:t>
      </w:r>
      <w:r w:rsidR="0086185C" w:rsidRPr="000F7862">
        <w:rPr>
          <w:lang w:val="fr-FR"/>
        </w:rPr>
        <w:t xml:space="preserve">; </w:t>
      </w:r>
      <w:r w:rsidR="00997B42" w:rsidRPr="000F7862">
        <w:rPr>
          <w:lang w:val="fr-FR"/>
        </w:rPr>
        <w:t>renforcement des capacités et accès des communautés et des organes administratifs locaux à des formations professionnelles dans les domaines suivants</w:t>
      </w:r>
      <w:r w:rsidR="0005004C" w:rsidRPr="000F7862">
        <w:rPr>
          <w:lang w:val="fr-FR"/>
        </w:rPr>
        <w:t xml:space="preserve">: </w:t>
      </w:r>
      <w:r w:rsidR="00AC1628" w:rsidRPr="000F7862">
        <w:rPr>
          <w:lang w:val="fr-FR"/>
        </w:rPr>
        <w:t>conscience de soi</w:t>
      </w:r>
      <w:r w:rsidR="0086185C" w:rsidRPr="000F7862">
        <w:rPr>
          <w:lang w:val="fr-FR"/>
        </w:rPr>
        <w:t xml:space="preserve"> </w:t>
      </w:r>
      <w:r w:rsidR="00AC1628" w:rsidRPr="000F7862">
        <w:rPr>
          <w:lang w:val="fr-FR"/>
        </w:rPr>
        <w:t xml:space="preserve">et valeurs du développement, </w:t>
      </w:r>
      <w:r w:rsidR="004B6D5C" w:rsidRPr="000F7862">
        <w:rPr>
          <w:lang w:val="fr-FR"/>
        </w:rPr>
        <w:t>priorisation participative des besoins et planification et exécution des programmes</w:t>
      </w:r>
      <w:r w:rsidR="0086185C" w:rsidRPr="000F7862">
        <w:rPr>
          <w:lang w:val="fr-FR"/>
        </w:rPr>
        <w:t xml:space="preserve">; </w:t>
      </w:r>
      <w:r w:rsidR="004B6D5C" w:rsidRPr="000F7862">
        <w:rPr>
          <w:lang w:val="fr-FR"/>
        </w:rPr>
        <w:t>et fourniture d</w:t>
      </w:r>
      <w:r w:rsidR="00120E2E" w:rsidRPr="000F7862">
        <w:rPr>
          <w:lang w:val="fr-FR"/>
        </w:rPr>
        <w:t>’</w:t>
      </w:r>
      <w:r w:rsidR="004B6D5C" w:rsidRPr="000F7862">
        <w:rPr>
          <w:lang w:val="fr-FR"/>
        </w:rPr>
        <w:t>une assistance technique et octroi de subventions au titre des priorités communautaires</w:t>
      </w:r>
      <w:r w:rsidR="0086185C" w:rsidRPr="000F7862">
        <w:rPr>
          <w:lang w:val="fr-FR"/>
        </w:rPr>
        <w:t xml:space="preserve">. </w:t>
      </w:r>
    </w:p>
    <w:p w:rsidR="0086185C" w:rsidRPr="000F7862" w:rsidRDefault="009B3DB1" w:rsidP="009B3DB1">
      <w:pPr>
        <w:pStyle w:val="H23G"/>
        <w:rPr>
          <w:lang w:val="fr-FR"/>
        </w:rPr>
      </w:pPr>
      <w:r w:rsidRPr="000F7862">
        <w:rPr>
          <w:lang w:val="fr-FR"/>
        </w:rPr>
        <w:tab/>
      </w:r>
      <w:r w:rsidRPr="000F7862">
        <w:rPr>
          <w:lang w:val="fr-FR"/>
        </w:rPr>
        <w:tab/>
      </w:r>
      <w:r w:rsidR="004B6D5C" w:rsidRPr="000F7862">
        <w:rPr>
          <w:lang w:val="fr-FR"/>
        </w:rPr>
        <w:t xml:space="preserve">Programme relatif aux moyens de subsistance durables </w:t>
      </w:r>
    </w:p>
    <w:p w:rsidR="0086185C" w:rsidRPr="000F7862" w:rsidRDefault="003F7F57" w:rsidP="003F7F57">
      <w:pPr>
        <w:pStyle w:val="SingleTxtG"/>
        <w:rPr>
          <w:lang w:val="fr-FR"/>
        </w:rPr>
      </w:pPr>
      <w:r w:rsidRPr="000F7862">
        <w:rPr>
          <w:lang w:val="fr-FR"/>
        </w:rPr>
        <w:t>98.</w:t>
      </w:r>
      <w:r w:rsidRPr="000F7862">
        <w:rPr>
          <w:lang w:val="fr-FR"/>
        </w:rPr>
        <w:tab/>
      </w:r>
      <w:r w:rsidR="004B6D5C" w:rsidRPr="000F7862">
        <w:rPr>
          <w:lang w:val="fr-FR"/>
        </w:rPr>
        <w:t xml:space="preserve">Le </w:t>
      </w:r>
      <w:r w:rsidR="00867E43" w:rsidRPr="000F7862">
        <w:rPr>
          <w:i/>
          <w:iCs/>
          <w:lang w:val="fr-FR"/>
        </w:rPr>
        <w:t>Programme</w:t>
      </w:r>
      <w:r w:rsidR="004B6D5C" w:rsidRPr="000F7862">
        <w:rPr>
          <w:i/>
          <w:iCs/>
          <w:lang w:val="fr-FR"/>
        </w:rPr>
        <w:t xml:space="preserve"> relatif aux moyens de subsistance durables</w:t>
      </w:r>
      <w:r w:rsidR="0086185C" w:rsidRPr="000F7862">
        <w:rPr>
          <w:lang w:val="fr-FR"/>
        </w:rPr>
        <w:t xml:space="preserve"> </w:t>
      </w:r>
      <w:r w:rsidR="004B6D5C" w:rsidRPr="000F7862">
        <w:rPr>
          <w:lang w:val="fr-FR"/>
        </w:rPr>
        <w:t>est</w:t>
      </w:r>
      <w:r w:rsidR="0086185C" w:rsidRPr="000F7862">
        <w:rPr>
          <w:lang w:val="fr-FR"/>
        </w:rPr>
        <w:t xml:space="preserve"> </w:t>
      </w:r>
      <w:r w:rsidR="004B6D5C" w:rsidRPr="000F7862">
        <w:rPr>
          <w:lang w:val="fr-FR"/>
        </w:rPr>
        <w:t xml:space="preserve">un </w:t>
      </w:r>
      <w:r w:rsidR="00867E43" w:rsidRPr="000F7862">
        <w:rPr>
          <w:lang w:val="fr-FR"/>
        </w:rPr>
        <w:t>programme</w:t>
      </w:r>
      <w:r w:rsidR="0086185C" w:rsidRPr="000F7862">
        <w:rPr>
          <w:lang w:val="fr-FR"/>
        </w:rPr>
        <w:t xml:space="preserve"> </w:t>
      </w:r>
      <w:r w:rsidR="004B6D5C" w:rsidRPr="000F7862">
        <w:rPr>
          <w:lang w:val="fr-FR"/>
        </w:rPr>
        <w:t>axé sur les collectivités qui prévoit un renforcement</w:t>
      </w:r>
      <w:r w:rsidR="005A3164" w:rsidRPr="000F7862">
        <w:rPr>
          <w:lang w:val="fr-FR"/>
        </w:rPr>
        <w:t xml:space="preserve"> des capacités pour améliorer la situation</w:t>
      </w:r>
      <w:r w:rsidR="004B6D5C" w:rsidRPr="000F7862">
        <w:rPr>
          <w:lang w:val="fr-FR"/>
        </w:rPr>
        <w:t xml:space="preserve"> socioéconomique des participants. Son exécution met en œuvre une stratégie à </w:t>
      </w:r>
      <w:r w:rsidR="00962E07" w:rsidRPr="000F7862">
        <w:rPr>
          <w:lang w:val="fr-FR"/>
        </w:rPr>
        <w:t>deux volets</w:t>
      </w:r>
      <w:r w:rsidR="0086185C" w:rsidRPr="000F7862">
        <w:rPr>
          <w:lang w:val="fr-FR"/>
        </w:rPr>
        <w:t>.</w:t>
      </w:r>
      <w:r w:rsidR="00446EA5" w:rsidRPr="000F7862">
        <w:rPr>
          <w:lang w:val="fr-FR"/>
        </w:rPr>
        <w:t xml:space="preserve"> </w:t>
      </w:r>
      <w:r w:rsidR="004B6D5C" w:rsidRPr="000F7862">
        <w:rPr>
          <w:lang w:val="fr-FR"/>
        </w:rPr>
        <w:t>Premièrement, il aide les micro</w:t>
      </w:r>
      <w:r w:rsidR="0086185C" w:rsidRPr="000F7862">
        <w:rPr>
          <w:lang w:val="fr-FR"/>
        </w:rPr>
        <w:t>ent</w:t>
      </w:r>
      <w:r w:rsidR="004B6D5C" w:rsidRPr="000F7862">
        <w:rPr>
          <w:lang w:val="fr-FR"/>
        </w:rPr>
        <w:t>re</w:t>
      </w:r>
      <w:r w:rsidR="0086185C" w:rsidRPr="000F7862">
        <w:rPr>
          <w:lang w:val="fr-FR"/>
        </w:rPr>
        <w:t xml:space="preserve">prises </w:t>
      </w:r>
      <w:r w:rsidR="004B6D5C" w:rsidRPr="000F7862">
        <w:rPr>
          <w:lang w:val="fr-FR"/>
        </w:rPr>
        <w:t xml:space="preserve">à devenir </w:t>
      </w:r>
      <w:r w:rsidR="00765B9A" w:rsidRPr="000F7862">
        <w:rPr>
          <w:lang w:val="fr-FR"/>
        </w:rPr>
        <w:t xml:space="preserve">structurellement et économiquement </w:t>
      </w:r>
      <w:r w:rsidR="004B6D5C" w:rsidRPr="000F7862">
        <w:rPr>
          <w:lang w:val="fr-FR"/>
        </w:rPr>
        <w:t xml:space="preserve">viables </w:t>
      </w:r>
      <w:r w:rsidR="00765B9A" w:rsidRPr="000F7862">
        <w:rPr>
          <w:lang w:val="fr-FR"/>
        </w:rPr>
        <w:t>au moyen</w:t>
      </w:r>
      <w:r w:rsidR="004B6D5C" w:rsidRPr="000F7862">
        <w:rPr>
          <w:lang w:val="fr-FR"/>
        </w:rPr>
        <w:t xml:space="preserve"> d</w:t>
      </w:r>
      <w:r w:rsidR="00120E2E" w:rsidRPr="000F7862">
        <w:rPr>
          <w:lang w:val="fr-FR"/>
        </w:rPr>
        <w:t>’</w:t>
      </w:r>
      <w:r w:rsidR="004B6D5C" w:rsidRPr="000F7862">
        <w:rPr>
          <w:lang w:val="fr-FR"/>
        </w:rPr>
        <w:t xml:space="preserve">un programme de renforcement des capacités </w:t>
      </w:r>
      <w:r w:rsidR="00765B9A" w:rsidRPr="000F7862">
        <w:rPr>
          <w:lang w:val="fr-FR"/>
        </w:rPr>
        <w:t>axé</w:t>
      </w:r>
      <w:r w:rsidR="00962E07" w:rsidRPr="000F7862">
        <w:rPr>
          <w:lang w:val="fr-FR"/>
        </w:rPr>
        <w:t xml:space="preserve"> sur le développement </w:t>
      </w:r>
      <w:r w:rsidR="0086185C" w:rsidRPr="000F7862">
        <w:rPr>
          <w:lang w:val="fr-FR"/>
        </w:rPr>
        <w:t>commun</w:t>
      </w:r>
      <w:r w:rsidR="00962E07" w:rsidRPr="000F7862">
        <w:rPr>
          <w:lang w:val="fr-FR"/>
        </w:rPr>
        <w:t>autaire</w:t>
      </w:r>
      <w:r w:rsidR="0086185C" w:rsidRPr="000F7862">
        <w:rPr>
          <w:lang w:val="fr-FR"/>
        </w:rPr>
        <w:t xml:space="preserve">, </w:t>
      </w:r>
      <w:r w:rsidR="00962E07" w:rsidRPr="000F7862">
        <w:rPr>
          <w:lang w:val="fr-FR"/>
        </w:rPr>
        <w:t>l</w:t>
      </w:r>
      <w:r w:rsidR="00120E2E" w:rsidRPr="000F7862">
        <w:rPr>
          <w:lang w:val="fr-FR"/>
        </w:rPr>
        <w:t>’</w:t>
      </w:r>
      <w:r w:rsidR="00962E07" w:rsidRPr="000F7862">
        <w:rPr>
          <w:lang w:val="fr-FR"/>
        </w:rPr>
        <w:t>amélioration des compétences professionnelles</w:t>
      </w:r>
      <w:r w:rsidR="0086185C" w:rsidRPr="000F7862">
        <w:rPr>
          <w:lang w:val="fr-FR"/>
        </w:rPr>
        <w:t xml:space="preserve">, </w:t>
      </w:r>
      <w:r w:rsidR="00962E07" w:rsidRPr="000F7862">
        <w:rPr>
          <w:lang w:val="fr-FR"/>
        </w:rPr>
        <w:t xml:space="preserve">la constitution de réseaux et </w:t>
      </w:r>
      <w:r w:rsidR="00765B9A" w:rsidRPr="000F7862">
        <w:rPr>
          <w:lang w:val="fr-FR"/>
        </w:rPr>
        <w:t xml:space="preserve">une </w:t>
      </w:r>
      <w:r w:rsidR="00AD2CB5" w:rsidRPr="000F7862">
        <w:rPr>
          <w:lang w:val="fr-FR"/>
        </w:rPr>
        <w:t>aid</w:t>
      </w:r>
      <w:r w:rsidR="0086185C" w:rsidRPr="000F7862">
        <w:rPr>
          <w:lang w:val="fr-FR"/>
        </w:rPr>
        <w:t xml:space="preserve">e </w:t>
      </w:r>
      <w:r w:rsidR="00962E07" w:rsidRPr="000F7862">
        <w:rPr>
          <w:lang w:val="fr-FR"/>
        </w:rPr>
        <w:t xml:space="preserve">financière aux familles démunies </w:t>
      </w:r>
      <w:r w:rsidR="00765B9A" w:rsidRPr="000F7862">
        <w:rPr>
          <w:lang w:val="fr-FR"/>
        </w:rPr>
        <w:t>inscrites</w:t>
      </w:r>
      <w:r w:rsidR="00962E07" w:rsidRPr="000F7862">
        <w:rPr>
          <w:lang w:val="fr-FR"/>
        </w:rPr>
        <w:t xml:space="preserve"> sur la liste du Projet de lutte contre la pauvreté lié au Système national d</w:t>
      </w:r>
      <w:r w:rsidR="00120E2E" w:rsidRPr="000F7862">
        <w:rPr>
          <w:lang w:val="fr-FR"/>
        </w:rPr>
        <w:t>’</w:t>
      </w:r>
      <w:r w:rsidR="00962E07" w:rsidRPr="000F7862">
        <w:rPr>
          <w:lang w:val="fr-FR"/>
        </w:rPr>
        <w:t>identification des ménages</w:t>
      </w:r>
      <w:r w:rsidR="0086185C" w:rsidRPr="000F7862">
        <w:rPr>
          <w:lang w:val="fr-FR"/>
        </w:rPr>
        <w:t xml:space="preserve">, </w:t>
      </w:r>
      <w:r w:rsidR="00765B9A" w:rsidRPr="000F7862">
        <w:rPr>
          <w:lang w:val="fr-FR"/>
        </w:rPr>
        <w:t xml:space="preserve">en donnant la </w:t>
      </w:r>
      <w:r w:rsidR="00962E07" w:rsidRPr="000F7862">
        <w:rPr>
          <w:lang w:val="fr-FR"/>
        </w:rPr>
        <w:t xml:space="preserve">priorité </w:t>
      </w:r>
      <w:r w:rsidR="00765B9A" w:rsidRPr="000F7862">
        <w:rPr>
          <w:lang w:val="fr-FR"/>
        </w:rPr>
        <w:t xml:space="preserve">aux </w:t>
      </w:r>
      <w:r w:rsidR="00962E07" w:rsidRPr="000F7862">
        <w:rPr>
          <w:lang w:val="fr-FR"/>
        </w:rPr>
        <w:t xml:space="preserve">bénéficiaires du </w:t>
      </w:r>
      <w:r w:rsidR="0086185C" w:rsidRPr="000F7862">
        <w:rPr>
          <w:lang w:val="fr-FR"/>
        </w:rPr>
        <w:t xml:space="preserve">Pantawid Pamilya </w:t>
      </w:r>
      <w:r w:rsidR="00765B9A" w:rsidRPr="000F7862">
        <w:rPr>
          <w:lang w:val="fr-FR"/>
        </w:rPr>
        <w:t>en vue</w:t>
      </w:r>
      <w:r w:rsidR="00962E07" w:rsidRPr="000F7862">
        <w:rPr>
          <w:lang w:val="fr-FR"/>
        </w:rPr>
        <w:t xml:space="preserve"> d</w:t>
      </w:r>
      <w:r w:rsidR="00120E2E" w:rsidRPr="000F7862">
        <w:rPr>
          <w:lang w:val="fr-FR"/>
        </w:rPr>
        <w:t>’</w:t>
      </w:r>
      <w:r w:rsidR="00962E07" w:rsidRPr="000F7862">
        <w:rPr>
          <w:lang w:val="fr-FR"/>
        </w:rPr>
        <w:t>améliorer leurs chances de pouvoir gérer une microentreprise viable</w:t>
      </w:r>
      <w:r w:rsidR="0086185C" w:rsidRPr="000F7862">
        <w:rPr>
          <w:lang w:val="fr-FR"/>
        </w:rPr>
        <w:t xml:space="preserve">. </w:t>
      </w:r>
      <w:r w:rsidR="00962E07" w:rsidRPr="000F7862">
        <w:rPr>
          <w:lang w:val="fr-FR"/>
        </w:rPr>
        <w:t xml:space="preserve">Deuxièmement, </w:t>
      </w:r>
      <w:r w:rsidR="00C630B9" w:rsidRPr="000F7862">
        <w:rPr>
          <w:lang w:val="fr-FR"/>
        </w:rPr>
        <w:t xml:space="preserve">il </w:t>
      </w:r>
      <w:r w:rsidR="00765B9A" w:rsidRPr="000F7862">
        <w:rPr>
          <w:lang w:val="fr-FR"/>
        </w:rPr>
        <w:t>relie les</w:t>
      </w:r>
      <w:r w:rsidR="00C630B9" w:rsidRPr="000F7862">
        <w:rPr>
          <w:lang w:val="fr-FR"/>
        </w:rPr>
        <w:t xml:space="preserve"> </w:t>
      </w:r>
      <w:r w:rsidR="0086185C" w:rsidRPr="000F7862">
        <w:rPr>
          <w:lang w:val="fr-FR"/>
        </w:rPr>
        <w:t xml:space="preserve">participants </w:t>
      </w:r>
      <w:r w:rsidR="00765B9A" w:rsidRPr="000F7862">
        <w:rPr>
          <w:lang w:val="fr-FR"/>
        </w:rPr>
        <w:t>aux</w:t>
      </w:r>
      <w:r w:rsidR="00C630B9" w:rsidRPr="000F7862">
        <w:rPr>
          <w:lang w:val="fr-FR"/>
        </w:rPr>
        <w:t xml:space="preserve"> possibilités d</w:t>
      </w:r>
      <w:r w:rsidR="00120E2E" w:rsidRPr="000F7862">
        <w:rPr>
          <w:lang w:val="fr-FR"/>
        </w:rPr>
        <w:t>’</w:t>
      </w:r>
      <w:r w:rsidR="00C630B9" w:rsidRPr="000F7862">
        <w:rPr>
          <w:lang w:val="fr-FR"/>
        </w:rPr>
        <w:t xml:space="preserve">emploi en fournissant une </w:t>
      </w:r>
      <w:r w:rsidR="0086185C" w:rsidRPr="000F7862">
        <w:rPr>
          <w:lang w:val="fr-FR"/>
        </w:rPr>
        <w:t xml:space="preserve">assistance </w:t>
      </w:r>
      <w:r w:rsidR="00C630B9" w:rsidRPr="000F7862">
        <w:rPr>
          <w:lang w:val="fr-FR"/>
        </w:rPr>
        <w:t xml:space="preserve">aux familles démunies sans </w:t>
      </w:r>
      <w:r w:rsidR="00765B9A" w:rsidRPr="000F7862">
        <w:rPr>
          <w:lang w:val="fr-FR"/>
        </w:rPr>
        <w:t xml:space="preserve">emploi inscrites sur </w:t>
      </w:r>
      <w:r w:rsidR="00C630B9" w:rsidRPr="000F7862">
        <w:rPr>
          <w:lang w:val="fr-FR"/>
        </w:rPr>
        <w:t xml:space="preserve">la liste susvisée, en donnant </w:t>
      </w:r>
      <w:r w:rsidR="00765B9A" w:rsidRPr="000F7862">
        <w:rPr>
          <w:lang w:val="fr-FR"/>
        </w:rPr>
        <w:t xml:space="preserve">de même </w:t>
      </w:r>
      <w:r w:rsidR="00C630B9" w:rsidRPr="000F7862">
        <w:rPr>
          <w:lang w:val="fr-FR"/>
        </w:rPr>
        <w:t xml:space="preserve">la priorité aux bénéficiaires du </w:t>
      </w:r>
      <w:r w:rsidR="0086185C" w:rsidRPr="000F7862">
        <w:rPr>
          <w:lang w:val="fr-FR"/>
        </w:rPr>
        <w:t xml:space="preserve">Pantawid Pamilya </w:t>
      </w:r>
      <w:r w:rsidR="00C630B9" w:rsidRPr="000F7862">
        <w:rPr>
          <w:lang w:val="fr-FR"/>
        </w:rPr>
        <w:t xml:space="preserve">qui </w:t>
      </w:r>
      <w:r w:rsidR="00577894" w:rsidRPr="000F7862">
        <w:rPr>
          <w:lang w:val="fr-FR"/>
        </w:rPr>
        <w:t>cherchent à s</w:t>
      </w:r>
      <w:r w:rsidR="00120E2E" w:rsidRPr="000F7862">
        <w:rPr>
          <w:lang w:val="fr-FR"/>
        </w:rPr>
        <w:t>’</w:t>
      </w:r>
      <w:r w:rsidR="00577894" w:rsidRPr="000F7862">
        <w:rPr>
          <w:lang w:val="fr-FR"/>
        </w:rPr>
        <w:t>employer</w:t>
      </w:r>
      <w:r w:rsidR="00765B9A" w:rsidRPr="000F7862">
        <w:rPr>
          <w:lang w:val="fr-FR"/>
        </w:rPr>
        <w:t>, en établissant leur profil de compétences, en recherchant les emplois correspondants et en fournissant une orientation professionnelle et des offres d</w:t>
      </w:r>
      <w:r w:rsidR="00120E2E" w:rsidRPr="000F7862">
        <w:rPr>
          <w:lang w:val="fr-FR"/>
        </w:rPr>
        <w:t>’</w:t>
      </w:r>
      <w:r w:rsidR="00765B9A" w:rsidRPr="000F7862">
        <w:rPr>
          <w:lang w:val="fr-FR"/>
        </w:rPr>
        <w:t>emploi</w:t>
      </w:r>
      <w:r w:rsidR="0086185C" w:rsidRPr="000F7862">
        <w:rPr>
          <w:lang w:val="fr-FR"/>
        </w:rPr>
        <w:t>.</w:t>
      </w:r>
    </w:p>
    <w:p w:rsidR="0086185C" w:rsidRPr="000F7862" w:rsidRDefault="003F7F57" w:rsidP="003F7F57">
      <w:pPr>
        <w:pStyle w:val="SingleTxtG"/>
        <w:rPr>
          <w:lang w:val="fr-FR"/>
        </w:rPr>
      </w:pPr>
      <w:r w:rsidRPr="000F7862">
        <w:rPr>
          <w:lang w:val="fr-FR"/>
        </w:rPr>
        <w:t>99.</w:t>
      </w:r>
      <w:r w:rsidRPr="000F7862">
        <w:rPr>
          <w:lang w:val="fr-FR"/>
        </w:rPr>
        <w:tab/>
      </w:r>
      <w:r w:rsidR="005A3164" w:rsidRPr="000F7862">
        <w:rPr>
          <w:lang w:val="fr-FR"/>
        </w:rPr>
        <w:t>Le Ministère du commerce et de l</w:t>
      </w:r>
      <w:r w:rsidR="00120E2E" w:rsidRPr="000F7862">
        <w:rPr>
          <w:lang w:val="fr-FR"/>
        </w:rPr>
        <w:t>’</w:t>
      </w:r>
      <w:r w:rsidR="005A3164" w:rsidRPr="000F7862">
        <w:rPr>
          <w:lang w:val="fr-FR"/>
        </w:rPr>
        <w:t xml:space="preserve">industrie et </w:t>
      </w:r>
      <w:r w:rsidR="00CF31D5" w:rsidRPr="000F7862">
        <w:rPr>
          <w:lang w:val="fr-FR"/>
        </w:rPr>
        <w:t>le Conseil des investissements ont entrepris de donner un souffle nouveau à l</w:t>
      </w:r>
      <w:r w:rsidR="00120E2E" w:rsidRPr="000F7862">
        <w:rPr>
          <w:lang w:val="fr-FR"/>
        </w:rPr>
        <w:t>’</w:t>
      </w:r>
      <w:r w:rsidR="00CF31D5" w:rsidRPr="000F7862">
        <w:rPr>
          <w:lang w:val="fr-FR"/>
        </w:rPr>
        <w:t>industrie manufacturière et d</w:t>
      </w:r>
      <w:r w:rsidR="00120E2E" w:rsidRPr="000F7862">
        <w:rPr>
          <w:lang w:val="fr-FR"/>
        </w:rPr>
        <w:t>’</w:t>
      </w:r>
      <w:r w:rsidR="00CF31D5" w:rsidRPr="000F7862">
        <w:rPr>
          <w:lang w:val="fr-FR"/>
        </w:rPr>
        <w:t>élaborer un plan global pour l</w:t>
      </w:r>
      <w:r w:rsidR="00120E2E" w:rsidRPr="000F7862">
        <w:rPr>
          <w:lang w:val="fr-FR"/>
        </w:rPr>
        <w:t>’</w:t>
      </w:r>
      <w:r w:rsidR="00CF31D5" w:rsidRPr="000F7862">
        <w:rPr>
          <w:lang w:val="fr-FR"/>
        </w:rPr>
        <w:t>industrie p</w:t>
      </w:r>
      <w:r w:rsidR="0086185C" w:rsidRPr="000F7862">
        <w:rPr>
          <w:lang w:val="fr-FR"/>
        </w:rPr>
        <w:t xml:space="preserve">hilippine </w:t>
      </w:r>
      <w:r w:rsidR="00111438" w:rsidRPr="000F7862">
        <w:rPr>
          <w:lang w:val="fr-FR"/>
        </w:rPr>
        <w:t>qui traitera des effets d</w:t>
      </w:r>
      <w:r w:rsidR="00120E2E" w:rsidRPr="000F7862">
        <w:rPr>
          <w:lang w:val="fr-FR"/>
        </w:rPr>
        <w:t>’</w:t>
      </w:r>
      <w:r w:rsidR="00111438" w:rsidRPr="000F7862">
        <w:rPr>
          <w:lang w:val="fr-FR"/>
        </w:rPr>
        <w:t>amont et d</w:t>
      </w:r>
      <w:r w:rsidR="00120E2E" w:rsidRPr="000F7862">
        <w:rPr>
          <w:lang w:val="fr-FR"/>
        </w:rPr>
        <w:t>’</w:t>
      </w:r>
      <w:r w:rsidR="00111438" w:rsidRPr="000F7862">
        <w:rPr>
          <w:lang w:val="fr-FR"/>
        </w:rPr>
        <w:t xml:space="preserve">aval dans les zones prioritaires et les secteurs à fort potentiel de croissance afin de créer des emplois. Le Conseil des investissements a conduit des </w:t>
      </w:r>
      <w:r w:rsidR="0086185C" w:rsidRPr="000F7862">
        <w:rPr>
          <w:lang w:val="fr-FR"/>
        </w:rPr>
        <w:t xml:space="preserve">consultations </w:t>
      </w:r>
      <w:r w:rsidR="008F0665" w:rsidRPr="000F7862">
        <w:rPr>
          <w:lang w:val="fr-FR"/>
        </w:rPr>
        <w:t>ap</w:t>
      </w:r>
      <w:r w:rsidR="00111438" w:rsidRPr="000F7862">
        <w:rPr>
          <w:lang w:val="fr-FR"/>
        </w:rPr>
        <w:t xml:space="preserve">profondies auprès des parties prenantes </w:t>
      </w:r>
      <w:r w:rsidR="003B2DD1" w:rsidRPr="000F7862">
        <w:rPr>
          <w:lang w:val="fr-FR"/>
        </w:rPr>
        <w:t>en vue</w:t>
      </w:r>
      <w:r w:rsidR="00111438" w:rsidRPr="000F7862">
        <w:rPr>
          <w:lang w:val="fr-FR"/>
        </w:rPr>
        <w:t xml:space="preserve"> de l</w:t>
      </w:r>
      <w:r w:rsidR="00120E2E" w:rsidRPr="000F7862">
        <w:rPr>
          <w:lang w:val="fr-FR"/>
        </w:rPr>
        <w:t>’</w:t>
      </w:r>
      <w:r w:rsidR="00111438" w:rsidRPr="000F7862">
        <w:rPr>
          <w:lang w:val="fr-FR"/>
        </w:rPr>
        <w:t>élaboration</w:t>
      </w:r>
      <w:r w:rsidR="008F0665" w:rsidRPr="000F7862">
        <w:rPr>
          <w:lang w:val="fr-FR"/>
        </w:rPr>
        <w:t xml:space="preserve"> </w:t>
      </w:r>
      <w:r w:rsidR="00111438" w:rsidRPr="000F7862">
        <w:rPr>
          <w:lang w:val="fr-FR"/>
        </w:rPr>
        <w:t xml:space="preserve">et de la mise en œuvre de </w:t>
      </w:r>
      <w:r w:rsidR="00DC5FDC" w:rsidRPr="000F7862">
        <w:rPr>
          <w:lang w:val="fr-FR"/>
        </w:rPr>
        <w:t>lignes directrices sectorielles devant aider à atteindre les objectifs</w:t>
      </w:r>
      <w:r w:rsidR="0086185C" w:rsidRPr="000F7862">
        <w:rPr>
          <w:lang w:val="fr-FR"/>
        </w:rPr>
        <w:t>.</w:t>
      </w:r>
      <w:r w:rsidR="00446EA5" w:rsidRPr="000F7862">
        <w:rPr>
          <w:lang w:val="fr-FR"/>
        </w:rPr>
        <w:t xml:space="preserve"> </w:t>
      </w:r>
      <w:r w:rsidR="00DC5FDC" w:rsidRPr="000F7862">
        <w:rPr>
          <w:lang w:val="fr-FR"/>
        </w:rPr>
        <w:t xml:space="preserve">Le Ministère a mobilisé </w:t>
      </w:r>
      <w:r w:rsidR="003B2DD1" w:rsidRPr="000F7862">
        <w:rPr>
          <w:color w:val="000000"/>
          <w:lang w:val="fr-FR"/>
        </w:rPr>
        <w:t>l</w:t>
      </w:r>
      <w:r w:rsidR="00120E2E" w:rsidRPr="000F7862">
        <w:rPr>
          <w:color w:val="000000"/>
          <w:lang w:val="fr-FR"/>
        </w:rPr>
        <w:t>’</w:t>
      </w:r>
      <w:r w:rsidR="003B2DD1" w:rsidRPr="000F7862">
        <w:rPr>
          <w:color w:val="000000"/>
          <w:lang w:val="fr-FR"/>
        </w:rPr>
        <w:t>Institut phili</w:t>
      </w:r>
      <w:r w:rsidR="007D71D2" w:rsidRPr="000F7862">
        <w:rPr>
          <w:color w:val="000000"/>
          <w:lang w:val="fr-FR"/>
        </w:rPr>
        <w:t>ppin d</w:t>
      </w:r>
      <w:r w:rsidR="00120E2E" w:rsidRPr="000F7862">
        <w:rPr>
          <w:color w:val="000000"/>
          <w:lang w:val="fr-FR"/>
        </w:rPr>
        <w:t>’</w:t>
      </w:r>
      <w:r w:rsidR="007D71D2" w:rsidRPr="000F7862">
        <w:rPr>
          <w:color w:val="000000"/>
          <w:lang w:val="fr-FR"/>
        </w:rPr>
        <w:t xml:space="preserve">études du développement </w:t>
      </w:r>
      <w:r w:rsidR="003B2DD1" w:rsidRPr="000F7862">
        <w:rPr>
          <w:lang w:val="fr-FR"/>
        </w:rPr>
        <w:t>aux fins de l</w:t>
      </w:r>
      <w:r w:rsidR="00120E2E" w:rsidRPr="000F7862">
        <w:rPr>
          <w:lang w:val="fr-FR"/>
        </w:rPr>
        <w:t>’</w:t>
      </w:r>
      <w:r w:rsidR="003B2DD1" w:rsidRPr="000F7862">
        <w:rPr>
          <w:lang w:val="fr-FR"/>
        </w:rPr>
        <w:t>élaboration du plan global pour l</w:t>
      </w:r>
      <w:r w:rsidR="00120E2E" w:rsidRPr="000F7862">
        <w:rPr>
          <w:lang w:val="fr-FR"/>
        </w:rPr>
        <w:t>’</w:t>
      </w:r>
      <w:r w:rsidR="003B2DD1" w:rsidRPr="000F7862">
        <w:rPr>
          <w:lang w:val="fr-FR"/>
        </w:rPr>
        <w:t>industrie</w:t>
      </w:r>
      <w:r w:rsidR="0086185C" w:rsidRPr="000F7862">
        <w:rPr>
          <w:lang w:val="fr-FR"/>
        </w:rPr>
        <w:t>.</w:t>
      </w:r>
      <w:r w:rsidR="00446EA5" w:rsidRPr="000F7862">
        <w:rPr>
          <w:lang w:val="fr-FR"/>
        </w:rPr>
        <w:t xml:space="preserve"> </w:t>
      </w:r>
      <w:r w:rsidR="003B2DD1" w:rsidRPr="000F7862">
        <w:rPr>
          <w:lang w:val="fr-FR"/>
        </w:rPr>
        <w:t xml:space="preserve">À ce jour, </w:t>
      </w:r>
      <w:r w:rsidR="00C52C04" w:rsidRPr="000F7862">
        <w:rPr>
          <w:lang w:val="fr-FR"/>
        </w:rPr>
        <w:t>22 </w:t>
      </w:r>
      <w:r w:rsidR="0086185C" w:rsidRPr="000F7862">
        <w:rPr>
          <w:lang w:val="fr-FR"/>
        </w:rPr>
        <w:t>sect</w:t>
      </w:r>
      <w:r w:rsidR="003B2DD1" w:rsidRPr="000F7862">
        <w:rPr>
          <w:lang w:val="fr-FR"/>
        </w:rPr>
        <w:t>eu</w:t>
      </w:r>
      <w:r w:rsidR="0086185C" w:rsidRPr="000F7862">
        <w:rPr>
          <w:lang w:val="fr-FR"/>
        </w:rPr>
        <w:t xml:space="preserve">rs </w:t>
      </w:r>
      <w:r w:rsidR="003B2DD1" w:rsidRPr="000F7862">
        <w:rPr>
          <w:lang w:val="fr-FR"/>
        </w:rPr>
        <w:t>industriels ont établi leurs lignes directrices et sont prêts à exécuter les plans d</w:t>
      </w:r>
      <w:r w:rsidR="00120E2E" w:rsidRPr="000F7862">
        <w:rPr>
          <w:lang w:val="fr-FR"/>
        </w:rPr>
        <w:t>’</w:t>
      </w:r>
      <w:r w:rsidR="003B2DD1" w:rsidRPr="000F7862">
        <w:rPr>
          <w:lang w:val="fr-FR"/>
        </w:rPr>
        <w:t>action.</w:t>
      </w:r>
      <w:r w:rsidR="00446EA5" w:rsidRPr="000F7862">
        <w:rPr>
          <w:lang w:val="fr-FR"/>
        </w:rPr>
        <w:t xml:space="preserve"> </w:t>
      </w:r>
      <w:r w:rsidR="003B2DD1" w:rsidRPr="000F7862">
        <w:rPr>
          <w:lang w:val="fr-FR"/>
        </w:rPr>
        <w:t>Le Ministère et le Conseil des investissements rendront publiques les lignes directrices industrielles et offriront aux autres organismes publics et parties prenantes un cadre dans lequel ils po</w:t>
      </w:r>
      <w:r w:rsidR="00C1337A" w:rsidRPr="000F7862">
        <w:rPr>
          <w:lang w:val="fr-FR"/>
        </w:rPr>
        <w:t>ur</w:t>
      </w:r>
      <w:r w:rsidR="003B2DD1" w:rsidRPr="000F7862">
        <w:rPr>
          <w:lang w:val="fr-FR"/>
        </w:rPr>
        <w:t xml:space="preserve">ront présenter leurs observations </w:t>
      </w:r>
      <w:r w:rsidR="00C1337A" w:rsidRPr="000F7862">
        <w:rPr>
          <w:lang w:val="fr-FR"/>
        </w:rPr>
        <w:t>et</w:t>
      </w:r>
      <w:r w:rsidR="0086185C" w:rsidRPr="000F7862">
        <w:rPr>
          <w:lang w:val="fr-FR"/>
        </w:rPr>
        <w:t xml:space="preserve"> suggestions </w:t>
      </w:r>
      <w:r w:rsidR="00C1337A" w:rsidRPr="000F7862">
        <w:rPr>
          <w:lang w:val="fr-FR"/>
        </w:rPr>
        <w:t>et s</w:t>
      </w:r>
      <w:r w:rsidR="00120E2E" w:rsidRPr="000F7862">
        <w:rPr>
          <w:lang w:val="fr-FR"/>
        </w:rPr>
        <w:t>’</w:t>
      </w:r>
      <w:r w:rsidR="00C1337A" w:rsidRPr="000F7862">
        <w:rPr>
          <w:lang w:val="fr-FR"/>
        </w:rPr>
        <w:t>approprier ces lignes directrices</w:t>
      </w:r>
      <w:r w:rsidR="0086185C" w:rsidRPr="000F7862">
        <w:rPr>
          <w:lang w:val="fr-FR"/>
        </w:rPr>
        <w:t>.</w:t>
      </w:r>
      <w:r w:rsidR="00446EA5" w:rsidRPr="000F7862">
        <w:rPr>
          <w:lang w:val="fr-FR"/>
        </w:rPr>
        <w:t xml:space="preserve"> </w:t>
      </w:r>
      <w:r w:rsidR="00C1337A" w:rsidRPr="000F7862">
        <w:rPr>
          <w:lang w:val="fr-FR"/>
        </w:rPr>
        <w:t>Ce processus devrait déboucher sur une approche équilibrée, qui permette de créer des emplois non pas seulement dans le secteur public, mais aussi dans le secteur manufacturier de l</w:t>
      </w:r>
      <w:r w:rsidR="00120E2E" w:rsidRPr="000F7862">
        <w:rPr>
          <w:lang w:val="fr-FR"/>
        </w:rPr>
        <w:t>’</w:t>
      </w:r>
      <w:r w:rsidR="00C1337A" w:rsidRPr="000F7862">
        <w:rPr>
          <w:lang w:val="fr-FR"/>
        </w:rPr>
        <w:t>économie</w:t>
      </w:r>
      <w:r w:rsidR="0086185C" w:rsidRPr="000F7862">
        <w:rPr>
          <w:lang w:val="fr-FR"/>
        </w:rPr>
        <w:t>.</w:t>
      </w:r>
      <w:r w:rsidR="0005004C" w:rsidRPr="000F7862">
        <w:rPr>
          <w:lang w:val="fr-FR"/>
        </w:rPr>
        <w:t xml:space="preserve"> </w:t>
      </w:r>
    </w:p>
    <w:p w:rsidR="0086185C" w:rsidRPr="000F7862" w:rsidRDefault="00195175" w:rsidP="001C088C">
      <w:pPr>
        <w:pStyle w:val="H23G"/>
        <w:rPr>
          <w:lang w:val="fr-FR"/>
        </w:rPr>
      </w:pPr>
      <w:r w:rsidRPr="000F7862">
        <w:rPr>
          <w:lang w:val="fr-FR"/>
        </w:rPr>
        <w:tab/>
      </w:r>
      <w:r w:rsidRPr="000F7862">
        <w:rPr>
          <w:lang w:val="fr-FR"/>
        </w:rPr>
        <w:tab/>
      </w:r>
      <w:r w:rsidR="00CE6670" w:rsidRPr="000F7862">
        <w:rPr>
          <w:lang w:val="fr-FR"/>
        </w:rPr>
        <w:t>Renseigne</w:t>
      </w:r>
      <w:r w:rsidR="00E11AF2" w:rsidRPr="000F7862">
        <w:rPr>
          <w:lang w:val="fr-FR"/>
        </w:rPr>
        <w:t>ments relatifs aux articles 6, 7</w:t>
      </w:r>
      <w:r w:rsidR="00CE6670" w:rsidRPr="000F7862">
        <w:rPr>
          <w:lang w:val="fr-FR"/>
        </w:rPr>
        <w:t xml:space="preserve">, 8 et 10 du Pacte </w:t>
      </w:r>
      <w:r w:rsidR="00B63BFB" w:rsidRPr="000F7862">
        <w:rPr>
          <w:lang w:val="fr-FR"/>
        </w:rPr>
        <w:t xml:space="preserve">– </w:t>
      </w:r>
      <w:r w:rsidR="0086185C" w:rsidRPr="000F7862">
        <w:rPr>
          <w:lang w:val="fr-FR"/>
        </w:rPr>
        <w:t>promoti</w:t>
      </w:r>
      <w:r w:rsidR="00CE6670" w:rsidRPr="000F7862">
        <w:rPr>
          <w:lang w:val="fr-FR"/>
        </w:rPr>
        <w:t xml:space="preserve">on et </w:t>
      </w:r>
      <w:r w:rsidR="0086185C" w:rsidRPr="000F7862">
        <w:rPr>
          <w:lang w:val="fr-FR"/>
        </w:rPr>
        <w:t>protecti</w:t>
      </w:r>
      <w:r w:rsidR="00CE6670" w:rsidRPr="000F7862">
        <w:rPr>
          <w:lang w:val="fr-FR"/>
        </w:rPr>
        <w:t xml:space="preserve">on des droits et du bien-être des </w:t>
      </w:r>
      <w:r w:rsidR="005C6302" w:rsidRPr="000F7862">
        <w:rPr>
          <w:lang w:val="fr-FR"/>
        </w:rPr>
        <w:t>Philippins travaillant à l</w:t>
      </w:r>
      <w:r w:rsidR="00120E2E" w:rsidRPr="000F7862">
        <w:rPr>
          <w:lang w:val="fr-FR"/>
        </w:rPr>
        <w:t>’</w:t>
      </w:r>
      <w:r w:rsidR="005C6302" w:rsidRPr="000F7862">
        <w:rPr>
          <w:lang w:val="fr-FR"/>
        </w:rPr>
        <w:t>étranger</w:t>
      </w:r>
      <w:r w:rsidR="0005004C" w:rsidRPr="000F7862">
        <w:rPr>
          <w:lang w:val="fr-FR"/>
        </w:rPr>
        <w:t xml:space="preserve"> </w:t>
      </w:r>
    </w:p>
    <w:p w:rsidR="0086185C" w:rsidRPr="000F7862" w:rsidRDefault="003F7F57" w:rsidP="00E11AF2">
      <w:pPr>
        <w:pStyle w:val="SingleTxtG"/>
        <w:rPr>
          <w:i/>
          <w:iCs/>
          <w:lang w:val="fr-FR"/>
        </w:rPr>
      </w:pPr>
      <w:r w:rsidRPr="000F7862">
        <w:rPr>
          <w:iCs/>
          <w:lang w:val="fr-FR"/>
        </w:rPr>
        <w:t>100.</w:t>
      </w:r>
      <w:r w:rsidRPr="000F7862">
        <w:rPr>
          <w:iCs/>
          <w:lang w:val="fr-FR"/>
        </w:rPr>
        <w:tab/>
      </w:r>
      <w:r w:rsidR="00896553" w:rsidRPr="000F7862">
        <w:rPr>
          <w:bCs/>
          <w:lang w:val="fr-FR"/>
        </w:rPr>
        <w:t xml:space="preserve">Le </w:t>
      </w:r>
      <w:r w:rsidR="0086185C" w:rsidRPr="000F7862">
        <w:rPr>
          <w:lang w:val="fr-FR"/>
        </w:rPr>
        <w:t>Pr</w:t>
      </w:r>
      <w:r w:rsidR="00896553" w:rsidRPr="000F7862">
        <w:rPr>
          <w:lang w:val="fr-FR"/>
        </w:rPr>
        <w:t>é</w:t>
      </w:r>
      <w:r w:rsidR="0086185C" w:rsidRPr="000F7862">
        <w:rPr>
          <w:lang w:val="fr-FR"/>
        </w:rPr>
        <w:t xml:space="preserve">sident </w:t>
      </w:r>
      <w:r w:rsidR="00896553" w:rsidRPr="000F7862">
        <w:rPr>
          <w:lang w:val="fr-FR"/>
        </w:rPr>
        <w:t xml:space="preserve">a promulgué la loi de la </w:t>
      </w:r>
      <w:r w:rsidR="0086185C" w:rsidRPr="000F7862">
        <w:rPr>
          <w:lang w:val="fr-FR"/>
        </w:rPr>
        <w:t>R</w:t>
      </w:r>
      <w:r w:rsidR="00896553" w:rsidRPr="000F7862">
        <w:rPr>
          <w:lang w:val="fr-FR"/>
        </w:rPr>
        <w:t>é</w:t>
      </w:r>
      <w:r w:rsidR="0086185C" w:rsidRPr="000F7862">
        <w:rPr>
          <w:lang w:val="fr-FR"/>
        </w:rPr>
        <w:t>publi</w:t>
      </w:r>
      <w:r w:rsidR="00896553" w:rsidRPr="000F7862">
        <w:rPr>
          <w:lang w:val="fr-FR"/>
        </w:rPr>
        <w:t xml:space="preserve">que </w:t>
      </w:r>
      <w:r w:rsidR="00E11AF2" w:rsidRPr="000F7862">
        <w:rPr>
          <w:lang w:val="fr-FR"/>
        </w:rPr>
        <w:t>n</w:t>
      </w:r>
      <w:r w:rsidR="00E11AF2" w:rsidRPr="000F7862">
        <w:rPr>
          <w:vertAlign w:val="superscript"/>
          <w:lang w:val="fr-FR"/>
        </w:rPr>
        <w:t>o</w:t>
      </w:r>
      <w:r w:rsidR="00E11AF2" w:rsidRPr="000F7862">
        <w:rPr>
          <w:lang w:val="fr-FR"/>
        </w:rPr>
        <w:t> </w:t>
      </w:r>
      <w:r w:rsidR="0086185C" w:rsidRPr="000F7862">
        <w:rPr>
          <w:lang w:val="fr-FR"/>
        </w:rPr>
        <w:t>10361 (</w:t>
      </w:r>
      <w:r w:rsidR="00896553" w:rsidRPr="000F7862">
        <w:rPr>
          <w:lang w:val="fr-FR"/>
        </w:rPr>
        <w:t>loi sur le personnel domestique ou</w:t>
      </w:r>
      <w:r w:rsidR="00896553" w:rsidRPr="000F7862">
        <w:rPr>
          <w:i/>
          <w:iCs/>
          <w:lang w:val="fr-FR"/>
        </w:rPr>
        <w:t xml:space="preserve"> Batas Kasambahay</w:t>
      </w:r>
      <w:r w:rsidR="0086185C" w:rsidRPr="000F7862">
        <w:rPr>
          <w:lang w:val="fr-FR"/>
        </w:rPr>
        <w:t xml:space="preserve">) </w:t>
      </w:r>
      <w:r w:rsidR="00896553" w:rsidRPr="000F7862">
        <w:rPr>
          <w:lang w:val="fr-FR"/>
        </w:rPr>
        <w:t xml:space="preserve">le </w:t>
      </w:r>
      <w:r w:rsidR="0086185C" w:rsidRPr="000F7862">
        <w:rPr>
          <w:lang w:val="fr-FR"/>
        </w:rPr>
        <w:t xml:space="preserve">18 </w:t>
      </w:r>
      <w:r w:rsidR="00896553" w:rsidRPr="000F7862">
        <w:rPr>
          <w:lang w:val="fr-FR"/>
        </w:rPr>
        <w:t xml:space="preserve">janvier </w:t>
      </w:r>
      <w:r w:rsidR="0086185C" w:rsidRPr="000F7862">
        <w:rPr>
          <w:lang w:val="fr-FR"/>
        </w:rPr>
        <w:t xml:space="preserve">2013. </w:t>
      </w:r>
      <w:r w:rsidR="00896553" w:rsidRPr="000F7862">
        <w:rPr>
          <w:lang w:val="fr-FR"/>
        </w:rPr>
        <w:t>Cette loi est appelée à faire date dans la législation du travail et la législation sociale</w:t>
      </w:r>
      <w:r w:rsidR="0005004C" w:rsidRPr="000F7862">
        <w:rPr>
          <w:lang w:val="fr-FR"/>
        </w:rPr>
        <w:t>:</w:t>
      </w:r>
      <w:r w:rsidR="00896553" w:rsidRPr="000F7862">
        <w:rPr>
          <w:lang w:val="fr-FR"/>
        </w:rPr>
        <w:t xml:space="preserve"> elle </w:t>
      </w:r>
      <w:r w:rsidR="006741BC" w:rsidRPr="000F7862">
        <w:rPr>
          <w:lang w:val="fr-FR"/>
        </w:rPr>
        <w:t>assimile</w:t>
      </w:r>
      <w:r w:rsidR="00896553" w:rsidRPr="000F7862">
        <w:rPr>
          <w:lang w:val="fr-FR"/>
        </w:rPr>
        <w:t xml:space="preserve"> pour la première fois </w:t>
      </w:r>
      <w:r w:rsidR="006741BC" w:rsidRPr="000F7862">
        <w:rPr>
          <w:lang w:val="fr-FR"/>
        </w:rPr>
        <w:t>le personnel domestique aux travailleurs du secteur structuré</w:t>
      </w:r>
      <w:r w:rsidR="0086185C" w:rsidRPr="000F7862">
        <w:rPr>
          <w:lang w:val="fr-FR"/>
        </w:rPr>
        <w:t xml:space="preserve">. </w:t>
      </w:r>
      <w:r w:rsidR="006741BC" w:rsidRPr="000F7862">
        <w:rPr>
          <w:lang w:val="fr-FR"/>
        </w:rPr>
        <w:t xml:space="preserve">Elle </w:t>
      </w:r>
      <w:r w:rsidR="00645B62" w:rsidRPr="000F7862">
        <w:rPr>
          <w:lang w:val="fr-FR"/>
        </w:rPr>
        <w:t xml:space="preserve">renforce le </w:t>
      </w:r>
      <w:r w:rsidR="0086185C" w:rsidRPr="000F7862">
        <w:rPr>
          <w:lang w:val="fr-FR"/>
        </w:rPr>
        <w:t xml:space="preserve">respect, </w:t>
      </w:r>
      <w:r w:rsidR="00645B62" w:rsidRPr="000F7862">
        <w:rPr>
          <w:lang w:val="fr-FR"/>
        </w:rPr>
        <w:t xml:space="preserve">la </w:t>
      </w:r>
      <w:r w:rsidR="0086185C" w:rsidRPr="000F7862">
        <w:rPr>
          <w:lang w:val="fr-FR"/>
        </w:rPr>
        <w:t>protection</w:t>
      </w:r>
      <w:r w:rsidR="00645B62" w:rsidRPr="000F7862">
        <w:rPr>
          <w:lang w:val="fr-FR"/>
        </w:rPr>
        <w:t xml:space="preserve"> et la </w:t>
      </w:r>
      <w:r w:rsidR="0086185C" w:rsidRPr="000F7862">
        <w:rPr>
          <w:lang w:val="fr-FR"/>
        </w:rPr>
        <w:t xml:space="preserve">promotion </w:t>
      </w:r>
      <w:r w:rsidR="00645B62" w:rsidRPr="000F7862">
        <w:rPr>
          <w:lang w:val="fr-FR"/>
        </w:rPr>
        <w:t>des droits et du bien-être du personnel domestique</w:t>
      </w:r>
      <w:r w:rsidR="0086185C" w:rsidRPr="000F7862">
        <w:rPr>
          <w:lang w:val="fr-FR"/>
        </w:rPr>
        <w:t xml:space="preserve">. </w:t>
      </w:r>
      <w:r w:rsidR="00645B62" w:rsidRPr="000F7862">
        <w:rPr>
          <w:lang w:val="fr-FR"/>
        </w:rPr>
        <w:t>Elle recense les normes relatives au travail de ce personnel, notamment un salaire mensuel minimal, des périodes de repos journalières et hebdomadaires, un congé annuel incitatif payé, un treizième mois de paie</w:t>
      </w:r>
      <w:r w:rsidR="0086185C" w:rsidRPr="000F7862">
        <w:rPr>
          <w:lang w:val="fr-FR"/>
        </w:rPr>
        <w:t>, a</w:t>
      </w:r>
      <w:r w:rsidR="00645B62" w:rsidRPr="000F7862">
        <w:rPr>
          <w:lang w:val="fr-FR"/>
        </w:rPr>
        <w:t>in</w:t>
      </w:r>
      <w:r w:rsidR="0086185C" w:rsidRPr="000F7862">
        <w:rPr>
          <w:lang w:val="fr-FR"/>
        </w:rPr>
        <w:t>s</w:t>
      </w:r>
      <w:r w:rsidR="00645B62" w:rsidRPr="000F7862">
        <w:rPr>
          <w:lang w:val="fr-FR"/>
        </w:rPr>
        <w:t>i que le droit au bénéfice de la sécurité</w:t>
      </w:r>
      <w:r w:rsidR="0086185C" w:rsidRPr="000F7862">
        <w:rPr>
          <w:lang w:val="fr-FR"/>
        </w:rPr>
        <w:t xml:space="preserve"> social</w:t>
      </w:r>
      <w:r w:rsidR="00645B62" w:rsidRPr="000F7862">
        <w:rPr>
          <w:lang w:val="fr-FR"/>
        </w:rPr>
        <w:t>e</w:t>
      </w:r>
      <w:r w:rsidR="0086185C" w:rsidRPr="000F7862">
        <w:rPr>
          <w:lang w:val="fr-FR"/>
        </w:rPr>
        <w:t xml:space="preserve"> (</w:t>
      </w:r>
      <w:r w:rsidR="00645B62" w:rsidRPr="000F7862">
        <w:rPr>
          <w:lang w:val="fr-FR"/>
        </w:rPr>
        <w:t>par exemple, le système de sécurité sociale</w:t>
      </w:r>
      <w:r w:rsidR="0086185C" w:rsidRPr="000F7862">
        <w:rPr>
          <w:lang w:val="fr-FR"/>
        </w:rPr>
        <w:t xml:space="preserve">, </w:t>
      </w:r>
      <w:r w:rsidR="00645B62" w:rsidRPr="000F7862">
        <w:rPr>
          <w:lang w:val="fr-FR"/>
        </w:rPr>
        <w:t>la Société philippine d</w:t>
      </w:r>
      <w:r w:rsidR="00120E2E" w:rsidRPr="000F7862">
        <w:rPr>
          <w:lang w:val="fr-FR"/>
        </w:rPr>
        <w:t>’</w:t>
      </w:r>
      <w:r w:rsidR="00645B62" w:rsidRPr="000F7862">
        <w:rPr>
          <w:lang w:val="fr-FR"/>
        </w:rPr>
        <w:t xml:space="preserve">assurance maladie et </w:t>
      </w:r>
      <w:r w:rsidR="0086185C" w:rsidRPr="000F7862">
        <w:rPr>
          <w:lang w:val="fr-FR"/>
        </w:rPr>
        <w:t>Pag-Ibig</w:t>
      </w:r>
      <w:r w:rsidR="0086185C" w:rsidRPr="000F7862">
        <w:rPr>
          <w:iCs/>
          <w:lang w:val="fr-FR"/>
        </w:rPr>
        <w:t>)</w:t>
      </w:r>
      <w:r w:rsidR="0086185C" w:rsidRPr="000F7862">
        <w:rPr>
          <w:i/>
          <w:iCs/>
          <w:lang w:val="fr-FR"/>
        </w:rPr>
        <w:t>.</w:t>
      </w:r>
    </w:p>
    <w:p w:rsidR="0086185C" w:rsidRPr="000F7862" w:rsidRDefault="003F7F57" w:rsidP="003F7F57">
      <w:pPr>
        <w:pStyle w:val="SingleTxtG"/>
        <w:rPr>
          <w:lang w:val="fr-FR"/>
        </w:rPr>
      </w:pPr>
      <w:r w:rsidRPr="000F7862">
        <w:rPr>
          <w:lang w:val="fr-FR"/>
        </w:rPr>
        <w:t>101.</w:t>
      </w:r>
      <w:r w:rsidRPr="000F7862">
        <w:rPr>
          <w:lang w:val="fr-FR"/>
        </w:rPr>
        <w:tab/>
      </w:r>
      <w:r w:rsidR="00621BFF" w:rsidRPr="000F7862">
        <w:rPr>
          <w:lang w:val="fr-FR"/>
        </w:rPr>
        <w:t>E</w:t>
      </w:r>
      <w:r w:rsidR="0086185C" w:rsidRPr="000F7862">
        <w:rPr>
          <w:lang w:val="fr-FR"/>
        </w:rPr>
        <w:t xml:space="preserve">n 2011, </w:t>
      </w:r>
      <w:r w:rsidR="00621BFF" w:rsidRPr="000F7862">
        <w:rPr>
          <w:lang w:val="fr-FR"/>
        </w:rPr>
        <w:t>la Société philippine d</w:t>
      </w:r>
      <w:r w:rsidR="00120E2E" w:rsidRPr="000F7862">
        <w:rPr>
          <w:lang w:val="fr-FR"/>
        </w:rPr>
        <w:t>’</w:t>
      </w:r>
      <w:r w:rsidR="00621BFF" w:rsidRPr="000F7862">
        <w:rPr>
          <w:lang w:val="fr-FR"/>
        </w:rPr>
        <w:t>assurance maladie (PhilHealth) a mis en place le régime d</w:t>
      </w:r>
      <w:r w:rsidR="00120E2E" w:rsidRPr="000F7862">
        <w:rPr>
          <w:lang w:val="fr-FR"/>
        </w:rPr>
        <w:t>’</w:t>
      </w:r>
      <w:r w:rsidR="00621BFF" w:rsidRPr="000F7862">
        <w:rPr>
          <w:lang w:val="fr-FR"/>
        </w:rPr>
        <w:t>une subvention partielle pour les personnes démunies.</w:t>
      </w:r>
      <w:r w:rsidR="0086185C" w:rsidRPr="000F7862">
        <w:rPr>
          <w:lang w:val="fr-FR"/>
        </w:rPr>
        <w:t xml:space="preserve"> </w:t>
      </w:r>
      <w:r w:rsidR="00621BFF" w:rsidRPr="000F7862">
        <w:rPr>
          <w:lang w:val="fr-FR"/>
        </w:rPr>
        <w:t xml:space="preserve">Ce régime a permis de répartir la cotisation annuelle entre les organes administratifs locaux, simplifié le </w:t>
      </w:r>
      <w:r w:rsidR="0086185C" w:rsidRPr="000F7862">
        <w:rPr>
          <w:lang w:val="fr-FR"/>
        </w:rPr>
        <w:t>process</w:t>
      </w:r>
      <w:r w:rsidR="00621BFF" w:rsidRPr="000F7862">
        <w:rPr>
          <w:lang w:val="fr-FR"/>
        </w:rPr>
        <w:t xml:space="preserve">us, en particulier pour les habitants de zones isolées et rurales, élargi les prestations médicales et accordé la priorité aux femmes, en particulier </w:t>
      </w:r>
      <w:r w:rsidR="007A19B2" w:rsidRPr="000F7862">
        <w:rPr>
          <w:lang w:val="fr-FR"/>
        </w:rPr>
        <w:t xml:space="preserve">aux </w:t>
      </w:r>
      <w:r w:rsidR="00621BFF" w:rsidRPr="000F7862">
        <w:rPr>
          <w:lang w:val="fr-FR"/>
        </w:rPr>
        <w:t xml:space="preserve">femmes </w:t>
      </w:r>
      <w:r w:rsidR="0086185C" w:rsidRPr="000F7862">
        <w:rPr>
          <w:lang w:val="fr-FR"/>
        </w:rPr>
        <w:t xml:space="preserve">microentrepreneurs, </w:t>
      </w:r>
      <w:r w:rsidR="00621BFF" w:rsidRPr="000F7862">
        <w:rPr>
          <w:lang w:val="fr-FR"/>
        </w:rPr>
        <w:t>en matière d</w:t>
      </w:r>
      <w:r w:rsidR="00120E2E" w:rsidRPr="000F7862">
        <w:rPr>
          <w:lang w:val="fr-FR"/>
        </w:rPr>
        <w:t>’</w:t>
      </w:r>
      <w:r w:rsidR="00621BFF" w:rsidRPr="000F7862">
        <w:rPr>
          <w:lang w:val="fr-FR"/>
        </w:rPr>
        <w:t>affiliation</w:t>
      </w:r>
      <w:r w:rsidR="0086185C" w:rsidRPr="000F7862">
        <w:rPr>
          <w:lang w:val="fr-FR"/>
        </w:rPr>
        <w:t xml:space="preserve">. </w:t>
      </w:r>
      <w:r w:rsidR="00621BFF" w:rsidRPr="000F7862">
        <w:rPr>
          <w:lang w:val="fr-FR"/>
        </w:rPr>
        <w:t xml:space="preserve">Le détenteur principal de la carte familiale </w:t>
      </w:r>
      <w:r w:rsidR="0086185C" w:rsidRPr="000F7862">
        <w:rPr>
          <w:lang w:val="fr-FR"/>
        </w:rPr>
        <w:t xml:space="preserve">PhilHealth </w:t>
      </w:r>
      <w:r w:rsidR="00621BFF" w:rsidRPr="000F7862">
        <w:rPr>
          <w:lang w:val="fr-FR"/>
        </w:rPr>
        <w:t>est désormais la femme ou la mère.</w:t>
      </w:r>
    </w:p>
    <w:p w:rsidR="0086185C" w:rsidRPr="000F7862" w:rsidRDefault="003F7F57" w:rsidP="003F7F57">
      <w:pPr>
        <w:pStyle w:val="SingleTxtG"/>
        <w:rPr>
          <w:b/>
          <w:bCs/>
          <w:lang w:val="fr-FR"/>
        </w:rPr>
      </w:pPr>
      <w:r w:rsidRPr="000F7862">
        <w:rPr>
          <w:bCs/>
          <w:lang w:val="fr-FR"/>
        </w:rPr>
        <w:t>102.</w:t>
      </w:r>
      <w:r w:rsidRPr="000F7862">
        <w:rPr>
          <w:bCs/>
          <w:lang w:val="fr-FR"/>
        </w:rPr>
        <w:tab/>
      </w:r>
      <w:r w:rsidR="00366EA8" w:rsidRPr="000F7862">
        <w:rPr>
          <w:lang w:val="fr-FR"/>
        </w:rPr>
        <w:t xml:space="preserve">Conformément au Programme commun des Philippines pour un emploi décent pour la période </w:t>
      </w:r>
      <w:r w:rsidR="0086185C" w:rsidRPr="000F7862">
        <w:rPr>
          <w:lang w:val="fr-FR"/>
        </w:rPr>
        <w:t>2008</w:t>
      </w:r>
      <w:r w:rsidR="00366EA8" w:rsidRPr="000F7862">
        <w:rPr>
          <w:lang w:val="fr-FR"/>
        </w:rPr>
        <w:t>-</w:t>
      </w:r>
      <w:r w:rsidR="0086185C" w:rsidRPr="000F7862">
        <w:rPr>
          <w:lang w:val="fr-FR"/>
        </w:rPr>
        <w:t>2010</w:t>
      </w:r>
      <w:r w:rsidR="00366EA8" w:rsidRPr="000F7862">
        <w:rPr>
          <w:lang w:val="fr-FR"/>
        </w:rPr>
        <w:t>, qui vise à réduire les écarts en matière d</w:t>
      </w:r>
      <w:r w:rsidR="00120E2E" w:rsidRPr="000F7862">
        <w:rPr>
          <w:lang w:val="fr-FR"/>
        </w:rPr>
        <w:t>’</w:t>
      </w:r>
      <w:r w:rsidR="00366EA8" w:rsidRPr="000F7862">
        <w:rPr>
          <w:lang w:val="fr-FR"/>
        </w:rPr>
        <w:t xml:space="preserve">emploi décent et à améliorer la </w:t>
      </w:r>
      <w:r w:rsidR="0086185C" w:rsidRPr="000F7862">
        <w:rPr>
          <w:lang w:val="fr-FR"/>
        </w:rPr>
        <w:t>productivit</w:t>
      </w:r>
      <w:r w:rsidR="00366EA8" w:rsidRPr="000F7862">
        <w:rPr>
          <w:lang w:val="fr-FR"/>
        </w:rPr>
        <w:t>é</w:t>
      </w:r>
      <w:r w:rsidR="0086185C" w:rsidRPr="000F7862">
        <w:rPr>
          <w:lang w:val="fr-FR"/>
        </w:rPr>
        <w:t xml:space="preserve">, </w:t>
      </w:r>
      <w:r w:rsidR="00366EA8" w:rsidRPr="000F7862">
        <w:rPr>
          <w:lang w:val="fr-FR"/>
        </w:rPr>
        <w:t>la compé</w:t>
      </w:r>
      <w:r w:rsidR="0086185C" w:rsidRPr="000F7862">
        <w:rPr>
          <w:lang w:val="fr-FR"/>
        </w:rPr>
        <w:t>titiv</w:t>
      </w:r>
      <w:r w:rsidR="00366EA8" w:rsidRPr="000F7862">
        <w:rPr>
          <w:lang w:val="fr-FR"/>
        </w:rPr>
        <w:t xml:space="preserve">ité et la </w:t>
      </w:r>
      <w:r w:rsidR="0086185C" w:rsidRPr="000F7862">
        <w:rPr>
          <w:lang w:val="fr-FR"/>
        </w:rPr>
        <w:t>repr</w:t>
      </w:r>
      <w:r w:rsidR="00366EA8" w:rsidRPr="000F7862">
        <w:rPr>
          <w:lang w:val="fr-FR"/>
        </w:rPr>
        <w:t>é</w:t>
      </w:r>
      <w:r w:rsidR="0086185C" w:rsidRPr="000F7862">
        <w:rPr>
          <w:lang w:val="fr-FR"/>
        </w:rPr>
        <w:t xml:space="preserve">sentation </w:t>
      </w:r>
      <w:r w:rsidR="00366EA8" w:rsidRPr="000F7862">
        <w:rPr>
          <w:lang w:val="fr-FR"/>
        </w:rPr>
        <w:t>de la main-d</w:t>
      </w:r>
      <w:r w:rsidR="00120E2E" w:rsidRPr="000F7862">
        <w:rPr>
          <w:lang w:val="fr-FR"/>
        </w:rPr>
        <w:t>’</w:t>
      </w:r>
      <w:r w:rsidR="00366EA8" w:rsidRPr="000F7862">
        <w:rPr>
          <w:lang w:val="fr-FR"/>
        </w:rPr>
        <w:t xml:space="preserve">œuvre </w:t>
      </w:r>
      <w:r w:rsidR="00FE7B21" w:rsidRPr="000F7862">
        <w:rPr>
          <w:lang w:val="fr-FR"/>
        </w:rPr>
        <w:t>et l</w:t>
      </w:r>
      <w:r w:rsidR="00120E2E" w:rsidRPr="000F7862">
        <w:rPr>
          <w:lang w:val="fr-FR"/>
        </w:rPr>
        <w:t>’</w:t>
      </w:r>
      <w:r w:rsidR="00FE7B21" w:rsidRPr="000F7862">
        <w:rPr>
          <w:lang w:val="fr-FR"/>
        </w:rPr>
        <w:t>équité au travail</w:t>
      </w:r>
      <w:r w:rsidR="0086185C" w:rsidRPr="000F7862">
        <w:rPr>
          <w:lang w:val="fr-FR"/>
        </w:rPr>
        <w:t xml:space="preserve">, </w:t>
      </w:r>
      <w:r w:rsidR="00FE7B21" w:rsidRPr="000F7862">
        <w:rPr>
          <w:lang w:val="fr-FR"/>
        </w:rPr>
        <w:t>le Ministère du travail et de l</w:t>
      </w:r>
      <w:r w:rsidR="00120E2E" w:rsidRPr="000F7862">
        <w:rPr>
          <w:lang w:val="fr-FR"/>
        </w:rPr>
        <w:t>’</w:t>
      </w:r>
      <w:r w:rsidR="00FE7B21" w:rsidRPr="000F7862">
        <w:rPr>
          <w:lang w:val="fr-FR"/>
        </w:rPr>
        <w:t>emploi exécute des programmes de création d</w:t>
      </w:r>
      <w:r w:rsidR="00120E2E" w:rsidRPr="000F7862">
        <w:rPr>
          <w:lang w:val="fr-FR"/>
        </w:rPr>
        <w:t>’</w:t>
      </w:r>
      <w:r w:rsidR="00FE7B21" w:rsidRPr="000F7862">
        <w:rPr>
          <w:lang w:val="fr-FR"/>
        </w:rPr>
        <w:t>emplois et d</w:t>
      </w:r>
      <w:r w:rsidR="00120E2E" w:rsidRPr="000F7862">
        <w:rPr>
          <w:lang w:val="fr-FR"/>
        </w:rPr>
        <w:t>’</w:t>
      </w:r>
      <w:r w:rsidR="00FE7B21" w:rsidRPr="000F7862">
        <w:rPr>
          <w:lang w:val="fr-FR"/>
        </w:rPr>
        <w:t>entreprises</w:t>
      </w:r>
      <w:r w:rsidR="0086185C" w:rsidRPr="000F7862">
        <w:rPr>
          <w:lang w:val="fr-FR"/>
        </w:rPr>
        <w:t xml:space="preserve">, </w:t>
      </w:r>
      <w:r w:rsidR="00FE7B21" w:rsidRPr="000F7862">
        <w:rPr>
          <w:lang w:val="fr-FR"/>
        </w:rPr>
        <w:t>tels que le Programme intégré relatif aux moyens d</w:t>
      </w:r>
      <w:r w:rsidR="00120E2E" w:rsidRPr="000F7862">
        <w:rPr>
          <w:lang w:val="fr-FR"/>
        </w:rPr>
        <w:t>’</w:t>
      </w:r>
      <w:r w:rsidR="00FE7B21" w:rsidRPr="000F7862">
        <w:rPr>
          <w:lang w:val="fr-FR"/>
        </w:rPr>
        <w:t>existence</w:t>
      </w:r>
      <w:r w:rsidR="0007540C" w:rsidRPr="000F7862">
        <w:rPr>
          <w:lang w:val="fr-FR"/>
        </w:rPr>
        <w:t>, destiné aux travailleurs défavorisés ou au chômage, en particulier à un gro</w:t>
      </w:r>
      <w:r w:rsidR="00E32CD5" w:rsidRPr="000F7862">
        <w:rPr>
          <w:lang w:val="fr-FR"/>
        </w:rPr>
        <w:t>u</w:t>
      </w:r>
      <w:r w:rsidR="0007540C" w:rsidRPr="000F7862">
        <w:rPr>
          <w:lang w:val="fr-FR"/>
        </w:rPr>
        <w:t>pe spécifique de travailleurs qui inclut les femmes</w:t>
      </w:r>
      <w:r w:rsidR="0086185C" w:rsidRPr="000F7862">
        <w:rPr>
          <w:lang w:val="fr-FR"/>
        </w:rPr>
        <w:t>.</w:t>
      </w:r>
      <w:r w:rsidR="00446EA5" w:rsidRPr="000F7862">
        <w:rPr>
          <w:lang w:val="fr-FR"/>
        </w:rPr>
        <w:t xml:space="preserve"> </w:t>
      </w:r>
      <w:r w:rsidR="0007540C" w:rsidRPr="000F7862">
        <w:rPr>
          <w:lang w:val="fr-FR"/>
        </w:rPr>
        <w:t>E</w:t>
      </w:r>
      <w:r w:rsidR="0086185C" w:rsidRPr="000F7862">
        <w:rPr>
          <w:lang w:val="fr-FR"/>
        </w:rPr>
        <w:t>n 2010, 17</w:t>
      </w:r>
      <w:r w:rsidR="00E11AF2" w:rsidRPr="000F7862">
        <w:rPr>
          <w:lang w:val="fr-FR"/>
        </w:rPr>
        <w:t> </w:t>
      </w:r>
      <w:r w:rsidR="0086185C" w:rsidRPr="000F7862">
        <w:rPr>
          <w:lang w:val="fr-FR"/>
        </w:rPr>
        <w:t xml:space="preserve">102 </w:t>
      </w:r>
      <w:r w:rsidR="00E32CD5" w:rsidRPr="000F7862">
        <w:rPr>
          <w:lang w:val="fr-FR"/>
        </w:rPr>
        <w:t xml:space="preserve">travailleurs du secteur non structuré, dont </w:t>
      </w:r>
      <w:r w:rsidR="0086185C" w:rsidRPr="000F7862">
        <w:rPr>
          <w:lang w:val="fr-FR"/>
        </w:rPr>
        <w:t>50</w:t>
      </w:r>
      <w:r w:rsidR="00DC1196" w:rsidRPr="000F7862">
        <w:rPr>
          <w:lang w:val="fr-FR"/>
        </w:rPr>
        <w:t> %</w:t>
      </w:r>
      <w:r w:rsidR="0086185C" w:rsidRPr="000F7862">
        <w:rPr>
          <w:lang w:val="fr-FR"/>
        </w:rPr>
        <w:t xml:space="preserve"> </w:t>
      </w:r>
      <w:r w:rsidR="00E32CD5" w:rsidRPr="000F7862">
        <w:rPr>
          <w:lang w:val="fr-FR"/>
        </w:rPr>
        <w:t>de femmes, ont bénéficié de ce programme</w:t>
      </w:r>
      <w:r w:rsidR="0086185C" w:rsidRPr="000F7862">
        <w:rPr>
          <w:lang w:val="fr-FR"/>
        </w:rPr>
        <w:t>.</w:t>
      </w:r>
      <w:r w:rsidR="00446EA5" w:rsidRPr="000F7862">
        <w:rPr>
          <w:lang w:val="fr-FR"/>
        </w:rPr>
        <w:t xml:space="preserve"> </w:t>
      </w:r>
      <w:r w:rsidR="00E32CD5" w:rsidRPr="000F7862">
        <w:rPr>
          <w:lang w:val="fr-FR"/>
        </w:rPr>
        <w:t xml:space="preserve">Au cours de la même année, </w:t>
      </w:r>
      <w:r w:rsidR="0086185C" w:rsidRPr="000F7862">
        <w:rPr>
          <w:lang w:val="fr-FR"/>
        </w:rPr>
        <w:t>10</w:t>
      </w:r>
      <w:r w:rsidR="00E11AF2" w:rsidRPr="000F7862">
        <w:rPr>
          <w:lang w:val="fr-FR"/>
        </w:rPr>
        <w:t> </w:t>
      </w:r>
      <w:r w:rsidR="0086185C" w:rsidRPr="000F7862">
        <w:rPr>
          <w:lang w:val="fr-FR"/>
        </w:rPr>
        <w:t xml:space="preserve">003 </w:t>
      </w:r>
      <w:r w:rsidR="00E32CD5" w:rsidRPr="000F7862">
        <w:rPr>
          <w:lang w:val="fr-FR"/>
        </w:rPr>
        <w:t>travailleuses défavorisées au chômage ont participé à des projets de création d</w:t>
      </w:r>
      <w:r w:rsidR="00120E2E" w:rsidRPr="000F7862">
        <w:rPr>
          <w:lang w:val="fr-FR"/>
        </w:rPr>
        <w:t>’</w:t>
      </w:r>
      <w:r w:rsidR="00E32CD5" w:rsidRPr="000F7862">
        <w:rPr>
          <w:lang w:val="fr-FR"/>
        </w:rPr>
        <w:t>emplois indépendants et de moyens de subsistance.</w:t>
      </w:r>
    </w:p>
    <w:p w:rsidR="0086185C" w:rsidRPr="000F7862" w:rsidRDefault="003F7F57" w:rsidP="003F7F57">
      <w:pPr>
        <w:pStyle w:val="SingleTxtG"/>
        <w:rPr>
          <w:u w:color="0000FF"/>
          <w:shd w:val="clear" w:color="auto" w:fill="FFFFFF"/>
          <w:lang w:val="fr-FR"/>
        </w:rPr>
      </w:pPr>
      <w:r w:rsidRPr="000F7862">
        <w:rPr>
          <w:u w:color="0000FF"/>
          <w:lang w:val="fr-FR"/>
        </w:rPr>
        <w:t>103.</w:t>
      </w:r>
      <w:r w:rsidRPr="000F7862">
        <w:rPr>
          <w:u w:color="0000FF"/>
          <w:lang w:val="fr-FR"/>
        </w:rPr>
        <w:tab/>
      </w:r>
      <w:r w:rsidR="00E32CD5" w:rsidRPr="000F7862">
        <w:rPr>
          <w:u w:color="0000FF"/>
          <w:lang w:val="fr-FR"/>
        </w:rPr>
        <w:t>Un projet de loi sur la Charte des travailleurs du secteur non structuré a été déposé devant la Chambre des représentants pendant la quatorzième législature</w:t>
      </w:r>
      <w:r w:rsidR="0086185C" w:rsidRPr="000F7862">
        <w:rPr>
          <w:u w:color="0000FF"/>
          <w:lang w:val="fr-FR"/>
        </w:rPr>
        <w:t>.</w:t>
      </w:r>
      <w:r w:rsidR="00446EA5" w:rsidRPr="000F7862">
        <w:rPr>
          <w:u w:color="0000FF"/>
          <w:lang w:val="fr-FR"/>
        </w:rPr>
        <w:t xml:space="preserve"> </w:t>
      </w:r>
      <w:r w:rsidR="00E32CD5" w:rsidRPr="000F7862">
        <w:rPr>
          <w:u w:color="0000FF"/>
          <w:lang w:val="fr-FR"/>
        </w:rPr>
        <w:t>Un projet connexe, intitulé Charte de l</w:t>
      </w:r>
      <w:r w:rsidR="00120E2E" w:rsidRPr="000F7862">
        <w:rPr>
          <w:u w:color="0000FF"/>
          <w:lang w:val="fr-FR"/>
        </w:rPr>
        <w:t>’</w:t>
      </w:r>
      <w:r w:rsidR="00E32CD5" w:rsidRPr="000F7862">
        <w:rPr>
          <w:u w:color="0000FF"/>
          <w:lang w:val="fr-FR"/>
        </w:rPr>
        <w:t xml:space="preserve">emploi </w:t>
      </w:r>
      <w:r w:rsidR="00C46F8E" w:rsidRPr="000F7862">
        <w:rPr>
          <w:u w:color="0000FF"/>
          <w:lang w:val="fr-FR"/>
        </w:rPr>
        <w:t>informel, a été déposé devant le Sénat pendant la quinzième législature</w:t>
      </w:r>
      <w:r w:rsidR="0086185C" w:rsidRPr="000F7862">
        <w:rPr>
          <w:u w:color="0000FF"/>
          <w:lang w:val="fr-FR"/>
        </w:rPr>
        <w:t>.</w:t>
      </w:r>
      <w:r w:rsidR="00446EA5" w:rsidRPr="000F7862">
        <w:rPr>
          <w:u w:color="0000FF"/>
          <w:lang w:val="fr-FR"/>
        </w:rPr>
        <w:t xml:space="preserve"> </w:t>
      </w:r>
      <w:r w:rsidR="00C46F8E" w:rsidRPr="000F7862">
        <w:rPr>
          <w:u w:color="0000FF"/>
          <w:lang w:val="fr-FR"/>
        </w:rPr>
        <w:t>Les deux projets entendaient promouvoir le bien-être de tous les travailleurs de l</w:t>
      </w:r>
      <w:r w:rsidR="00120E2E" w:rsidRPr="000F7862">
        <w:rPr>
          <w:u w:color="0000FF"/>
          <w:lang w:val="fr-FR"/>
        </w:rPr>
        <w:t>’</w:t>
      </w:r>
      <w:r w:rsidR="00C46F8E" w:rsidRPr="000F7862">
        <w:rPr>
          <w:u w:color="0000FF"/>
          <w:lang w:val="fr-FR"/>
        </w:rPr>
        <w:t>économie informelle, y compris les femmes, et les intégrer dans l</w:t>
      </w:r>
      <w:r w:rsidR="00120E2E" w:rsidRPr="000F7862">
        <w:rPr>
          <w:u w:color="0000FF"/>
          <w:lang w:val="fr-FR"/>
        </w:rPr>
        <w:t>’</w:t>
      </w:r>
      <w:r w:rsidR="00C46F8E" w:rsidRPr="000F7862">
        <w:rPr>
          <w:u w:color="0000FF"/>
          <w:lang w:val="fr-FR"/>
        </w:rPr>
        <w:t>économie p</w:t>
      </w:r>
      <w:r w:rsidR="0086185C" w:rsidRPr="000F7862">
        <w:rPr>
          <w:u w:color="0000FF"/>
          <w:lang w:val="fr-FR"/>
        </w:rPr>
        <w:t>hilippine.</w:t>
      </w:r>
      <w:r w:rsidR="00446EA5" w:rsidRPr="000F7862">
        <w:rPr>
          <w:u w:color="0000FF"/>
          <w:lang w:val="fr-FR"/>
        </w:rPr>
        <w:t xml:space="preserve"> </w:t>
      </w:r>
      <w:r w:rsidR="00C46F8E" w:rsidRPr="000F7862">
        <w:rPr>
          <w:u w:color="0000FF"/>
          <w:lang w:val="fr-FR"/>
        </w:rPr>
        <w:t>Le premier de ces projets fixe les buts ci-après</w:t>
      </w:r>
      <w:r w:rsidR="0005004C" w:rsidRPr="000F7862">
        <w:rPr>
          <w:u w:color="0000FF"/>
          <w:lang w:val="fr-FR"/>
        </w:rPr>
        <w:t>:</w:t>
      </w:r>
      <w:r w:rsidR="0086185C" w:rsidRPr="000F7862">
        <w:rPr>
          <w:u w:color="0000FF"/>
          <w:lang w:val="fr-FR"/>
        </w:rPr>
        <w:t xml:space="preserve"> </w:t>
      </w:r>
      <w:r w:rsidR="0086185C" w:rsidRPr="000F7862">
        <w:rPr>
          <w:u w:color="0000FF"/>
          <w:shd w:val="clear" w:color="auto" w:fill="FFFFFF"/>
          <w:lang w:val="fr-FR"/>
        </w:rPr>
        <w:t>promo</w:t>
      </w:r>
      <w:r w:rsidR="00C46F8E" w:rsidRPr="000F7862">
        <w:rPr>
          <w:u w:color="0000FF"/>
          <w:shd w:val="clear" w:color="auto" w:fill="FFFFFF"/>
          <w:lang w:val="fr-FR"/>
        </w:rPr>
        <w:t>uvoir l</w:t>
      </w:r>
      <w:r w:rsidR="00120E2E" w:rsidRPr="000F7862">
        <w:rPr>
          <w:u w:color="0000FF"/>
          <w:shd w:val="clear" w:color="auto" w:fill="FFFFFF"/>
          <w:lang w:val="fr-FR"/>
        </w:rPr>
        <w:t>’</w:t>
      </w:r>
      <w:r w:rsidR="00C46F8E" w:rsidRPr="000F7862">
        <w:rPr>
          <w:u w:color="0000FF"/>
          <w:shd w:val="clear" w:color="auto" w:fill="FFFFFF"/>
          <w:lang w:val="fr-FR"/>
        </w:rPr>
        <w:t>équité et l</w:t>
      </w:r>
      <w:r w:rsidR="00120E2E" w:rsidRPr="000F7862">
        <w:rPr>
          <w:u w:color="0000FF"/>
          <w:shd w:val="clear" w:color="auto" w:fill="FFFFFF"/>
          <w:lang w:val="fr-FR"/>
        </w:rPr>
        <w:t>’</w:t>
      </w:r>
      <w:r w:rsidR="00C46F8E" w:rsidRPr="000F7862">
        <w:rPr>
          <w:u w:color="0000FF"/>
          <w:shd w:val="clear" w:color="auto" w:fill="FFFFFF"/>
          <w:lang w:val="fr-FR"/>
        </w:rPr>
        <w:t>égalité entre les sexes et protéger les femmes travaillant dans l</w:t>
      </w:r>
      <w:r w:rsidR="00120E2E" w:rsidRPr="000F7862">
        <w:rPr>
          <w:u w:color="0000FF"/>
          <w:shd w:val="clear" w:color="auto" w:fill="FFFFFF"/>
          <w:lang w:val="fr-FR"/>
        </w:rPr>
        <w:t>’</w:t>
      </w:r>
      <w:r w:rsidR="00C46F8E" w:rsidRPr="000F7862">
        <w:rPr>
          <w:u w:color="0000FF"/>
          <w:shd w:val="clear" w:color="auto" w:fill="FFFFFF"/>
          <w:lang w:val="fr-FR"/>
        </w:rPr>
        <w:t>économie informelle contre la discrimination fondée sur le sexe, l</w:t>
      </w:r>
      <w:r w:rsidR="00120E2E" w:rsidRPr="000F7862">
        <w:rPr>
          <w:u w:color="0000FF"/>
          <w:shd w:val="clear" w:color="auto" w:fill="FFFFFF"/>
          <w:lang w:val="fr-FR"/>
        </w:rPr>
        <w:t>’</w:t>
      </w:r>
      <w:r w:rsidR="0086185C" w:rsidRPr="000F7862">
        <w:rPr>
          <w:u w:color="0000FF"/>
          <w:shd w:val="clear" w:color="auto" w:fill="FFFFFF"/>
          <w:lang w:val="fr-FR"/>
        </w:rPr>
        <w:t xml:space="preserve">exploitation </w:t>
      </w:r>
      <w:r w:rsidR="00C46F8E" w:rsidRPr="000F7862">
        <w:rPr>
          <w:u w:color="0000FF"/>
          <w:shd w:val="clear" w:color="auto" w:fill="FFFFFF"/>
          <w:lang w:val="fr-FR"/>
        </w:rPr>
        <w:t>et la maltraitance</w:t>
      </w:r>
      <w:r w:rsidR="0086185C" w:rsidRPr="000F7862">
        <w:rPr>
          <w:u w:color="0000FF"/>
          <w:shd w:val="clear" w:color="auto" w:fill="FFFFFF"/>
          <w:lang w:val="fr-FR"/>
        </w:rPr>
        <w:t xml:space="preserve">; </w:t>
      </w:r>
      <w:r w:rsidR="00C46F8E" w:rsidRPr="000F7862">
        <w:rPr>
          <w:u w:color="0000FF"/>
          <w:shd w:val="clear" w:color="auto" w:fill="FFFFFF"/>
          <w:lang w:val="fr-FR"/>
        </w:rPr>
        <w:t xml:space="preserve">défendre les droits sociaux, économiques, politiques et </w:t>
      </w:r>
      <w:r w:rsidR="0086185C" w:rsidRPr="000F7862">
        <w:rPr>
          <w:u w:color="0000FF"/>
          <w:shd w:val="clear" w:color="auto" w:fill="FFFFFF"/>
          <w:lang w:val="fr-FR"/>
        </w:rPr>
        <w:t>reproducti</w:t>
      </w:r>
      <w:r w:rsidR="00DB7494" w:rsidRPr="000F7862">
        <w:rPr>
          <w:u w:color="0000FF"/>
          <w:shd w:val="clear" w:color="auto" w:fill="FFFFFF"/>
          <w:lang w:val="fr-FR"/>
        </w:rPr>
        <w:t>fs des femmes</w:t>
      </w:r>
      <w:r w:rsidR="0086185C" w:rsidRPr="000F7862">
        <w:rPr>
          <w:u w:color="0000FF"/>
          <w:shd w:val="clear" w:color="auto" w:fill="FFFFFF"/>
          <w:lang w:val="fr-FR"/>
        </w:rPr>
        <w:t xml:space="preserve">; </w:t>
      </w:r>
      <w:r w:rsidR="00DB7494" w:rsidRPr="000F7862">
        <w:rPr>
          <w:u w:color="0000FF"/>
          <w:shd w:val="clear" w:color="auto" w:fill="FFFFFF"/>
          <w:lang w:val="fr-FR"/>
        </w:rPr>
        <w:t>et améliorer l</w:t>
      </w:r>
      <w:r w:rsidR="00664BBF" w:rsidRPr="000F7862">
        <w:rPr>
          <w:u w:color="0000FF"/>
          <w:shd w:val="clear" w:color="auto" w:fill="FFFFFF"/>
          <w:lang w:val="fr-FR"/>
        </w:rPr>
        <w:t xml:space="preserve">eur </w:t>
      </w:r>
      <w:r w:rsidR="00DB7494" w:rsidRPr="000F7862">
        <w:rPr>
          <w:u w:color="0000FF"/>
          <w:shd w:val="clear" w:color="auto" w:fill="FFFFFF"/>
          <w:lang w:val="fr-FR"/>
        </w:rPr>
        <w:t xml:space="preserve">accès à la </w:t>
      </w:r>
      <w:r w:rsidR="0086185C" w:rsidRPr="000F7862">
        <w:rPr>
          <w:u w:color="0000FF"/>
          <w:shd w:val="clear" w:color="auto" w:fill="FFFFFF"/>
          <w:lang w:val="fr-FR"/>
        </w:rPr>
        <w:t xml:space="preserve">protection </w:t>
      </w:r>
      <w:r w:rsidR="00DB7494" w:rsidRPr="000F7862">
        <w:rPr>
          <w:u w:color="0000FF"/>
          <w:shd w:val="clear" w:color="auto" w:fill="FFFFFF"/>
          <w:lang w:val="fr-FR"/>
        </w:rPr>
        <w:t xml:space="preserve">sociale et leur </w:t>
      </w:r>
      <w:r w:rsidR="0086185C" w:rsidRPr="000F7862">
        <w:rPr>
          <w:u w:color="0000FF"/>
          <w:shd w:val="clear" w:color="auto" w:fill="FFFFFF"/>
          <w:lang w:val="fr-FR"/>
        </w:rPr>
        <w:t xml:space="preserve">participation </w:t>
      </w:r>
      <w:r w:rsidR="00DB7494" w:rsidRPr="000F7862">
        <w:rPr>
          <w:u w:color="0000FF"/>
          <w:shd w:val="clear" w:color="auto" w:fill="FFFFFF"/>
          <w:lang w:val="fr-FR"/>
        </w:rPr>
        <w:t>aux organes de prise de décisions</w:t>
      </w:r>
      <w:r w:rsidR="0086185C" w:rsidRPr="000F7862">
        <w:rPr>
          <w:u w:color="0000FF"/>
          <w:shd w:val="clear" w:color="auto" w:fill="FFFFFF"/>
          <w:lang w:val="fr-FR"/>
        </w:rPr>
        <w:t>.</w:t>
      </w:r>
      <w:r w:rsidR="0086185C" w:rsidRPr="000F7862">
        <w:rPr>
          <w:b/>
          <w:bCs/>
          <w:lang w:val="fr-FR"/>
        </w:rPr>
        <w:t xml:space="preserve"> </w:t>
      </w:r>
    </w:p>
    <w:p w:rsidR="0086185C" w:rsidRPr="000F7862" w:rsidRDefault="00195175" w:rsidP="00195175">
      <w:pPr>
        <w:pStyle w:val="H23G"/>
        <w:rPr>
          <w:lang w:val="fr-FR"/>
        </w:rPr>
      </w:pPr>
      <w:r w:rsidRPr="000F7862">
        <w:rPr>
          <w:lang w:val="fr-FR"/>
        </w:rPr>
        <w:tab/>
      </w:r>
      <w:r w:rsidRPr="000F7862">
        <w:rPr>
          <w:lang w:val="fr-FR"/>
        </w:rPr>
        <w:tab/>
      </w:r>
      <w:r w:rsidR="00664BBF" w:rsidRPr="000F7862">
        <w:rPr>
          <w:lang w:val="fr-FR"/>
        </w:rPr>
        <w:t>S</w:t>
      </w:r>
      <w:r w:rsidR="0086185C" w:rsidRPr="000F7862">
        <w:rPr>
          <w:lang w:val="fr-FR"/>
        </w:rPr>
        <w:t xml:space="preserve">ervices </w:t>
      </w:r>
      <w:r w:rsidR="00664BBF" w:rsidRPr="000F7862">
        <w:rPr>
          <w:lang w:val="fr-FR"/>
        </w:rPr>
        <w:t xml:space="preserve">de conseils et assistance </w:t>
      </w:r>
      <w:r w:rsidR="0086185C" w:rsidRPr="000F7862">
        <w:rPr>
          <w:lang w:val="fr-FR"/>
        </w:rPr>
        <w:t>m</w:t>
      </w:r>
      <w:r w:rsidR="00664BBF" w:rsidRPr="000F7862">
        <w:rPr>
          <w:lang w:val="fr-FR"/>
        </w:rPr>
        <w:t>é</w:t>
      </w:r>
      <w:r w:rsidR="0086185C" w:rsidRPr="000F7862">
        <w:rPr>
          <w:lang w:val="fr-FR"/>
        </w:rPr>
        <w:t>dical</w:t>
      </w:r>
      <w:r w:rsidR="00664BBF" w:rsidRPr="000F7862">
        <w:rPr>
          <w:lang w:val="fr-FR"/>
        </w:rPr>
        <w:t xml:space="preserve">e dans les pays de </w:t>
      </w:r>
      <w:r w:rsidR="0086185C" w:rsidRPr="000F7862">
        <w:rPr>
          <w:lang w:val="fr-FR"/>
        </w:rPr>
        <w:t>destination</w:t>
      </w:r>
    </w:p>
    <w:p w:rsidR="0086185C" w:rsidRPr="000F7862" w:rsidRDefault="003F7F57" w:rsidP="001F1CED">
      <w:pPr>
        <w:pStyle w:val="SingleTxtG"/>
        <w:rPr>
          <w:lang w:val="fr-FR"/>
        </w:rPr>
      </w:pPr>
      <w:r w:rsidRPr="000F7862">
        <w:rPr>
          <w:lang w:val="fr-FR"/>
        </w:rPr>
        <w:t>104.</w:t>
      </w:r>
      <w:r w:rsidRPr="000F7862">
        <w:rPr>
          <w:lang w:val="fr-FR"/>
        </w:rPr>
        <w:tab/>
      </w:r>
      <w:r w:rsidR="00664BBF" w:rsidRPr="000F7862">
        <w:rPr>
          <w:lang w:val="fr-FR"/>
        </w:rPr>
        <w:t>Dans le cadre de l</w:t>
      </w:r>
      <w:r w:rsidR="00120E2E" w:rsidRPr="000F7862">
        <w:rPr>
          <w:lang w:val="fr-FR"/>
        </w:rPr>
        <w:t>’</w:t>
      </w:r>
      <w:r w:rsidR="00664BBF" w:rsidRPr="000F7862">
        <w:rPr>
          <w:lang w:val="fr-FR"/>
        </w:rPr>
        <w:t xml:space="preserve">approche </w:t>
      </w:r>
      <w:r w:rsidR="002E7607" w:rsidRPr="000F7862">
        <w:rPr>
          <w:lang w:val="fr-FR"/>
        </w:rPr>
        <w:t>«</w:t>
      </w:r>
      <w:r w:rsidR="00664BBF" w:rsidRPr="000F7862">
        <w:rPr>
          <w:lang w:val="fr-FR"/>
        </w:rPr>
        <w:t>par équipe de pays</w:t>
      </w:r>
      <w:r w:rsidR="002E7607" w:rsidRPr="000F7862">
        <w:rPr>
          <w:lang w:val="fr-FR"/>
        </w:rPr>
        <w:t>»</w:t>
      </w:r>
      <w:r w:rsidR="0086185C" w:rsidRPr="000F7862">
        <w:rPr>
          <w:lang w:val="fr-FR"/>
        </w:rPr>
        <w:t xml:space="preserve"> prescri</w:t>
      </w:r>
      <w:r w:rsidR="00664BBF" w:rsidRPr="000F7862">
        <w:rPr>
          <w:lang w:val="fr-FR"/>
        </w:rPr>
        <w:t xml:space="preserve">te par la loi sur les travailleurs migrants </w:t>
      </w:r>
      <w:r w:rsidR="0086185C" w:rsidRPr="000F7862">
        <w:rPr>
          <w:lang w:val="fr-FR"/>
        </w:rPr>
        <w:t>(</w:t>
      </w:r>
      <w:r w:rsidR="00664BBF" w:rsidRPr="000F7862">
        <w:rPr>
          <w:lang w:val="fr-FR"/>
        </w:rPr>
        <w:t xml:space="preserve">loi de la </w:t>
      </w:r>
      <w:r w:rsidR="0086185C" w:rsidRPr="000F7862">
        <w:rPr>
          <w:lang w:val="fr-FR"/>
        </w:rPr>
        <w:t>R</w:t>
      </w:r>
      <w:r w:rsidR="00664BBF" w:rsidRPr="000F7862">
        <w:rPr>
          <w:lang w:val="fr-FR"/>
        </w:rPr>
        <w:t xml:space="preserve">épublique </w:t>
      </w:r>
      <w:r w:rsidR="001F1CED" w:rsidRPr="000F7862">
        <w:rPr>
          <w:lang w:val="fr-FR"/>
        </w:rPr>
        <w:t>n</w:t>
      </w:r>
      <w:r w:rsidR="001F1CED" w:rsidRPr="000F7862">
        <w:rPr>
          <w:vertAlign w:val="superscript"/>
          <w:lang w:val="fr-FR"/>
        </w:rPr>
        <w:t>o</w:t>
      </w:r>
      <w:r w:rsidR="001F1CED" w:rsidRPr="000F7862">
        <w:rPr>
          <w:lang w:val="fr-FR"/>
        </w:rPr>
        <w:t> </w:t>
      </w:r>
      <w:r w:rsidR="0086185C" w:rsidRPr="000F7862">
        <w:rPr>
          <w:lang w:val="fr-FR"/>
        </w:rPr>
        <w:t xml:space="preserve">8042), </w:t>
      </w:r>
      <w:r w:rsidR="00664BBF" w:rsidRPr="000F7862">
        <w:rPr>
          <w:lang w:val="fr-FR"/>
        </w:rPr>
        <w:t xml:space="preserve">les attachés sociaux du Ministère de la protection sociale et du développement affectés aux ambassades des </w:t>
      </w:r>
      <w:r w:rsidR="0086185C" w:rsidRPr="000F7862">
        <w:rPr>
          <w:lang w:val="fr-FR"/>
        </w:rPr>
        <w:t>Philippine</w:t>
      </w:r>
      <w:r w:rsidR="00664BBF" w:rsidRPr="000F7862">
        <w:rPr>
          <w:lang w:val="fr-FR"/>
        </w:rPr>
        <w:t>s</w:t>
      </w:r>
      <w:r w:rsidR="0086185C" w:rsidRPr="000F7862">
        <w:rPr>
          <w:lang w:val="fr-FR"/>
        </w:rPr>
        <w:t xml:space="preserve"> </w:t>
      </w:r>
      <w:r w:rsidR="00664BBF" w:rsidRPr="000F7862">
        <w:rPr>
          <w:lang w:val="fr-FR"/>
        </w:rPr>
        <w:t>à</w:t>
      </w:r>
      <w:r w:rsidR="0086185C" w:rsidRPr="000F7862">
        <w:rPr>
          <w:lang w:val="fr-FR"/>
        </w:rPr>
        <w:t xml:space="preserve"> Kuala Lumpu</w:t>
      </w:r>
      <w:r w:rsidR="00B40BB6" w:rsidRPr="000F7862">
        <w:rPr>
          <w:lang w:val="fr-FR"/>
        </w:rPr>
        <w:t>r</w:t>
      </w:r>
      <w:r w:rsidR="00664BBF" w:rsidRPr="000F7862">
        <w:rPr>
          <w:lang w:val="fr-FR"/>
        </w:rPr>
        <w:t xml:space="preserve"> (</w:t>
      </w:r>
      <w:r w:rsidR="0086185C" w:rsidRPr="000F7862">
        <w:rPr>
          <w:lang w:val="fr-FR"/>
        </w:rPr>
        <w:t>Mala</w:t>
      </w:r>
      <w:r w:rsidR="00664BBF" w:rsidRPr="000F7862">
        <w:rPr>
          <w:lang w:val="fr-FR"/>
        </w:rPr>
        <w:t xml:space="preserve">isie) et à Riyad (Arabie saoudite) fournissent des services de conseils et de protection sociale aux </w:t>
      </w:r>
      <w:r w:rsidR="008E6244" w:rsidRPr="000F7862">
        <w:rPr>
          <w:lang w:val="fr-FR"/>
        </w:rPr>
        <w:t>Philippins travaillant dans ces deux pays</w:t>
      </w:r>
      <w:r w:rsidR="0086185C" w:rsidRPr="000F7862">
        <w:rPr>
          <w:lang w:val="fr-FR"/>
        </w:rPr>
        <w:t>.</w:t>
      </w:r>
      <w:r w:rsidR="00446EA5" w:rsidRPr="000F7862">
        <w:rPr>
          <w:lang w:val="fr-FR"/>
        </w:rPr>
        <w:t xml:space="preserve"> </w:t>
      </w:r>
      <w:r w:rsidR="008E6244" w:rsidRPr="000F7862">
        <w:rPr>
          <w:lang w:val="fr-FR"/>
        </w:rPr>
        <w:t>Afin d</w:t>
      </w:r>
      <w:r w:rsidR="00120E2E" w:rsidRPr="000F7862">
        <w:rPr>
          <w:lang w:val="fr-FR"/>
        </w:rPr>
        <w:t>’</w:t>
      </w:r>
      <w:r w:rsidR="008E6244" w:rsidRPr="000F7862">
        <w:rPr>
          <w:lang w:val="fr-FR"/>
        </w:rPr>
        <w:t xml:space="preserve">intensifier les </w:t>
      </w:r>
      <w:r w:rsidR="0086185C" w:rsidRPr="000F7862">
        <w:rPr>
          <w:lang w:val="fr-FR"/>
        </w:rPr>
        <w:t xml:space="preserve">efforts </w:t>
      </w:r>
      <w:r w:rsidR="008E6244" w:rsidRPr="000F7862">
        <w:rPr>
          <w:lang w:val="fr-FR"/>
        </w:rPr>
        <w:t>fait</w:t>
      </w:r>
      <w:r w:rsidR="00B40BB6" w:rsidRPr="000F7862">
        <w:rPr>
          <w:lang w:val="fr-FR"/>
        </w:rPr>
        <w:t>s</w:t>
      </w:r>
      <w:r w:rsidR="008E6244" w:rsidRPr="000F7862">
        <w:rPr>
          <w:lang w:val="fr-FR"/>
        </w:rPr>
        <w:t xml:space="preserve"> pour fournir des </w:t>
      </w:r>
      <w:r w:rsidR="0086185C" w:rsidRPr="000F7862">
        <w:rPr>
          <w:lang w:val="fr-FR"/>
        </w:rPr>
        <w:t xml:space="preserve">services </w:t>
      </w:r>
      <w:r w:rsidR="008E6244" w:rsidRPr="000F7862">
        <w:rPr>
          <w:lang w:val="fr-FR"/>
        </w:rPr>
        <w:t>de protection sociale aux Philippins travaillant à l</w:t>
      </w:r>
      <w:r w:rsidR="00120E2E" w:rsidRPr="000F7862">
        <w:rPr>
          <w:lang w:val="fr-FR"/>
        </w:rPr>
        <w:t>’</w:t>
      </w:r>
      <w:r w:rsidR="008E6244" w:rsidRPr="000F7862">
        <w:rPr>
          <w:lang w:val="fr-FR"/>
        </w:rPr>
        <w:t>étranger</w:t>
      </w:r>
      <w:r w:rsidR="0086185C" w:rsidRPr="000F7862">
        <w:rPr>
          <w:lang w:val="fr-FR"/>
        </w:rPr>
        <w:t xml:space="preserve">, </w:t>
      </w:r>
      <w:r w:rsidR="008E6244" w:rsidRPr="000F7862">
        <w:rPr>
          <w:lang w:val="fr-FR"/>
        </w:rPr>
        <w:t>le Ministère propose également d</w:t>
      </w:r>
      <w:r w:rsidR="00120E2E" w:rsidRPr="000F7862">
        <w:rPr>
          <w:lang w:val="fr-FR"/>
        </w:rPr>
        <w:t>’</w:t>
      </w:r>
      <w:r w:rsidR="008E6244" w:rsidRPr="000F7862">
        <w:rPr>
          <w:lang w:val="fr-FR"/>
        </w:rPr>
        <w:t>affecter des attachés de protection sociale supplémentaires dans les pays qui accueille</w:t>
      </w:r>
      <w:r w:rsidR="00B40BB6" w:rsidRPr="000F7862">
        <w:rPr>
          <w:lang w:val="fr-FR"/>
        </w:rPr>
        <w:t xml:space="preserve">nt </w:t>
      </w:r>
      <w:r w:rsidR="008E6244" w:rsidRPr="000F7862">
        <w:rPr>
          <w:lang w:val="fr-FR"/>
        </w:rPr>
        <w:t>un grand nombre de ces travailleurs, comme la Corée du Sud, les Émirats arabes unis</w:t>
      </w:r>
      <w:r w:rsidR="0086185C" w:rsidRPr="000F7862">
        <w:rPr>
          <w:lang w:val="fr-FR"/>
        </w:rPr>
        <w:t xml:space="preserve">, </w:t>
      </w:r>
      <w:r w:rsidR="008E6244" w:rsidRPr="000F7862">
        <w:rPr>
          <w:lang w:val="fr-FR"/>
        </w:rPr>
        <w:t xml:space="preserve">le </w:t>
      </w:r>
      <w:r w:rsidR="0086185C" w:rsidRPr="000F7862">
        <w:rPr>
          <w:lang w:val="fr-FR"/>
        </w:rPr>
        <w:t xml:space="preserve">Qatar, Hong Kong </w:t>
      </w:r>
      <w:r w:rsidR="008E6244" w:rsidRPr="000F7862">
        <w:rPr>
          <w:lang w:val="fr-FR"/>
        </w:rPr>
        <w:t xml:space="preserve">et le </w:t>
      </w:r>
      <w:r w:rsidR="0086185C" w:rsidRPr="000F7862">
        <w:rPr>
          <w:lang w:val="fr-FR"/>
        </w:rPr>
        <w:t>K</w:t>
      </w:r>
      <w:r w:rsidR="008E6244" w:rsidRPr="000F7862">
        <w:rPr>
          <w:lang w:val="fr-FR"/>
        </w:rPr>
        <w:t>oweït</w:t>
      </w:r>
      <w:r w:rsidR="0086185C" w:rsidRPr="000F7862">
        <w:rPr>
          <w:lang w:val="fr-FR"/>
        </w:rPr>
        <w:t>.</w:t>
      </w:r>
      <w:r w:rsidR="008E6244" w:rsidRPr="000F7862">
        <w:rPr>
          <w:lang w:val="fr-FR"/>
        </w:rPr>
        <w:t xml:space="preserve"> Le Bureau du Sous-Secrétaire aux affaires des travailleurs migrants du Ministère des affaires étrangères</w:t>
      </w:r>
      <w:r w:rsidR="0005004C" w:rsidRPr="000F7862">
        <w:rPr>
          <w:lang w:val="fr-FR"/>
        </w:rPr>
        <w:t xml:space="preserve"> </w:t>
      </w:r>
      <w:r w:rsidR="00B40BB6" w:rsidRPr="000F7862">
        <w:rPr>
          <w:lang w:val="fr-FR"/>
        </w:rPr>
        <w:t>a également recommandé l</w:t>
      </w:r>
      <w:r w:rsidR="00120E2E" w:rsidRPr="000F7862">
        <w:rPr>
          <w:lang w:val="fr-FR"/>
        </w:rPr>
        <w:t>’</w:t>
      </w:r>
      <w:r w:rsidR="00B40BB6" w:rsidRPr="000F7862">
        <w:rPr>
          <w:lang w:val="fr-FR"/>
        </w:rPr>
        <w:t>affectation d</w:t>
      </w:r>
      <w:r w:rsidR="00120E2E" w:rsidRPr="000F7862">
        <w:rPr>
          <w:lang w:val="fr-FR"/>
        </w:rPr>
        <w:t>’</w:t>
      </w:r>
      <w:r w:rsidR="00B40BB6" w:rsidRPr="000F7862">
        <w:rPr>
          <w:lang w:val="fr-FR"/>
        </w:rPr>
        <w:t>un attaché de protection sociale à Beyrouth (Liban).</w:t>
      </w:r>
    </w:p>
    <w:p w:rsidR="0086185C" w:rsidRPr="000F7862" w:rsidRDefault="003F7F57" w:rsidP="003F7F57">
      <w:pPr>
        <w:pStyle w:val="SingleTxtG"/>
        <w:rPr>
          <w:lang w:val="fr-FR"/>
        </w:rPr>
      </w:pPr>
      <w:r w:rsidRPr="000F7862">
        <w:rPr>
          <w:lang w:val="fr-FR"/>
        </w:rPr>
        <w:t>105.</w:t>
      </w:r>
      <w:r w:rsidRPr="000F7862">
        <w:rPr>
          <w:lang w:val="fr-FR"/>
        </w:rPr>
        <w:tab/>
      </w:r>
      <w:r w:rsidR="00F06009" w:rsidRPr="000F7862">
        <w:rPr>
          <w:lang w:val="fr-FR"/>
        </w:rPr>
        <w:t>Il existe également des bureaux philippins du travail à l</w:t>
      </w:r>
      <w:r w:rsidR="00120E2E" w:rsidRPr="000F7862">
        <w:rPr>
          <w:lang w:val="fr-FR"/>
        </w:rPr>
        <w:t>’</w:t>
      </w:r>
      <w:r w:rsidR="00F06009" w:rsidRPr="000F7862">
        <w:rPr>
          <w:lang w:val="fr-FR"/>
        </w:rPr>
        <w:t>étranger près l</w:t>
      </w:r>
      <w:r w:rsidR="00120E2E" w:rsidRPr="000F7862">
        <w:rPr>
          <w:lang w:val="fr-FR"/>
        </w:rPr>
        <w:t>’</w:t>
      </w:r>
      <w:r w:rsidR="00F06009" w:rsidRPr="000F7862">
        <w:rPr>
          <w:lang w:val="fr-FR"/>
        </w:rPr>
        <w:t>ambassade ou le consulat des Philippines dans les pays où vivent au moins 10 000 Philippins</w:t>
      </w:r>
      <w:r w:rsidR="0086185C" w:rsidRPr="000F7862">
        <w:rPr>
          <w:lang w:val="fr-FR"/>
        </w:rPr>
        <w:t>.</w:t>
      </w:r>
      <w:r w:rsidR="00446EA5" w:rsidRPr="000F7862">
        <w:rPr>
          <w:lang w:val="fr-FR"/>
        </w:rPr>
        <w:t xml:space="preserve"> </w:t>
      </w:r>
      <w:r w:rsidR="00F06009" w:rsidRPr="000F7862">
        <w:rPr>
          <w:lang w:val="fr-FR"/>
        </w:rPr>
        <w:t>Ces bureaux fournissent des conseils en matière d</w:t>
      </w:r>
      <w:r w:rsidR="00120E2E" w:rsidRPr="000F7862">
        <w:rPr>
          <w:lang w:val="fr-FR"/>
        </w:rPr>
        <w:t>’</w:t>
      </w:r>
      <w:r w:rsidR="00F06009" w:rsidRPr="000F7862">
        <w:rPr>
          <w:lang w:val="fr-FR"/>
        </w:rPr>
        <w:t>emploi</w:t>
      </w:r>
      <w:r w:rsidR="0086185C" w:rsidRPr="000F7862">
        <w:rPr>
          <w:lang w:val="fr-FR"/>
        </w:rPr>
        <w:t xml:space="preserve">; </w:t>
      </w:r>
      <w:r w:rsidR="00F06009" w:rsidRPr="000F7862">
        <w:rPr>
          <w:lang w:val="fr-FR"/>
        </w:rPr>
        <w:t>règlent par la médiation les différends entre Philippins travaillant à l</w:t>
      </w:r>
      <w:r w:rsidR="00120E2E" w:rsidRPr="000F7862">
        <w:rPr>
          <w:lang w:val="fr-FR"/>
        </w:rPr>
        <w:t>’</w:t>
      </w:r>
      <w:r w:rsidR="00F06009" w:rsidRPr="000F7862">
        <w:rPr>
          <w:lang w:val="fr-FR"/>
        </w:rPr>
        <w:t>étranger et leurs employeurs</w:t>
      </w:r>
      <w:r w:rsidR="0086185C" w:rsidRPr="000F7862">
        <w:rPr>
          <w:lang w:val="fr-FR"/>
        </w:rPr>
        <w:t xml:space="preserve">; </w:t>
      </w:r>
      <w:r w:rsidR="00F06009" w:rsidRPr="000F7862">
        <w:rPr>
          <w:lang w:val="fr-FR"/>
        </w:rPr>
        <w:t xml:space="preserve">obligent les agences de recrutement à </w:t>
      </w:r>
      <w:r w:rsidR="00157A44" w:rsidRPr="000F7862">
        <w:rPr>
          <w:lang w:val="fr-FR"/>
        </w:rPr>
        <w:t>faire</w:t>
      </w:r>
      <w:r w:rsidR="00F06009" w:rsidRPr="000F7862">
        <w:rPr>
          <w:lang w:val="fr-FR"/>
        </w:rPr>
        <w:t xml:space="preserve"> respect</w:t>
      </w:r>
      <w:r w:rsidR="00157A44" w:rsidRPr="000F7862">
        <w:rPr>
          <w:lang w:val="fr-FR"/>
        </w:rPr>
        <w:t>er</w:t>
      </w:r>
      <w:r w:rsidR="00F06009" w:rsidRPr="000F7862">
        <w:rPr>
          <w:lang w:val="fr-FR"/>
        </w:rPr>
        <w:t xml:space="preserve"> </w:t>
      </w:r>
      <w:r w:rsidR="00157A44" w:rsidRPr="000F7862">
        <w:rPr>
          <w:lang w:val="fr-FR"/>
        </w:rPr>
        <w:t>l</w:t>
      </w:r>
      <w:r w:rsidR="00F06009" w:rsidRPr="000F7862">
        <w:rPr>
          <w:lang w:val="fr-FR"/>
        </w:rPr>
        <w:t>es clauses des contrats de travail</w:t>
      </w:r>
      <w:r w:rsidR="0086185C" w:rsidRPr="000F7862">
        <w:rPr>
          <w:lang w:val="fr-FR"/>
        </w:rPr>
        <w:t xml:space="preserve">; </w:t>
      </w:r>
      <w:r w:rsidR="00F06009" w:rsidRPr="000F7862">
        <w:rPr>
          <w:lang w:val="fr-FR"/>
        </w:rPr>
        <w:t>et</w:t>
      </w:r>
      <w:r w:rsidR="0086185C" w:rsidRPr="000F7862">
        <w:rPr>
          <w:lang w:val="fr-FR"/>
        </w:rPr>
        <w:t xml:space="preserve"> </w:t>
      </w:r>
      <w:r w:rsidR="00F06009" w:rsidRPr="000F7862">
        <w:rPr>
          <w:lang w:val="fr-FR"/>
        </w:rPr>
        <w:t>organisent des cours de perfectionnement des compétences à l</w:t>
      </w:r>
      <w:r w:rsidR="00120E2E" w:rsidRPr="000F7862">
        <w:rPr>
          <w:lang w:val="fr-FR"/>
        </w:rPr>
        <w:t>’</w:t>
      </w:r>
      <w:r w:rsidR="00F06009" w:rsidRPr="000F7862">
        <w:rPr>
          <w:lang w:val="fr-FR"/>
        </w:rPr>
        <w:t xml:space="preserve">intention de ces travailleurs, </w:t>
      </w:r>
      <w:r w:rsidR="006B52FB" w:rsidRPr="000F7862">
        <w:rPr>
          <w:lang w:val="fr-FR"/>
        </w:rPr>
        <w:t>portant notamment sur les connaissances requises dans le domaine financier et en matière de réinsertion</w:t>
      </w:r>
      <w:r w:rsidR="0086185C" w:rsidRPr="000F7862">
        <w:rPr>
          <w:lang w:val="fr-FR"/>
        </w:rPr>
        <w:t>.</w:t>
      </w:r>
      <w:r w:rsidR="00446EA5" w:rsidRPr="000F7862">
        <w:rPr>
          <w:lang w:val="fr-FR"/>
        </w:rPr>
        <w:t xml:space="preserve"> </w:t>
      </w:r>
    </w:p>
    <w:p w:rsidR="0086185C" w:rsidRPr="000F7862" w:rsidRDefault="003F7F57" w:rsidP="003F7F57">
      <w:pPr>
        <w:pStyle w:val="SingleTxtG"/>
        <w:rPr>
          <w:lang w:val="fr-FR"/>
        </w:rPr>
      </w:pPr>
      <w:r w:rsidRPr="000F7862">
        <w:rPr>
          <w:lang w:val="fr-FR"/>
        </w:rPr>
        <w:t>106.</w:t>
      </w:r>
      <w:r w:rsidRPr="000F7862">
        <w:rPr>
          <w:lang w:val="fr-FR"/>
        </w:rPr>
        <w:tab/>
      </w:r>
      <w:r w:rsidR="00F36D69" w:rsidRPr="000F7862">
        <w:rPr>
          <w:lang w:val="fr-FR"/>
        </w:rPr>
        <w:t>Les postes diplomatiques et consulaires fournissent également aux Philippins travaillant à l</w:t>
      </w:r>
      <w:r w:rsidR="00120E2E" w:rsidRPr="000F7862">
        <w:rPr>
          <w:lang w:val="fr-FR"/>
        </w:rPr>
        <w:t>’</w:t>
      </w:r>
      <w:r w:rsidR="00F36D69" w:rsidRPr="000F7862">
        <w:rPr>
          <w:lang w:val="fr-FR"/>
        </w:rPr>
        <w:t>étranger qui ont des problèmes de santé une assistance qui prend les formes suivantes</w:t>
      </w:r>
      <w:r w:rsidR="0005004C" w:rsidRPr="000F7862">
        <w:rPr>
          <w:lang w:val="fr-FR"/>
        </w:rPr>
        <w:t>:</w:t>
      </w:r>
      <w:r w:rsidR="00F36D69" w:rsidRPr="000F7862">
        <w:rPr>
          <w:lang w:val="fr-FR"/>
        </w:rPr>
        <w:t xml:space="preserve"> </w:t>
      </w:r>
      <w:r w:rsidR="00172149" w:rsidRPr="000F7862">
        <w:rPr>
          <w:lang w:val="fr-FR"/>
        </w:rPr>
        <w:t>a</w:t>
      </w:r>
      <w:r w:rsidR="0086185C" w:rsidRPr="000F7862">
        <w:rPr>
          <w:lang w:val="fr-FR"/>
        </w:rPr>
        <w:t>)</w:t>
      </w:r>
      <w:r w:rsidR="00AD7C77" w:rsidRPr="000F7862">
        <w:rPr>
          <w:lang w:val="fr-FR"/>
        </w:rPr>
        <w:t> </w:t>
      </w:r>
      <w:r w:rsidR="0086185C" w:rsidRPr="000F7862">
        <w:rPr>
          <w:lang w:val="fr-FR"/>
        </w:rPr>
        <w:t>coordinati</w:t>
      </w:r>
      <w:r w:rsidR="00F36D69" w:rsidRPr="000F7862">
        <w:rPr>
          <w:lang w:val="fr-FR"/>
        </w:rPr>
        <w:t xml:space="preserve">on avec les </w:t>
      </w:r>
      <w:r w:rsidR="0086185C" w:rsidRPr="000F7862">
        <w:rPr>
          <w:lang w:val="fr-FR"/>
        </w:rPr>
        <w:t>h</w:t>
      </w:r>
      <w:r w:rsidR="00F36D69" w:rsidRPr="000F7862">
        <w:rPr>
          <w:lang w:val="fr-FR"/>
        </w:rPr>
        <w:t>ôpitaux en ce qui concerne la prestation des soins médicaux nécessaires ou demande de diminution du montant des factures médicales pour les travailleurs démunis</w:t>
      </w:r>
      <w:r w:rsidR="0086185C" w:rsidRPr="000F7862">
        <w:rPr>
          <w:lang w:val="fr-FR"/>
        </w:rPr>
        <w:t xml:space="preserve">; </w:t>
      </w:r>
      <w:r w:rsidR="00172149" w:rsidRPr="000F7862">
        <w:rPr>
          <w:lang w:val="fr-FR"/>
        </w:rPr>
        <w:t>b</w:t>
      </w:r>
      <w:r w:rsidR="0086185C" w:rsidRPr="000F7862">
        <w:rPr>
          <w:lang w:val="fr-FR"/>
        </w:rPr>
        <w:t>)</w:t>
      </w:r>
      <w:r w:rsidR="00AD7C77" w:rsidRPr="000F7862">
        <w:rPr>
          <w:lang w:val="fr-FR"/>
        </w:rPr>
        <w:t> </w:t>
      </w:r>
      <w:r w:rsidR="00F36D69" w:rsidRPr="000F7862">
        <w:rPr>
          <w:lang w:val="fr-FR"/>
        </w:rPr>
        <w:t>notification à un parent proche de l</w:t>
      </w:r>
      <w:r w:rsidR="00120E2E" w:rsidRPr="000F7862">
        <w:rPr>
          <w:lang w:val="fr-FR"/>
        </w:rPr>
        <w:t>’</w:t>
      </w:r>
      <w:r w:rsidR="00F36D69" w:rsidRPr="000F7862">
        <w:rPr>
          <w:lang w:val="fr-FR"/>
        </w:rPr>
        <w:t>hospitalisation ou de l</w:t>
      </w:r>
      <w:r w:rsidR="00120E2E" w:rsidRPr="000F7862">
        <w:rPr>
          <w:lang w:val="fr-FR"/>
        </w:rPr>
        <w:t>’</w:t>
      </w:r>
      <w:r w:rsidR="00F36D69" w:rsidRPr="000F7862">
        <w:rPr>
          <w:lang w:val="fr-FR"/>
        </w:rPr>
        <w:t>état de santé du travailleur philippin et organisation des visites demandées</w:t>
      </w:r>
      <w:r w:rsidR="0086185C" w:rsidRPr="000F7862">
        <w:rPr>
          <w:lang w:val="fr-FR"/>
        </w:rPr>
        <w:t xml:space="preserve">; </w:t>
      </w:r>
      <w:r w:rsidR="00F36D69" w:rsidRPr="000F7862">
        <w:rPr>
          <w:lang w:val="fr-FR"/>
        </w:rPr>
        <w:t>et</w:t>
      </w:r>
      <w:r w:rsidR="0086185C" w:rsidRPr="000F7862">
        <w:rPr>
          <w:lang w:val="fr-FR"/>
        </w:rPr>
        <w:t xml:space="preserve"> </w:t>
      </w:r>
      <w:r w:rsidR="00172149" w:rsidRPr="000F7862">
        <w:rPr>
          <w:lang w:val="fr-FR"/>
        </w:rPr>
        <w:t>c</w:t>
      </w:r>
      <w:r w:rsidR="0086185C" w:rsidRPr="000F7862">
        <w:rPr>
          <w:lang w:val="fr-FR"/>
        </w:rPr>
        <w:t>)</w:t>
      </w:r>
      <w:r w:rsidR="00AD7C77" w:rsidRPr="000F7862">
        <w:rPr>
          <w:lang w:val="fr-FR"/>
        </w:rPr>
        <w:t> </w:t>
      </w:r>
      <w:r w:rsidR="00F36D69" w:rsidRPr="000F7862">
        <w:rPr>
          <w:lang w:val="fr-FR"/>
        </w:rPr>
        <w:t>organisation d</w:t>
      </w:r>
      <w:r w:rsidR="00120E2E" w:rsidRPr="000F7862">
        <w:rPr>
          <w:lang w:val="fr-FR"/>
        </w:rPr>
        <w:t>’</w:t>
      </w:r>
      <w:r w:rsidR="00F36D69" w:rsidRPr="000F7862">
        <w:rPr>
          <w:lang w:val="fr-FR"/>
        </w:rPr>
        <w:t>un éventuel rapatriement sanitaire</w:t>
      </w:r>
      <w:r w:rsidR="0086185C" w:rsidRPr="000F7862">
        <w:rPr>
          <w:lang w:val="fr-FR"/>
        </w:rPr>
        <w:t>.</w:t>
      </w:r>
    </w:p>
    <w:p w:rsidR="0086185C" w:rsidRPr="000F7862" w:rsidRDefault="001F1CED" w:rsidP="001F1CED">
      <w:pPr>
        <w:pStyle w:val="H23G"/>
        <w:rPr>
          <w:lang w:val="fr-FR"/>
        </w:rPr>
      </w:pPr>
      <w:r w:rsidRPr="000F7862">
        <w:rPr>
          <w:lang w:val="fr-FR"/>
        </w:rPr>
        <w:tab/>
      </w:r>
      <w:r w:rsidRPr="000F7862">
        <w:rPr>
          <w:lang w:val="fr-FR"/>
        </w:rPr>
        <w:tab/>
      </w:r>
      <w:r w:rsidR="00D1665E" w:rsidRPr="000F7862">
        <w:rPr>
          <w:lang w:val="fr-FR"/>
        </w:rPr>
        <w:t>Conclusion d</w:t>
      </w:r>
      <w:r w:rsidR="00120E2E" w:rsidRPr="000F7862">
        <w:rPr>
          <w:lang w:val="fr-FR"/>
        </w:rPr>
        <w:t>’</w:t>
      </w:r>
      <w:r w:rsidR="00D1665E" w:rsidRPr="000F7862">
        <w:rPr>
          <w:lang w:val="fr-FR"/>
        </w:rPr>
        <w:t xml:space="preserve">accords bilatéraux avec les pays de </w:t>
      </w:r>
      <w:r w:rsidR="0086185C" w:rsidRPr="000F7862">
        <w:rPr>
          <w:lang w:val="fr-FR"/>
        </w:rPr>
        <w:t>destination</w:t>
      </w:r>
    </w:p>
    <w:p w:rsidR="0086185C" w:rsidRPr="000F7862" w:rsidRDefault="003F7F57" w:rsidP="003F7F57">
      <w:pPr>
        <w:pStyle w:val="SingleTxtG"/>
        <w:rPr>
          <w:lang w:val="fr-FR"/>
        </w:rPr>
      </w:pPr>
      <w:r w:rsidRPr="000F7862">
        <w:rPr>
          <w:lang w:val="fr-FR"/>
        </w:rPr>
        <w:t>107.</w:t>
      </w:r>
      <w:r w:rsidRPr="000F7862">
        <w:rPr>
          <w:lang w:val="fr-FR"/>
        </w:rPr>
        <w:tab/>
      </w:r>
      <w:r w:rsidR="00BE7E70" w:rsidRPr="000F7862">
        <w:rPr>
          <w:lang w:val="fr-FR"/>
        </w:rPr>
        <w:t xml:space="preserve">Les </w:t>
      </w:r>
      <w:r w:rsidR="0086185C" w:rsidRPr="000F7862">
        <w:rPr>
          <w:lang w:val="fr-FR"/>
        </w:rPr>
        <w:t xml:space="preserve">Philippines </w:t>
      </w:r>
      <w:r w:rsidR="00BE7E70" w:rsidRPr="000F7862">
        <w:rPr>
          <w:lang w:val="fr-FR"/>
        </w:rPr>
        <w:t>et le Royaume d</w:t>
      </w:r>
      <w:r w:rsidR="00120E2E" w:rsidRPr="000F7862">
        <w:rPr>
          <w:lang w:val="fr-FR"/>
        </w:rPr>
        <w:t>’</w:t>
      </w:r>
      <w:r w:rsidR="00BE7E70" w:rsidRPr="000F7862">
        <w:rPr>
          <w:lang w:val="fr-FR"/>
        </w:rPr>
        <w:t xml:space="preserve">Arabie saoudite ont signé le </w:t>
      </w:r>
      <w:r w:rsidR="0086185C" w:rsidRPr="000F7862">
        <w:rPr>
          <w:lang w:val="fr-FR"/>
        </w:rPr>
        <w:t xml:space="preserve">19 </w:t>
      </w:r>
      <w:r w:rsidR="00BE7E70" w:rsidRPr="000F7862">
        <w:rPr>
          <w:lang w:val="fr-FR"/>
        </w:rPr>
        <w:t>mai</w:t>
      </w:r>
      <w:r w:rsidR="0086185C" w:rsidRPr="000F7862">
        <w:rPr>
          <w:lang w:val="fr-FR"/>
        </w:rPr>
        <w:t xml:space="preserve"> 2013</w:t>
      </w:r>
      <w:r w:rsidR="00BE7E70" w:rsidRPr="000F7862">
        <w:rPr>
          <w:lang w:val="fr-FR"/>
        </w:rPr>
        <w:t xml:space="preserve"> </w:t>
      </w:r>
      <w:r w:rsidR="00BE7E70" w:rsidRPr="000F7862">
        <w:rPr>
          <w:w w:val="102"/>
          <w:lang w:val="fr-FR"/>
        </w:rPr>
        <w:t>un accord en matière d</w:t>
      </w:r>
      <w:r w:rsidR="00120E2E" w:rsidRPr="000F7862">
        <w:rPr>
          <w:w w:val="102"/>
          <w:lang w:val="fr-FR"/>
        </w:rPr>
        <w:t>’</w:t>
      </w:r>
      <w:r w:rsidR="00BE7E70" w:rsidRPr="000F7862">
        <w:rPr>
          <w:w w:val="102"/>
          <w:lang w:val="fr-FR"/>
        </w:rPr>
        <w:t xml:space="preserve">emploi relatif aux avantages sociaux des travailleurs domestiques, notamment un jour de congé hebdomadaire et une interdiction de déduire </w:t>
      </w:r>
      <w:r w:rsidR="00157A44" w:rsidRPr="000F7862">
        <w:rPr>
          <w:w w:val="102"/>
          <w:lang w:val="fr-FR"/>
        </w:rPr>
        <w:t xml:space="preserve">du salaire </w:t>
      </w:r>
      <w:r w:rsidR="00BE7E70" w:rsidRPr="000F7862">
        <w:rPr>
          <w:w w:val="102"/>
          <w:lang w:val="fr-FR"/>
        </w:rPr>
        <w:t>le coût du recrutement</w:t>
      </w:r>
      <w:r w:rsidR="0086185C" w:rsidRPr="000F7862">
        <w:rPr>
          <w:lang w:val="fr-FR"/>
        </w:rPr>
        <w:t>.</w:t>
      </w:r>
      <w:r w:rsidR="00446EA5" w:rsidRPr="000F7862">
        <w:rPr>
          <w:lang w:val="fr-FR"/>
        </w:rPr>
        <w:t xml:space="preserve"> </w:t>
      </w:r>
      <w:r w:rsidR="00394507" w:rsidRPr="000F7862">
        <w:rPr>
          <w:lang w:val="fr-FR"/>
        </w:rPr>
        <w:t xml:space="preserve">En vertu de cet accord, </w:t>
      </w:r>
      <w:r w:rsidR="00394507" w:rsidRPr="000F7862">
        <w:rPr>
          <w:w w:val="102"/>
          <w:lang w:val="fr-FR"/>
        </w:rPr>
        <w:t>un mécanisme de plainte a été instauré, en commençant par une permanence téléphonique gratuite fonctionnant jour et nuit pour le règlement des différends</w:t>
      </w:r>
      <w:r w:rsidR="0086185C" w:rsidRPr="000F7862">
        <w:rPr>
          <w:lang w:val="fr-FR"/>
        </w:rPr>
        <w:t>.</w:t>
      </w:r>
      <w:r w:rsidR="00446EA5" w:rsidRPr="000F7862">
        <w:rPr>
          <w:lang w:val="fr-FR"/>
        </w:rPr>
        <w:t xml:space="preserve"> </w:t>
      </w:r>
      <w:r w:rsidR="00394507" w:rsidRPr="000F7862">
        <w:rPr>
          <w:lang w:val="fr-FR"/>
        </w:rPr>
        <w:t>Quelqu</w:t>
      </w:r>
      <w:r w:rsidR="00394507" w:rsidRPr="000F7862">
        <w:rPr>
          <w:w w:val="102"/>
          <w:lang w:val="fr-FR"/>
        </w:rPr>
        <w:t>e 60 000 employés de maison en Arabie saoudite devraient normalement bénéficier de cet accord</w:t>
      </w:r>
      <w:r w:rsidR="0086185C" w:rsidRPr="000F7862">
        <w:rPr>
          <w:lang w:val="fr-FR"/>
        </w:rPr>
        <w:t>.</w:t>
      </w:r>
      <w:r w:rsidR="00446EA5" w:rsidRPr="000F7862">
        <w:rPr>
          <w:lang w:val="fr-FR"/>
        </w:rPr>
        <w:t xml:space="preserve"> </w:t>
      </w:r>
      <w:r w:rsidR="00394507" w:rsidRPr="000F7862">
        <w:rPr>
          <w:lang w:val="fr-FR"/>
        </w:rPr>
        <w:t xml:space="preserve">Les travailleurs domestiques se voient également garantir </w:t>
      </w:r>
      <w:r w:rsidR="00394507" w:rsidRPr="000F7862">
        <w:rPr>
          <w:w w:val="102"/>
          <w:lang w:val="fr-FR"/>
        </w:rPr>
        <w:t>un salaire mensuel de 400 dollars des États-Unis</w:t>
      </w:r>
      <w:r w:rsidR="0086185C" w:rsidRPr="000F7862">
        <w:rPr>
          <w:lang w:val="fr-FR"/>
        </w:rPr>
        <w:t>.</w:t>
      </w:r>
    </w:p>
    <w:p w:rsidR="0086185C" w:rsidRPr="000F7862" w:rsidRDefault="003F7F57" w:rsidP="003F7F57">
      <w:pPr>
        <w:pStyle w:val="SingleTxtG"/>
        <w:rPr>
          <w:lang w:val="fr-FR"/>
        </w:rPr>
      </w:pPr>
      <w:r w:rsidRPr="000F7862">
        <w:rPr>
          <w:lang w:val="fr-FR"/>
        </w:rPr>
        <w:t>108.</w:t>
      </w:r>
      <w:r w:rsidRPr="000F7862">
        <w:rPr>
          <w:lang w:val="fr-FR"/>
        </w:rPr>
        <w:tab/>
      </w:r>
      <w:r w:rsidR="003B46AE" w:rsidRPr="000F7862">
        <w:rPr>
          <w:lang w:val="fr-FR"/>
        </w:rPr>
        <w:t>Des accords en matière d</w:t>
      </w:r>
      <w:r w:rsidR="00120E2E" w:rsidRPr="000F7862">
        <w:rPr>
          <w:lang w:val="fr-FR"/>
        </w:rPr>
        <w:t>’</w:t>
      </w:r>
      <w:r w:rsidR="003B46AE" w:rsidRPr="000F7862">
        <w:rPr>
          <w:lang w:val="fr-FR"/>
        </w:rPr>
        <w:t>emploi sont en cours de négociation avec d</w:t>
      </w:r>
      <w:r w:rsidR="00120E2E" w:rsidRPr="000F7862">
        <w:rPr>
          <w:lang w:val="fr-FR"/>
        </w:rPr>
        <w:t>’</w:t>
      </w:r>
      <w:r w:rsidR="003B46AE" w:rsidRPr="000F7862">
        <w:rPr>
          <w:lang w:val="fr-FR"/>
        </w:rPr>
        <w:t xml:space="preserve">autres pays de </w:t>
      </w:r>
      <w:r w:rsidR="0086185C" w:rsidRPr="000F7862">
        <w:rPr>
          <w:lang w:val="fr-FR"/>
        </w:rPr>
        <w:t xml:space="preserve">destination </w:t>
      </w:r>
      <w:r w:rsidR="003B46AE" w:rsidRPr="000F7862">
        <w:rPr>
          <w:lang w:val="fr-FR"/>
        </w:rPr>
        <w:t xml:space="preserve">afin de continuer à promouvoir et à protéger le bien-être et la </w:t>
      </w:r>
      <w:r w:rsidR="0086185C" w:rsidRPr="000F7862">
        <w:rPr>
          <w:lang w:val="fr-FR"/>
        </w:rPr>
        <w:t>dignit</w:t>
      </w:r>
      <w:r w:rsidR="003B46AE" w:rsidRPr="000F7862">
        <w:rPr>
          <w:lang w:val="fr-FR"/>
        </w:rPr>
        <w:t>é des Philippins travaillant à l</w:t>
      </w:r>
      <w:r w:rsidR="00120E2E" w:rsidRPr="000F7862">
        <w:rPr>
          <w:lang w:val="fr-FR"/>
        </w:rPr>
        <w:t>’</w:t>
      </w:r>
      <w:r w:rsidR="003B46AE" w:rsidRPr="000F7862">
        <w:rPr>
          <w:lang w:val="fr-FR"/>
        </w:rPr>
        <w:t>étranger</w:t>
      </w:r>
      <w:r w:rsidR="0086185C" w:rsidRPr="000F7862">
        <w:rPr>
          <w:lang w:val="fr-FR"/>
        </w:rPr>
        <w:t>.</w:t>
      </w:r>
    </w:p>
    <w:p w:rsidR="0086185C" w:rsidRPr="000F7862" w:rsidRDefault="003F7F57" w:rsidP="003F7F57">
      <w:pPr>
        <w:pStyle w:val="SingleTxtG"/>
        <w:rPr>
          <w:lang w:val="fr-FR"/>
        </w:rPr>
      </w:pPr>
      <w:r w:rsidRPr="000F7862">
        <w:rPr>
          <w:lang w:val="fr-FR"/>
        </w:rPr>
        <w:t>109.</w:t>
      </w:r>
      <w:r w:rsidRPr="000F7862">
        <w:rPr>
          <w:lang w:val="fr-FR"/>
        </w:rPr>
        <w:tab/>
      </w:r>
      <w:r w:rsidR="00CD78D9" w:rsidRPr="000F7862">
        <w:rPr>
          <w:lang w:val="fr-FR"/>
        </w:rPr>
        <w:t>Conformément aux dispositions de la loi modifiée su</w:t>
      </w:r>
      <w:r w:rsidR="00717D00" w:rsidRPr="000F7862">
        <w:rPr>
          <w:lang w:val="fr-FR"/>
        </w:rPr>
        <w:t>r les travailleurs migrants (LR </w:t>
      </w:r>
      <w:r w:rsidR="00CD78D9" w:rsidRPr="000F7862">
        <w:rPr>
          <w:lang w:val="fr-FR"/>
        </w:rPr>
        <w:t xml:space="preserve">10022), les postes diplomatiques et consulaires classent les pays de leur juridiction comme étant conformes ou non conformes, </w:t>
      </w:r>
      <w:r w:rsidR="00044A87" w:rsidRPr="000F7862">
        <w:rPr>
          <w:lang w:val="fr-FR"/>
        </w:rPr>
        <w:t xml:space="preserve">et </w:t>
      </w:r>
      <w:r w:rsidR="00CD78D9" w:rsidRPr="000F7862">
        <w:rPr>
          <w:lang w:val="fr-FR"/>
        </w:rPr>
        <w:t xml:space="preserve">comme ayant adopté ou </w:t>
      </w:r>
      <w:r w:rsidR="00044A87" w:rsidRPr="000F7862">
        <w:rPr>
          <w:lang w:val="fr-FR"/>
        </w:rPr>
        <w:t>non</w:t>
      </w:r>
      <w:r w:rsidR="00CD78D9" w:rsidRPr="000F7862">
        <w:rPr>
          <w:lang w:val="fr-FR"/>
        </w:rPr>
        <w:t xml:space="preserve"> des mesures positives et concrètes pour protéger les droits des travailleurs migrants philippins. Sur la base de cette classification, le Conseil d</w:t>
      </w:r>
      <w:r w:rsidR="00120E2E" w:rsidRPr="000F7862">
        <w:rPr>
          <w:lang w:val="fr-FR"/>
        </w:rPr>
        <w:t>’</w:t>
      </w:r>
      <w:r w:rsidR="00CD78D9" w:rsidRPr="000F7862">
        <w:rPr>
          <w:lang w:val="fr-FR"/>
        </w:rPr>
        <w:t>administration de l</w:t>
      </w:r>
      <w:r w:rsidR="00120E2E" w:rsidRPr="000F7862">
        <w:rPr>
          <w:lang w:val="fr-FR"/>
        </w:rPr>
        <w:t>’</w:t>
      </w:r>
      <w:r w:rsidR="00CD78D9" w:rsidRPr="000F7862">
        <w:rPr>
          <w:lang w:val="fr-FR"/>
        </w:rPr>
        <w:t>Agence philippine pour le travail outre-mer approuve ou n</w:t>
      </w:r>
      <w:r w:rsidR="00120E2E" w:rsidRPr="000F7862">
        <w:rPr>
          <w:lang w:val="fr-FR"/>
        </w:rPr>
        <w:t>’</w:t>
      </w:r>
      <w:r w:rsidR="00CD78D9" w:rsidRPr="000F7862">
        <w:rPr>
          <w:lang w:val="fr-FR"/>
        </w:rPr>
        <w:t>approuve pas l</w:t>
      </w:r>
      <w:r w:rsidR="00120E2E" w:rsidRPr="000F7862">
        <w:rPr>
          <w:lang w:val="fr-FR"/>
        </w:rPr>
        <w:t>’</w:t>
      </w:r>
      <w:r w:rsidR="00CD78D9" w:rsidRPr="000F7862">
        <w:rPr>
          <w:lang w:val="fr-FR"/>
        </w:rPr>
        <w:t>envoi de travailleurs philippins dans un pays donné. Le processus de classification est réévalué périodiquement et les pays non conformes sont invités à conclure des accords bilatéraux en matière d</w:t>
      </w:r>
      <w:r w:rsidR="00120E2E" w:rsidRPr="000F7862">
        <w:rPr>
          <w:lang w:val="fr-FR"/>
        </w:rPr>
        <w:t>’</w:t>
      </w:r>
      <w:r w:rsidR="00CD78D9" w:rsidRPr="000F7862">
        <w:rPr>
          <w:lang w:val="fr-FR"/>
        </w:rPr>
        <w:t>emploi</w:t>
      </w:r>
      <w:r w:rsidR="0086185C" w:rsidRPr="000F7862">
        <w:rPr>
          <w:lang w:val="fr-FR"/>
        </w:rPr>
        <w:t>.</w:t>
      </w:r>
      <w:r w:rsidR="00446EA5" w:rsidRPr="000F7862">
        <w:rPr>
          <w:lang w:val="fr-FR"/>
        </w:rPr>
        <w:t xml:space="preserve"> </w:t>
      </w:r>
    </w:p>
    <w:p w:rsidR="0086185C" w:rsidRPr="000F7862" w:rsidRDefault="003F7F57" w:rsidP="003F7F57">
      <w:pPr>
        <w:pStyle w:val="SingleTxtG"/>
        <w:rPr>
          <w:b/>
          <w:bCs/>
          <w:lang w:val="fr-FR"/>
        </w:rPr>
      </w:pPr>
      <w:r w:rsidRPr="000F7862">
        <w:rPr>
          <w:bCs/>
          <w:lang w:val="fr-FR"/>
        </w:rPr>
        <w:t>110.</w:t>
      </w:r>
      <w:r w:rsidRPr="000F7862">
        <w:rPr>
          <w:bCs/>
          <w:lang w:val="fr-FR"/>
        </w:rPr>
        <w:tab/>
      </w:r>
      <w:r w:rsidR="00CD78D9" w:rsidRPr="000F7862">
        <w:rPr>
          <w:lang w:val="fr-FR"/>
        </w:rPr>
        <w:t>L</w:t>
      </w:r>
      <w:r w:rsidR="00120E2E" w:rsidRPr="000F7862">
        <w:rPr>
          <w:lang w:val="fr-FR"/>
        </w:rPr>
        <w:t>’</w:t>
      </w:r>
      <w:r w:rsidR="00CD78D9" w:rsidRPr="000F7862">
        <w:rPr>
          <w:lang w:val="fr-FR"/>
        </w:rPr>
        <w:t xml:space="preserve">Agence philippine pour le travail outre-mer a élaboré au </w:t>
      </w:r>
      <w:r w:rsidR="0086185C" w:rsidRPr="000F7862">
        <w:rPr>
          <w:lang w:val="fr-FR"/>
        </w:rPr>
        <w:t xml:space="preserve">total 11 </w:t>
      </w:r>
      <w:r w:rsidR="00CD78D9" w:rsidRPr="000F7862">
        <w:rPr>
          <w:lang w:val="fr-FR"/>
        </w:rPr>
        <w:t>accords bilatéraux de ce type avec les gouvernements ou les ministères du travail de pays de destination</w:t>
      </w:r>
      <w:r w:rsidR="0086185C" w:rsidRPr="000F7862">
        <w:rPr>
          <w:lang w:val="fr-FR"/>
        </w:rPr>
        <w:t xml:space="preserve">. </w:t>
      </w:r>
      <w:r w:rsidR="00CD78D9" w:rsidRPr="000F7862">
        <w:rPr>
          <w:lang w:val="fr-FR"/>
        </w:rPr>
        <w:t>Elle a également conclu des accords de coopération avec d</w:t>
      </w:r>
      <w:r w:rsidR="00120E2E" w:rsidRPr="000F7862">
        <w:rPr>
          <w:lang w:val="fr-FR"/>
        </w:rPr>
        <w:t>’</w:t>
      </w:r>
      <w:r w:rsidR="00CD78D9" w:rsidRPr="000F7862">
        <w:rPr>
          <w:lang w:val="fr-FR"/>
        </w:rPr>
        <w:t>autres gouvernements et des organisations non gouvernementales et des organisations de la société civile actives en matière de plaidoyer</w:t>
      </w:r>
      <w:r w:rsidR="00486DBB" w:rsidRPr="000F7862">
        <w:rPr>
          <w:lang w:val="fr-FR"/>
        </w:rPr>
        <w:t xml:space="preserve"> et de services </w:t>
      </w:r>
      <w:r w:rsidR="00CD78D9" w:rsidRPr="000F7862">
        <w:rPr>
          <w:lang w:val="fr-FR"/>
        </w:rPr>
        <w:t>de lutte contre le recrutement illégal</w:t>
      </w:r>
      <w:r w:rsidR="00486DBB" w:rsidRPr="000F7862">
        <w:rPr>
          <w:lang w:val="fr-FR"/>
        </w:rPr>
        <w:t>, la traite des êtres humains</w:t>
      </w:r>
      <w:r w:rsidR="00CD78D9" w:rsidRPr="000F7862">
        <w:rPr>
          <w:lang w:val="fr-FR"/>
        </w:rPr>
        <w:t xml:space="preserve"> et </w:t>
      </w:r>
      <w:r w:rsidR="00486DBB" w:rsidRPr="000F7862">
        <w:rPr>
          <w:lang w:val="fr-FR"/>
        </w:rPr>
        <w:t xml:space="preserve">le </w:t>
      </w:r>
      <w:r w:rsidR="002E7607" w:rsidRPr="000F7862">
        <w:rPr>
          <w:lang w:val="fr-FR"/>
        </w:rPr>
        <w:t>«</w:t>
      </w:r>
      <w:r w:rsidR="00486DBB" w:rsidRPr="000F7862">
        <w:rPr>
          <w:lang w:val="fr-FR"/>
        </w:rPr>
        <w:t>retraitement</w:t>
      </w:r>
      <w:r w:rsidR="002E7607" w:rsidRPr="000F7862">
        <w:rPr>
          <w:lang w:val="fr-FR"/>
        </w:rPr>
        <w:t>»</w:t>
      </w:r>
      <w:r w:rsidR="00486DBB" w:rsidRPr="000F7862">
        <w:rPr>
          <w:lang w:val="fr-FR"/>
        </w:rPr>
        <w:t xml:space="preserve"> ou les contrats de substitution</w:t>
      </w:r>
      <w:r w:rsidR="00CD78D9" w:rsidRPr="000F7862">
        <w:rPr>
          <w:lang w:val="fr-FR"/>
        </w:rPr>
        <w:t>. Dans le cadre de ces accords, les travailleurs bénéficient d</w:t>
      </w:r>
      <w:r w:rsidR="00120E2E" w:rsidRPr="000F7862">
        <w:rPr>
          <w:lang w:val="fr-FR"/>
        </w:rPr>
        <w:t>’</w:t>
      </w:r>
      <w:r w:rsidR="00CD78D9" w:rsidRPr="000F7862">
        <w:rPr>
          <w:lang w:val="fr-FR"/>
        </w:rPr>
        <w:t>une assurance maladie, d</w:t>
      </w:r>
      <w:r w:rsidR="00120E2E" w:rsidRPr="000F7862">
        <w:rPr>
          <w:lang w:val="fr-FR"/>
        </w:rPr>
        <w:t>’</w:t>
      </w:r>
      <w:r w:rsidR="00CD78D9" w:rsidRPr="000F7862">
        <w:rPr>
          <w:lang w:val="fr-FR"/>
        </w:rPr>
        <w:t>une assurance-vie, de la sécurité sociale et d</w:t>
      </w:r>
      <w:r w:rsidR="00120E2E" w:rsidRPr="000F7862">
        <w:rPr>
          <w:lang w:val="fr-FR"/>
        </w:rPr>
        <w:t>’</w:t>
      </w:r>
      <w:r w:rsidR="00486DBB" w:rsidRPr="000F7862">
        <w:rPr>
          <w:lang w:val="fr-FR"/>
        </w:rPr>
        <w:t>un logement</w:t>
      </w:r>
      <w:r w:rsidR="0086185C" w:rsidRPr="000F7862">
        <w:rPr>
          <w:lang w:val="fr-FR"/>
        </w:rPr>
        <w:t xml:space="preserve">. </w:t>
      </w:r>
      <w:r w:rsidR="00486DBB" w:rsidRPr="000F7862">
        <w:rPr>
          <w:lang w:val="fr-FR"/>
        </w:rPr>
        <w:t>Outre ses interventions rapide</w:t>
      </w:r>
      <w:r w:rsidR="001468CE" w:rsidRPr="000F7862">
        <w:rPr>
          <w:lang w:val="fr-FR"/>
        </w:rPr>
        <w:t>s</w:t>
      </w:r>
      <w:r w:rsidR="00486DBB" w:rsidRPr="000F7862">
        <w:rPr>
          <w:lang w:val="fr-FR"/>
        </w:rPr>
        <w:t xml:space="preserve"> en cas de maltraitance, de violences, de</w:t>
      </w:r>
      <w:r w:rsidR="0086185C" w:rsidRPr="000F7862">
        <w:rPr>
          <w:lang w:val="fr-FR"/>
        </w:rPr>
        <w:t xml:space="preserve"> violation</w:t>
      </w:r>
      <w:r w:rsidR="001468CE" w:rsidRPr="000F7862">
        <w:rPr>
          <w:lang w:val="fr-FR"/>
        </w:rPr>
        <w:t>s des clauses des contrats et de ra</w:t>
      </w:r>
      <w:r w:rsidR="0086185C" w:rsidRPr="000F7862">
        <w:rPr>
          <w:lang w:val="fr-FR"/>
        </w:rPr>
        <w:t>patri</w:t>
      </w:r>
      <w:r w:rsidR="001468CE" w:rsidRPr="000F7862">
        <w:rPr>
          <w:lang w:val="fr-FR"/>
        </w:rPr>
        <w:t>ement</w:t>
      </w:r>
      <w:r w:rsidR="0086185C" w:rsidRPr="000F7862">
        <w:rPr>
          <w:lang w:val="fr-FR"/>
        </w:rPr>
        <w:t xml:space="preserve">, </w:t>
      </w:r>
      <w:r w:rsidR="001468CE" w:rsidRPr="000F7862">
        <w:rPr>
          <w:lang w:val="fr-FR"/>
        </w:rPr>
        <w:t>l</w:t>
      </w:r>
      <w:r w:rsidR="00120E2E" w:rsidRPr="000F7862">
        <w:rPr>
          <w:lang w:val="fr-FR"/>
        </w:rPr>
        <w:t>’</w:t>
      </w:r>
      <w:r w:rsidR="001468CE" w:rsidRPr="000F7862">
        <w:rPr>
          <w:lang w:val="fr-FR"/>
        </w:rPr>
        <w:t>Agence a déployé des attachés en mat</w:t>
      </w:r>
      <w:r w:rsidR="00952B32" w:rsidRPr="000F7862">
        <w:rPr>
          <w:lang w:val="fr-FR"/>
        </w:rPr>
        <w:t>i</w:t>
      </w:r>
      <w:r w:rsidR="001468CE" w:rsidRPr="000F7862">
        <w:rPr>
          <w:lang w:val="fr-FR"/>
        </w:rPr>
        <w:t>ère d</w:t>
      </w:r>
      <w:r w:rsidR="00120E2E" w:rsidRPr="000F7862">
        <w:rPr>
          <w:lang w:val="fr-FR"/>
        </w:rPr>
        <w:t>’</w:t>
      </w:r>
      <w:r w:rsidR="001468CE" w:rsidRPr="000F7862">
        <w:rPr>
          <w:lang w:val="fr-FR"/>
        </w:rPr>
        <w:t xml:space="preserve">emploi et des spécialistes de la protection sociale qui organisent des </w:t>
      </w:r>
      <w:r w:rsidR="0086185C" w:rsidRPr="000F7862">
        <w:rPr>
          <w:lang w:val="fr-FR"/>
        </w:rPr>
        <w:t>s</w:t>
      </w:r>
      <w:r w:rsidR="001468CE" w:rsidRPr="000F7862">
        <w:rPr>
          <w:lang w:val="fr-FR"/>
        </w:rPr>
        <w:t>é</w:t>
      </w:r>
      <w:r w:rsidR="0086185C" w:rsidRPr="000F7862">
        <w:rPr>
          <w:lang w:val="fr-FR"/>
        </w:rPr>
        <w:t>mina</w:t>
      </w:r>
      <w:r w:rsidR="001468CE" w:rsidRPr="000F7862">
        <w:rPr>
          <w:lang w:val="fr-FR"/>
        </w:rPr>
        <w:t xml:space="preserve">ires et fournissent des services </w:t>
      </w:r>
      <w:r w:rsidR="00952B32" w:rsidRPr="000F7862">
        <w:rPr>
          <w:lang w:val="fr-FR"/>
        </w:rPr>
        <w:t>de conseils en matière d</w:t>
      </w:r>
      <w:r w:rsidR="00120E2E" w:rsidRPr="000F7862">
        <w:rPr>
          <w:lang w:val="fr-FR"/>
        </w:rPr>
        <w:t>’</w:t>
      </w:r>
      <w:r w:rsidR="00952B32" w:rsidRPr="000F7862">
        <w:rPr>
          <w:lang w:val="fr-FR"/>
        </w:rPr>
        <w:t>investissement pour aider les Philippins travaillant à l</w:t>
      </w:r>
      <w:r w:rsidR="00120E2E" w:rsidRPr="000F7862">
        <w:rPr>
          <w:lang w:val="fr-FR"/>
        </w:rPr>
        <w:t>’</w:t>
      </w:r>
      <w:r w:rsidR="00952B32" w:rsidRPr="000F7862">
        <w:rPr>
          <w:lang w:val="fr-FR"/>
        </w:rPr>
        <w:t xml:space="preserve">étranger à prendre des décisions en la matière à leur retour aux </w:t>
      </w:r>
      <w:r w:rsidR="0086185C" w:rsidRPr="000F7862">
        <w:rPr>
          <w:lang w:val="fr-FR"/>
        </w:rPr>
        <w:t>Philippines</w:t>
      </w:r>
      <w:r w:rsidR="0086185C" w:rsidRPr="000F7862">
        <w:rPr>
          <w:bCs/>
          <w:lang w:val="fr-FR"/>
        </w:rPr>
        <w:t>.</w:t>
      </w:r>
    </w:p>
    <w:p w:rsidR="0086185C" w:rsidRPr="000F7862" w:rsidRDefault="00717D00" w:rsidP="00717D00">
      <w:pPr>
        <w:pStyle w:val="H23G"/>
        <w:rPr>
          <w:lang w:val="fr-FR"/>
        </w:rPr>
      </w:pPr>
      <w:r w:rsidRPr="000F7862">
        <w:rPr>
          <w:lang w:val="fr-FR"/>
        </w:rPr>
        <w:tab/>
      </w:r>
      <w:r w:rsidRPr="000F7862">
        <w:rPr>
          <w:lang w:val="fr-FR"/>
        </w:rPr>
        <w:tab/>
      </w:r>
      <w:r w:rsidR="00952B32" w:rsidRPr="000F7862">
        <w:rPr>
          <w:lang w:val="fr-FR"/>
        </w:rPr>
        <w:t>Services juridiques, consulaires et autres aux ressortissants philippins en difficulté à l</w:t>
      </w:r>
      <w:r w:rsidR="00120E2E" w:rsidRPr="000F7862">
        <w:rPr>
          <w:lang w:val="fr-FR"/>
        </w:rPr>
        <w:t>’</w:t>
      </w:r>
      <w:r w:rsidR="00952B32" w:rsidRPr="000F7862">
        <w:rPr>
          <w:lang w:val="fr-FR"/>
        </w:rPr>
        <w:t xml:space="preserve">étranger </w:t>
      </w:r>
    </w:p>
    <w:p w:rsidR="0086185C" w:rsidRPr="000F7862" w:rsidRDefault="003F7F57" w:rsidP="003F7F57">
      <w:pPr>
        <w:pStyle w:val="SingleTxtG"/>
        <w:rPr>
          <w:lang w:val="fr-FR"/>
        </w:rPr>
      </w:pPr>
      <w:r w:rsidRPr="000F7862">
        <w:rPr>
          <w:lang w:val="fr-FR"/>
        </w:rPr>
        <w:t>111.</w:t>
      </w:r>
      <w:r w:rsidRPr="000F7862">
        <w:rPr>
          <w:lang w:val="fr-FR"/>
        </w:rPr>
        <w:tab/>
      </w:r>
      <w:r w:rsidR="00952B32" w:rsidRPr="000F7862">
        <w:rPr>
          <w:lang w:val="fr-FR"/>
        </w:rPr>
        <w:t xml:space="preserve">Les postes diplomatiques et consulaires </w:t>
      </w:r>
      <w:r w:rsidR="00207A6A" w:rsidRPr="000F7862">
        <w:rPr>
          <w:lang w:val="fr-FR"/>
        </w:rPr>
        <w:t>sont tenus de fournir une assistance juridique et consulaire aux Philippins travaillant à l</w:t>
      </w:r>
      <w:r w:rsidR="00120E2E" w:rsidRPr="000F7862">
        <w:rPr>
          <w:lang w:val="fr-FR"/>
        </w:rPr>
        <w:t>’</w:t>
      </w:r>
      <w:r w:rsidR="00207A6A" w:rsidRPr="000F7862">
        <w:rPr>
          <w:lang w:val="fr-FR"/>
        </w:rPr>
        <w:t>étranger qui se trouvent en difficulté.</w:t>
      </w:r>
      <w:r w:rsidR="00446EA5" w:rsidRPr="000F7862">
        <w:rPr>
          <w:lang w:val="fr-FR"/>
        </w:rPr>
        <w:t xml:space="preserve"> </w:t>
      </w:r>
      <w:r w:rsidR="00207A6A" w:rsidRPr="000F7862">
        <w:rPr>
          <w:lang w:val="fr-FR"/>
        </w:rPr>
        <w:t>Les Philippines ont alloué des fonds discrétionnaires à l</w:t>
      </w:r>
      <w:r w:rsidR="00120E2E" w:rsidRPr="000F7862">
        <w:rPr>
          <w:lang w:val="fr-FR"/>
        </w:rPr>
        <w:t>’</w:t>
      </w:r>
      <w:r w:rsidR="00207A6A" w:rsidRPr="000F7862">
        <w:rPr>
          <w:lang w:val="fr-FR"/>
        </w:rPr>
        <w:t>intention des Philippins expatriés, à</w:t>
      </w:r>
      <w:r w:rsidR="002C7DBA" w:rsidRPr="000F7862">
        <w:rPr>
          <w:lang w:val="fr-FR"/>
        </w:rPr>
        <w:t xml:space="preserve"> </w:t>
      </w:r>
      <w:r w:rsidR="00207A6A" w:rsidRPr="000F7862">
        <w:rPr>
          <w:lang w:val="fr-FR"/>
        </w:rPr>
        <w:t>savoir le Fonds d</w:t>
      </w:r>
      <w:r w:rsidR="00120E2E" w:rsidRPr="000F7862">
        <w:rPr>
          <w:lang w:val="fr-FR"/>
        </w:rPr>
        <w:t>’</w:t>
      </w:r>
      <w:r w:rsidR="00207A6A" w:rsidRPr="000F7862">
        <w:rPr>
          <w:lang w:val="fr-FR"/>
        </w:rPr>
        <w:t>assistance aux nationaux, pour le financement du rapatriement, de l</w:t>
      </w:r>
      <w:r w:rsidR="00120E2E" w:rsidRPr="000F7862">
        <w:rPr>
          <w:lang w:val="fr-FR"/>
        </w:rPr>
        <w:t>’</w:t>
      </w:r>
      <w:r w:rsidR="00207A6A" w:rsidRPr="000F7862">
        <w:rPr>
          <w:lang w:val="fr-FR"/>
        </w:rPr>
        <w:t>expédition du corps ou de ses cendres, d</w:t>
      </w:r>
      <w:r w:rsidR="00120E2E" w:rsidRPr="000F7862">
        <w:rPr>
          <w:lang w:val="fr-FR"/>
        </w:rPr>
        <w:t>’</w:t>
      </w:r>
      <w:r w:rsidR="00207A6A" w:rsidRPr="000F7862">
        <w:rPr>
          <w:lang w:val="fr-FR"/>
        </w:rPr>
        <w:t>un logement provisoire, de nourriture et de fournitures essentielles, d</w:t>
      </w:r>
      <w:r w:rsidR="00120E2E" w:rsidRPr="000F7862">
        <w:rPr>
          <w:lang w:val="fr-FR"/>
        </w:rPr>
        <w:t>’</w:t>
      </w:r>
      <w:r w:rsidR="00207A6A" w:rsidRPr="000F7862">
        <w:rPr>
          <w:lang w:val="fr-FR"/>
        </w:rPr>
        <w:t>évacuation sanitaire, de frais d</w:t>
      </w:r>
      <w:r w:rsidR="00120E2E" w:rsidRPr="000F7862">
        <w:rPr>
          <w:lang w:val="fr-FR"/>
        </w:rPr>
        <w:t>’</w:t>
      </w:r>
      <w:r w:rsidR="00207A6A" w:rsidRPr="000F7862">
        <w:rPr>
          <w:lang w:val="fr-FR"/>
        </w:rPr>
        <w:t>hospitalisation, de mission d</w:t>
      </w:r>
      <w:r w:rsidR="00120E2E" w:rsidRPr="000F7862">
        <w:rPr>
          <w:lang w:val="fr-FR"/>
        </w:rPr>
        <w:t>’</w:t>
      </w:r>
      <w:r w:rsidR="00207A6A" w:rsidRPr="000F7862">
        <w:rPr>
          <w:lang w:val="fr-FR"/>
        </w:rPr>
        <w:t>assistance aux ressortissants nationaux, d</w:t>
      </w:r>
      <w:r w:rsidR="00120E2E" w:rsidRPr="000F7862">
        <w:rPr>
          <w:lang w:val="fr-FR"/>
        </w:rPr>
        <w:t>’</w:t>
      </w:r>
      <w:r w:rsidR="00207A6A" w:rsidRPr="000F7862">
        <w:rPr>
          <w:lang w:val="fr-FR"/>
        </w:rPr>
        <w:t>amendes infligées par les services de l</w:t>
      </w:r>
      <w:r w:rsidR="00120E2E" w:rsidRPr="000F7862">
        <w:rPr>
          <w:lang w:val="fr-FR"/>
        </w:rPr>
        <w:t>’</w:t>
      </w:r>
      <w:r w:rsidR="00207A6A" w:rsidRPr="000F7862">
        <w:rPr>
          <w:lang w:val="fr-FR"/>
        </w:rPr>
        <w:t>immigration et frais connexes. Un fonds d</w:t>
      </w:r>
      <w:r w:rsidR="00120E2E" w:rsidRPr="000F7862">
        <w:rPr>
          <w:lang w:val="fr-FR"/>
        </w:rPr>
        <w:t>’</w:t>
      </w:r>
      <w:r w:rsidR="00207A6A" w:rsidRPr="000F7862">
        <w:rPr>
          <w:lang w:val="fr-FR"/>
        </w:rPr>
        <w:t>assistance juridique a été mis en place pour les affaires pénales ainsi que pour les conflits de travail, les procédures d</w:t>
      </w:r>
      <w:r w:rsidR="00120E2E" w:rsidRPr="000F7862">
        <w:rPr>
          <w:lang w:val="fr-FR"/>
        </w:rPr>
        <w:t>’</w:t>
      </w:r>
      <w:r w:rsidR="00207A6A" w:rsidRPr="000F7862">
        <w:rPr>
          <w:lang w:val="fr-FR"/>
        </w:rPr>
        <w:t>appel contre la peine de mort ou de prison à vie, les poursuites à l</w:t>
      </w:r>
      <w:r w:rsidR="00120E2E" w:rsidRPr="000F7862">
        <w:rPr>
          <w:lang w:val="fr-FR"/>
        </w:rPr>
        <w:t>’</w:t>
      </w:r>
      <w:r w:rsidR="00207A6A" w:rsidRPr="000F7862">
        <w:rPr>
          <w:lang w:val="fr-FR"/>
        </w:rPr>
        <w:t>encontre d</w:t>
      </w:r>
      <w:r w:rsidR="00120E2E" w:rsidRPr="000F7862">
        <w:rPr>
          <w:lang w:val="fr-FR"/>
        </w:rPr>
        <w:t>’</w:t>
      </w:r>
      <w:r w:rsidR="00207A6A" w:rsidRPr="000F7862">
        <w:rPr>
          <w:lang w:val="fr-FR"/>
        </w:rPr>
        <w:t xml:space="preserve">employeurs </w:t>
      </w:r>
      <w:r w:rsidR="00653C18" w:rsidRPr="000F7862">
        <w:rPr>
          <w:lang w:val="fr-FR"/>
        </w:rPr>
        <w:t xml:space="preserve">fautifs ou </w:t>
      </w:r>
      <w:r w:rsidR="00207A6A" w:rsidRPr="000F7862">
        <w:rPr>
          <w:lang w:val="fr-FR"/>
        </w:rPr>
        <w:t xml:space="preserve">violents ainsi que pour les victimes de viol. Ces dernières sont également encouragées à porter plainte contre </w:t>
      </w:r>
      <w:r w:rsidR="00653C18" w:rsidRPr="000F7862">
        <w:rPr>
          <w:lang w:val="fr-FR"/>
        </w:rPr>
        <w:t>leurs agresseurs</w:t>
      </w:r>
      <w:r w:rsidR="00207A6A" w:rsidRPr="000F7862">
        <w:rPr>
          <w:lang w:val="fr-FR"/>
        </w:rPr>
        <w:t>, le fonds d</w:t>
      </w:r>
      <w:r w:rsidR="00120E2E" w:rsidRPr="000F7862">
        <w:rPr>
          <w:lang w:val="fr-FR"/>
        </w:rPr>
        <w:t>’</w:t>
      </w:r>
      <w:r w:rsidR="00207A6A" w:rsidRPr="000F7862">
        <w:rPr>
          <w:lang w:val="fr-FR"/>
        </w:rPr>
        <w:t>assistance juridique se chargeant de recruter des avocats compétents</w:t>
      </w:r>
      <w:r w:rsidR="0086185C" w:rsidRPr="000F7862">
        <w:rPr>
          <w:lang w:val="fr-FR"/>
        </w:rPr>
        <w:t>.</w:t>
      </w:r>
    </w:p>
    <w:p w:rsidR="0086185C" w:rsidRPr="000F7862" w:rsidRDefault="003F7F57" w:rsidP="003F7F57">
      <w:pPr>
        <w:pStyle w:val="SingleTxtG"/>
        <w:rPr>
          <w:lang w:val="fr-FR"/>
        </w:rPr>
      </w:pPr>
      <w:r w:rsidRPr="000F7862">
        <w:rPr>
          <w:lang w:val="fr-FR"/>
        </w:rPr>
        <w:t>112.</w:t>
      </w:r>
      <w:r w:rsidRPr="000F7862">
        <w:rPr>
          <w:lang w:val="fr-FR"/>
        </w:rPr>
        <w:tab/>
      </w:r>
      <w:r w:rsidR="00653C18" w:rsidRPr="000F7862">
        <w:rPr>
          <w:lang w:val="fr-FR"/>
        </w:rPr>
        <w:t>Dans les pays où les Philippins vivent très nombreux, un Centre d</w:t>
      </w:r>
      <w:r w:rsidR="00120E2E" w:rsidRPr="000F7862">
        <w:rPr>
          <w:lang w:val="fr-FR"/>
        </w:rPr>
        <w:t>’</w:t>
      </w:r>
      <w:r w:rsidR="00653C18" w:rsidRPr="000F7862">
        <w:rPr>
          <w:lang w:val="fr-FR"/>
        </w:rPr>
        <w:t>information pour les travailleurs philippins est créé dans les l</w:t>
      </w:r>
      <w:r w:rsidR="00261D45" w:rsidRPr="000F7862">
        <w:rPr>
          <w:lang w:val="fr-FR"/>
        </w:rPr>
        <w:t xml:space="preserve">ocaux et sous la compétence </w:t>
      </w:r>
      <w:r w:rsidR="00653C18" w:rsidRPr="000F7862">
        <w:rPr>
          <w:lang w:val="fr-FR"/>
        </w:rPr>
        <w:t>administrative de l</w:t>
      </w:r>
      <w:r w:rsidR="00120E2E" w:rsidRPr="000F7862">
        <w:rPr>
          <w:lang w:val="fr-FR"/>
        </w:rPr>
        <w:t>’</w:t>
      </w:r>
      <w:r w:rsidR="00653C18" w:rsidRPr="000F7862">
        <w:rPr>
          <w:lang w:val="fr-FR"/>
        </w:rPr>
        <w:t>ambassade des Philippines.</w:t>
      </w:r>
      <w:r w:rsidR="0005004C" w:rsidRPr="000F7862">
        <w:rPr>
          <w:lang w:val="fr-FR"/>
        </w:rPr>
        <w:t xml:space="preserve"> </w:t>
      </w:r>
    </w:p>
    <w:p w:rsidR="0086185C" w:rsidRPr="000F7862" w:rsidRDefault="00195175" w:rsidP="001C088C">
      <w:pPr>
        <w:pStyle w:val="HChG"/>
        <w:rPr>
          <w:lang w:val="fr-FR"/>
        </w:rPr>
      </w:pPr>
      <w:r w:rsidRPr="000F7862">
        <w:rPr>
          <w:lang w:val="fr-FR"/>
        </w:rPr>
        <w:tab/>
      </w:r>
      <w:r w:rsidR="00905A45" w:rsidRPr="000F7862">
        <w:rPr>
          <w:lang w:val="fr-FR"/>
        </w:rPr>
        <w:t>V</w:t>
      </w:r>
      <w:r w:rsidR="00B53507" w:rsidRPr="000F7862">
        <w:rPr>
          <w:lang w:val="fr-FR"/>
        </w:rPr>
        <w:t>I</w:t>
      </w:r>
      <w:r w:rsidR="00BD0AA1" w:rsidRPr="000F7862">
        <w:rPr>
          <w:lang w:val="fr-FR"/>
        </w:rPr>
        <w:t>.</w:t>
      </w:r>
      <w:r w:rsidRPr="000F7862">
        <w:rPr>
          <w:lang w:val="fr-FR"/>
        </w:rPr>
        <w:tab/>
      </w:r>
      <w:r w:rsidR="00261D45" w:rsidRPr="000F7862">
        <w:rPr>
          <w:lang w:val="fr-FR"/>
        </w:rPr>
        <w:t>Renseignements relatifs à l</w:t>
      </w:r>
      <w:r w:rsidR="00120E2E" w:rsidRPr="000F7862">
        <w:rPr>
          <w:lang w:val="fr-FR"/>
        </w:rPr>
        <w:t>’</w:t>
      </w:r>
      <w:r w:rsidR="00261D45" w:rsidRPr="000F7862">
        <w:rPr>
          <w:lang w:val="fr-FR"/>
        </w:rPr>
        <w:t>article 11 du Pacte</w:t>
      </w:r>
    </w:p>
    <w:p w:rsidR="0086185C" w:rsidRPr="000F7862" w:rsidRDefault="003F7F57" w:rsidP="003F7F57">
      <w:pPr>
        <w:pStyle w:val="SingleTxtG"/>
        <w:rPr>
          <w:lang w:val="fr-FR"/>
        </w:rPr>
      </w:pPr>
      <w:r w:rsidRPr="000F7862">
        <w:rPr>
          <w:lang w:val="fr-FR"/>
        </w:rPr>
        <w:t>113.</w:t>
      </w:r>
      <w:r w:rsidRPr="000F7862">
        <w:rPr>
          <w:lang w:val="fr-FR"/>
        </w:rPr>
        <w:tab/>
      </w:r>
      <w:r w:rsidR="00261D45" w:rsidRPr="000F7862">
        <w:rPr>
          <w:lang w:val="fr-FR"/>
        </w:rPr>
        <w:t xml:space="preserve">En ce qui concerne le salaire minimal, </w:t>
      </w:r>
      <w:r w:rsidR="00AB5532" w:rsidRPr="000F7862">
        <w:rPr>
          <w:lang w:val="fr-FR"/>
        </w:rPr>
        <w:t>le Conseil n</w:t>
      </w:r>
      <w:r w:rsidR="0086185C" w:rsidRPr="000F7862">
        <w:rPr>
          <w:lang w:val="fr-FR"/>
        </w:rPr>
        <w:t xml:space="preserve">ational </w:t>
      </w:r>
      <w:r w:rsidR="00AB5532" w:rsidRPr="000F7862">
        <w:rPr>
          <w:lang w:val="fr-FR"/>
        </w:rPr>
        <w:t xml:space="preserve">des salaires et de la productivité et les conseils régionaux ont commencé à adopter le système de salaires dualiste en </w:t>
      </w:r>
      <w:r w:rsidR="0086185C" w:rsidRPr="000F7862">
        <w:rPr>
          <w:lang w:val="fr-FR"/>
        </w:rPr>
        <w:t>2012.</w:t>
      </w:r>
      <w:r w:rsidR="00446EA5" w:rsidRPr="000F7862">
        <w:rPr>
          <w:lang w:val="fr-FR"/>
        </w:rPr>
        <w:t xml:space="preserve"> </w:t>
      </w:r>
      <w:r w:rsidR="0086185C" w:rsidRPr="000F7862">
        <w:rPr>
          <w:lang w:val="fr-FR"/>
        </w:rPr>
        <w:t>I</w:t>
      </w:r>
      <w:r w:rsidR="00AB5532" w:rsidRPr="000F7862">
        <w:rPr>
          <w:lang w:val="fr-FR"/>
        </w:rPr>
        <w:t>l comprend un salaire plancher ou minimal obligatoire destiné à prémunir les travailleurs contre des salaires excessivement bas e</w:t>
      </w:r>
      <w:r w:rsidR="0086185C" w:rsidRPr="000F7862">
        <w:rPr>
          <w:lang w:val="fr-FR"/>
        </w:rPr>
        <w:t xml:space="preserve">t </w:t>
      </w:r>
      <w:r w:rsidR="00AB5532" w:rsidRPr="000F7862">
        <w:rPr>
          <w:lang w:val="fr-FR"/>
        </w:rPr>
        <w:t>un dispositif volontaire d</w:t>
      </w:r>
      <w:r w:rsidR="00120E2E" w:rsidRPr="000F7862">
        <w:rPr>
          <w:lang w:val="fr-FR"/>
        </w:rPr>
        <w:t>’</w:t>
      </w:r>
      <w:r w:rsidR="00AB5532" w:rsidRPr="000F7862">
        <w:rPr>
          <w:lang w:val="fr-FR"/>
        </w:rPr>
        <w:t>incitation à la productivité allant au-delà du salaire plancher ou minimal obligatoire et destiné à encourager les travailleurs et les entreprises à</w:t>
      </w:r>
      <w:r w:rsidR="0086185C" w:rsidRPr="000F7862">
        <w:rPr>
          <w:lang w:val="fr-FR"/>
        </w:rPr>
        <w:t xml:space="preserve"> adopt</w:t>
      </w:r>
      <w:r w:rsidR="00AB5532" w:rsidRPr="000F7862">
        <w:rPr>
          <w:lang w:val="fr-FR"/>
        </w:rPr>
        <w:t>er des programmes d</w:t>
      </w:r>
      <w:r w:rsidR="00120E2E" w:rsidRPr="000F7862">
        <w:rPr>
          <w:lang w:val="fr-FR"/>
        </w:rPr>
        <w:t>’</w:t>
      </w:r>
      <w:r w:rsidR="00AB5532" w:rsidRPr="000F7862">
        <w:rPr>
          <w:lang w:val="fr-FR"/>
        </w:rPr>
        <w:t>amélioration de la productivité</w:t>
      </w:r>
      <w:r w:rsidR="0086185C" w:rsidRPr="000F7862">
        <w:rPr>
          <w:lang w:val="fr-FR"/>
        </w:rPr>
        <w:t xml:space="preserve"> </w:t>
      </w:r>
      <w:r w:rsidR="00D84807" w:rsidRPr="000F7862">
        <w:rPr>
          <w:lang w:val="fr-FR"/>
        </w:rPr>
        <w:t>et de participation aux bénéfices</w:t>
      </w:r>
      <w:r w:rsidR="0086185C" w:rsidRPr="000F7862">
        <w:rPr>
          <w:lang w:val="fr-FR"/>
        </w:rPr>
        <w:t>.</w:t>
      </w:r>
      <w:r w:rsidR="00446EA5" w:rsidRPr="000F7862">
        <w:rPr>
          <w:lang w:val="fr-FR"/>
        </w:rPr>
        <w:t xml:space="preserve"> </w:t>
      </w:r>
      <w:r w:rsidR="00D84807" w:rsidRPr="000F7862">
        <w:rPr>
          <w:lang w:val="fr-FR"/>
        </w:rPr>
        <w:t xml:space="preserve">Dans le cadre de cette approche, le salaire </w:t>
      </w:r>
      <w:r w:rsidR="0086185C" w:rsidRPr="000F7862">
        <w:rPr>
          <w:lang w:val="fr-FR"/>
        </w:rPr>
        <w:t>minim</w:t>
      </w:r>
      <w:r w:rsidR="00D84807" w:rsidRPr="000F7862">
        <w:rPr>
          <w:lang w:val="fr-FR"/>
        </w:rPr>
        <w:t>al doit être fixé au-dessus du seuil de pauvreté afin que les travailleurs puissent subvenir à leurs besoins et à ceux de leur famille, mais sans qu</w:t>
      </w:r>
      <w:r w:rsidR="00120E2E" w:rsidRPr="000F7862">
        <w:rPr>
          <w:lang w:val="fr-FR"/>
        </w:rPr>
        <w:t>’</w:t>
      </w:r>
      <w:r w:rsidR="00D84807" w:rsidRPr="000F7862">
        <w:rPr>
          <w:lang w:val="fr-FR"/>
        </w:rPr>
        <w:t xml:space="preserve">il dépasse le salaire moyen afin </w:t>
      </w:r>
      <w:r w:rsidR="003853CF" w:rsidRPr="000F7862">
        <w:rPr>
          <w:lang w:val="fr-FR"/>
        </w:rPr>
        <w:t>de permettre l</w:t>
      </w:r>
      <w:r w:rsidR="00120E2E" w:rsidRPr="000F7862">
        <w:rPr>
          <w:lang w:val="fr-FR"/>
        </w:rPr>
        <w:t>’</w:t>
      </w:r>
      <w:r w:rsidR="003853CF" w:rsidRPr="000F7862">
        <w:rPr>
          <w:lang w:val="fr-FR"/>
        </w:rPr>
        <w:t>adoption d</w:t>
      </w:r>
      <w:r w:rsidR="00120E2E" w:rsidRPr="000F7862">
        <w:rPr>
          <w:lang w:val="fr-FR"/>
        </w:rPr>
        <w:t>’</w:t>
      </w:r>
      <w:r w:rsidR="003853CF" w:rsidRPr="000F7862">
        <w:rPr>
          <w:lang w:val="fr-FR"/>
        </w:rPr>
        <w:t xml:space="preserve">approches </w:t>
      </w:r>
      <w:r w:rsidR="0086185C" w:rsidRPr="000F7862">
        <w:rPr>
          <w:lang w:val="fr-FR"/>
        </w:rPr>
        <w:t>bipartite</w:t>
      </w:r>
      <w:r w:rsidR="003853CF" w:rsidRPr="000F7862">
        <w:rPr>
          <w:lang w:val="fr-FR"/>
        </w:rPr>
        <w:t>s</w:t>
      </w:r>
      <w:r w:rsidR="0086185C" w:rsidRPr="000F7862">
        <w:rPr>
          <w:lang w:val="fr-FR"/>
        </w:rPr>
        <w:t xml:space="preserve"> </w:t>
      </w:r>
      <w:r w:rsidR="003853CF" w:rsidRPr="000F7862">
        <w:rPr>
          <w:lang w:val="fr-FR"/>
        </w:rPr>
        <w:t>pour fixer de meilleures conditions d</w:t>
      </w:r>
      <w:r w:rsidR="00120E2E" w:rsidRPr="000F7862">
        <w:rPr>
          <w:lang w:val="fr-FR"/>
        </w:rPr>
        <w:t>’</w:t>
      </w:r>
      <w:r w:rsidR="003853CF" w:rsidRPr="000F7862">
        <w:rPr>
          <w:lang w:val="fr-FR"/>
        </w:rPr>
        <w:t>emploi</w:t>
      </w:r>
      <w:r w:rsidR="0086185C" w:rsidRPr="000F7862">
        <w:rPr>
          <w:lang w:val="fr-FR"/>
        </w:rPr>
        <w:t>.</w:t>
      </w:r>
    </w:p>
    <w:p w:rsidR="0086185C" w:rsidRPr="000F7862" w:rsidRDefault="00717D00" w:rsidP="00717D00">
      <w:pPr>
        <w:pStyle w:val="H23G"/>
        <w:rPr>
          <w:lang w:val="fr-FR"/>
        </w:rPr>
      </w:pPr>
      <w:r w:rsidRPr="000F7862">
        <w:rPr>
          <w:lang w:val="fr-FR"/>
        </w:rPr>
        <w:tab/>
      </w:r>
      <w:r w:rsidRPr="000F7862">
        <w:rPr>
          <w:lang w:val="fr-FR"/>
        </w:rPr>
        <w:tab/>
      </w:r>
      <w:r w:rsidR="003853CF" w:rsidRPr="000F7862">
        <w:rPr>
          <w:lang w:val="fr-FR"/>
        </w:rPr>
        <w:t>Réalisations s</w:t>
      </w:r>
      <w:r w:rsidR="0086185C" w:rsidRPr="000F7862">
        <w:rPr>
          <w:lang w:val="fr-FR"/>
        </w:rPr>
        <w:t>p</w:t>
      </w:r>
      <w:r w:rsidR="003853CF" w:rsidRPr="000F7862">
        <w:rPr>
          <w:lang w:val="fr-FR"/>
        </w:rPr>
        <w:t>écifiques</w:t>
      </w:r>
      <w:r w:rsidR="0005004C" w:rsidRPr="000F7862">
        <w:rPr>
          <w:lang w:val="fr-FR"/>
        </w:rPr>
        <w:t xml:space="preserve"> </w:t>
      </w:r>
    </w:p>
    <w:p w:rsidR="0086185C" w:rsidRPr="000F7862" w:rsidRDefault="00717D00" w:rsidP="00717D00">
      <w:pPr>
        <w:pStyle w:val="SingleTxtG"/>
        <w:rPr>
          <w:lang w:val="fr-FR"/>
        </w:rPr>
      </w:pPr>
      <w:r w:rsidRPr="000F7862">
        <w:rPr>
          <w:lang w:val="fr-FR"/>
        </w:rPr>
        <w:tab/>
      </w:r>
      <w:r w:rsidR="006217D2" w:rsidRPr="000F7862">
        <w:rPr>
          <w:lang w:val="fr-FR"/>
        </w:rPr>
        <w:t>a)</w:t>
      </w:r>
      <w:r w:rsidR="006217D2" w:rsidRPr="000F7862">
        <w:rPr>
          <w:lang w:val="fr-FR"/>
        </w:rPr>
        <w:tab/>
      </w:r>
      <w:r w:rsidR="003853CF" w:rsidRPr="000F7862">
        <w:rPr>
          <w:lang w:val="fr-FR"/>
        </w:rPr>
        <w:t xml:space="preserve">Les </w:t>
      </w:r>
      <w:r w:rsidR="003853CF" w:rsidRPr="000F7862">
        <w:rPr>
          <w:shd w:val="clear" w:color="auto" w:fill="FFFFFF"/>
          <w:lang w:val="fr-FR"/>
        </w:rPr>
        <w:t>Conseils tripartites régionaux des salaires et de la productivité</w:t>
      </w:r>
      <w:r w:rsidR="0086185C" w:rsidRPr="000F7862">
        <w:rPr>
          <w:lang w:val="fr-FR"/>
        </w:rPr>
        <w:t xml:space="preserve"> </w:t>
      </w:r>
      <w:r w:rsidR="003853CF" w:rsidRPr="000F7862">
        <w:rPr>
          <w:lang w:val="fr-FR"/>
        </w:rPr>
        <w:t>n</w:t>
      </w:r>
      <w:r w:rsidR="00120E2E" w:rsidRPr="000F7862">
        <w:rPr>
          <w:lang w:val="fr-FR"/>
        </w:rPr>
        <w:t>’</w:t>
      </w:r>
      <w:r w:rsidR="002C7DBA" w:rsidRPr="000F7862">
        <w:rPr>
          <w:lang w:val="fr-FR"/>
        </w:rPr>
        <w:t>ont</w:t>
      </w:r>
      <w:r w:rsidR="003853CF" w:rsidRPr="000F7862">
        <w:rPr>
          <w:lang w:val="fr-FR"/>
        </w:rPr>
        <w:t xml:space="preserve"> pas rendu d</w:t>
      </w:r>
      <w:r w:rsidR="00120E2E" w:rsidRPr="000F7862">
        <w:rPr>
          <w:lang w:val="fr-FR"/>
        </w:rPr>
        <w:t>’</w:t>
      </w:r>
      <w:r w:rsidR="003853CF" w:rsidRPr="000F7862">
        <w:rPr>
          <w:lang w:val="fr-FR"/>
        </w:rPr>
        <w:t xml:space="preserve">ordonnances relatives aux salaires en </w:t>
      </w:r>
      <w:r w:rsidR="0086185C" w:rsidRPr="000F7862">
        <w:rPr>
          <w:lang w:val="fr-FR"/>
        </w:rPr>
        <w:t xml:space="preserve">2009 </w:t>
      </w:r>
      <w:r w:rsidR="003853CF" w:rsidRPr="000F7862">
        <w:rPr>
          <w:lang w:val="fr-FR"/>
        </w:rPr>
        <w:t xml:space="preserve">afin </w:t>
      </w:r>
      <w:r w:rsidR="00414124" w:rsidRPr="000F7862">
        <w:rPr>
          <w:lang w:val="fr-FR"/>
        </w:rPr>
        <w:t>de soulager les entreprises eu égard aux effets de la crise financière</w:t>
      </w:r>
      <w:r w:rsidR="0086185C" w:rsidRPr="000F7862">
        <w:rPr>
          <w:lang w:val="fr-FR"/>
        </w:rPr>
        <w:t>.</w:t>
      </w:r>
    </w:p>
    <w:p w:rsidR="0086185C" w:rsidRPr="000F7862" w:rsidRDefault="00717D00" w:rsidP="00717D00">
      <w:pPr>
        <w:pStyle w:val="SingleTxtG"/>
        <w:rPr>
          <w:lang w:val="fr-FR"/>
        </w:rPr>
      </w:pPr>
      <w:r w:rsidRPr="000F7862">
        <w:rPr>
          <w:lang w:val="fr-FR"/>
        </w:rPr>
        <w:tab/>
      </w:r>
      <w:r w:rsidR="006217D2" w:rsidRPr="000F7862">
        <w:rPr>
          <w:lang w:val="fr-FR"/>
        </w:rPr>
        <w:t>b)</w:t>
      </w:r>
      <w:r w:rsidR="00BD0AA1" w:rsidRPr="000F7862">
        <w:rPr>
          <w:lang w:val="fr-FR"/>
        </w:rPr>
        <w:tab/>
      </w:r>
      <w:r w:rsidR="00414124" w:rsidRPr="000F7862">
        <w:rPr>
          <w:lang w:val="fr-FR"/>
        </w:rPr>
        <w:t>En</w:t>
      </w:r>
      <w:r w:rsidR="0086185C" w:rsidRPr="000F7862">
        <w:rPr>
          <w:lang w:val="fr-FR"/>
        </w:rPr>
        <w:t xml:space="preserve"> 2010, 15 </w:t>
      </w:r>
      <w:r w:rsidR="00414124" w:rsidRPr="000F7862">
        <w:rPr>
          <w:lang w:val="fr-FR"/>
        </w:rPr>
        <w:t>ordonnances relatives aux salaires</w:t>
      </w:r>
      <w:r w:rsidR="0086185C" w:rsidRPr="000F7862">
        <w:rPr>
          <w:lang w:val="fr-FR"/>
        </w:rPr>
        <w:t xml:space="preserve"> </w:t>
      </w:r>
      <w:r w:rsidR="00414124" w:rsidRPr="000F7862">
        <w:rPr>
          <w:lang w:val="fr-FR"/>
        </w:rPr>
        <w:t xml:space="preserve">ont été rendues pour accorder une augmentation du salaire journalier dans le secteur non agricole de </w:t>
      </w:r>
      <w:r w:rsidR="0086185C" w:rsidRPr="000F7862">
        <w:rPr>
          <w:lang w:val="fr-FR"/>
        </w:rPr>
        <w:t xml:space="preserve">22 </w:t>
      </w:r>
      <w:r w:rsidR="00414124" w:rsidRPr="000F7862">
        <w:rPr>
          <w:lang w:val="fr-FR"/>
        </w:rPr>
        <w:t xml:space="preserve">pesos dans la Région de la capitale nationale et de </w:t>
      </w:r>
      <w:r w:rsidR="0086185C" w:rsidRPr="000F7862">
        <w:rPr>
          <w:lang w:val="fr-FR"/>
        </w:rPr>
        <w:t xml:space="preserve">8 </w:t>
      </w:r>
      <w:r w:rsidR="00414124" w:rsidRPr="000F7862">
        <w:rPr>
          <w:lang w:val="fr-FR"/>
        </w:rPr>
        <w:t>à</w:t>
      </w:r>
      <w:r w:rsidR="0086185C" w:rsidRPr="000F7862">
        <w:rPr>
          <w:lang w:val="fr-FR"/>
        </w:rPr>
        <w:t xml:space="preserve"> 21 </w:t>
      </w:r>
      <w:r w:rsidR="00414124" w:rsidRPr="000F7862">
        <w:rPr>
          <w:lang w:val="fr-FR"/>
        </w:rPr>
        <w:t>pesos dans les régions autres que cette dernière région</w:t>
      </w:r>
      <w:r w:rsidR="0086185C" w:rsidRPr="000F7862">
        <w:rPr>
          <w:lang w:val="fr-FR"/>
        </w:rPr>
        <w:t>.</w:t>
      </w:r>
      <w:r w:rsidR="00446EA5" w:rsidRPr="000F7862">
        <w:rPr>
          <w:lang w:val="fr-FR"/>
        </w:rPr>
        <w:t xml:space="preserve"> </w:t>
      </w:r>
      <w:r w:rsidR="00414124" w:rsidRPr="000F7862">
        <w:rPr>
          <w:lang w:val="fr-FR"/>
        </w:rPr>
        <w:t xml:space="preserve">Le salaire minimal dans le secteur non agricole est ainsi passé à 404 pesos dans la Région de la capitale nationale; ailleurs, il a oscillé entre </w:t>
      </w:r>
      <w:r w:rsidR="0086185C" w:rsidRPr="000F7862">
        <w:rPr>
          <w:lang w:val="fr-FR"/>
        </w:rPr>
        <w:t xml:space="preserve">222 </w:t>
      </w:r>
      <w:r w:rsidR="00414124" w:rsidRPr="000F7862">
        <w:rPr>
          <w:lang w:val="fr-FR"/>
        </w:rPr>
        <w:t xml:space="preserve">et </w:t>
      </w:r>
      <w:r w:rsidR="0086185C" w:rsidRPr="000F7862">
        <w:rPr>
          <w:lang w:val="fr-FR"/>
        </w:rPr>
        <w:t>337</w:t>
      </w:r>
      <w:r w:rsidR="00414124" w:rsidRPr="000F7862">
        <w:rPr>
          <w:lang w:val="fr-FR"/>
        </w:rPr>
        <w:t xml:space="preserve"> pesos</w:t>
      </w:r>
      <w:r w:rsidR="0086185C" w:rsidRPr="000F7862">
        <w:rPr>
          <w:lang w:val="fr-FR"/>
        </w:rPr>
        <w:t>.</w:t>
      </w:r>
    </w:p>
    <w:p w:rsidR="0086185C" w:rsidRPr="000F7862" w:rsidRDefault="00717D00" w:rsidP="00717D00">
      <w:pPr>
        <w:pStyle w:val="SingleTxtG"/>
        <w:rPr>
          <w:lang w:val="fr-FR"/>
        </w:rPr>
      </w:pPr>
      <w:r w:rsidRPr="000F7862">
        <w:rPr>
          <w:lang w:val="fr-FR"/>
        </w:rPr>
        <w:tab/>
      </w:r>
      <w:r w:rsidR="006217D2" w:rsidRPr="000F7862">
        <w:rPr>
          <w:lang w:val="fr-FR"/>
        </w:rPr>
        <w:t>c)</w:t>
      </w:r>
      <w:r w:rsidR="006217D2" w:rsidRPr="000F7862">
        <w:rPr>
          <w:lang w:val="fr-FR"/>
        </w:rPr>
        <w:tab/>
      </w:r>
      <w:r w:rsidR="00414124" w:rsidRPr="000F7862">
        <w:rPr>
          <w:lang w:val="fr-FR"/>
        </w:rPr>
        <w:t>E</w:t>
      </w:r>
      <w:r w:rsidR="0086185C" w:rsidRPr="000F7862">
        <w:rPr>
          <w:lang w:val="fr-FR"/>
        </w:rPr>
        <w:t xml:space="preserve">n 2011, 11 </w:t>
      </w:r>
      <w:r w:rsidR="00414124" w:rsidRPr="000F7862">
        <w:rPr>
          <w:lang w:val="fr-FR"/>
        </w:rPr>
        <w:t>ordonnances relatives aux salaires</w:t>
      </w:r>
      <w:r w:rsidR="0086185C" w:rsidRPr="000F7862">
        <w:rPr>
          <w:lang w:val="fr-FR"/>
        </w:rPr>
        <w:t xml:space="preserve"> </w:t>
      </w:r>
      <w:r w:rsidR="00414124" w:rsidRPr="000F7862">
        <w:rPr>
          <w:lang w:val="fr-FR"/>
        </w:rPr>
        <w:t xml:space="preserve">ont été rendues pour accorder une augmentation du salaire journalier dans le secteur non agricole de 22 pesos dans la Région de la capitale nationale et de </w:t>
      </w:r>
      <w:r w:rsidR="008C3DD1" w:rsidRPr="000F7862">
        <w:rPr>
          <w:lang w:val="fr-FR"/>
        </w:rPr>
        <w:t>10</w:t>
      </w:r>
      <w:r w:rsidR="00414124" w:rsidRPr="000F7862">
        <w:rPr>
          <w:lang w:val="fr-FR"/>
        </w:rPr>
        <w:t xml:space="preserve"> à 2</w:t>
      </w:r>
      <w:r w:rsidR="008C3DD1" w:rsidRPr="000F7862">
        <w:rPr>
          <w:lang w:val="fr-FR"/>
        </w:rPr>
        <w:t>0</w:t>
      </w:r>
      <w:r w:rsidR="00414124" w:rsidRPr="000F7862">
        <w:rPr>
          <w:lang w:val="fr-FR"/>
        </w:rPr>
        <w:t xml:space="preserve"> pesos dans les régions a</w:t>
      </w:r>
      <w:r w:rsidR="002C7DBA" w:rsidRPr="000F7862">
        <w:rPr>
          <w:lang w:val="fr-FR"/>
        </w:rPr>
        <w:t>utres que cette dernière région</w:t>
      </w:r>
      <w:r w:rsidR="00414124" w:rsidRPr="000F7862">
        <w:rPr>
          <w:lang w:val="fr-FR"/>
        </w:rPr>
        <w:t>. Le salaire minimal dans le secteur non agricol</w:t>
      </w:r>
      <w:r w:rsidR="008C3DD1" w:rsidRPr="000F7862">
        <w:rPr>
          <w:lang w:val="fr-FR"/>
        </w:rPr>
        <w:t>e est ainsi passé à 426</w:t>
      </w:r>
      <w:r w:rsidR="00414124" w:rsidRPr="000F7862">
        <w:rPr>
          <w:lang w:val="fr-FR"/>
        </w:rPr>
        <w:t xml:space="preserve"> pesos dans la Région de la capitale nationale; ailleurs, il a oscillé entre 2</w:t>
      </w:r>
      <w:r w:rsidR="008C3DD1" w:rsidRPr="000F7862">
        <w:rPr>
          <w:lang w:val="fr-FR"/>
        </w:rPr>
        <w:t>3</w:t>
      </w:r>
      <w:r w:rsidR="00414124" w:rsidRPr="000F7862">
        <w:rPr>
          <w:lang w:val="fr-FR"/>
        </w:rPr>
        <w:t>2 et 337 pesos</w:t>
      </w:r>
      <w:r w:rsidR="0086185C" w:rsidRPr="000F7862">
        <w:rPr>
          <w:lang w:val="fr-FR"/>
        </w:rPr>
        <w:t>.</w:t>
      </w:r>
    </w:p>
    <w:p w:rsidR="0086185C" w:rsidRPr="000F7862" w:rsidRDefault="00717D00" w:rsidP="00717D00">
      <w:pPr>
        <w:pStyle w:val="SingleTxtG"/>
        <w:rPr>
          <w:lang w:val="fr-FR"/>
        </w:rPr>
      </w:pPr>
      <w:r w:rsidRPr="000F7862">
        <w:rPr>
          <w:lang w:val="fr-FR"/>
        </w:rPr>
        <w:tab/>
      </w:r>
      <w:r w:rsidR="006217D2" w:rsidRPr="000F7862">
        <w:rPr>
          <w:lang w:val="fr-FR"/>
        </w:rPr>
        <w:t>d)</w:t>
      </w:r>
      <w:r w:rsidR="006217D2" w:rsidRPr="000F7862">
        <w:rPr>
          <w:lang w:val="fr-FR"/>
        </w:rPr>
        <w:tab/>
      </w:r>
      <w:r w:rsidR="008C3DD1" w:rsidRPr="000F7862">
        <w:rPr>
          <w:lang w:val="fr-FR"/>
        </w:rPr>
        <w:t>E</w:t>
      </w:r>
      <w:r w:rsidR="0086185C" w:rsidRPr="000F7862">
        <w:rPr>
          <w:lang w:val="fr-FR"/>
        </w:rPr>
        <w:t xml:space="preserve">n 2012, 13 </w:t>
      </w:r>
      <w:r w:rsidR="008C3DD1" w:rsidRPr="000F7862">
        <w:rPr>
          <w:lang w:val="fr-FR"/>
        </w:rPr>
        <w:t>o</w:t>
      </w:r>
      <w:r w:rsidR="00414124" w:rsidRPr="000F7862">
        <w:rPr>
          <w:lang w:val="fr-FR"/>
        </w:rPr>
        <w:t>rdonnances relatives aux salaires</w:t>
      </w:r>
      <w:r w:rsidR="0086185C" w:rsidRPr="000F7862">
        <w:rPr>
          <w:lang w:val="fr-FR"/>
        </w:rPr>
        <w:t xml:space="preserve"> </w:t>
      </w:r>
      <w:r w:rsidR="008C3DD1" w:rsidRPr="000F7862">
        <w:rPr>
          <w:lang w:val="fr-FR"/>
        </w:rPr>
        <w:t>ont été rendues pour accorder une augmentation du salaire journalier dans le secteur non agricole de 30 pesos dans la Région de la capitale nationale et de 5 à 22 pesos dans les régions a</w:t>
      </w:r>
      <w:r w:rsidR="002C7DBA" w:rsidRPr="000F7862">
        <w:rPr>
          <w:lang w:val="fr-FR"/>
        </w:rPr>
        <w:t>utres que cette dernière région</w:t>
      </w:r>
      <w:r w:rsidR="008C3DD1" w:rsidRPr="000F7862">
        <w:rPr>
          <w:lang w:val="fr-FR"/>
        </w:rPr>
        <w:t>. Le salaire minimal dans le secteur non agricole est ainsi passé à 456 pesos dans la Région de la capitale nationale; ailleurs, il a oscillé entre 232 et 349,50 pesos</w:t>
      </w:r>
      <w:r w:rsidR="0086185C" w:rsidRPr="000F7862">
        <w:rPr>
          <w:lang w:val="fr-FR"/>
        </w:rPr>
        <w:t>.</w:t>
      </w:r>
    </w:p>
    <w:p w:rsidR="0086185C" w:rsidRPr="000F7862" w:rsidRDefault="008C3DD1" w:rsidP="009111E1">
      <w:pPr>
        <w:pStyle w:val="Bullet1G"/>
      </w:pPr>
      <w:r w:rsidRPr="000F7862">
        <w:t>Le Conseil national des salaires et de la productivité et les conseils régionaux ont commencé à adopter le système de salaires dualiste à l</w:t>
      </w:r>
      <w:r w:rsidR="00120E2E" w:rsidRPr="000F7862">
        <w:t>’</w:t>
      </w:r>
      <w:r w:rsidRPr="000F7862">
        <w:t xml:space="preserve">occasion des ordonnances relatives aux salaires rendues en 2012, </w:t>
      </w:r>
      <w:r w:rsidR="00275C23" w:rsidRPr="000F7862">
        <w:t>comme l</w:t>
      </w:r>
      <w:r w:rsidR="00120E2E" w:rsidRPr="000F7862">
        <w:t>’</w:t>
      </w:r>
      <w:r w:rsidR="00275C23" w:rsidRPr="000F7862">
        <w:t xml:space="preserve">indiquent les révisions échelonnées à la hausse des salaires minimaux tombant au-dessous du seuil de pauvreté </w:t>
      </w:r>
      <w:r w:rsidR="0086185C" w:rsidRPr="000F7862">
        <w:t xml:space="preserve">(III </w:t>
      </w:r>
      <w:r w:rsidR="00275C23" w:rsidRPr="000F7862">
        <w:t>et</w:t>
      </w:r>
      <w:r w:rsidR="0086185C" w:rsidRPr="000F7862">
        <w:t xml:space="preserve"> IV-A); adoption </w:t>
      </w:r>
      <w:r w:rsidR="00275C23" w:rsidRPr="000F7862">
        <w:t>d</w:t>
      </w:r>
      <w:r w:rsidR="00120E2E" w:rsidRPr="000F7862">
        <w:t>’</w:t>
      </w:r>
      <w:r w:rsidR="00275C23" w:rsidRPr="000F7862">
        <w:t xml:space="preserve">une politique de </w:t>
      </w:r>
      <w:r w:rsidR="002E7607" w:rsidRPr="000F7862">
        <w:t>«</w:t>
      </w:r>
      <w:r w:rsidR="0086185C" w:rsidRPr="000F7862">
        <w:t>no</w:t>
      </w:r>
      <w:r w:rsidR="00275C23" w:rsidRPr="000F7862">
        <w:t>n</w:t>
      </w:r>
      <w:r w:rsidR="002C7DBA" w:rsidRPr="000F7862">
        <w:t>-</w:t>
      </w:r>
      <w:r w:rsidR="00275C23" w:rsidRPr="000F7862">
        <w:t>dérogation</w:t>
      </w:r>
      <w:r w:rsidR="002E7607" w:rsidRPr="000F7862">
        <w:t>»</w:t>
      </w:r>
      <w:r w:rsidR="0086185C" w:rsidRPr="000F7862">
        <w:t xml:space="preserve"> </w:t>
      </w:r>
      <w:r w:rsidR="00275C23" w:rsidRPr="000F7862">
        <w:t xml:space="preserve">par certains conseils régionaux </w:t>
      </w:r>
      <w:r w:rsidR="0086185C" w:rsidRPr="000F7862">
        <w:t>(</w:t>
      </w:r>
      <w:r w:rsidR="00275C23" w:rsidRPr="000F7862">
        <w:t>Région administrative de la Cordillère</w:t>
      </w:r>
      <w:r w:rsidR="0086185C" w:rsidRPr="000F7862">
        <w:t xml:space="preserve">, IV-A, IV-B, VI </w:t>
      </w:r>
      <w:r w:rsidR="00275C23" w:rsidRPr="000F7862">
        <w:t>et</w:t>
      </w:r>
      <w:r w:rsidR="0086185C" w:rsidRPr="000F7862">
        <w:t xml:space="preserve"> VIII); </w:t>
      </w:r>
      <w:r w:rsidR="00D07DAB" w:rsidRPr="000F7862">
        <w:t>remise d</w:t>
      </w:r>
      <w:r w:rsidR="00120E2E" w:rsidRPr="000F7862">
        <w:t>’</w:t>
      </w:r>
      <w:r w:rsidR="00D07DAB" w:rsidRPr="000F7862">
        <w:t>avis sur la rémunération basée sur la productivité venant s</w:t>
      </w:r>
      <w:r w:rsidR="00120E2E" w:rsidRPr="000F7862">
        <w:t>’</w:t>
      </w:r>
      <w:r w:rsidR="00D07DAB" w:rsidRPr="000F7862">
        <w:t xml:space="preserve">ajouter au salaire minimal </w:t>
      </w:r>
      <w:r w:rsidR="0086185C" w:rsidRPr="000F7862">
        <w:t xml:space="preserve">(IV-A); </w:t>
      </w:r>
      <w:r w:rsidR="00D07DAB" w:rsidRPr="000F7862">
        <w:t xml:space="preserve">et </w:t>
      </w:r>
      <w:r w:rsidR="0086185C" w:rsidRPr="000F7862">
        <w:t xml:space="preserve">simplification </w:t>
      </w:r>
      <w:r w:rsidR="003D1B4A" w:rsidRPr="000F7862">
        <w:t xml:space="preserve">de la structure des salaires pour garantir que les taux se situent au-dessus du seuil de pauvreté, mais au-dessous du salaire moyen </w:t>
      </w:r>
      <w:r w:rsidR="0086185C" w:rsidRPr="000F7862">
        <w:t>(</w:t>
      </w:r>
      <w:r w:rsidR="003D1B4A" w:rsidRPr="000F7862">
        <w:t>Région administrative de la Cordillère</w:t>
      </w:r>
      <w:r w:rsidR="0086185C" w:rsidRPr="000F7862">
        <w:t>, IV-A, V).</w:t>
      </w:r>
    </w:p>
    <w:p w:rsidR="0086185C" w:rsidRPr="000F7862" w:rsidRDefault="006217D2" w:rsidP="004E0996">
      <w:pPr>
        <w:pStyle w:val="SingleTxtG"/>
        <w:ind w:firstLine="567"/>
        <w:rPr>
          <w:lang w:val="fr-FR"/>
        </w:rPr>
      </w:pPr>
      <w:r w:rsidRPr="000F7862">
        <w:rPr>
          <w:lang w:val="fr-FR"/>
        </w:rPr>
        <w:t>e)</w:t>
      </w:r>
      <w:r w:rsidRPr="000F7862">
        <w:rPr>
          <w:lang w:val="fr-FR"/>
        </w:rPr>
        <w:tab/>
      </w:r>
      <w:r w:rsidR="003D1B4A" w:rsidRPr="000F7862">
        <w:rPr>
          <w:lang w:val="fr-FR"/>
        </w:rPr>
        <w:t>À compter d</w:t>
      </w:r>
      <w:r w:rsidR="00120E2E" w:rsidRPr="000F7862">
        <w:rPr>
          <w:lang w:val="fr-FR"/>
        </w:rPr>
        <w:t>’</w:t>
      </w:r>
      <w:r w:rsidR="003D1B4A" w:rsidRPr="000F7862">
        <w:rPr>
          <w:lang w:val="fr-FR"/>
        </w:rPr>
        <w:t xml:space="preserve">octobre </w:t>
      </w:r>
      <w:r w:rsidR="0086185C" w:rsidRPr="000F7862">
        <w:rPr>
          <w:lang w:val="fr-FR"/>
        </w:rPr>
        <w:t xml:space="preserve">2013, </w:t>
      </w:r>
      <w:r w:rsidR="003D1B4A" w:rsidRPr="000F7862">
        <w:rPr>
          <w:lang w:val="fr-FR"/>
        </w:rPr>
        <w:t>cinq o</w:t>
      </w:r>
      <w:r w:rsidR="00414124" w:rsidRPr="000F7862">
        <w:rPr>
          <w:lang w:val="fr-FR"/>
        </w:rPr>
        <w:t>rdonnances relatives aux salaires</w:t>
      </w:r>
      <w:r w:rsidR="0086185C" w:rsidRPr="000F7862">
        <w:rPr>
          <w:lang w:val="fr-FR"/>
        </w:rPr>
        <w:t xml:space="preserve"> </w:t>
      </w:r>
      <w:r w:rsidR="003D1B4A" w:rsidRPr="000F7862">
        <w:rPr>
          <w:lang w:val="fr-FR"/>
        </w:rPr>
        <w:t xml:space="preserve">rendues par les </w:t>
      </w:r>
      <w:r w:rsidR="003D1B4A" w:rsidRPr="000F7862">
        <w:rPr>
          <w:shd w:val="clear" w:color="auto" w:fill="FFFFFF"/>
          <w:lang w:val="fr-FR"/>
        </w:rPr>
        <w:t>Conseils tripartites régionaux des salaires et de la productivité</w:t>
      </w:r>
      <w:r w:rsidR="003D1B4A" w:rsidRPr="000F7862">
        <w:rPr>
          <w:lang w:val="fr-FR"/>
        </w:rPr>
        <w:t xml:space="preserve"> de la Région de la capitale nationale</w:t>
      </w:r>
      <w:r w:rsidR="0086185C" w:rsidRPr="000F7862">
        <w:rPr>
          <w:lang w:val="fr-FR"/>
        </w:rPr>
        <w:t xml:space="preserve">, </w:t>
      </w:r>
      <w:r w:rsidR="003D1B4A" w:rsidRPr="000F7862">
        <w:rPr>
          <w:lang w:val="fr-FR"/>
        </w:rPr>
        <w:t>des ré</w:t>
      </w:r>
      <w:r w:rsidR="0086185C" w:rsidRPr="000F7862">
        <w:rPr>
          <w:lang w:val="fr-FR"/>
        </w:rPr>
        <w:t>gions</w:t>
      </w:r>
      <w:r w:rsidR="009111E1" w:rsidRPr="000F7862">
        <w:rPr>
          <w:lang w:val="fr-FR"/>
        </w:rPr>
        <w:t xml:space="preserve"> </w:t>
      </w:r>
      <w:r w:rsidR="0086185C" w:rsidRPr="000F7862">
        <w:rPr>
          <w:lang w:val="fr-FR"/>
        </w:rPr>
        <w:t xml:space="preserve">VI, IX, X </w:t>
      </w:r>
      <w:r w:rsidR="003D1B4A" w:rsidRPr="000F7862">
        <w:rPr>
          <w:lang w:val="fr-FR"/>
        </w:rPr>
        <w:t xml:space="preserve">et </w:t>
      </w:r>
      <w:r w:rsidR="002C7DBA" w:rsidRPr="000F7862">
        <w:rPr>
          <w:lang w:val="fr-FR"/>
        </w:rPr>
        <w:t xml:space="preserve">du </w:t>
      </w:r>
      <w:r w:rsidR="0086185C" w:rsidRPr="000F7862">
        <w:rPr>
          <w:lang w:val="fr-FR"/>
        </w:rPr>
        <w:t xml:space="preserve">Caraga </w:t>
      </w:r>
      <w:r w:rsidR="003D1B4A" w:rsidRPr="000F7862">
        <w:rPr>
          <w:lang w:val="fr-FR"/>
        </w:rPr>
        <w:t>ont accordé une augmentation du salaire journalier d</w:t>
      </w:r>
      <w:r w:rsidR="00120E2E" w:rsidRPr="000F7862">
        <w:rPr>
          <w:lang w:val="fr-FR"/>
        </w:rPr>
        <w:t>’</w:t>
      </w:r>
      <w:r w:rsidR="003D1B4A" w:rsidRPr="000F7862">
        <w:rPr>
          <w:lang w:val="fr-FR"/>
        </w:rPr>
        <w:t xml:space="preserve">un montant de </w:t>
      </w:r>
      <w:r w:rsidR="0086185C" w:rsidRPr="000F7862">
        <w:rPr>
          <w:lang w:val="fr-FR"/>
        </w:rPr>
        <w:t xml:space="preserve">10, 10, 13, 20 </w:t>
      </w:r>
      <w:r w:rsidR="003D1B4A" w:rsidRPr="000F7862">
        <w:rPr>
          <w:lang w:val="fr-FR"/>
        </w:rPr>
        <w:t xml:space="preserve">et </w:t>
      </w:r>
      <w:r w:rsidR="0086185C" w:rsidRPr="000F7862">
        <w:rPr>
          <w:lang w:val="fr-FR"/>
        </w:rPr>
        <w:t>10</w:t>
      </w:r>
      <w:r w:rsidR="003D1B4A" w:rsidRPr="000F7862">
        <w:rPr>
          <w:lang w:val="fr-FR"/>
        </w:rPr>
        <w:t xml:space="preserve"> pesos</w:t>
      </w:r>
      <w:r w:rsidR="0086185C" w:rsidRPr="000F7862">
        <w:rPr>
          <w:lang w:val="fr-FR"/>
        </w:rPr>
        <w:t>, respective</w:t>
      </w:r>
      <w:r w:rsidR="003D1B4A" w:rsidRPr="000F7862">
        <w:rPr>
          <w:lang w:val="fr-FR"/>
        </w:rPr>
        <w:t>ment, dans l</w:t>
      </w:r>
      <w:r w:rsidR="00120E2E" w:rsidRPr="000F7862">
        <w:rPr>
          <w:lang w:val="fr-FR"/>
        </w:rPr>
        <w:t>’</w:t>
      </w:r>
      <w:r w:rsidR="003D1B4A" w:rsidRPr="000F7862">
        <w:rPr>
          <w:lang w:val="fr-FR"/>
        </w:rPr>
        <w:t>agriculture</w:t>
      </w:r>
      <w:r w:rsidR="0086185C" w:rsidRPr="000F7862">
        <w:rPr>
          <w:lang w:val="fr-FR"/>
        </w:rPr>
        <w:t xml:space="preserve">. </w:t>
      </w:r>
    </w:p>
    <w:p w:rsidR="0086185C" w:rsidRPr="000F7862" w:rsidRDefault="006217D2" w:rsidP="001C088C">
      <w:pPr>
        <w:pStyle w:val="SingleTxtG"/>
        <w:ind w:firstLine="567"/>
        <w:rPr>
          <w:lang w:val="fr-FR"/>
        </w:rPr>
      </w:pPr>
      <w:r w:rsidRPr="000F7862">
        <w:rPr>
          <w:lang w:val="fr-FR"/>
        </w:rPr>
        <w:t>f)</w:t>
      </w:r>
      <w:r w:rsidRPr="000F7862">
        <w:rPr>
          <w:lang w:val="fr-FR"/>
        </w:rPr>
        <w:tab/>
      </w:r>
      <w:r w:rsidR="003D1B4A" w:rsidRPr="000F7862">
        <w:rPr>
          <w:lang w:val="fr-FR"/>
        </w:rPr>
        <w:t>À l</w:t>
      </w:r>
      <w:r w:rsidR="00120E2E" w:rsidRPr="000F7862">
        <w:rPr>
          <w:lang w:val="fr-FR"/>
        </w:rPr>
        <w:t>’</w:t>
      </w:r>
      <w:r w:rsidR="003D1B4A" w:rsidRPr="000F7862">
        <w:rPr>
          <w:lang w:val="fr-FR"/>
        </w:rPr>
        <w:t>occasion de trois</w:t>
      </w:r>
      <w:r w:rsidR="0086185C" w:rsidRPr="000F7862">
        <w:rPr>
          <w:lang w:val="fr-FR"/>
        </w:rPr>
        <w:t xml:space="preserve"> consultations </w:t>
      </w:r>
      <w:r w:rsidR="003D1B4A" w:rsidRPr="000F7862">
        <w:rPr>
          <w:lang w:val="fr-FR"/>
        </w:rPr>
        <w:t xml:space="preserve">régionales menées en août dernier, les conseils se sont engagés à </w:t>
      </w:r>
      <w:r w:rsidR="003553F8" w:rsidRPr="000F7862">
        <w:rPr>
          <w:lang w:val="fr-FR"/>
        </w:rPr>
        <w:t xml:space="preserve">remédier en deux ou trois ans au fait que les taux des salaires minimaux </w:t>
      </w:r>
      <w:r w:rsidR="00A305FC" w:rsidRPr="000F7862">
        <w:rPr>
          <w:lang w:val="fr-FR"/>
        </w:rPr>
        <w:t>é</w:t>
      </w:r>
      <w:r w:rsidR="003553F8" w:rsidRPr="000F7862">
        <w:rPr>
          <w:lang w:val="fr-FR"/>
        </w:rPr>
        <w:t>t</w:t>
      </w:r>
      <w:r w:rsidR="00A305FC" w:rsidRPr="000F7862">
        <w:rPr>
          <w:lang w:val="fr-FR"/>
        </w:rPr>
        <w:t>aient</w:t>
      </w:r>
      <w:r w:rsidR="003553F8" w:rsidRPr="000F7862">
        <w:rPr>
          <w:lang w:val="fr-FR"/>
        </w:rPr>
        <w:t xml:space="preserve"> tombés </w:t>
      </w:r>
      <w:r w:rsidR="00A305FC" w:rsidRPr="000F7862">
        <w:rPr>
          <w:lang w:val="fr-FR"/>
        </w:rPr>
        <w:t>au-</w:t>
      </w:r>
      <w:r w:rsidR="003553F8" w:rsidRPr="000F7862">
        <w:rPr>
          <w:lang w:val="fr-FR"/>
        </w:rPr>
        <w:t>dessous du seuil de pauvreté et à remettre d</w:t>
      </w:r>
      <w:r w:rsidR="007F32F4" w:rsidRPr="000F7862">
        <w:rPr>
          <w:lang w:val="fr-FR"/>
        </w:rPr>
        <w:t>e</w:t>
      </w:r>
      <w:r w:rsidR="003553F8" w:rsidRPr="000F7862">
        <w:rPr>
          <w:lang w:val="fr-FR"/>
        </w:rPr>
        <w:t xml:space="preserve">s avis </w:t>
      </w:r>
      <w:r w:rsidR="007F32F4" w:rsidRPr="000F7862">
        <w:rPr>
          <w:lang w:val="fr-FR"/>
        </w:rPr>
        <w:t>sur le dispositif de rémunération basé sur la productivité</w:t>
      </w:r>
      <w:r w:rsidR="0086185C" w:rsidRPr="000F7862">
        <w:rPr>
          <w:lang w:val="fr-FR"/>
        </w:rPr>
        <w:t xml:space="preserve"> </w:t>
      </w:r>
      <w:r w:rsidR="007F32F4" w:rsidRPr="000F7862">
        <w:rPr>
          <w:lang w:val="fr-FR"/>
        </w:rPr>
        <w:t>à l</w:t>
      </w:r>
      <w:r w:rsidR="00120E2E" w:rsidRPr="000F7862">
        <w:rPr>
          <w:lang w:val="fr-FR"/>
        </w:rPr>
        <w:t>’</w:t>
      </w:r>
      <w:r w:rsidR="007F32F4" w:rsidRPr="000F7862">
        <w:rPr>
          <w:lang w:val="fr-FR"/>
        </w:rPr>
        <w:t>intention des industries de croissance de la région sur la base du Plan de développement des Philippines pour 2011-2016</w:t>
      </w:r>
      <w:r w:rsidR="0086185C" w:rsidRPr="000F7862">
        <w:rPr>
          <w:lang w:val="fr-FR"/>
        </w:rPr>
        <w:t xml:space="preserve">. </w:t>
      </w:r>
    </w:p>
    <w:p w:rsidR="0086185C" w:rsidRPr="000F7862" w:rsidRDefault="00A305FC" w:rsidP="009111E1">
      <w:pPr>
        <w:pStyle w:val="Bullet1G"/>
      </w:pPr>
      <w:r w:rsidRPr="000F7862">
        <w:t xml:space="preserve">En ce qui concerne le premier volet, </w:t>
      </w:r>
      <w:r w:rsidR="0086185C" w:rsidRPr="000F7862">
        <w:t xml:space="preserve">18 </w:t>
      </w:r>
      <w:r w:rsidRPr="000F7862">
        <w:t>taux tombent au-dessous du seuil de pauvreté</w:t>
      </w:r>
      <w:r w:rsidR="0078259E" w:rsidRPr="000F7862">
        <w:t xml:space="preserve">, se situant dans une fourchette allant de </w:t>
      </w:r>
      <w:r w:rsidR="0086185C" w:rsidRPr="000F7862">
        <w:t>3</w:t>
      </w:r>
      <w:r w:rsidR="0078259E" w:rsidRPr="000F7862">
        <w:t xml:space="preserve"> à </w:t>
      </w:r>
      <w:r w:rsidR="0086185C" w:rsidRPr="000F7862">
        <w:t xml:space="preserve">98 </w:t>
      </w:r>
      <w:r w:rsidR="0078259E" w:rsidRPr="000F7862">
        <w:t xml:space="preserve">pesos dans les </w:t>
      </w:r>
      <w:r w:rsidR="0086185C" w:rsidRPr="000F7862">
        <w:t>r</w:t>
      </w:r>
      <w:r w:rsidR="0078259E" w:rsidRPr="000F7862">
        <w:t>é</w:t>
      </w:r>
      <w:r w:rsidR="0086185C" w:rsidRPr="000F7862">
        <w:t>gions</w:t>
      </w:r>
      <w:r w:rsidR="0078259E" w:rsidRPr="000F7862">
        <w:t xml:space="preserve"> suivantes</w:t>
      </w:r>
      <w:r w:rsidR="0005004C" w:rsidRPr="000F7862">
        <w:t>:</w:t>
      </w:r>
      <w:r w:rsidR="0078259E" w:rsidRPr="000F7862">
        <w:t xml:space="preserve"> Région administrative de la Cordillère</w:t>
      </w:r>
      <w:r w:rsidR="0086185C" w:rsidRPr="000F7862">
        <w:t>, r</w:t>
      </w:r>
      <w:r w:rsidR="0078259E" w:rsidRPr="000F7862">
        <w:t>é</w:t>
      </w:r>
      <w:r w:rsidR="0086185C" w:rsidRPr="000F7862">
        <w:t xml:space="preserve">gions I, II, III, IV-A, IV-B, V, VIII, XIII </w:t>
      </w:r>
      <w:r w:rsidR="0078259E" w:rsidRPr="000F7862">
        <w:t>et</w:t>
      </w:r>
      <w:r w:rsidR="0086185C" w:rsidRPr="000F7862">
        <w:t xml:space="preserve"> </w:t>
      </w:r>
      <w:r w:rsidR="0078259E" w:rsidRPr="000F7862">
        <w:t>la Région autonome du Mindanao musulman</w:t>
      </w:r>
      <w:r w:rsidR="0086185C" w:rsidRPr="000F7862">
        <w:t xml:space="preserve"> </w:t>
      </w:r>
      <w:r w:rsidR="0078259E" w:rsidRPr="000F7862">
        <w:t>et pour l</w:t>
      </w:r>
      <w:r w:rsidR="00120E2E" w:rsidRPr="000F7862">
        <w:t>’</w:t>
      </w:r>
      <w:r w:rsidR="0078259E" w:rsidRPr="000F7862">
        <w:t>essentiel dans les établissements de détail et de services</w:t>
      </w:r>
      <w:r w:rsidR="00420EE5" w:rsidRPr="000F7862">
        <w:t>;</w:t>
      </w:r>
    </w:p>
    <w:p w:rsidR="0086185C" w:rsidRPr="000F7862" w:rsidRDefault="0078259E" w:rsidP="009111E1">
      <w:pPr>
        <w:pStyle w:val="Bullet1G"/>
      </w:pPr>
      <w:r w:rsidRPr="000F7862">
        <w:t>En ce qui concerne le deuxième volet</w:t>
      </w:r>
      <w:r w:rsidR="0086185C" w:rsidRPr="000F7862">
        <w:t xml:space="preserve">, </w:t>
      </w:r>
      <w:r w:rsidRPr="000F7862">
        <w:t>les conseils ont défini leurs secteurs de croissance prioritaires au sujet desquels ils remettent des avis</w:t>
      </w:r>
      <w:r w:rsidR="00420EE5" w:rsidRPr="000F7862">
        <w:t>;</w:t>
      </w:r>
    </w:p>
    <w:p w:rsidR="0086185C" w:rsidRPr="000F7862" w:rsidRDefault="0078259E" w:rsidP="009111E1">
      <w:pPr>
        <w:pStyle w:val="Bullet1G"/>
      </w:pPr>
      <w:r w:rsidRPr="000F7862">
        <w:t xml:space="preserve">À ce jour, </w:t>
      </w:r>
      <w:r w:rsidR="005A1B4D" w:rsidRPr="000F7862">
        <w:t xml:space="preserve">la </w:t>
      </w:r>
      <w:r w:rsidRPr="000F7862">
        <w:t>ré</w:t>
      </w:r>
      <w:r w:rsidR="005A1B4D" w:rsidRPr="000F7862">
        <w:t>gion</w:t>
      </w:r>
      <w:r w:rsidR="0086185C" w:rsidRPr="000F7862">
        <w:t xml:space="preserve"> IV-A </w:t>
      </w:r>
      <w:r w:rsidRPr="000F7862">
        <w:t>et la Région administrative de la Cordillère ont remis leurs avis respectifs en matière de salaires</w:t>
      </w:r>
      <w:r w:rsidR="005A1B4D" w:rsidRPr="000F7862">
        <w:t>,</w:t>
      </w:r>
      <w:r w:rsidRPr="000F7862">
        <w:t xml:space="preserve"> tandis que les ré</w:t>
      </w:r>
      <w:r w:rsidR="0086185C" w:rsidRPr="000F7862">
        <w:t xml:space="preserve">gions III, XI </w:t>
      </w:r>
      <w:r w:rsidRPr="000F7862">
        <w:t>et</w:t>
      </w:r>
      <w:r w:rsidR="0086185C" w:rsidRPr="000F7862">
        <w:t xml:space="preserve"> XII </w:t>
      </w:r>
      <w:r w:rsidRPr="000F7862">
        <w:t xml:space="preserve">mettent la dernière main </w:t>
      </w:r>
      <w:r w:rsidR="005A1B4D" w:rsidRPr="000F7862">
        <w:t>aux</w:t>
      </w:r>
      <w:r w:rsidRPr="000F7862">
        <w:t xml:space="preserve"> </w:t>
      </w:r>
      <w:r w:rsidR="000B0137" w:rsidRPr="000F7862">
        <w:t xml:space="preserve">leurs. Les autres conseils mènent des </w:t>
      </w:r>
      <w:r w:rsidR="0086185C" w:rsidRPr="000F7862">
        <w:t xml:space="preserve">consultations </w:t>
      </w:r>
      <w:r w:rsidR="000B0137" w:rsidRPr="000F7862">
        <w:t>auprès des parties prenantes des industries de croissance retenues.</w:t>
      </w:r>
      <w:r w:rsidR="00446EA5" w:rsidRPr="000F7862">
        <w:t xml:space="preserve"> </w:t>
      </w:r>
      <w:r w:rsidR="000B0137" w:rsidRPr="000F7862">
        <w:t xml:space="preserve">Les conseils fourniront une assistance technique </w:t>
      </w:r>
      <w:r w:rsidR="005A1B4D" w:rsidRPr="000F7862">
        <w:t>par le biais de conseils en matière de productivité</w:t>
      </w:r>
      <w:r w:rsidR="0086185C" w:rsidRPr="000F7862">
        <w:t xml:space="preserve"> </w:t>
      </w:r>
      <w:r w:rsidR="005A1B4D" w:rsidRPr="000F7862">
        <w:t>et d</w:t>
      </w:r>
      <w:r w:rsidR="00120E2E" w:rsidRPr="000F7862">
        <w:t>’</w:t>
      </w:r>
      <w:r w:rsidR="005A1B4D" w:rsidRPr="000F7862">
        <w:t xml:space="preserve">un renforcement des capacités aux microentreprises et des petites et moyennes entreprises des </w:t>
      </w:r>
      <w:r w:rsidR="0086185C" w:rsidRPr="000F7862">
        <w:t xml:space="preserve">industries </w:t>
      </w:r>
      <w:r w:rsidR="005A1B4D" w:rsidRPr="000F7862">
        <w:t>de croissance, y compris leur chaîne d</w:t>
      </w:r>
      <w:r w:rsidR="00120E2E" w:rsidRPr="000F7862">
        <w:t>’</w:t>
      </w:r>
      <w:r w:rsidR="005A1B4D" w:rsidRPr="000F7862">
        <w:t>approvisionnement</w:t>
      </w:r>
      <w:r w:rsidR="0086185C" w:rsidRPr="000F7862">
        <w:t xml:space="preserve">. </w:t>
      </w:r>
    </w:p>
    <w:p w:rsidR="0086185C" w:rsidRPr="000F7862" w:rsidRDefault="00434272" w:rsidP="00434272">
      <w:pPr>
        <w:pStyle w:val="H23G"/>
        <w:rPr>
          <w:lang w:val="fr-FR"/>
        </w:rPr>
      </w:pPr>
      <w:r w:rsidRPr="000F7862">
        <w:rPr>
          <w:lang w:val="fr-FR"/>
        </w:rPr>
        <w:tab/>
      </w:r>
      <w:r w:rsidRPr="000F7862">
        <w:rPr>
          <w:lang w:val="fr-FR"/>
        </w:rPr>
        <w:tab/>
      </w:r>
      <w:r w:rsidR="005A1B4D" w:rsidRPr="000F7862">
        <w:rPr>
          <w:lang w:val="fr-FR"/>
        </w:rPr>
        <w:t xml:space="preserve">Salaire minimal des </w:t>
      </w:r>
      <w:r w:rsidR="001B660A" w:rsidRPr="000F7862">
        <w:rPr>
          <w:lang w:val="fr-FR"/>
        </w:rPr>
        <w:t>k</w:t>
      </w:r>
      <w:r w:rsidR="0086185C" w:rsidRPr="000F7862">
        <w:rPr>
          <w:lang w:val="fr-FR"/>
        </w:rPr>
        <w:t>asambahay (</w:t>
      </w:r>
      <w:r w:rsidR="005A1B4D" w:rsidRPr="000F7862">
        <w:rPr>
          <w:lang w:val="fr-FR"/>
        </w:rPr>
        <w:t>travailleurs domestiques</w:t>
      </w:r>
      <w:r w:rsidR="0086185C" w:rsidRPr="000F7862">
        <w:rPr>
          <w:lang w:val="fr-FR"/>
        </w:rPr>
        <w:t>)</w:t>
      </w:r>
    </w:p>
    <w:p w:rsidR="0086185C" w:rsidRPr="000F7862" w:rsidRDefault="003F7F57" w:rsidP="003F7F57">
      <w:pPr>
        <w:pStyle w:val="SingleTxtG"/>
        <w:rPr>
          <w:lang w:val="fr-FR"/>
        </w:rPr>
      </w:pPr>
      <w:r w:rsidRPr="000F7862">
        <w:rPr>
          <w:lang w:val="fr-FR"/>
        </w:rPr>
        <w:t>114.</w:t>
      </w:r>
      <w:r w:rsidRPr="000F7862">
        <w:rPr>
          <w:lang w:val="fr-FR"/>
        </w:rPr>
        <w:tab/>
      </w:r>
      <w:r w:rsidR="005A1B4D" w:rsidRPr="000F7862">
        <w:rPr>
          <w:lang w:val="fr-FR"/>
        </w:rPr>
        <w:t xml:space="preserve">La loi </w:t>
      </w:r>
      <w:r w:rsidR="001B660A" w:rsidRPr="000F7862">
        <w:rPr>
          <w:lang w:val="fr-FR"/>
        </w:rPr>
        <w:t>sur les k</w:t>
      </w:r>
      <w:r w:rsidR="0086185C" w:rsidRPr="000F7862">
        <w:rPr>
          <w:lang w:val="fr-FR"/>
        </w:rPr>
        <w:t xml:space="preserve">asambahay </w:t>
      </w:r>
      <w:r w:rsidR="001B660A" w:rsidRPr="000F7862">
        <w:rPr>
          <w:lang w:val="fr-FR"/>
        </w:rPr>
        <w:t xml:space="preserve">fixe un salaire minimal mensuel pour les travailleurs domestiques, en révisant les anciens salaires minimaux prescrits par le Code du travail de </w:t>
      </w:r>
      <w:r w:rsidR="0086185C" w:rsidRPr="000F7862">
        <w:rPr>
          <w:lang w:val="fr-FR"/>
        </w:rPr>
        <w:t>1974</w:t>
      </w:r>
      <w:r w:rsidR="001B660A" w:rsidRPr="000F7862">
        <w:rPr>
          <w:lang w:val="fr-FR"/>
        </w:rPr>
        <w:t>, qui fixait le salaire minimal mensuel pour ces travailleurs</w:t>
      </w:r>
      <w:r w:rsidR="0086185C" w:rsidRPr="000F7862">
        <w:rPr>
          <w:lang w:val="fr-FR"/>
        </w:rPr>
        <w:t xml:space="preserve"> </w:t>
      </w:r>
      <w:r w:rsidR="001B660A" w:rsidRPr="000F7862">
        <w:rPr>
          <w:lang w:val="fr-FR"/>
        </w:rPr>
        <w:t xml:space="preserve">dans la </w:t>
      </w:r>
      <w:r w:rsidR="00517E33" w:rsidRPr="000F7862">
        <w:rPr>
          <w:lang w:val="fr-FR"/>
        </w:rPr>
        <w:t xml:space="preserve">Région de la capitale nationale à </w:t>
      </w:r>
      <w:r w:rsidR="0086185C" w:rsidRPr="000F7862">
        <w:rPr>
          <w:lang w:val="fr-FR"/>
        </w:rPr>
        <w:t>800</w:t>
      </w:r>
      <w:r w:rsidR="00517E33" w:rsidRPr="000F7862">
        <w:rPr>
          <w:lang w:val="fr-FR"/>
        </w:rPr>
        <w:t xml:space="preserve"> pesos</w:t>
      </w:r>
      <w:r w:rsidR="0086185C" w:rsidRPr="000F7862">
        <w:rPr>
          <w:lang w:val="fr-FR"/>
        </w:rPr>
        <w:t xml:space="preserve">. </w:t>
      </w:r>
      <w:r w:rsidR="002C7DBA" w:rsidRPr="000F7862">
        <w:rPr>
          <w:lang w:val="fr-FR"/>
        </w:rPr>
        <w:t xml:space="preserve">La nouvelle loi fixe à 2 500 </w:t>
      </w:r>
      <w:r w:rsidR="00517E33" w:rsidRPr="000F7862">
        <w:rPr>
          <w:lang w:val="fr-FR"/>
        </w:rPr>
        <w:t>pesos le salaire minimum dans cette région.</w:t>
      </w:r>
      <w:r w:rsidR="0005004C" w:rsidRPr="000F7862">
        <w:rPr>
          <w:lang w:val="fr-FR"/>
        </w:rPr>
        <w:t xml:space="preserve"> </w:t>
      </w:r>
    </w:p>
    <w:p w:rsidR="0086185C" w:rsidRPr="000F7862" w:rsidRDefault="003F7F57" w:rsidP="003F7F57">
      <w:pPr>
        <w:pStyle w:val="SingleTxtG"/>
        <w:rPr>
          <w:lang w:val="fr-FR"/>
        </w:rPr>
      </w:pPr>
      <w:r w:rsidRPr="000F7862">
        <w:rPr>
          <w:lang w:val="fr-FR"/>
        </w:rPr>
        <w:t>115.</w:t>
      </w:r>
      <w:r w:rsidRPr="000F7862">
        <w:rPr>
          <w:lang w:val="fr-FR"/>
        </w:rPr>
        <w:tab/>
      </w:r>
      <w:r w:rsidR="005A1B4D" w:rsidRPr="000F7862">
        <w:rPr>
          <w:lang w:val="fr-FR"/>
        </w:rPr>
        <w:t xml:space="preserve">Le Conseil national des salaires et de la productivité </w:t>
      </w:r>
      <w:r w:rsidR="00307893" w:rsidRPr="000F7862">
        <w:rPr>
          <w:lang w:val="fr-FR"/>
        </w:rPr>
        <w:t xml:space="preserve">a entrepris de formuler les directives nécessaires pour guider les conseils en vue de la révision des salaires minimaux des </w:t>
      </w:r>
      <w:r w:rsidR="002E7607" w:rsidRPr="000F7862">
        <w:rPr>
          <w:lang w:val="fr-FR"/>
        </w:rPr>
        <w:t>«</w:t>
      </w:r>
      <w:r w:rsidR="0086185C" w:rsidRPr="000F7862">
        <w:rPr>
          <w:lang w:val="fr-FR"/>
        </w:rPr>
        <w:t>kasambahay</w:t>
      </w:r>
      <w:r w:rsidR="002E7607" w:rsidRPr="000F7862">
        <w:rPr>
          <w:lang w:val="fr-FR"/>
        </w:rPr>
        <w:t>»</w:t>
      </w:r>
      <w:r w:rsidR="0086185C" w:rsidRPr="000F7862">
        <w:rPr>
          <w:lang w:val="fr-FR"/>
        </w:rPr>
        <w:t xml:space="preserve"> o</w:t>
      </w:r>
      <w:r w:rsidR="00307893" w:rsidRPr="000F7862">
        <w:rPr>
          <w:lang w:val="fr-FR"/>
        </w:rPr>
        <w:t>u travailleurs domestiques</w:t>
      </w:r>
      <w:r w:rsidR="0086185C" w:rsidRPr="000F7862">
        <w:rPr>
          <w:lang w:val="fr-FR"/>
        </w:rPr>
        <w:t>.</w:t>
      </w:r>
      <w:r w:rsidR="00446EA5" w:rsidRPr="000F7862">
        <w:rPr>
          <w:lang w:val="fr-FR"/>
        </w:rPr>
        <w:t xml:space="preserve"> </w:t>
      </w:r>
      <w:r w:rsidR="00812640" w:rsidRPr="000F7862">
        <w:rPr>
          <w:lang w:val="fr-FR"/>
        </w:rPr>
        <w:t xml:space="preserve">En vertu de la loi, les conseils révisent les salaires minimaux de ces travailleurs un an après la date de son entrée en vigueur </w:t>
      </w:r>
      <w:r w:rsidR="0086185C" w:rsidRPr="000F7862">
        <w:rPr>
          <w:lang w:val="fr-FR"/>
        </w:rPr>
        <w:t>(2013).</w:t>
      </w:r>
    </w:p>
    <w:p w:rsidR="0086185C" w:rsidRPr="000F7862" w:rsidRDefault="003F7F57" w:rsidP="003F7F57">
      <w:pPr>
        <w:pStyle w:val="SingleTxtG"/>
        <w:rPr>
          <w:lang w:val="fr-FR"/>
        </w:rPr>
      </w:pPr>
      <w:r w:rsidRPr="000F7862">
        <w:rPr>
          <w:lang w:val="fr-FR"/>
        </w:rPr>
        <w:t>116.</w:t>
      </w:r>
      <w:r w:rsidRPr="000F7862">
        <w:rPr>
          <w:lang w:val="fr-FR"/>
        </w:rPr>
        <w:tab/>
      </w:r>
      <w:r w:rsidR="00812640" w:rsidRPr="000F7862">
        <w:rPr>
          <w:lang w:val="fr-FR"/>
        </w:rPr>
        <w:t>Le Conseil national met actuellement en place le cadre de la fixation des salaires minimaux des travailleurs domestiques</w:t>
      </w:r>
      <w:r w:rsidR="0086185C" w:rsidRPr="000F7862">
        <w:rPr>
          <w:lang w:val="fr-FR"/>
        </w:rPr>
        <w:t>.</w:t>
      </w:r>
      <w:r w:rsidR="00446EA5" w:rsidRPr="000F7862">
        <w:rPr>
          <w:lang w:val="fr-FR"/>
        </w:rPr>
        <w:t xml:space="preserve"> </w:t>
      </w:r>
      <w:r w:rsidR="00812640" w:rsidRPr="000F7862">
        <w:rPr>
          <w:lang w:val="fr-FR"/>
        </w:rPr>
        <w:t>Ce cadre tiendra compte de la Convention de l</w:t>
      </w:r>
      <w:r w:rsidR="00120E2E" w:rsidRPr="000F7862">
        <w:rPr>
          <w:lang w:val="fr-FR"/>
        </w:rPr>
        <w:t>’</w:t>
      </w:r>
      <w:r w:rsidR="00812640" w:rsidRPr="000F7862">
        <w:rPr>
          <w:lang w:val="fr-FR"/>
        </w:rPr>
        <w:t xml:space="preserve">OIT </w:t>
      </w:r>
      <w:r w:rsidR="00730F8F" w:rsidRPr="000F7862">
        <w:rPr>
          <w:lang w:val="fr-FR"/>
        </w:rPr>
        <w:t>n</w:t>
      </w:r>
      <w:r w:rsidR="00730F8F" w:rsidRPr="000F7862">
        <w:rPr>
          <w:vertAlign w:val="superscript"/>
          <w:lang w:val="fr-FR"/>
        </w:rPr>
        <w:t>o</w:t>
      </w:r>
      <w:r w:rsidR="00730F8F" w:rsidRPr="000F7862">
        <w:rPr>
          <w:lang w:val="fr-FR"/>
        </w:rPr>
        <w:t> </w:t>
      </w:r>
      <w:r w:rsidR="0086185C" w:rsidRPr="000F7862">
        <w:rPr>
          <w:lang w:val="fr-FR"/>
        </w:rPr>
        <w:t xml:space="preserve">189, </w:t>
      </w:r>
      <w:r w:rsidR="00812640" w:rsidRPr="000F7862">
        <w:rPr>
          <w:lang w:val="fr-FR"/>
        </w:rPr>
        <w:t>L</w:t>
      </w:r>
      <w:r w:rsidR="0086185C" w:rsidRPr="000F7862">
        <w:rPr>
          <w:lang w:val="fr-FR"/>
        </w:rPr>
        <w:t>R</w:t>
      </w:r>
      <w:r w:rsidR="007960BB" w:rsidRPr="000F7862">
        <w:rPr>
          <w:lang w:val="fr-FR"/>
        </w:rPr>
        <w:t> </w:t>
      </w:r>
      <w:r w:rsidR="0086185C" w:rsidRPr="000F7862">
        <w:rPr>
          <w:lang w:val="fr-FR"/>
        </w:rPr>
        <w:t>6727 (</w:t>
      </w:r>
      <w:r w:rsidR="00812640" w:rsidRPr="000F7862">
        <w:rPr>
          <w:lang w:val="fr-FR"/>
        </w:rPr>
        <w:t>loi sur la r</w:t>
      </w:r>
      <w:r w:rsidR="0086185C" w:rsidRPr="000F7862">
        <w:rPr>
          <w:lang w:val="fr-FR"/>
        </w:rPr>
        <w:t>ationali</w:t>
      </w:r>
      <w:r w:rsidR="00812640" w:rsidRPr="000F7862">
        <w:rPr>
          <w:lang w:val="fr-FR"/>
        </w:rPr>
        <w:t>s</w:t>
      </w:r>
      <w:r w:rsidR="0086185C" w:rsidRPr="000F7862">
        <w:rPr>
          <w:lang w:val="fr-FR"/>
        </w:rPr>
        <w:t xml:space="preserve">ation </w:t>
      </w:r>
      <w:r w:rsidR="00812640" w:rsidRPr="000F7862">
        <w:rPr>
          <w:lang w:val="fr-FR"/>
        </w:rPr>
        <w:t>des salaires</w:t>
      </w:r>
      <w:r w:rsidR="0086185C" w:rsidRPr="000F7862">
        <w:rPr>
          <w:lang w:val="fr-FR"/>
        </w:rPr>
        <w:t xml:space="preserve">) </w:t>
      </w:r>
      <w:r w:rsidR="00812640" w:rsidRPr="000F7862">
        <w:rPr>
          <w:lang w:val="fr-FR"/>
        </w:rPr>
        <w:t>et du système de salaires dualiste</w:t>
      </w:r>
      <w:r w:rsidR="0086185C" w:rsidRPr="000F7862">
        <w:rPr>
          <w:lang w:val="fr-FR"/>
        </w:rPr>
        <w:t xml:space="preserve">, </w:t>
      </w:r>
      <w:r w:rsidR="00812640" w:rsidRPr="000F7862">
        <w:rPr>
          <w:lang w:val="fr-FR"/>
        </w:rPr>
        <w:t>L</w:t>
      </w:r>
      <w:r w:rsidR="0086185C" w:rsidRPr="000F7862">
        <w:rPr>
          <w:lang w:val="fr-FR"/>
        </w:rPr>
        <w:t>R</w:t>
      </w:r>
      <w:r w:rsidR="007960BB" w:rsidRPr="000F7862">
        <w:rPr>
          <w:lang w:val="fr-FR"/>
        </w:rPr>
        <w:t> </w:t>
      </w:r>
      <w:r w:rsidR="0086185C" w:rsidRPr="000F7862">
        <w:rPr>
          <w:lang w:val="fr-FR"/>
        </w:rPr>
        <w:t xml:space="preserve">10361 (Batas Kasambahay) </w:t>
      </w:r>
      <w:r w:rsidR="00812640" w:rsidRPr="000F7862">
        <w:rPr>
          <w:lang w:val="fr-FR"/>
        </w:rPr>
        <w:t>ainsi que de la pratique des autres pays en matière de fixation du salaire minimal des travailleurs domestiques</w:t>
      </w:r>
      <w:r w:rsidR="0086185C" w:rsidRPr="000F7862">
        <w:rPr>
          <w:lang w:val="fr-FR"/>
        </w:rPr>
        <w:t>.</w:t>
      </w:r>
    </w:p>
    <w:p w:rsidR="0086185C" w:rsidRPr="000F7862" w:rsidRDefault="003F7F57" w:rsidP="003F7F57">
      <w:pPr>
        <w:pStyle w:val="SingleTxtG"/>
        <w:rPr>
          <w:lang w:val="fr-FR"/>
        </w:rPr>
      </w:pPr>
      <w:r w:rsidRPr="000F7862">
        <w:rPr>
          <w:lang w:val="fr-FR"/>
        </w:rPr>
        <w:t>117.</w:t>
      </w:r>
      <w:r w:rsidRPr="000F7862">
        <w:rPr>
          <w:lang w:val="fr-FR"/>
        </w:rPr>
        <w:tab/>
      </w:r>
      <w:r w:rsidR="002C7DBA" w:rsidRPr="000F7862">
        <w:rPr>
          <w:lang w:val="fr-FR"/>
        </w:rPr>
        <w:t xml:space="preserve">Le salaire minimal de ces </w:t>
      </w:r>
      <w:r w:rsidR="00812640" w:rsidRPr="000F7862">
        <w:rPr>
          <w:lang w:val="fr-FR"/>
        </w:rPr>
        <w:t>travailleurs doit être basé sur le</w:t>
      </w:r>
      <w:r w:rsidR="002C7DBA" w:rsidRPr="000F7862">
        <w:rPr>
          <w:lang w:val="fr-FR"/>
        </w:rPr>
        <w:t>ur</w:t>
      </w:r>
      <w:r w:rsidR="00812640" w:rsidRPr="000F7862">
        <w:rPr>
          <w:lang w:val="fr-FR"/>
        </w:rPr>
        <w:t xml:space="preserve">s besoins, </w:t>
      </w:r>
      <w:r w:rsidR="001E14E8" w:rsidRPr="000F7862">
        <w:rPr>
          <w:lang w:val="fr-FR"/>
        </w:rPr>
        <w:t>la capacité de paiement de l</w:t>
      </w:r>
      <w:r w:rsidR="00120E2E" w:rsidRPr="000F7862">
        <w:rPr>
          <w:lang w:val="fr-FR"/>
        </w:rPr>
        <w:t>’</w:t>
      </w:r>
      <w:r w:rsidR="001E14E8" w:rsidRPr="000F7862">
        <w:rPr>
          <w:lang w:val="fr-FR"/>
        </w:rPr>
        <w:t>employeur et d</w:t>
      </w:r>
      <w:r w:rsidR="00120E2E" w:rsidRPr="000F7862">
        <w:rPr>
          <w:lang w:val="fr-FR"/>
        </w:rPr>
        <w:t>’</w:t>
      </w:r>
      <w:r w:rsidR="001E14E8" w:rsidRPr="000F7862">
        <w:rPr>
          <w:lang w:val="fr-FR"/>
        </w:rPr>
        <w:t>autres indicateurs pertinents</w:t>
      </w:r>
      <w:r w:rsidR="0086185C" w:rsidRPr="000F7862">
        <w:rPr>
          <w:lang w:val="fr-FR"/>
        </w:rPr>
        <w:t>.</w:t>
      </w:r>
      <w:r w:rsidR="00446EA5" w:rsidRPr="000F7862">
        <w:rPr>
          <w:lang w:val="fr-FR"/>
        </w:rPr>
        <w:t xml:space="preserve"> </w:t>
      </w:r>
      <w:r w:rsidR="0086185C" w:rsidRPr="000F7862">
        <w:rPr>
          <w:lang w:val="fr-FR"/>
        </w:rPr>
        <w:t>Con</w:t>
      </w:r>
      <w:r w:rsidR="001E14E8" w:rsidRPr="000F7862">
        <w:rPr>
          <w:lang w:val="fr-FR"/>
        </w:rPr>
        <w:t>formément à la L</w:t>
      </w:r>
      <w:r w:rsidR="0086185C" w:rsidRPr="000F7862">
        <w:rPr>
          <w:lang w:val="fr-FR"/>
        </w:rPr>
        <w:t xml:space="preserve">R 10361, </w:t>
      </w:r>
      <w:r w:rsidR="00D81001" w:rsidRPr="000F7862">
        <w:rPr>
          <w:lang w:val="fr-FR"/>
        </w:rPr>
        <w:t>les ajustements salariaux basés sur les compétences venant s</w:t>
      </w:r>
      <w:r w:rsidR="00120E2E" w:rsidRPr="000F7862">
        <w:rPr>
          <w:lang w:val="fr-FR"/>
        </w:rPr>
        <w:t>’</w:t>
      </w:r>
      <w:r w:rsidR="00D81001" w:rsidRPr="000F7862">
        <w:rPr>
          <w:lang w:val="fr-FR"/>
        </w:rPr>
        <w:t>ajouter au salaire minimal doivent être inclus dans les directives du Conseil national qui seront appliquées par les conseils</w:t>
      </w:r>
      <w:r w:rsidR="0086185C" w:rsidRPr="000F7862">
        <w:rPr>
          <w:lang w:val="fr-FR"/>
        </w:rPr>
        <w:t xml:space="preserve">. </w:t>
      </w:r>
    </w:p>
    <w:p w:rsidR="0086185C" w:rsidRPr="000F7862" w:rsidRDefault="003F7F57" w:rsidP="00863539">
      <w:pPr>
        <w:pStyle w:val="SingleTxtG"/>
        <w:rPr>
          <w:lang w:val="fr-FR"/>
        </w:rPr>
      </w:pPr>
      <w:r w:rsidRPr="000F7862">
        <w:rPr>
          <w:lang w:val="fr-FR"/>
        </w:rPr>
        <w:t>118.</w:t>
      </w:r>
      <w:r w:rsidRPr="000F7862">
        <w:rPr>
          <w:lang w:val="fr-FR"/>
        </w:rPr>
        <w:tab/>
      </w:r>
      <w:r w:rsidR="002C563C" w:rsidRPr="000F7862">
        <w:rPr>
          <w:lang w:val="fr-FR"/>
        </w:rPr>
        <w:t xml:space="preserve">En ce qui concerne les politiques du travail, la </w:t>
      </w:r>
      <w:r w:rsidR="0086185C" w:rsidRPr="000F7862">
        <w:rPr>
          <w:lang w:val="fr-FR"/>
        </w:rPr>
        <w:t xml:space="preserve">participation </w:t>
      </w:r>
      <w:r w:rsidR="002C563C" w:rsidRPr="000F7862">
        <w:rPr>
          <w:lang w:val="fr-FR"/>
        </w:rPr>
        <w:t>des partenaires sociaux à l</w:t>
      </w:r>
      <w:r w:rsidR="00120E2E" w:rsidRPr="000F7862">
        <w:rPr>
          <w:lang w:val="fr-FR"/>
        </w:rPr>
        <w:t>’</w:t>
      </w:r>
      <w:r w:rsidR="002C563C" w:rsidRPr="000F7862">
        <w:rPr>
          <w:lang w:val="fr-FR"/>
        </w:rPr>
        <w:t>élaboration des politiques et à la prise des décisions est sans précédent</w:t>
      </w:r>
      <w:r w:rsidR="0086185C" w:rsidRPr="000F7862">
        <w:rPr>
          <w:lang w:val="fr-FR"/>
        </w:rPr>
        <w:t xml:space="preserve">, </w:t>
      </w:r>
      <w:r w:rsidR="002C563C" w:rsidRPr="000F7862">
        <w:rPr>
          <w:lang w:val="fr-FR"/>
        </w:rPr>
        <w:t>stimulée qu</w:t>
      </w:r>
      <w:r w:rsidR="00120E2E" w:rsidRPr="000F7862">
        <w:rPr>
          <w:lang w:val="fr-FR"/>
        </w:rPr>
        <w:t>’</w:t>
      </w:r>
      <w:r w:rsidR="002C563C" w:rsidRPr="000F7862">
        <w:rPr>
          <w:lang w:val="fr-FR"/>
        </w:rPr>
        <w:t xml:space="preserve">elle a été par la loi de la </w:t>
      </w:r>
      <w:r w:rsidR="0086185C" w:rsidRPr="000F7862">
        <w:rPr>
          <w:lang w:val="fr-FR"/>
        </w:rPr>
        <w:t>R</w:t>
      </w:r>
      <w:r w:rsidR="002C563C" w:rsidRPr="000F7862">
        <w:rPr>
          <w:lang w:val="fr-FR"/>
        </w:rPr>
        <w:t>é</w:t>
      </w:r>
      <w:r w:rsidR="0086185C" w:rsidRPr="000F7862">
        <w:rPr>
          <w:lang w:val="fr-FR"/>
        </w:rPr>
        <w:t>publi</w:t>
      </w:r>
      <w:r w:rsidR="002C563C" w:rsidRPr="000F7862">
        <w:rPr>
          <w:lang w:val="fr-FR"/>
        </w:rPr>
        <w:t>que</w:t>
      </w:r>
      <w:r w:rsidR="0086185C" w:rsidRPr="000F7862">
        <w:rPr>
          <w:lang w:val="fr-FR"/>
        </w:rPr>
        <w:t xml:space="preserve"> </w:t>
      </w:r>
      <w:r w:rsidR="0092702A" w:rsidRPr="000F7862">
        <w:rPr>
          <w:lang w:val="fr-FR"/>
        </w:rPr>
        <w:t>n</w:t>
      </w:r>
      <w:r w:rsidR="0092702A" w:rsidRPr="000F7862">
        <w:rPr>
          <w:vertAlign w:val="superscript"/>
          <w:lang w:val="fr-FR"/>
        </w:rPr>
        <w:t>o</w:t>
      </w:r>
      <w:r w:rsidR="0092702A" w:rsidRPr="000F7862">
        <w:rPr>
          <w:lang w:val="fr-FR"/>
        </w:rPr>
        <w:t> </w:t>
      </w:r>
      <w:r w:rsidR="0086185C" w:rsidRPr="000F7862">
        <w:rPr>
          <w:lang w:val="fr-FR"/>
        </w:rPr>
        <w:t>10395 (</w:t>
      </w:r>
      <w:r w:rsidR="002C563C" w:rsidRPr="000F7862">
        <w:rPr>
          <w:lang w:val="fr-FR"/>
        </w:rPr>
        <w:t>Renforcement du t</w:t>
      </w:r>
      <w:r w:rsidR="0086185C" w:rsidRPr="000F7862">
        <w:rPr>
          <w:lang w:val="fr-FR"/>
        </w:rPr>
        <w:t>ripartism</w:t>
      </w:r>
      <w:r w:rsidR="002C563C" w:rsidRPr="000F7862">
        <w:rPr>
          <w:lang w:val="fr-FR"/>
        </w:rPr>
        <w:t>e</w:t>
      </w:r>
      <w:r w:rsidR="0086185C" w:rsidRPr="000F7862">
        <w:rPr>
          <w:lang w:val="fr-FR"/>
        </w:rPr>
        <w:t xml:space="preserve"> </w:t>
      </w:r>
      <w:r w:rsidR="002C563C" w:rsidRPr="000F7862">
        <w:rPr>
          <w:lang w:val="fr-FR"/>
        </w:rPr>
        <w:t>et du d</w:t>
      </w:r>
      <w:r w:rsidR="0086185C" w:rsidRPr="000F7862">
        <w:rPr>
          <w:lang w:val="fr-FR"/>
        </w:rPr>
        <w:t>ialogue</w:t>
      </w:r>
      <w:r w:rsidR="002C563C" w:rsidRPr="000F7862">
        <w:rPr>
          <w:lang w:val="fr-FR"/>
        </w:rPr>
        <w:t xml:space="preserve"> social</w:t>
      </w:r>
      <w:r w:rsidR="0086185C" w:rsidRPr="000F7862">
        <w:rPr>
          <w:lang w:val="fr-FR"/>
        </w:rPr>
        <w:t xml:space="preserve">), </w:t>
      </w:r>
      <w:r w:rsidR="002C563C" w:rsidRPr="000F7862">
        <w:rPr>
          <w:lang w:val="fr-FR"/>
        </w:rPr>
        <w:t xml:space="preserve">promulguée le </w:t>
      </w:r>
      <w:r w:rsidR="0086185C" w:rsidRPr="000F7862">
        <w:rPr>
          <w:lang w:val="fr-FR"/>
        </w:rPr>
        <w:t xml:space="preserve">14 </w:t>
      </w:r>
      <w:r w:rsidR="002C563C" w:rsidRPr="000F7862">
        <w:rPr>
          <w:lang w:val="fr-FR"/>
        </w:rPr>
        <w:t xml:space="preserve">mars </w:t>
      </w:r>
      <w:r w:rsidR="0086185C" w:rsidRPr="000F7862">
        <w:rPr>
          <w:lang w:val="fr-FR"/>
        </w:rPr>
        <w:t>2013.</w:t>
      </w:r>
      <w:r w:rsidR="00446EA5" w:rsidRPr="000F7862">
        <w:rPr>
          <w:lang w:val="fr-FR"/>
        </w:rPr>
        <w:t xml:space="preserve"> </w:t>
      </w:r>
      <w:r w:rsidR="00B103EE" w:rsidRPr="000F7862">
        <w:rPr>
          <w:lang w:val="fr-FR"/>
        </w:rPr>
        <w:t>L</w:t>
      </w:r>
      <w:r w:rsidR="00120E2E" w:rsidRPr="000F7862">
        <w:rPr>
          <w:lang w:val="fr-FR"/>
        </w:rPr>
        <w:t>’</w:t>
      </w:r>
      <w:r w:rsidR="001179D2" w:rsidRPr="000F7862">
        <w:rPr>
          <w:color w:val="000000"/>
          <w:lang w:val="fr-FR"/>
        </w:rPr>
        <w:t>approche reposant sur un point d</w:t>
      </w:r>
      <w:r w:rsidR="00120E2E" w:rsidRPr="000F7862">
        <w:rPr>
          <w:color w:val="000000"/>
          <w:lang w:val="fr-FR"/>
        </w:rPr>
        <w:t>’</w:t>
      </w:r>
      <w:r w:rsidR="001179D2" w:rsidRPr="000F7862">
        <w:rPr>
          <w:color w:val="000000"/>
          <w:lang w:val="fr-FR"/>
        </w:rPr>
        <w:t>entrée unique</w:t>
      </w:r>
      <w:r w:rsidR="001179D2" w:rsidRPr="000F7862">
        <w:rPr>
          <w:lang w:val="fr-FR"/>
        </w:rPr>
        <w:t xml:space="preserve"> </w:t>
      </w:r>
      <w:r w:rsidR="00B103EE" w:rsidRPr="000F7862">
        <w:rPr>
          <w:lang w:val="fr-FR"/>
        </w:rPr>
        <w:t>aux fins d</w:t>
      </w:r>
      <w:r w:rsidR="00120E2E" w:rsidRPr="000F7862">
        <w:rPr>
          <w:lang w:val="fr-FR"/>
        </w:rPr>
        <w:t>’</w:t>
      </w:r>
      <w:r w:rsidR="00B103EE" w:rsidRPr="000F7862">
        <w:rPr>
          <w:lang w:val="fr-FR"/>
        </w:rPr>
        <w:t xml:space="preserve">une justice du travail équitable, rapide et peu onéreuse a été </w:t>
      </w:r>
      <w:r w:rsidR="0086185C" w:rsidRPr="000F7862">
        <w:rPr>
          <w:lang w:val="fr-FR"/>
        </w:rPr>
        <w:t>institution</w:t>
      </w:r>
      <w:r w:rsidR="00B103EE" w:rsidRPr="000F7862">
        <w:rPr>
          <w:lang w:val="fr-FR"/>
        </w:rPr>
        <w:t>nalisée par l</w:t>
      </w:r>
      <w:r w:rsidR="00120E2E" w:rsidRPr="000F7862">
        <w:rPr>
          <w:lang w:val="fr-FR"/>
        </w:rPr>
        <w:t>’</w:t>
      </w:r>
      <w:r w:rsidR="00B103EE" w:rsidRPr="000F7862">
        <w:rPr>
          <w:lang w:val="fr-FR"/>
        </w:rPr>
        <w:t xml:space="preserve">adoption de la loi de la </w:t>
      </w:r>
      <w:r w:rsidR="0086185C" w:rsidRPr="000F7862">
        <w:rPr>
          <w:lang w:val="fr-FR"/>
        </w:rPr>
        <w:t>R</w:t>
      </w:r>
      <w:r w:rsidR="00B103EE" w:rsidRPr="000F7862">
        <w:rPr>
          <w:lang w:val="fr-FR"/>
        </w:rPr>
        <w:t>é</w:t>
      </w:r>
      <w:r w:rsidR="0086185C" w:rsidRPr="000F7862">
        <w:rPr>
          <w:lang w:val="fr-FR"/>
        </w:rPr>
        <w:t>publi</w:t>
      </w:r>
      <w:r w:rsidR="00B103EE" w:rsidRPr="000F7862">
        <w:rPr>
          <w:lang w:val="fr-FR"/>
        </w:rPr>
        <w:t xml:space="preserve">que </w:t>
      </w:r>
      <w:r w:rsidR="00CC5D4F" w:rsidRPr="000F7862">
        <w:rPr>
          <w:lang w:val="fr-FR"/>
        </w:rPr>
        <w:t>n</w:t>
      </w:r>
      <w:r w:rsidR="00CC5D4F" w:rsidRPr="000F7862">
        <w:rPr>
          <w:vertAlign w:val="superscript"/>
          <w:lang w:val="fr-FR"/>
        </w:rPr>
        <w:t>o</w:t>
      </w:r>
      <w:r w:rsidR="00CC5D4F" w:rsidRPr="000F7862">
        <w:rPr>
          <w:lang w:val="fr-FR"/>
        </w:rPr>
        <w:t> </w:t>
      </w:r>
      <w:r w:rsidR="0086185C" w:rsidRPr="000F7862">
        <w:rPr>
          <w:lang w:val="fr-FR"/>
        </w:rPr>
        <w:t>10396 (</w:t>
      </w:r>
      <w:r w:rsidR="00B103EE" w:rsidRPr="000F7862">
        <w:rPr>
          <w:lang w:val="fr-FR"/>
        </w:rPr>
        <w:t>Renforcement de la c</w:t>
      </w:r>
      <w:r w:rsidR="0086185C" w:rsidRPr="000F7862">
        <w:rPr>
          <w:lang w:val="fr-FR"/>
        </w:rPr>
        <w:t xml:space="preserve">onciliation </w:t>
      </w:r>
      <w:r w:rsidR="00B103EE" w:rsidRPr="000F7862">
        <w:rPr>
          <w:lang w:val="fr-FR"/>
        </w:rPr>
        <w:t>et de la mé</w:t>
      </w:r>
      <w:r w:rsidR="0086185C" w:rsidRPr="000F7862">
        <w:rPr>
          <w:lang w:val="fr-FR"/>
        </w:rPr>
        <w:t xml:space="preserve">diation </w:t>
      </w:r>
      <w:r w:rsidR="00B103EE" w:rsidRPr="000F7862">
        <w:rPr>
          <w:lang w:val="fr-FR"/>
        </w:rPr>
        <w:t>en tant que mode volontaire de règlement des conflits du travail</w:t>
      </w:r>
      <w:r w:rsidR="0086185C" w:rsidRPr="000F7862">
        <w:rPr>
          <w:lang w:val="fr-FR"/>
        </w:rPr>
        <w:t>)</w:t>
      </w:r>
      <w:r w:rsidR="00B103EE" w:rsidRPr="000F7862">
        <w:rPr>
          <w:lang w:val="fr-FR"/>
        </w:rPr>
        <w:t>, qui prescrit une procédure de conciliation d</w:t>
      </w:r>
      <w:r w:rsidR="00120E2E" w:rsidRPr="000F7862">
        <w:rPr>
          <w:lang w:val="fr-FR"/>
        </w:rPr>
        <w:t>’</w:t>
      </w:r>
      <w:r w:rsidR="00B103EE" w:rsidRPr="000F7862">
        <w:rPr>
          <w:lang w:val="fr-FR"/>
        </w:rPr>
        <w:t xml:space="preserve">une durée de </w:t>
      </w:r>
      <w:r w:rsidR="00863539" w:rsidRPr="000F7862">
        <w:rPr>
          <w:lang w:val="fr-FR"/>
        </w:rPr>
        <w:t>trente</w:t>
      </w:r>
      <w:r w:rsidR="00B103EE" w:rsidRPr="000F7862">
        <w:rPr>
          <w:lang w:val="fr-FR"/>
        </w:rPr>
        <w:t xml:space="preserve"> jours et fait de l</w:t>
      </w:r>
      <w:r w:rsidR="00120E2E" w:rsidRPr="000F7862">
        <w:rPr>
          <w:lang w:val="fr-FR"/>
        </w:rPr>
        <w:t>’</w:t>
      </w:r>
      <w:r w:rsidR="00B103EE" w:rsidRPr="000F7862">
        <w:rPr>
          <w:lang w:val="fr-FR"/>
        </w:rPr>
        <w:t>arbitrage une solution de dernier recours</w:t>
      </w:r>
      <w:r w:rsidR="0086185C" w:rsidRPr="000F7862">
        <w:rPr>
          <w:lang w:val="fr-FR"/>
        </w:rPr>
        <w:t>.</w:t>
      </w:r>
      <w:r w:rsidR="00446EA5" w:rsidRPr="000F7862">
        <w:rPr>
          <w:lang w:val="fr-FR"/>
        </w:rPr>
        <w:t xml:space="preserve"> </w:t>
      </w:r>
    </w:p>
    <w:p w:rsidR="0086185C" w:rsidRPr="000F7862" w:rsidRDefault="003F7F57" w:rsidP="003F7F57">
      <w:pPr>
        <w:pStyle w:val="SingleTxtG"/>
        <w:rPr>
          <w:lang w:val="fr-FR"/>
        </w:rPr>
      </w:pPr>
      <w:r w:rsidRPr="000F7862">
        <w:rPr>
          <w:lang w:val="fr-FR"/>
        </w:rPr>
        <w:t>119.</w:t>
      </w:r>
      <w:r w:rsidRPr="000F7862">
        <w:rPr>
          <w:lang w:val="fr-FR"/>
        </w:rPr>
        <w:tab/>
      </w:r>
      <w:r w:rsidR="00036845" w:rsidRPr="000F7862">
        <w:rPr>
          <w:lang w:val="fr-FR"/>
        </w:rPr>
        <w:t xml:space="preserve">Pour protéger les salaires et avantages des travailleurs, </w:t>
      </w:r>
      <w:r w:rsidR="0086185C" w:rsidRPr="000F7862">
        <w:rPr>
          <w:lang w:val="fr-FR"/>
        </w:rPr>
        <w:t xml:space="preserve">600 </w:t>
      </w:r>
      <w:r w:rsidR="00036845" w:rsidRPr="000F7862">
        <w:rPr>
          <w:lang w:val="fr-FR"/>
        </w:rPr>
        <w:t xml:space="preserve">fonctionnaires et inspecteurs chargés de faire respecter la législation du travail mettront en œuvre </w:t>
      </w:r>
      <w:r w:rsidR="00222DA5" w:rsidRPr="000F7862">
        <w:rPr>
          <w:lang w:val="fr-FR"/>
        </w:rPr>
        <w:t>d</w:t>
      </w:r>
      <w:r w:rsidR="00120E2E" w:rsidRPr="000F7862">
        <w:rPr>
          <w:lang w:val="fr-FR"/>
        </w:rPr>
        <w:t>’</w:t>
      </w:r>
      <w:r w:rsidR="00222DA5" w:rsidRPr="000F7862">
        <w:rPr>
          <w:lang w:val="fr-FR"/>
        </w:rPr>
        <w:t xml:space="preserve">ici au troisième trimestre de 2013 </w:t>
      </w:r>
      <w:r w:rsidR="00036845" w:rsidRPr="000F7862">
        <w:rPr>
          <w:lang w:val="fr-FR"/>
        </w:rPr>
        <w:t>le nouveau système de contrôle du respect des dispositions légales</w:t>
      </w:r>
      <w:r w:rsidR="00222DA5" w:rsidRPr="000F7862">
        <w:rPr>
          <w:lang w:val="fr-FR"/>
        </w:rPr>
        <w:t>, qui améliorer</w:t>
      </w:r>
      <w:r w:rsidR="00D04782" w:rsidRPr="000F7862">
        <w:rPr>
          <w:lang w:val="fr-FR"/>
        </w:rPr>
        <w:t>a</w:t>
      </w:r>
      <w:r w:rsidR="00222DA5" w:rsidRPr="000F7862">
        <w:rPr>
          <w:lang w:val="fr-FR"/>
        </w:rPr>
        <w:t xml:space="preserve"> le </w:t>
      </w:r>
      <w:r w:rsidR="0086185C" w:rsidRPr="000F7862">
        <w:rPr>
          <w:lang w:val="fr-FR"/>
        </w:rPr>
        <w:t xml:space="preserve">ratio </w:t>
      </w:r>
      <w:r w:rsidR="00222DA5" w:rsidRPr="000F7862">
        <w:rPr>
          <w:lang w:val="fr-FR"/>
        </w:rPr>
        <w:t xml:space="preserve">inspecteurs du travail/établissements à inspecter en le ramenant de 1:304 (ratio de 2012) à 1:127. Le </w:t>
      </w:r>
      <w:r w:rsidR="0086185C" w:rsidRPr="000F7862">
        <w:rPr>
          <w:lang w:val="fr-FR"/>
        </w:rPr>
        <w:t>syst</w:t>
      </w:r>
      <w:r w:rsidR="00222DA5" w:rsidRPr="000F7862">
        <w:rPr>
          <w:lang w:val="fr-FR"/>
        </w:rPr>
        <w:t xml:space="preserve">ème panache les méthodes </w:t>
      </w:r>
      <w:r w:rsidR="0086185C" w:rsidRPr="000F7862">
        <w:rPr>
          <w:lang w:val="fr-FR"/>
        </w:rPr>
        <w:t>d</w:t>
      </w:r>
      <w:r w:rsidR="00222DA5" w:rsidRPr="000F7862">
        <w:rPr>
          <w:lang w:val="fr-FR"/>
        </w:rPr>
        <w:t>é</w:t>
      </w:r>
      <w:r w:rsidR="0086185C" w:rsidRPr="000F7862">
        <w:rPr>
          <w:lang w:val="fr-FR"/>
        </w:rPr>
        <w:t>velop</w:t>
      </w:r>
      <w:r w:rsidR="00222DA5" w:rsidRPr="000F7862">
        <w:rPr>
          <w:lang w:val="fr-FR"/>
        </w:rPr>
        <w:t>pe</w:t>
      </w:r>
      <w:r w:rsidR="0086185C" w:rsidRPr="000F7862">
        <w:rPr>
          <w:lang w:val="fr-FR"/>
        </w:rPr>
        <w:t>mental</w:t>
      </w:r>
      <w:r w:rsidR="00222DA5" w:rsidRPr="000F7862">
        <w:rPr>
          <w:lang w:val="fr-FR"/>
        </w:rPr>
        <w:t>es</w:t>
      </w:r>
      <w:r w:rsidR="0086185C" w:rsidRPr="000F7862">
        <w:rPr>
          <w:lang w:val="fr-FR"/>
        </w:rPr>
        <w:t xml:space="preserve"> </w:t>
      </w:r>
      <w:r w:rsidR="00222DA5" w:rsidRPr="000F7862">
        <w:rPr>
          <w:lang w:val="fr-FR"/>
        </w:rPr>
        <w:t>et réglementaires au bénéfice des microentreprises et des petites et moyennes entreprises</w:t>
      </w:r>
      <w:r w:rsidR="0086185C" w:rsidRPr="000F7862">
        <w:rPr>
          <w:lang w:val="fr-FR"/>
        </w:rPr>
        <w:t xml:space="preserve">. </w:t>
      </w:r>
      <w:r w:rsidR="009125A4" w:rsidRPr="000F7862">
        <w:rPr>
          <w:lang w:val="fr-FR"/>
        </w:rPr>
        <w:t>La liste des établissements à inspecter à l</w:t>
      </w:r>
      <w:r w:rsidR="00120E2E" w:rsidRPr="000F7862">
        <w:rPr>
          <w:lang w:val="fr-FR"/>
        </w:rPr>
        <w:t>’</w:t>
      </w:r>
      <w:r w:rsidR="009125A4" w:rsidRPr="000F7862">
        <w:rPr>
          <w:lang w:val="fr-FR"/>
        </w:rPr>
        <w:t>échelon national a été dressée.</w:t>
      </w:r>
      <w:r w:rsidR="0086185C" w:rsidRPr="000F7862">
        <w:rPr>
          <w:lang w:val="fr-FR"/>
        </w:rPr>
        <w:t xml:space="preserve"> </w:t>
      </w:r>
      <w:r w:rsidR="009125A4" w:rsidRPr="000F7862">
        <w:rPr>
          <w:lang w:val="fr-FR"/>
        </w:rPr>
        <w:t>Avec l</w:t>
      </w:r>
      <w:r w:rsidR="00120E2E" w:rsidRPr="000F7862">
        <w:rPr>
          <w:lang w:val="fr-FR"/>
        </w:rPr>
        <w:t>’</w:t>
      </w:r>
      <w:r w:rsidR="0086185C" w:rsidRPr="000F7862">
        <w:rPr>
          <w:lang w:val="fr-FR"/>
        </w:rPr>
        <w:t xml:space="preserve">assistance </w:t>
      </w:r>
      <w:r w:rsidR="009125A4" w:rsidRPr="000F7862">
        <w:rPr>
          <w:lang w:val="fr-FR"/>
        </w:rPr>
        <w:t xml:space="preserve">technique et </w:t>
      </w:r>
      <w:r w:rsidR="009B7D96" w:rsidRPr="000F7862">
        <w:rPr>
          <w:lang w:val="fr-FR"/>
        </w:rPr>
        <w:t>une contribution financière supplémentaire de l</w:t>
      </w:r>
      <w:r w:rsidR="00120E2E" w:rsidRPr="000F7862">
        <w:rPr>
          <w:lang w:val="fr-FR"/>
        </w:rPr>
        <w:t>’</w:t>
      </w:r>
      <w:r w:rsidR="009B7D96" w:rsidRPr="000F7862">
        <w:rPr>
          <w:lang w:val="fr-FR"/>
        </w:rPr>
        <w:t xml:space="preserve">État, le </w:t>
      </w:r>
      <w:r w:rsidR="0086185C" w:rsidRPr="000F7862">
        <w:rPr>
          <w:lang w:val="fr-FR"/>
        </w:rPr>
        <w:t>syst</w:t>
      </w:r>
      <w:r w:rsidR="009B7D96" w:rsidRPr="000F7862">
        <w:rPr>
          <w:lang w:val="fr-FR"/>
        </w:rPr>
        <w:t>ème permet de saisir et de transmettre en temps réel les données de terrain au moyen de listes de contrôle électroniques stockées dans d</w:t>
      </w:r>
      <w:r w:rsidR="00D04782" w:rsidRPr="000F7862">
        <w:rPr>
          <w:lang w:val="fr-FR"/>
        </w:rPr>
        <w:t>ivers types de</w:t>
      </w:r>
      <w:r w:rsidR="009B7D96" w:rsidRPr="000F7862">
        <w:rPr>
          <w:lang w:val="fr-FR"/>
        </w:rPr>
        <w:t xml:space="preserve"> terminaux mobiles</w:t>
      </w:r>
      <w:r w:rsidR="0086185C" w:rsidRPr="000F7862">
        <w:rPr>
          <w:lang w:val="fr-FR"/>
        </w:rPr>
        <w:t xml:space="preserve">. </w:t>
      </w:r>
    </w:p>
    <w:p w:rsidR="0086185C" w:rsidRPr="000F7862" w:rsidRDefault="003F7F57" w:rsidP="003F7F57">
      <w:pPr>
        <w:pStyle w:val="SingleTxtG"/>
        <w:rPr>
          <w:lang w:val="fr-FR"/>
        </w:rPr>
      </w:pPr>
      <w:r w:rsidRPr="000F7862">
        <w:rPr>
          <w:lang w:val="fr-FR"/>
        </w:rPr>
        <w:t>120.</w:t>
      </w:r>
      <w:r w:rsidRPr="000F7862">
        <w:rPr>
          <w:lang w:val="fr-FR"/>
        </w:rPr>
        <w:tab/>
      </w:r>
      <w:r w:rsidR="00D04782" w:rsidRPr="000F7862">
        <w:rPr>
          <w:lang w:val="fr-FR"/>
        </w:rPr>
        <w:t>Bénéficiant d</w:t>
      </w:r>
      <w:r w:rsidR="00120E2E" w:rsidRPr="000F7862">
        <w:rPr>
          <w:lang w:val="fr-FR"/>
        </w:rPr>
        <w:t>’</w:t>
      </w:r>
      <w:r w:rsidR="00D04782" w:rsidRPr="000F7862">
        <w:rPr>
          <w:lang w:val="fr-FR"/>
        </w:rPr>
        <w:t xml:space="preserve">un budget supplémentaire de </w:t>
      </w:r>
      <w:r w:rsidR="0086185C" w:rsidRPr="000F7862">
        <w:rPr>
          <w:lang w:val="fr-FR"/>
        </w:rPr>
        <w:t>286</w:t>
      </w:r>
      <w:r w:rsidR="00796D18" w:rsidRPr="000F7862">
        <w:rPr>
          <w:lang w:val="fr-FR"/>
        </w:rPr>
        <w:t> million</w:t>
      </w:r>
      <w:r w:rsidR="00D04782" w:rsidRPr="000F7862">
        <w:rPr>
          <w:lang w:val="fr-FR"/>
        </w:rPr>
        <w:t>s de pesos</w:t>
      </w:r>
      <w:r w:rsidR="0086185C" w:rsidRPr="000F7862">
        <w:rPr>
          <w:lang w:val="fr-FR"/>
        </w:rPr>
        <w:t xml:space="preserve">, </w:t>
      </w:r>
      <w:r w:rsidR="00D04782" w:rsidRPr="000F7862">
        <w:rPr>
          <w:lang w:val="fr-FR"/>
        </w:rPr>
        <w:t>le nouveau système permet d</w:t>
      </w:r>
      <w:r w:rsidR="00120E2E" w:rsidRPr="000F7862">
        <w:rPr>
          <w:lang w:val="fr-FR"/>
        </w:rPr>
        <w:t>’</w:t>
      </w:r>
      <w:r w:rsidR="00D04782" w:rsidRPr="000F7862">
        <w:rPr>
          <w:lang w:val="fr-FR"/>
        </w:rPr>
        <w:t>évaluer conjointement le respect des normes en matière de travail et de sécurité et d</w:t>
      </w:r>
      <w:r w:rsidR="00120E2E" w:rsidRPr="000F7862">
        <w:rPr>
          <w:lang w:val="fr-FR"/>
        </w:rPr>
        <w:t>’</w:t>
      </w:r>
      <w:r w:rsidR="00D04782" w:rsidRPr="000F7862">
        <w:rPr>
          <w:lang w:val="fr-FR"/>
        </w:rPr>
        <w:t>hygiène du travail, ainsi que le travail des enfants, la liberté d</w:t>
      </w:r>
      <w:r w:rsidR="00120E2E" w:rsidRPr="000F7862">
        <w:rPr>
          <w:lang w:val="fr-FR"/>
        </w:rPr>
        <w:t>’</w:t>
      </w:r>
      <w:r w:rsidR="0086185C" w:rsidRPr="000F7862">
        <w:rPr>
          <w:lang w:val="fr-FR"/>
        </w:rPr>
        <w:t xml:space="preserve">association, </w:t>
      </w:r>
      <w:r w:rsidR="00D04782" w:rsidRPr="000F7862">
        <w:rPr>
          <w:lang w:val="fr-FR"/>
        </w:rPr>
        <w:t xml:space="preserve">la négociation </w:t>
      </w:r>
      <w:r w:rsidR="0086185C" w:rsidRPr="000F7862">
        <w:rPr>
          <w:lang w:val="fr-FR"/>
        </w:rPr>
        <w:t>collective</w:t>
      </w:r>
      <w:r w:rsidR="00D04782" w:rsidRPr="000F7862">
        <w:rPr>
          <w:lang w:val="fr-FR"/>
        </w:rPr>
        <w:t xml:space="preserve"> et la réglementation applicable </w:t>
      </w:r>
      <w:r w:rsidR="00EB063B" w:rsidRPr="000F7862">
        <w:rPr>
          <w:lang w:val="fr-FR"/>
        </w:rPr>
        <w:t xml:space="preserve">au travail </w:t>
      </w:r>
      <w:r w:rsidR="0086185C" w:rsidRPr="000F7862">
        <w:rPr>
          <w:lang w:val="fr-FR"/>
        </w:rPr>
        <w:t xml:space="preserve">maritime. </w:t>
      </w:r>
    </w:p>
    <w:p w:rsidR="0086185C" w:rsidRPr="000F7862" w:rsidRDefault="003F7F57" w:rsidP="003F7F57">
      <w:pPr>
        <w:pStyle w:val="SingleTxtG"/>
        <w:rPr>
          <w:lang w:val="fr-FR"/>
        </w:rPr>
      </w:pPr>
      <w:r w:rsidRPr="000F7862">
        <w:rPr>
          <w:lang w:val="fr-FR"/>
        </w:rPr>
        <w:t>121.</w:t>
      </w:r>
      <w:r w:rsidRPr="000F7862">
        <w:rPr>
          <w:lang w:val="fr-FR"/>
        </w:rPr>
        <w:tab/>
      </w:r>
      <w:r w:rsidR="003253CD" w:rsidRPr="000F7862">
        <w:rPr>
          <w:lang w:val="fr-FR"/>
        </w:rPr>
        <w:t>Conformément au nouveau Cadre d</w:t>
      </w:r>
      <w:r w:rsidR="00120E2E" w:rsidRPr="000F7862">
        <w:rPr>
          <w:lang w:val="fr-FR"/>
        </w:rPr>
        <w:t>’</w:t>
      </w:r>
      <w:r w:rsidR="003253CD" w:rsidRPr="000F7862">
        <w:rPr>
          <w:lang w:val="fr-FR"/>
        </w:rPr>
        <w:t>application des normes en matière de travail</w:t>
      </w:r>
      <w:r w:rsidR="0086185C" w:rsidRPr="000F7862">
        <w:rPr>
          <w:lang w:val="fr-FR"/>
        </w:rPr>
        <w:t xml:space="preserve">, </w:t>
      </w:r>
      <w:r w:rsidR="003253CD" w:rsidRPr="000F7862">
        <w:rPr>
          <w:lang w:val="fr-FR"/>
        </w:rPr>
        <w:t xml:space="preserve">une </w:t>
      </w:r>
      <w:r w:rsidR="0086185C" w:rsidRPr="000F7862">
        <w:rPr>
          <w:lang w:val="fr-FR"/>
        </w:rPr>
        <w:t xml:space="preserve">culture </w:t>
      </w:r>
      <w:r w:rsidR="00F55C79" w:rsidRPr="000F7862">
        <w:rPr>
          <w:lang w:val="fr-FR"/>
        </w:rPr>
        <w:t xml:space="preserve">du respect des dispositions fondée non pas sur la contrainte, mais sur le volontariat </w:t>
      </w:r>
      <w:r w:rsidR="004C1ADF" w:rsidRPr="000F7862">
        <w:rPr>
          <w:lang w:val="fr-FR"/>
        </w:rPr>
        <w:t>rep</w:t>
      </w:r>
      <w:r w:rsidR="00F55C79" w:rsidRPr="000F7862">
        <w:rPr>
          <w:lang w:val="fr-FR"/>
        </w:rPr>
        <w:t>o</w:t>
      </w:r>
      <w:r w:rsidR="004C1ADF" w:rsidRPr="000F7862">
        <w:rPr>
          <w:lang w:val="fr-FR"/>
        </w:rPr>
        <w:t>s</w:t>
      </w:r>
      <w:r w:rsidR="00F55C79" w:rsidRPr="000F7862">
        <w:rPr>
          <w:lang w:val="fr-FR"/>
        </w:rPr>
        <w:t>era sur une triple démarche</w:t>
      </w:r>
      <w:r w:rsidR="0005004C" w:rsidRPr="000F7862">
        <w:rPr>
          <w:lang w:val="fr-FR"/>
        </w:rPr>
        <w:t>:</w:t>
      </w:r>
      <w:r w:rsidR="0086185C" w:rsidRPr="000F7862">
        <w:rPr>
          <w:lang w:val="fr-FR"/>
        </w:rPr>
        <w:t xml:space="preserve"> 1) </w:t>
      </w:r>
      <w:r w:rsidR="00F55C79" w:rsidRPr="000F7862">
        <w:rPr>
          <w:lang w:val="fr-FR"/>
        </w:rPr>
        <w:t>autoévaluation</w:t>
      </w:r>
      <w:r w:rsidR="0086185C" w:rsidRPr="000F7862">
        <w:rPr>
          <w:lang w:val="fr-FR"/>
        </w:rPr>
        <w:t xml:space="preserve">; 2) inspection; </w:t>
      </w:r>
      <w:r w:rsidR="00F55C79" w:rsidRPr="000F7862">
        <w:rPr>
          <w:lang w:val="fr-FR"/>
        </w:rPr>
        <w:t>et</w:t>
      </w:r>
      <w:r w:rsidR="0086185C" w:rsidRPr="000F7862">
        <w:rPr>
          <w:lang w:val="fr-FR"/>
        </w:rPr>
        <w:t xml:space="preserve"> 3) service</w:t>
      </w:r>
      <w:r w:rsidR="00F55C79" w:rsidRPr="000F7862">
        <w:rPr>
          <w:lang w:val="fr-FR"/>
        </w:rPr>
        <w:t xml:space="preserve"> de conseil. En matière d</w:t>
      </w:r>
      <w:r w:rsidR="00120E2E" w:rsidRPr="000F7862">
        <w:rPr>
          <w:lang w:val="fr-FR"/>
        </w:rPr>
        <w:t>’</w:t>
      </w:r>
      <w:r w:rsidR="00F55C79" w:rsidRPr="000F7862">
        <w:rPr>
          <w:lang w:val="fr-FR"/>
        </w:rPr>
        <w:t>autoévaluation, une modalité volontaire d</w:t>
      </w:r>
      <w:r w:rsidR="00120E2E" w:rsidRPr="000F7862">
        <w:rPr>
          <w:lang w:val="fr-FR"/>
        </w:rPr>
        <w:t>’</w:t>
      </w:r>
      <w:r w:rsidR="00F55C79" w:rsidRPr="000F7862">
        <w:rPr>
          <w:lang w:val="fr-FR"/>
        </w:rPr>
        <w:t>autoévaluation est</w:t>
      </w:r>
      <w:r w:rsidR="0086185C" w:rsidRPr="000F7862">
        <w:rPr>
          <w:lang w:val="fr-FR"/>
        </w:rPr>
        <w:t xml:space="preserve"> applicable </w:t>
      </w:r>
      <w:r w:rsidR="00F55C79" w:rsidRPr="000F7862">
        <w:rPr>
          <w:lang w:val="fr-FR"/>
        </w:rPr>
        <w:t xml:space="preserve">aux établissements employant au moins </w:t>
      </w:r>
      <w:r w:rsidR="0086185C" w:rsidRPr="000F7862">
        <w:rPr>
          <w:lang w:val="fr-FR"/>
        </w:rPr>
        <w:t xml:space="preserve">200 </w:t>
      </w:r>
      <w:r w:rsidR="00F55C79" w:rsidRPr="000F7862">
        <w:rPr>
          <w:lang w:val="fr-FR"/>
        </w:rPr>
        <w:t>travailleurs et aux établissements syndiqués</w:t>
      </w:r>
      <w:r w:rsidR="0086185C" w:rsidRPr="000F7862">
        <w:rPr>
          <w:lang w:val="fr-FR"/>
        </w:rPr>
        <w:t xml:space="preserve"> </w:t>
      </w:r>
      <w:r w:rsidR="00F55C79" w:rsidRPr="000F7862">
        <w:rPr>
          <w:lang w:val="fr-FR"/>
        </w:rPr>
        <w:t>appliquant une convention collective quel que soit le nombre d</w:t>
      </w:r>
      <w:r w:rsidR="00120E2E" w:rsidRPr="000F7862">
        <w:rPr>
          <w:lang w:val="fr-FR"/>
        </w:rPr>
        <w:t>’</w:t>
      </w:r>
      <w:r w:rsidR="00F55C79" w:rsidRPr="000F7862">
        <w:rPr>
          <w:lang w:val="fr-FR"/>
        </w:rPr>
        <w:t>employés.</w:t>
      </w:r>
      <w:r w:rsidR="0086185C" w:rsidRPr="000F7862">
        <w:rPr>
          <w:lang w:val="fr-FR"/>
        </w:rPr>
        <w:t xml:space="preserve"> </w:t>
      </w:r>
      <w:r w:rsidR="00F55C79" w:rsidRPr="000F7862">
        <w:rPr>
          <w:lang w:val="fr-FR"/>
        </w:rPr>
        <w:t>En matière d</w:t>
      </w:r>
      <w:r w:rsidR="00120E2E" w:rsidRPr="000F7862">
        <w:rPr>
          <w:lang w:val="fr-FR"/>
        </w:rPr>
        <w:t>’</w:t>
      </w:r>
      <w:r w:rsidR="0086185C" w:rsidRPr="000F7862">
        <w:rPr>
          <w:lang w:val="fr-FR"/>
        </w:rPr>
        <w:t xml:space="preserve">inspection, </w:t>
      </w:r>
      <w:r w:rsidR="00F55C79" w:rsidRPr="000F7862">
        <w:rPr>
          <w:lang w:val="fr-FR"/>
        </w:rPr>
        <w:t xml:space="preserve">une </w:t>
      </w:r>
      <w:r w:rsidR="0086185C" w:rsidRPr="000F7862">
        <w:rPr>
          <w:lang w:val="fr-FR"/>
        </w:rPr>
        <w:t xml:space="preserve">inspection </w:t>
      </w:r>
      <w:r w:rsidR="00F55C79" w:rsidRPr="000F7862">
        <w:rPr>
          <w:lang w:val="fr-FR"/>
        </w:rPr>
        <w:t>de tou</w:t>
      </w:r>
      <w:r w:rsidR="004C1ADF" w:rsidRPr="000F7862">
        <w:rPr>
          <w:lang w:val="fr-FR"/>
        </w:rPr>
        <w:t>te</w:t>
      </w:r>
      <w:r w:rsidR="00F55C79" w:rsidRPr="000F7862">
        <w:rPr>
          <w:lang w:val="fr-FR"/>
        </w:rPr>
        <w:t xml:space="preserve">s </w:t>
      </w:r>
      <w:r w:rsidR="004C1ADF" w:rsidRPr="000F7862">
        <w:rPr>
          <w:lang w:val="fr-FR"/>
        </w:rPr>
        <w:t>les entreprises e</w:t>
      </w:r>
      <w:r w:rsidR="00F55C79" w:rsidRPr="000F7862">
        <w:rPr>
          <w:lang w:val="fr-FR"/>
        </w:rPr>
        <w:t xml:space="preserve">mployant entre </w:t>
      </w:r>
      <w:r w:rsidR="0086185C" w:rsidRPr="000F7862">
        <w:rPr>
          <w:lang w:val="fr-FR"/>
        </w:rPr>
        <w:t>10</w:t>
      </w:r>
      <w:r w:rsidR="00F55C79" w:rsidRPr="000F7862">
        <w:rPr>
          <w:lang w:val="fr-FR"/>
        </w:rPr>
        <w:t xml:space="preserve"> et </w:t>
      </w:r>
      <w:r w:rsidR="0092702A" w:rsidRPr="000F7862">
        <w:rPr>
          <w:lang w:val="fr-FR"/>
        </w:rPr>
        <w:t>199 </w:t>
      </w:r>
      <w:r w:rsidR="00F55C79" w:rsidRPr="000F7862">
        <w:rPr>
          <w:lang w:val="fr-FR"/>
        </w:rPr>
        <w:t>personnes est menée par les inspecteurs du travail</w:t>
      </w:r>
      <w:r w:rsidR="0086185C" w:rsidRPr="000F7862">
        <w:rPr>
          <w:lang w:val="fr-FR"/>
        </w:rPr>
        <w:t xml:space="preserve">. </w:t>
      </w:r>
      <w:r w:rsidR="00F55C79" w:rsidRPr="000F7862">
        <w:rPr>
          <w:lang w:val="fr-FR"/>
        </w:rPr>
        <w:t xml:space="preserve">Pour ce qui est du service de conseils, </w:t>
      </w:r>
      <w:r w:rsidR="004C1ADF" w:rsidRPr="000F7862">
        <w:rPr>
          <w:lang w:val="fr-FR"/>
        </w:rPr>
        <w:t>les bureaux régionaux du Ministère du travail et de l</w:t>
      </w:r>
      <w:r w:rsidR="00120E2E" w:rsidRPr="000F7862">
        <w:rPr>
          <w:lang w:val="fr-FR"/>
        </w:rPr>
        <w:t>’</w:t>
      </w:r>
      <w:r w:rsidR="004C1ADF" w:rsidRPr="000F7862">
        <w:rPr>
          <w:lang w:val="fr-FR"/>
        </w:rPr>
        <w:t>emploi dispensent une formation aux entreprises employant moins de 10 personnes et à celles qui sont enregistrées comme microentreprises et leur font des visites de conseil afin d</w:t>
      </w:r>
      <w:r w:rsidR="00120E2E" w:rsidRPr="000F7862">
        <w:rPr>
          <w:lang w:val="fr-FR"/>
        </w:rPr>
        <w:t>’</w:t>
      </w:r>
      <w:r w:rsidR="004C1ADF" w:rsidRPr="000F7862">
        <w:rPr>
          <w:lang w:val="fr-FR"/>
        </w:rPr>
        <w:t>améliorer leur productivité, et leur fournissent d</w:t>
      </w:r>
      <w:r w:rsidR="00120E2E" w:rsidRPr="000F7862">
        <w:rPr>
          <w:lang w:val="fr-FR"/>
        </w:rPr>
        <w:t>’</w:t>
      </w:r>
      <w:r w:rsidR="004C1ADF" w:rsidRPr="000F7862">
        <w:rPr>
          <w:lang w:val="fr-FR"/>
        </w:rPr>
        <w:t>autres conseils techniques, facilitant ainsi le respect à terme d</w:t>
      </w:r>
      <w:r w:rsidR="00DE0C8D" w:rsidRPr="000F7862">
        <w:rPr>
          <w:lang w:val="fr-FR"/>
        </w:rPr>
        <w:t>e</w:t>
      </w:r>
      <w:r w:rsidR="004C1ADF" w:rsidRPr="000F7862">
        <w:rPr>
          <w:lang w:val="fr-FR"/>
        </w:rPr>
        <w:t>s normes en matière de travail</w:t>
      </w:r>
      <w:r w:rsidR="0086185C" w:rsidRPr="000F7862">
        <w:rPr>
          <w:lang w:val="fr-FR"/>
        </w:rPr>
        <w:t>.</w:t>
      </w:r>
    </w:p>
    <w:p w:rsidR="0086185C" w:rsidRPr="000F7862" w:rsidRDefault="003F7F57" w:rsidP="003F7F57">
      <w:pPr>
        <w:pStyle w:val="SingleTxtG"/>
        <w:rPr>
          <w:lang w:val="fr-FR"/>
        </w:rPr>
      </w:pPr>
      <w:r w:rsidRPr="000F7862">
        <w:rPr>
          <w:lang w:val="fr-FR"/>
        </w:rPr>
        <w:t>122.</w:t>
      </w:r>
      <w:r w:rsidRPr="000F7862">
        <w:rPr>
          <w:lang w:val="fr-FR"/>
        </w:rPr>
        <w:tab/>
      </w:r>
      <w:r w:rsidR="00DE0C8D" w:rsidRPr="000F7862">
        <w:rPr>
          <w:lang w:val="fr-FR"/>
        </w:rPr>
        <w:t>Les résultats de l</w:t>
      </w:r>
      <w:r w:rsidR="00120E2E" w:rsidRPr="000F7862">
        <w:rPr>
          <w:lang w:val="fr-FR"/>
        </w:rPr>
        <w:t>’</w:t>
      </w:r>
      <w:r w:rsidR="00DE0C8D" w:rsidRPr="000F7862">
        <w:rPr>
          <w:lang w:val="fr-FR"/>
        </w:rPr>
        <w:t>enquête menée par le Bureau des statistiques du travail et de l</w:t>
      </w:r>
      <w:r w:rsidR="00120E2E" w:rsidRPr="000F7862">
        <w:rPr>
          <w:lang w:val="fr-FR"/>
        </w:rPr>
        <w:t>’</w:t>
      </w:r>
      <w:r w:rsidR="00DE0C8D" w:rsidRPr="000F7862">
        <w:rPr>
          <w:lang w:val="fr-FR"/>
        </w:rPr>
        <w:t xml:space="preserve">emploi </w:t>
      </w:r>
      <w:r w:rsidR="0086185C" w:rsidRPr="000F7862">
        <w:rPr>
          <w:lang w:val="fr-FR"/>
        </w:rPr>
        <w:t>(</w:t>
      </w:r>
      <w:r w:rsidR="00D458D3" w:rsidRPr="000F7862">
        <w:rPr>
          <w:lang w:val="fr-FR"/>
        </w:rPr>
        <w:t>auprès</w:t>
      </w:r>
      <w:r w:rsidR="00DE0C8D" w:rsidRPr="000F7862">
        <w:rPr>
          <w:lang w:val="fr-FR"/>
        </w:rPr>
        <w:t xml:space="preserve"> </w:t>
      </w:r>
      <w:r w:rsidR="00D458D3" w:rsidRPr="000F7862">
        <w:rPr>
          <w:lang w:val="fr-FR"/>
        </w:rPr>
        <w:t>d</w:t>
      </w:r>
      <w:r w:rsidR="00120E2E" w:rsidRPr="000F7862">
        <w:rPr>
          <w:lang w:val="fr-FR"/>
        </w:rPr>
        <w:t>’</w:t>
      </w:r>
      <w:r w:rsidR="00DE0C8D" w:rsidRPr="000F7862">
        <w:rPr>
          <w:lang w:val="fr-FR"/>
        </w:rPr>
        <w:t>établissement</w:t>
      </w:r>
      <w:r w:rsidR="00D01B65" w:rsidRPr="000F7862">
        <w:rPr>
          <w:lang w:val="fr-FR"/>
        </w:rPr>
        <w:t>s</w:t>
      </w:r>
      <w:r w:rsidR="00DE0C8D" w:rsidRPr="000F7862">
        <w:rPr>
          <w:lang w:val="fr-FR"/>
        </w:rPr>
        <w:t xml:space="preserve"> non agricoles employant au moins </w:t>
      </w:r>
      <w:r w:rsidR="0086185C" w:rsidRPr="000F7862">
        <w:rPr>
          <w:lang w:val="fr-FR"/>
        </w:rPr>
        <w:t xml:space="preserve">20 </w:t>
      </w:r>
      <w:r w:rsidR="00DE0C8D" w:rsidRPr="000F7862">
        <w:rPr>
          <w:lang w:val="fr-FR"/>
        </w:rPr>
        <w:t>salariés</w:t>
      </w:r>
      <w:r w:rsidR="0086185C" w:rsidRPr="000F7862">
        <w:rPr>
          <w:lang w:val="fr-FR"/>
        </w:rPr>
        <w:t xml:space="preserve">) </w:t>
      </w:r>
      <w:r w:rsidR="00DE0C8D" w:rsidRPr="000F7862">
        <w:rPr>
          <w:lang w:val="fr-FR"/>
        </w:rPr>
        <w:t>montrent que le taux d</w:t>
      </w:r>
      <w:r w:rsidR="00120E2E" w:rsidRPr="000F7862">
        <w:rPr>
          <w:lang w:val="fr-FR"/>
        </w:rPr>
        <w:t>’</w:t>
      </w:r>
      <w:r w:rsidR="0086185C" w:rsidRPr="000F7862">
        <w:rPr>
          <w:lang w:val="fr-FR"/>
        </w:rPr>
        <w:t xml:space="preserve">incidence </w:t>
      </w:r>
      <w:r w:rsidR="00DE0C8D" w:rsidRPr="000F7862">
        <w:rPr>
          <w:lang w:val="fr-FR"/>
        </w:rPr>
        <w:t xml:space="preserve">des accidents du travail mortels pour </w:t>
      </w:r>
      <w:r w:rsidR="0086185C" w:rsidRPr="000F7862">
        <w:rPr>
          <w:lang w:val="fr-FR"/>
        </w:rPr>
        <w:t>100</w:t>
      </w:r>
      <w:r w:rsidR="0092702A" w:rsidRPr="000F7862">
        <w:rPr>
          <w:lang w:val="fr-FR"/>
        </w:rPr>
        <w:t> </w:t>
      </w:r>
      <w:r w:rsidR="0086185C" w:rsidRPr="000F7862">
        <w:rPr>
          <w:lang w:val="fr-FR"/>
        </w:rPr>
        <w:t xml:space="preserve">000 </w:t>
      </w:r>
      <w:r w:rsidR="00DE0C8D" w:rsidRPr="000F7862">
        <w:rPr>
          <w:lang w:val="fr-FR"/>
        </w:rPr>
        <w:t xml:space="preserve">salariés a été ramené de </w:t>
      </w:r>
      <w:r w:rsidR="0086185C" w:rsidRPr="000F7862">
        <w:rPr>
          <w:lang w:val="fr-FR"/>
        </w:rPr>
        <w:t>9</w:t>
      </w:r>
      <w:r w:rsidR="00DE0C8D" w:rsidRPr="000F7862">
        <w:rPr>
          <w:lang w:val="fr-FR"/>
        </w:rPr>
        <w:t>,</w:t>
      </w:r>
      <w:r w:rsidR="0086185C" w:rsidRPr="000F7862">
        <w:rPr>
          <w:lang w:val="fr-FR"/>
        </w:rPr>
        <w:t xml:space="preserve">5 </w:t>
      </w:r>
      <w:r w:rsidR="00DE0C8D" w:rsidRPr="000F7862">
        <w:rPr>
          <w:lang w:val="fr-FR"/>
        </w:rPr>
        <w:t>e</w:t>
      </w:r>
      <w:r w:rsidR="0086185C" w:rsidRPr="000F7862">
        <w:rPr>
          <w:lang w:val="fr-FR"/>
        </w:rPr>
        <w:t xml:space="preserve">n 2000 </w:t>
      </w:r>
      <w:r w:rsidR="00DE0C8D" w:rsidRPr="000F7862">
        <w:rPr>
          <w:lang w:val="fr-FR"/>
        </w:rPr>
        <w:t xml:space="preserve">à </w:t>
      </w:r>
      <w:r w:rsidR="0086185C" w:rsidRPr="000F7862">
        <w:rPr>
          <w:lang w:val="fr-FR"/>
        </w:rPr>
        <w:t>4</w:t>
      </w:r>
      <w:r w:rsidR="00DE0C8D" w:rsidRPr="000F7862">
        <w:rPr>
          <w:lang w:val="fr-FR"/>
        </w:rPr>
        <w:t>,</w:t>
      </w:r>
      <w:r w:rsidR="0086185C" w:rsidRPr="000F7862">
        <w:rPr>
          <w:lang w:val="fr-FR"/>
        </w:rPr>
        <w:t xml:space="preserve">2 </w:t>
      </w:r>
      <w:r w:rsidR="00DE0C8D" w:rsidRPr="000F7862">
        <w:rPr>
          <w:lang w:val="fr-FR"/>
        </w:rPr>
        <w:t>e</w:t>
      </w:r>
      <w:r w:rsidR="0086185C" w:rsidRPr="000F7862">
        <w:rPr>
          <w:lang w:val="fr-FR"/>
        </w:rPr>
        <w:t>n 2011.</w:t>
      </w:r>
      <w:r w:rsidR="00446EA5" w:rsidRPr="000F7862">
        <w:rPr>
          <w:lang w:val="fr-FR"/>
        </w:rPr>
        <w:t xml:space="preserve"> </w:t>
      </w:r>
      <w:r w:rsidR="00DE0C8D" w:rsidRPr="000F7862">
        <w:rPr>
          <w:lang w:val="fr-FR"/>
        </w:rPr>
        <w:t>De même, le taux d</w:t>
      </w:r>
      <w:r w:rsidR="00120E2E" w:rsidRPr="000F7862">
        <w:rPr>
          <w:lang w:val="fr-FR"/>
        </w:rPr>
        <w:t>’</w:t>
      </w:r>
      <w:r w:rsidR="0086185C" w:rsidRPr="000F7862">
        <w:rPr>
          <w:lang w:val="fr-FR"/>
        </w:rPr>
        <w:t xml:space="preserve">incidence </w:t>
      </w:r>
      <w:r w:rsidR="00DE0C8D" w:rsidRPr="000F7862">
        <w:rPr>
          <w:lang w:val="fr-FR"/>
        </w:rPr>
        <w:t>des accidents du travail non mortels pour</w:t>
      </w:r>
      <w:r w:rsidR="0086185C" w:rsidRPr="000F7862">
        <w:rPr>
          <w:lang w:val="fr-FR"/>
        </w:rPr>
        <w:t xml:space="preserve"> 100</w:t>
      </w:r>
      <w:r w:rsidR="0092702A" w:rsidRPr="000F7862">
        <w:rPr>
          <w:lang w:val="fr-FR"/>
        </w:rPr>
        <w:t> </w:t>
      </w:r>
      <w:r w:rsidR="0086185C" w:rsidRPr="000F7862">
        <w:rPr>
          <w:lang w:val="fr-FR"/>
        </w:rPr>
        <w:t xml:space="preserve">000 </w:t>
      </w:r>
      <w:r w:rsidR="00DE0C8D" w:rsidRPr="000F7862">
        <w:rPr>
          <w:lang w:val="fr-FR"/>
        </w:rPr>
        <w:t xml:space="preserve">salariés a baissé, tombant de </w:t>
      </w:r>
      <w:r w:rsidR="0086185C" w:rsidRPr="000F7862">
        <w:rPr>
          <w:lang w:val="fr-FR"/>
        </w:rPr>
        <w:t>1</w:t>
      </w:r>
      <w:r w:rsidR="0092702A" w:rsidRPr="000F7862">
        <w:rPr>
          <w:lang w:val="fr-FR"/>
        </w:rPr>
        <w:t> </w:t>
      </w:r>
      <w:r w:rsidR="0086185C" w:rsidRPr="000F7862">
        <w:rPr>
          <w:lang w:val="fr-FR"/>
        </w:rPr>
        <w:t xml:space="preserve">399 </w:t>
      </w:r>
      <w:r w:rsidR="00DE0C8D" w:rsidRPr="000F7862">
        <w:rPr>
          <w:lang w:val="fr-FR"/>
        </w:rPr>
        <w:t>à</w:t>
      </w:r>
      <w:r w:rsidR="0086185C" w:rsidRPr="000F7862">
        <w:rPr>
          <w:lang w:val="fr-FR"/>
        </w:rPr>
        <w:t xml:space="preserve"> 520 </w:t>
      </w:r>
      <w:r w:rsidR="00DE0C8D" w:rsidRPr="000F7862">
        <w:rPr>
          <w:lang w:val="fr-FR"/>
        </w:rPr>
        <w:t>au co</w:t>
      </w:r>
      <w:r w:rsidR="00D458D3" w:rsidRPr="000F7862">
        <w:rPr>
          <w:lang w:val="fr-FR"/>
        </w:rPr>
        <w:t>ur</w:t>
      </w:r>
      <w:r w:rsidR="00DE0C8D" w:rsidRPr="000F7862">
        <w:rPr>
          <w:lang w:val="fr-FR"/>
        </w:rPr>
        <w:t>s de la même période</w:t>
      </w:r>
      <w:r w:rsidR="0086185C" w:rsidRPr="000F7862">
        <w:rPr>
          <w:lang w:val="fr-FR"/>
        </w:rPr>
        <w:t>.</w:t>
      </w:r>
      <w:r w:rsidR="00446EA5" w:rsidRPr="000F7862">
        <w:rPr>
          <w:lang w:val="fr-FR"/>
        </w:rPr>
        <w:t xml:space="preserve"> </w:t>
      </w:r>
      <w:r w:rsidR="00DE0C8D" w:rsidRPr="000F7862">
        <w:rPr>
          <w:lang w:val="fr-FR"/>
        </w:rPr>
        <w:t xml:space="preserve">En 2011, il y a eu </w:t>
      </w:r>
      <w:r w:rsidR="0086185C" w:rsidRPr="000F7862">
        <w:rPr>
          <w:lang w:val="fr-FR"/>
        </w:rPr>
        <w:t>18</w:t>
      </w:r>
      <w:r w:rsidR="0092702A" w:rsidRPr="000F7862">
        <w:rPr>
          <w:lang w:val="fr-FR"/>
        </w:rPr>
        <w:t> </w:t>
      </w:r>
      <w:r w:rsidR="0086185C" w:rsidRPr="000F7862">
        <w:rPr>
          <w:lang w:val="fr-FR"/>
        </w:rPr>
        <w:t xml:space="preserve">143 </w:t>
      </w:r>
      <w:r w:rsidR="00DE0C8D" w:rsidRPr="000F7862">
        <w:rPr>
          <w:lang w:val="fr-FR"/>
        </w:rPr>
        <w:t xml:space="preserve">accidents du travail </w:t>
      </w:r>
      <w:r w:rsidR="0086185C" w:rsidRPr="000F7862">
        <w:rPr>
          <w:lang w:val="fr-FR"/>
        </w:rPr>
        <w:t>(</w:t>
      </w:r>
      <w:r w:rsidR="00DE0C8D" w:rsidRPr="000F7862">
        <w:rPr>
          <w:lang w:val="fr-FR"/>
        </w:rPr>
        <w:t xml:space="preserve">contre </w:t>
      </w:r>
      <w:r w:rsidR="0086185C" w:rsidRPr="000F7862">
        <w:rPr>
          <w:lang w:val="fr-FR"/>
        </w:rPr>
        <w:t>26</w:t>
      </w:r>
      <w:r w:rsidR="0092702A" w:rsidRPr="000F7862">
        <w:rPr>
          <w:lang w:val="fr-FR"/>
        </w:rPr>
        <w:t> </w:t>
      </w:r>
      <w:r w:rsidR="0086185C" w:rsidRPr="000F7862">
        <w:rPr>
          <w:lang w:val="fr-FR"/>
        </w:rPr>
        <w:t xml:space="preserve">467 </w:t>
      </w:r>
      <w:r w:rsidR="00DE0C8D" w:rsidRPr="000F7862">
        <w:rPr>
          <w:lang w:val="fr-FR"/>
        </w:rPr>
        <w:t>e</w:t>
      </w:r>
      <w:r w:rsidR="0086185C" w:rsidRPr="000F7862">
        <w:rPr>
          <w:lang w:val="fr-FR"/>
        </w:rPr>
        <w:t xml:space="preserve">n 2000), </w:t>
      </w:r>
      <w:r w:rsidR="00DE0C8D" w:rsidRPr="000F7862">
        <w:rPr>
          <w:lang w:val="fr-FR"/>
        </w:rPr>
        <w:t xml:space="preserve">dont </w:t>
      </w:r>
      <w:r w:rsidR="0086185C" w:rsidRPr="000F7862">
        <w:rPr>
          <w:lang w:val="fr-FR"/>
        </w:rPr>
        <w:t>145 o</w:t>
      </w:r>
      <w:r w:rsidR="00DE0C8D" w:rsidRPr="000F7862">
        <w:rPr>
          <w:lang w:val="fr-FR"/>
        </w:rPr>
        <w:t>u</w:t>
      </w:r>
      <w:r w:rsidR="0086185C" w:rsidRPr="000F7862">
        <w:rPr>
          <w:lang w:val="fr-FR"/>
        </w:rPr>
        <w:t xml:space="preserve"> 0</w:t>
      </w:r>
      <w:r w:rsidR="00DE0C8D" w:rsidRPr="000F7862">
        <w:rPr>
          <w:lang w:val="fr-FR"/>
        </w:rPr>
        <w:t>,</w:t>
      </w:r>
      <w:r w:rsidR="0086185C" w:rsidRPr="000F7862">
        <w:rPr>
          <w:lang w:val="fr-FR"/>
        </w:rPr>
        <w:t>8</w:t>
      </w:r>
      <w:r w:rsidR="00DC1196" w:rsidRPr="000F7862">
        <w:rPr>
          <w:lang w:val="fr-FR"/>
        </w:rPr>
        <w:t> %</w:t>
      </w:r>
      <w:r w:rsidR="0086185C" w:rsidRPr="000F7862">
        <w:rPr>
          <w:lang w:val="fr-FR"/>
        </w:rPr>
        <w:t xml:space="preserve"> </w:t>
      </w:r>
      <w:r w:rsidR="00DE0C8D" w:rsidRPr="000F7862">
        <w:rPr>
          <w:lang w:val="fr-FR"/>
        </w:rPr>
        <w:t xml:space="preserve">ont été mortels et </w:t>
      </w:r>
      <w:r w:rsidR="0086185C" w:rsidRPr="000F7862">
        <w:rPr>
          <w:lang w:val="fr-FR"/>
        </w:rPr>
        <w:t>99</w:t>
      </w:r>
      <w:r w:rsidR="00DE0C8D" w:rsidRPr="000F7862">
        <w:rPr>
          <w:lang w:val="fr-FR"/>
        </w:rPr>
        <w:t>,</w:t>
      </w:r>
      <w:r w:rsidR="0086185C" w:rsidRPr="000F7862">
        <w:rPr>
          <w:lang w:val="fr-FR"/>
        </w:rPr>
        <w:t>2</w:t>
      </w:r>
      <w:r w:rsidR="00DC1196" w:rsidRPr="000F7862">
        <w:rPr>
          <w:lang w:val="fr-FR"/>
        </w:rPr>
        <w:t> %</w:t>
      </w:r>
      <w:r w:rsidR="0086185C" w:rsidRPr="000F7862">
        <w:rPr>
          <w:lang w:val="fr-FR"/>
        </w:rPr>
        <w:t xml:space="preserve"> (17</w:t>
      </w:r>
      <w:r w:rsidR="0092702A" w:rsidRPr="000F7862">
        <w:rPr>
          <w:lang w:val="fr-FR"/>
        </w:rPr>
        <w:t> </w:t>
      </w:r>
      <w:r w:rsidR="0086185C" w:rsidRPr="000F7862">
        <w:rPr>
          <w:lang w:val="fr-FR"/>
        </w:rPr>
        <w:t>998) non</w:t>
      </w:r>
      <w:r w:rsidR="00DE0C8D" w:rsidRPr="000F7862">
        <w:rPr>
          <w:lang w:val="fr-FR"/>
        </w:rPr>
        <w:t xml:space="preserve"> mortels</w:t>
      </w:r>
      <w:r w:rsidR="0086185C" w:rsidRPr="000F7862">
        <w:rPr>
          <w:lang w:val="fr-FR"/>
        </w:rPr>
        <w:t>.</w:t>
      </w:r>
      <w:r w:rsidR="00446EA5" w:rsidRPr="000F7862">
        <w:rPr>
          <w:lang w:val="fr-FR"/>
        </w:rPr>
        <w:t xml:space="preserve"> </w:t>
      </w:r>
      <w:r w:rsidR="00DE0C8D" w:rsidRPr="000F7862">
        <w:rPr>
          <w:lang w:val="fr-FR"/>
        </w:rPr>
        <w:t>Les accidents non mortels ont entraîné une incapacité</w:t>
      </w:r>
      <w:r w:rsidR="0086185C" w:rsidRPr="000F7862">
        <w:rPr>
          <w:lang w:val="fr-FR"/>
        </w:rPr>
        <w:t xml:space="preserve"> permanent</w:t>
      </w:r>
      <w:r w:rsidR="00DE0C8D" w:rsidRPr="000F7862">
        <w:rPr>
          <w:lang w:val="fr-FR"/>
        </w:rPr>
        <w:t>e</w:t>
      </w:r>
      <w:r w:rsidR="0086185C" w:rsidRPr="000F7862">
        <w:rPr>
          <w:lang w:val="fr-FR"/>
        </w:rPr>
        <w:t xml:space="preserve"> (279 o</w:t>
      </w:r>
      <w:r w:rsidR="00DE0C8D" w:rsidRPr="000F7862">
        <w:rPr>
          <w:lang w:val="fr-FR"/>
        </w:rPr>
        <w:t>u</w:t>
      </w:r>
      <w:r w:rsidR="0086185C" w:rsidRPr="000F7862">
        <w:rPr>
          <w:lang w:val="fr-FR"/>
        </w:rPr>
        <w:t xml:space="preserve"> 1</w:t>
      </w:r>
      <w:r w:rsidR="00DE0C8D" w:rsidRPr="000F7862">
        <w:rPr>
          <w:lang w:val="fr-FR"/>
        </w:rPr>
        <w:t>,</w:t>
      </w:r>
      <w:r w:rsidR="0086185C" w:rsidRPr="000F7862">
        <w:rPr>
          <w:lang w:val="fr-FR"/>
        </w:rPr>
        <w:t>6</w:t>
      </w:r>
      <w:r w:rsidR="00DC1196" w:rsidRPr="000F7862">
        <w:rPr>
          <w:lang w:val="fr-FR"/>
        </w:rPr>
        <w:t> %</w:t>
      </w:r>
      <w:r w:rsidR="0086185C" w:rsidRPr="000F7862">
        <w:rPr>
          <w:lang w:val="fr-FR"/>
        </w:rPr>
        <w:t xml:space="preserve">) </w:t>
      </w:r>
      <w:r w:rsidR="00DE0C8D" w:rsidRPr="000F7862">
        <w:rPr>
          <w:lang w:val="fr-FR"/>
        </w:rPr>
        <w:t xml:space="preserve">ou temporaire </w:t>
      </w:r>
      <w:r w:rsidR="0086185C" w:rsidRPr="000F7862">
        <w:rPr>
          <w:lang w:val="fr-FR"/>
        </w:rPr>
        <w:t>(17</w:t>
      </w:r>
      <w:r w:rsidR="0092702A" w:rsidRPr="000F7862">
        <w:rPr>
          <w:lang w:val="fr-FR"/>
        </w:rPr>
        <w:t> </w:t>
      </w:r>
      <w:r w:rsidR="0086185C" w:rsidRPr="000F7862">
        <w:rPr>
          <w:lang w:val="fr-FR"/>
        </w:rPr>
        <w:t>719 o</w:t>
      </w:r>
      <w:r w:rsidR="00DE0C8D" w:rsidRPr="000F7862">
        <w:rPr>
          <w:lang w:val="fr-FR"/>
        </w:rPr>
        <w:t>u</w:t>
      </w:r>
      <w:r w:rsidR="0086185C" w:rsidRPr="000F7862">
        <w:rPr>
          <w:lang w:val="fr-FR"/>
        </w:rPr>
        <w:t xml:space="preserve"> 98</w:t>
      </w:r>
      <w:r w:rsidR="00DE0C8D" w:rsidRPr="000F7862">
        <w:rPr>
          <w:lang w:val="fr-FR"/>
        </w:rPr>
        <w:t>,</w:t>
      </w:r>
      <w:r w:rsidR="0086185C" w:rsidRPr="000F7862">
        <w:rPr>
          <w:lang w:val="fr-FR"/>
        </w:rPr>
        <w:t>4</w:t>
      </w:r>
      <w:r w:rsidR="00DC1196" w:rsidRPr="000F7862">
        <w:rPr>
          <w:lang w:val="fr-FR"/>
        </w:rPr>
        <w:t> %</w:t>
      </w:r>
      <w:r w:rsidR="0086185C" w:rsidRPr="000F7862">
        <w:rPr>
          <w:lang w:val="fr-FR"/>
        </w:rPr>
        <w:t>).</w:t>
      </w:r>
      <w:r w:rsidR="00446EA5" w:rsidRPr="000F7862">
        <w:rPr>
          <w:lang w:val="fr-FR"/>
        </w:rPr>
        <w:t xml:space="preserve"> </w:t>
      </w:r>
      <w:r w:rsidR="00DE0C8D" w:rsidRPr="000F7862">
        <w:rPr>
          <w:lang w:val="fr-FR"/>
        </w:rPr>
        <w:t>Toutefois, le nombre moyen de journées de travail perdues en raison d</w:t>
      </w:r>
      <w:r w:rsidR="00120E2E" w:rsidRPr="000F7862">
        <w:rPr>
          <w:lang w:val="fr-FR"/>
        </w:rPr>
        <w:t>’</w:t>
      </w:r>
      <w:r w:rsidR="00DE0C8D" w:rsidRPr="000F7862">
        <w:rPr>
          <w:lang w:val="fr-FR"/>
        </w:rPr>
        <w:t xml:space="preserve">une incapacité temporaire </w:t>
      </w:r>
      <w:r w:rsidR="00D458D3" w:rsidRPr="000F7862">
        <w:rPr>
          <w:lang w:val="fr-FR"/>
        </w:rPr>
        <w:t xml:space="preserve">a augmenté, passant de </w:t>
      </w:r>
      <w:r w:rsidR="0086185C" w:rsidRPr="000F7862">
        <w:rPr>
          <w:lang w:val="fr-FR"/>
        </w:rPr>
        <w:t>7</w:t>
      </w:r>
      <w:r w:rsidR="00D458D3" w:rsidRPr="000F7862">
        <w:rPr>
          <w:lang w:val="fr-FR"/>
        </w:rPr>
        <w:t>,</w:t>
      </w:r>
      <w:r w:rsidR="0086185C" w:rsidRPr="000F7862">
        <w:rPr>
          <w:lang w:val="fr-FR"/>
        </w:rPr>
        <w:t xml:space="preserve">8 </w:t>
      </w:r>
      <w:r w:rsidR="00D458D3" w:rsidRPr="000F7862">
        <w:rPr>
          <w:lang w:val="fr-FR"/>
        </w:rPr>
        <w:t>e</w:t>
      </w:r>
      <w:r w:rsidR="0086185C" w:rsidRPr="000F7862">
        <w:rPr>
          <w:lang w:val="fr-FR"/>
        </w:rPr>
        <w:t xml:space="preserve">n 2000 </w:t>
      </w:r>
      <w:r w:rsidR="00D458D3" w:rsidRPr="000F7862">
        <w:rPr>
          <w:lang w:val="fr-FR"/>
        </w:rPr>
        <w:t>à</w:t>
      </w:r>
      <w:r w:rsidR="0086185C" w:rsidRPr="000F7862">
        <w:rPr>
          <w:lang w:val="fr-FR"/>
        </w:rPr>
        <w:t xml:space="preserve"> 8</w:t>
      </w:r>
      <w:r w:rsidR="00D458D3" w:rsidRPr="000F7862">
        <w:rPr>
          <w:lang w:val="fr-FR"/>
        </w:rPr>
        <w:t>,</w:t>
      </w:r>
      <w:r w:rsidR="0086185C" w:rsidRPr="000F7862">
        <w:rPr>
          <w:lang w:val="fr-FR"/>
        </w:rPr>
        <w:t xml:space="preserve">8 </w:t>
      </w:r>
      <w:r w:rsidR="00D458D3" w:rsidRPr="000F7862">
        <w:rPr>
          <w:lang w:val="fr-FR"/>
        </w:rPr>
        <w:t>e</w:t>
      </w:r>
      <w:r w:rsidR="0086185C" w:rsidRPr="000F7862">
        <w:rPr>
          <w:lang w:val="fr-FR"/>
        </w:rPr>
        <w:t>n 2011.</w:t>
      </w:r>
    </w:p>
    <w:p w:rsidR="0086185C" w:rsidRPr="000F7862" w:rsidRDefault="003F7F57" w:rsidP="003F7F57">
      <w:pPr>
        <w:pStyle w:val="SingleTxtG"/>
        <w:rPr>
          <w:lang w:val="fr-FR"/>
        </w:rPr>
      </w:pPr>
      <w:r w:rsidRPr="000F7862">
        <w:rPr>
          <w:lang w:val="fr-FR"/>
        </w:rPr>
        <w:t>123.</w:t>
      </w:r>
      <w:r w:rsidRPr="000F7862">
        <w:rPr>
          <w:lang w:val="fr-FR"/>
        </w:rPr>
        <w:tab/>
      </w:r>
      <w:r w:rsidR="00D458D3" w:rsidRPr="000F7862">
        <w:rPr>
          <w:lang w:val="fr-FR"/>
        </w:rPr>
        <w:t>Le Centre de sécurité du travail et de santé au travail</w:t>
      </w:r>
      <w:r w:rsidR="0086185C" w:rsidRPr="000F7862">
        <w:rPr>
          <w:lang w:val="fr-FR"/>
        </w:rPr>
        <w:t xml:space="preserve">, </w:t>
      </w:r>
      <w:r w:rsidR="00D458D3" w:rsidRPr="000F7862">
        <w:rPr>
          <w:lang w:val="fr-FR"/>
        </w:rPr>
        <w:t>organe qui relève du Ministère du travail et de l</w:t>
      </w:r>
      <w:r w:rsidR="00120E2E" w:rsidRPr="000F7862">
        <w:rPr>
          <w:lang w:val="fr-FR"/>
        </w:rPr>
        <w:t>’</w:t>
      </w:r>
      <w:r w:rsidR="00D458D3" w:rsidRPr="000F7862">
        <w:rPr>
          <w:lang w:val="fr-FR"/>
        </w:rPr>
        <w:t>emploi, a</w:t>
      </w:r>
      <w:r w:rsidR="007E57AC" w:rsidRPr="000F7862">
        <w:rPr>
          <w:lang w:val="fr-FR"/>
        </w:rPr>
        <w:t>, entre 2009 et 2013,</w:t>
      </w:r>
      <w:r w:rsidR="00D458D3" w:rsidRPr="000F7862">
        <w:rPr>
          <w:lang w:val="fr-FR"/>
        </w:rPr>
        <w:t xml:space="preserve"> exécuté </w:t>
      </w:r>
      <w:r w:rsidR="007E57AC" w:rsidRPr="000F7862">
        <w:rPr>
          <w:lang w:val="fr-FR"/>
        </w:rPr>
        <w:t xml:space="preserve">les </w:t>
      </w:r>
      <w:r w:rsidR="00867E43" w:rsidRPr="000F7862">
        <w:rPr>
          <w:lang w:val="fr-FR"/>
        </w:rPr>
        <w:t>programmes</w:t>
      </w:r>
      <w:r w:rsidR="0086185C" w:rsidRPr="000F7862">
        <w:rPr>
          <w:lang w:val="fr-FR"/>
        </w:rPr>
        <w:t xml:space="preserve"> </w:t>
      </w:r>
      <w:r w:rsidR="007E57AC" w:rsidRPr="000F7862">
        <w:rPr>
          <w:lang w:val="fr-FR"/>
        </w:rPr>
        <w:t>et activités ci-après pour compléter l</w:t>
      </w:r>
      <w:r w:rsidR="00120E2E" w:rsidRPr="000F7862">
        <w:rPr>
          <w:lang w:val="fr-FR"/>
        </w:rPr>
        <w:t>’</w:t>
      </w:r>
      <w:r w:rsidR="007E57AC" w:rsidRPr="000F7862">
        <w:rPr>
          <w:lang w:val="fr-FR"/>
        </w:rPr>
        <w:t>activité menée par le Ministère pour faire respecter la législation sur la sécurité du travail et la santé au travail</w:t>
      </w:r>
      <w:r w:rsidR="0086185C" w:rsidRPr="000F7862">
        <w:rPr>
          <w:lang w:val="fr-FR"/>
        </w:rPr>
        <w:t>.</w:t>
      </w:r>
    </w:p>
    <w:p w:rsidR="0086185C" w:rsidRPr="000F7862" w:rsidRDefault="003F7F57" w:rsidP="003F7F57">
      <w:pPr>
        <w:pStyle w:val="SingleTxtG"/>
        <w:rPr>
          <w:lang w:val="fr-FR"/>
        </w:rPr>
      </w:pPr>
      <w:r w:rsidRPr="000F7862">
        <w:rPr>
          <w:lang w:val="fr-FR"/>
        </w:rPr>
        <w:t>124.</w:t>
      </w:r>
      <w:r w:rsidRPr="000F7862">
        <w:rPr>
          <w:lang w:val="fr-FR"/>
        </w:rPr>
        <w:tab/>
      </w:r>
      <w:r w:rsidR="007E57AC" w:rsidRPr="000F7862">
        <w:rPr>
          <w:lang w:val="fr-FR"/>
        </w:rPr>
        <w:t>S</w:t>
      </w:r>
      <w:r w:rsidR="00120E2E" w:rsidRPr="000F7862">
        <w:rPr>
          <w:lang w:val="fr-FR"/>
        </w:rPr>
        <w:t>’</w:t>
      </w:r>
      <w:r w:rsidR="007E57AC" w:rsidRPr="000F7862">
        <w:rPr>
          <w:lang w:val="fr-FR"/>
        </w:rPr>
        <w:t xml:space="preserve">agissant des formations dispensées en sécurité du travail et en santé au travail, le Centre a pu former </w:t>
      </w:r>
      <w:r w:rsidR="0086185C" w:rsidRPr="000F7862">
        <w:rPr>
          <w:lang w:val="fr-FR"/>
        </w:rPr>
        <w:t>51</w:t>
      </w:r>
      <w:r w:rsidR="0092702A" w:rsidRPr="000F7862">
        <w:rPr>
          <w:lang w:val="fr-FR"/>
        </w:rPr>
        <w:t> </w:t>
      </w:r>
      <w:r w:rsidR="0086185C" w:rsidRPr="000F7862">
        <w:rPr>
          <w:lang w:val="fr-FR"/>
        </w:rPr>
        <w:t xml:space="preserve">834 participants </w:t>
      </w:r>
      <w:r w:rsidR="0092702A" w:rsidRPr="000F7862">
        <w:rPr>
          <w:lang w:val="fr-FR"/>
        </w:rPr>
        <w:t>de 17 </w:t>
      </w:r>
      <w:r w:rsidR="0086185C" w:rsidRPr="000F7862">
        <w:rPr>
          <w:lang w:val="fr-FR"/>
        </w:rPr>
        <w:t xml:space="preserve">922 </w:t>
      </w:r>
      <w:r w:rsidR="007E57AC" w:rsidRPr="000F7862">
        <w:rPr>
          <w:lang w:val="fr-FR"/>
        </w:rPr>
        <w:t>entreprises</w:t>
      </w:r>
      <w:r w:rsidR="0086185C" w:rsidRPr="000F7862">
        <w:rPr>
          <w:lang w:val="fr-FR"/>
        </w:rPr>
        <w:t>. A</w:t>
      </w:r>
      <w:r w:rsidR="007E57AC" w:rsidRPr="000F7862">
        <w:rPr>
          <w:lang w:val="fr-FR"/>
        </w:rPr>
        <w:t>u</w:t>
      </w:r>
      <w:r w:rsidR="0086185C" w:rsidRPr="000F7862">
        <w:rPr>
          <w:lang w:val="fr-FR"/>
        </w:rPr>
        <w:t xml:space="preserve"> total</w:t>
      </w:r>
      <w:r w:rsidR="007E57AC" w:rsidRPr="000F7862">
        <w:rPr>
          <w:lang w:val="fr-FR"/>
        </w:rPr>
        <w:t>,</w:t>
      </w:r>
      <w:r w:rsidR="0086185C" w:rsidRPr="000F7862">
        <w:rPr>
          <w:lang w:val="fr-FR"/>
        </w:rPr>
        <w:t xml:space="preserve"> 911 </w:t>
      </w:r>
      <w:r w:rsidR="007E57AC" w:rsidRPr="000F7862">
        <w:rPr>
          <w:lang w:val="fr-FR"/>
        </w:rPr>
        <w:t xml:space="preserve">séries de formations </w:t>
      </w:r>
      <w:r w:rsidR="00D86169" w:rsidRPr="000F7862">
        <w:rPr>
          <w:lang w:val="fr-FR"/>
        </w:rPr>
        <w:t xml:space="preserve">portant sur les cours obligatoires de 40 heures – cours de base en sécurité du travail et en santé au travail, formation à la sécurité et à la santé dans la construction et formations en sécurité du travail et en santé au travail </w:t>
      </w:r>
      <w:r w:rsidR="0086185C" w:rsidRPr="000F7862">
        <w:rPr>
          <w:lang w:val="fr-FR"/>
        </w:rPr>
        <w:t>sp</w:t>
      </w:r>
      <w:r w:rsidR="00D86169" w:rsidRPr="000F7862">
        <w:rPr>
          <w:lang w:val="fr-FR"/>
        </w:rPr>
        <w:t>é</w:t>
      </w:r>
      <w:r w:rsidR="0086185C" w:rsidRPr="000F7862">
        <w:rPr>
          <w:lang w:val="fr-FR"/>
        </w:rPr>
        <w:t>ciali</w:t>
      </w:r>
      <w:r w:rsidR="00D86169" w:rsidRPr="000F7862">
        <w:rPr>
          <w:lang w:val="fr-FR"/>
        </w:rPr>
        <w:t>sées – ont été dispensées</w:t>
      </w:r>
      <w:r w:rsidR="0086185C" w:rsidRPr="000F7862">
        <w:rPr>
          <w:lang w:val="fr-FR"/>
        </w:rPr>
        <w:t>.</w:t>
      </w:r>
    </w:p>
    <w:p w:rsidR="0086185C" w:rsidRPr="000F7862" w:rsidRDefault="003F7F57" w:rsidP="003F7F57">
      <w:pPr>
        <w:pStyle w:val="SingleTxtG"/>
        <w:rPr>
          <w:lang w:val="fr-FR"/>
        </w:rPr>
      </w:pPr>
      <w:r w:rsidRPr="000F7862">
        <w:rPr>
          <w:lang w:val="fr-FR"/>
        </w:rPr>
        <w:t>125.</w:t>
      </w:r>
      <w:r w:rsidRPr="000F7862">
        <w:rPr>
          <w:lang w:val="fr-FR"/>
        </w:rPr>
        <w:tab/>
      </w:r>
      <w:r w:rsidR="00D86169" w:rsidRPr="000F7862">
        <w:rPr>
          <w:lang w:val="fr-FR"/>
        </w:rPr>
        <w:t xml:space="preserve">Le Centre </w:t>
      </w:r>
      <w:r w:rsidR="006F5441" w:rsidRPr="000F7862">
        <w:rPr>
          <w:lang w:val="fr-FR"/>
        </w:rPr>
        <w:t xml:space="preserve">a mis au point le </w:t>
      </w:r>
      <w:r w:rsidR="0086185C" w:rsidRPr="000F7862">
        <w:rPr>
          <w:lang w:val="fr-FR"/>
        </w:rPr>
        <w:t xml:space="preserve">e-BOSH, </w:t>
      </w:r>
      <w:r w:rsidR="006F5441" w:rsidRPr="000F7862">
        <w:rPr>
          <w:lang w:val="fr-FR"/>
        </w:rPr>
        <w:t>la version en ligne du cours de base en sécurité du travail et en santé au travail à laquelle les employés de tout le pays et même ceux des pays étrangers peuvent accéder. Depuis son lancement en novembre</w:t>
      </w:r>
      <w:r w:rsidR="0086185C" w:rsidRPr="000F7862">
        <w:rPr>
          <w:lang w:val="fr-FR"/>
        </w:rPr>
        <w:t xml:space="preserve"> 2011, 180 participants </w:t>
      </w:r>
      <w:r w:rsidR="006F5441" w:rsidRPr="000F7862">
        <w:rPr>
          <w:lang w:val="fr-FR"/>
        </w:rPr>
        <w:t>ont suivi ce cours en ligne</w:t>
      </w:r>
      <w:r w:rsidR="0086185C" w:rsidRPr="000F7862">
        <w:rPr>
          <w:lang w:val="fr-FR"/>
        </w:rPr>
        <w:t>.</w:t>
      </w:r>
    </w:p>
    <w:p w:rsidR="0086185C" w:rsidRPr="000F7862" w:rsidRDefault="003F7F57" w:rsidP="003F7F57">
      <w:pPr>
        <w:pStyle w:val="SingleTxtG"/>
        <w:rPr>
          <w:lang w:val="fr-FR"/>
        </w:rPr>
      </w:pPr>
      <w:r w:rsidRPr="000F7862">
        <w:rPr>
          <w:lang w:val="fr-FR"/>
        </w:rPr>
        <w:t>126.</w:t>
      </w:r>
      <w:r w:rsidRPr="000F7862">
        <w:rPr>
          <w:lang w:val="fr-FR"/>
        </w:rPr>
        <w:tab/>
      </w:r>
      <w:r w:rsidR="006F5441" w:rsidRPr="000F7862">
        <w:rPr>
          <w:lang w:val="fr-FR"/>
        </w:rPr>
        <w:t>E</w:t>
      </w:r>
      <w:r w:rsidR="0086185C" w:rsidRPr="000F7862">
        <w:rPr>
          <w:lang w:val="fr-FR"/>
        </w:rPr>
        <w:t xml:space="preserve">n consultation </w:t>
      </w:r>
      <w:r w:rsidR="006F5441" w:rsidRPr="000F7862">
        <w:rPr>
          <w:lang w:val="fr-FR"/>
        </w:rPr>
        <w:t>avec le Bureau des m</w:t>
      </w:r>
      <w:r w:rsidR="0086185C" w:rsidRPr="000F7862">
        <w:rPr>
          <w:lang w:val="fr-FR"/>
        </w:rPr>
        <w:t xml:space="preserve">ines </w:t>
      </w:r>
      <w:r w:rsidR="006F5441" w:rsidRPr="000F7862">
        <w:rPr>
          <w:lang w:val="fr-FR"/>
        </w:rPr>
        <w:t>et des sciences de la terre du Ministère de l</w:t>
      </w:r>
      <w:r w:rsidR="00120E2E" w:rsidRPr="000F7862">
        <w:rPr>
          <w:lang w:val="fr-FR"/>
        </w:rPr>
        <w:t>’</w:t>
      </w:r>
      <w:r w:rsidR="006F5441" w:rsidRPr="000F7862">
        <w:rPr>
          <w:lang w:val="fr-FR"/>
        </w:rPr>
        <w:t>e</w:t>
      </w:r>
      <w:r w:rsidR="0086185C" w:rsidRPr="000F7862">
        <w:rPr>
          <w:lang w:val="fr-FR"/>
        </w:rPr>
        <w:t>nviron</w:t>
      </w:r>
      <w:r w:rsidR="006F5441" w:rsidRPr="000F7862">
        <w:rPr>
          <w:lang w:val="fr-FR"/>
        </w:rPr>
        <w:t>ne</w:t>
      </w:r>
      <w:r w:rsidR="0086185C" w:rsidRPr="000F7862">
        <w:rPr>
          <w:lang w:val="fr-FR"/>
        </w:rPr>
        <w:t xml:space="preserve">ment </w:t>
      </w:r>
      <w:r w:rsidR="006F5441" w:rsidRPr="000F7862">
        <w:rPr>
          <w:lang w:val="fr-FR"/>
        </w:rPr>
        <w:t>et des ressources n</w:t>
      </w:r>
      <w:r w:rsidR="0086185C" w:rsidRPr="000F7862">
        <w:rPr>
          <w:lang w:val="fr-FR"/>
        </w:rPr>
        <w:t>atur</w:t>
      </w:r>
      <w:r w:rsidR="006F5441" w:rsidRPr="000F7862">
        <w:rPr>
          <w:lang w:val="fr-FR"/>
        </w:rPr>
        <w:t>elles</w:t>
      </w:r>
      <w:r w:rsidR="0086185C" w:rsidRPr="000F7862">
        <w:rPr>
          <w:lang w:val="fr-FR"/>
        </w:rPr>
        <w:t xml:space="preserve">, </w:t>
      </w:r>
      <w:r w:rsidR="000422BC" w:rsidRPr="000F7862">
        <w:rPr>
          <w:lang w:val="fr-FR"/>
        </w:rPr>
        <w:t>l</w:t>
      </w:r>
      <w:r w:rsidR="00120E2E" w:rsidRPr="000F7862">
        <w:rPr>
          <w:lang w:val="fr-FR"/>
        </w:rPr>
        <w:t>’</w:t>
      </w:r>
      <w:r w:rsidR="0086185C" w:rsidRPr="000F7862">
        <w:rPr>
          <w:lang w:val="fr-FR"/>
        </w:rPr>
        <w:t xml:space="preserve">Association </w:t>
      </w:r>
      <w:r w:rsidR="000422BC" w:rsidRPr="000F7862">
        <w:rPr>
          <w:lang w:val="fr-FR"/>
        </w:rPr>
        <w:t xml:space="preserve">de services aux entreprises des </w:t>
      </w:r>
      <w:r w:rsidR="0086185C" w:rsidRPr="000F7862">
        <w:rPr>
          <w:lang w:val="fr-FR"/>
        </w:rPr>
        <w:t xml:space="preserve">Philippines </w:t>
      </w:r>
      <w:r w:rsidR="000422BC" w:rsidRPr="000F7862">
        <w:rPr>
          <w:lang w:val="fr-FR"/>
        </w:rPr>
        <w:t>et le</w:t>
      </w:r>
      <w:r w:rsidR="00D57B11" w:rsidRPr="000F7862">
        <w:rPr>
          <w:lang w:val="fr-FR"/>
        </w:rPr>
        <w:t xml:space="preserve"> secteur du transport par autob</w:t>
      </w:r>
      <w:r w:rsidR="000422BC" w:rsidRPr="000F7862">
        <w:rPr>
          <w:lang w:val="fr-FR"/>
        </w:rPr>
        <w:t>us</w:t>
      </w:r>
      <w:r w:rsidR="00D57B11" w:rsidRPr="000F7862">
        <w:rPr>
          <w:lang w:val="fr-FR"/>
        </w:rPr>
        <w:t>, le Centre de sécurité du travail et de santé au travail</w:t>
      </w:r>
      <w:r w:rsidR="000422BC" w:rsidRPr="000F7862">
        <w:rPr>
          <w:lang w:val="fr-FR"/>
        </w:rPr>
        <w:t xml:space="preserve"> </w:t>
      </w:r>
      <w:r w:rsidR="00D57B11" w:rsidRPr="000F7862">
        <w:rPr>
          <w:lang w:val="fr-FR"/>
        </w:rPr>
        <w:t>a élaboré des modules du cours de base en sécurité du travail et en santé au travail qui sont adaptés au secteur minier, aux bureaux de services aux entreprises et au transport par autobus</w:t>
      </w:r>
      <w:r w:rsidR="0086185C" w:rsidRPr="000F7862">
        <w:rPr>
          <w:lang w:val="fr-FR"/>
        </w:rPr>
        <w:t xml:space="preserve">. </w:t>
      </w:r>
    </w:p>
    <w:p w:rsidR="0086185C" w:rsidRPr="000F7862" w:rsidRDefault="003F7F57" w:rsidP="003F7F57">
      <w:pPr>
        <w:pStyle w:val="SingleTxtG"/>
        <w:rPr>
          <w:lang w:val="fr-FR"/>
        </w:rPr>
      </w:pPr>
      <w:r w:rsidRPr="000F7862">
        <w:rPr>
          <w:lang w:val="fr-FR"/>
        </w:rPr>
        <w:t>127.</w:t>
      </w:r>
      <w:r w:rsidRPr="000F7862">
        <w:rPr>
          <w:lang w:val="fr-FR"/>
        </w:rPr>
        <w:tab/>
      </w:r>
      <w:r w:rsidR="00D57B11" w:rsidRPr="000F7862">
        <w:rPr>
          <w:lang w:val="fr-FR"/>
        </w:rPr>
        <w:t xml:space="preserve">En ce qui concerne les secteurs </w:t>
      </w:r>
      <w:r w:rsidR="0086185C" w:rsidRPr="000F7862">
        <w:rPr>
          <w:lang w:val="fr-FR"/>
        </w:rPr>
        <w:t>vuln</w:t>
      </w:r>
      <w:r w:rsidR="00D57B11" w:rsidRPr="000F7862">
        <w:rPr>
          <w:lang w:val="fr-FR"/>
        </w:rPr>
        <w:t>é</w:t>
      </w:r>
      <w:r w:rsidR="0086185C" w:rsidRPr="000F7862">
        <w:rPr>
          <w:lang w:val="fr-FR"/>
        </w:rPr>
        <w:t>rable</w:t>
      </w:r>
      <w:r w:rsidR="00D57B11" w:rsidRPr="000F7862">
        <w:rPr>
          <w:lang w:val="fr-FR"/>
        </w:rPr>
        <w:t>s</w:t>
      </w:r>
      <w:r w:rsidR="0086185C" w:rsidRPr="000F7862">
        <w:rPr>
          <w:lang w:val="fr-FR"/>
        </w:rPr>
        <w:t xml:space="preserve">, </w:t>
      </w:r>
      <w:r w:rsidR="00D57B11" w:rsidRPr="000F7862">
        <w:rPr>
          <w:lang w:val="fr-FR"/>
        </w:rPr>
        <w:t xml:space="preserve">le Centre a également fourni ses </w:t>
      </w:r>
      <w:r w:rsidR="0086185C" w:rsidRPr="000F7862">
        <w:rPr>
          <w:lang w:val="fr-FR"/>
        </w:rPr>
        <w:t xml:space="preserve">services </w:t>
      </w:r>
      <w:r w:rsidR="00D57B11" w:rsidRPr="000F7862">
        <w:rPr>
          <w:lang w:val="fr-FR"/>
        </w:rPr>
        <w:t>dans le cadre d</w:t>
      </w:r>
      <w:r w:rsidR="00120E2E" w:rsidRPr="000F7862">
        <w:rPr>
          <w:lang w:val="fr-FR"/>
        </w:rPr>
        <w:t>’</w:t>
      </w:r>
      <w:r w:rsidR="00D57B11" w:rsidRPr="000F7862">
        <w:rPr>
          <w:lang w:val="fr-FR"/>
        </w:rPr>
        <w:t>activités de renforcement des capacités</w:t>
      </w:r>
      <w:r w:rsidR="0086185C" w:rsidRPr="000F7862">
        <w:rPr>
          <w:lang w:val="fr-FR"/>
        </w:rPr>
        <w:t xml:space="preserve">. </w:t>
      </w:r>
      <w:r w:rsidR="00D57B11" w:rsidRPr="000F7862">
        <w:rPr>
          <w:lang w:val="fr-FR"/>
        </w:rPr>
        <w:t>E</w:t>
      </w:r>
      <w:r w:rsidR="0086185C" w:rsidRPr="000F7862">
        <w:rPr>
          <w:lang w:val="fr-FR"/>
        </w:rPr>
        <w:t xml:space="preserve">n 2012, </w:t>
      </w:r>
      <w:r w:rsidR="00D57B11" w:rsidRPr="000F7862">
        <w:rPr>
          <w:lang w:val="fr-FR"/>
        </w:rPr>
        <w:t xml:space="preserve">un cours de base en sécurité du travail et en santé au travail a été dispensé à des membres handicapés de </w:t>
      </w:r>
      <w:r w:rsidR="0086185C" w:rsidRPr="000F7862">
        <w:rPr>
          <w:lang w:val="fr-FR"/>
        </w:rPr>
        <w:t>coop</w:t>
      </w:r>
      <w:r w:rsidR="00D57B11" w:rsidRPr="000F7862">
        <w:rPr>
          <w:lang w:val="fr-FR"/>
        </w:rPr>
        <w:t>é</w:t>
      </w:r>
      <w:r w:rsidR="0086185C" w:rsidRPr="000F7862">
        <w:rPr>
          <w:lang w:val="fr-FR"/>
        </w:rPr>
        <w:t xml:space="preserve">ratives </w:t>
      </w:r>
      <w:r w:rsidR="00D57B11" w:rsidRPr="000F7862">
        <w:rPr>
          <w:lang w:val="fr-FR"/>
        </w:rPr>
        <w:t>de toutes les régions du pays</w:t>
      </w:r>
      <w:r w:rsidR="0086185C" w:rsidRPr="000F7862">
        <w:rPr>
          <w:lang w:val="fr-FR"/>
        </w:rPr>
        <w:t>.</w:t>
      </w:r>
    </w:p>
    <w:p w:rsidR="0086185C" w:rsidRPr="000F7862" w:rsidRDefault="003F7F57" w:rsidP="003F7F57">
      <w:pPr>
        <w:pStyle w:val="SingleTxtG"/>
        <w:rPr>
          <w:lang w:val="fr-FR"/>
        </w:rPr>
      </w:pPr>
      <w:r w:rsidRPr="000F7862">
        <w:rPr>
          <w:lang w:val="fr-FR"/>
        </w:rPr>
        <w:t>128.</w:t>
      </w:r>
      <w:r w:rsidRPr="000F7862">
        <w:rPr>
          <w:lang w:val="fr-FR"/>
        </w:rPr>
        <w:tab/>
      </w:r>
      <w:r w:rsidR="00D57B11" w:rsidRPr="000F7862">
        <w:rPr>
          <w:lang w:val="fr-FR"/>
        </w:rPr>
        <w:t xml:space="preserve">En complément des inspections de sécurité et de santé menées parmi les </w:t>
      </w:r>
      <w:r w:rsidR="005E636D" w:rsidRPr="000F7862">
        <w:rPr>
          <w:lang w:val="fr-FR"/>
        </w:rPr>
        <w:t xml:space="preserve">projets de </w:t>
      </w:r>
      <w:r w:rsidR="0086185C" w:rsidRPr="000F7862">
        <w:rPr>
          <w:lang w:val="fr-FR"/>
        </w:rPr>
        <w:t xml:space="preserve">construction, </w:t>
      </w:r>
      <w:r w:rsidR="005E636D" w:rsidRPr="000F7862">
        <w:rPr>
          <w:lang w:val="fr-FR"/>
        </w:rPr>
        <w:t>le Centre a dirigé des équipes chargées d</w:t>
      </w:r>
      <w:r w:rsidR="00120E2E" w:rsidRPr="000F7862">
        <w:rPr>
          <w:lang w:val="fr-FR"/>
        </w:rPr>
        <w:t>’</w:t>
      </w:r>
      <w:r w:rsidR="005E636D" w:rsidRPr="000F7862">
        <w:rPr>
          <w:lang w:val="fr-FR"/>
        </w:rPr>
        <w:t>effectuer des patrouilles de sécurité</w:t>
      </w:r>
      <w:r w:rsidR="0086185C" w:rsidRPr="000F7862">
        <w:rPr>
          <w:lang w:val="fr-FR"/>
        </w:rPr>
        <w:t xml:space="preserve"> compos</w:t>
      </w:r>
      <w:r w:rsidR="005E636D" w:rsidRPr="000F7862">
        <w:rPr>
          <w:lang w:val="fr-FR"/>
        </w:rPr>
        <w:t>ées d</w:t>
      </w:r>
      <w:r w:rsidR="00120E2E" w:rsidRPr="000F7862">
        <w:rPr>
          <w:lang w:val="fr-FR"/>
        </w:rPr>
        <w:t>’</w:t>
      </w:r>
      <w:r w:rsidR="0086185C" w:rsidRPr="000F7862">
        <w:rPr>
          <w:lang w:val="fr-FR"/>
        </w:rPr>
        <w:t xml:space="preserve">experts </w:t>
      </w:r>
      <w:r w:rsidR="005E636D" w:rsidRPr="000F7862">
        <w:rPr>
          <w:lang w:val="fr-FR"/>
        </w:rPr>
        <w:t>du Centre de sécurité du travail et de santé au travail</w:t>
      </w:r>
      <w:r w:rsidR="0086185C" w:rsidRPr="000F7862">
        <w:rPr>
          <w:lang w:val="fr-FR"/>
        </w:rPr>
        <w:t xml:space="preserve">, </w:t>
      </w:r>
      <w:r w:rsidR="005E636D" w:rsidRPr="000F7862">
        <w:rPr>
          <w:lang w:val="fr-FR"/>
        </w:rPr>
        <w:t xml:space="preserve">de la </w:t>
      </w:r>
      <w:r w:rsidR="00CB5FC3" w:rsidRPr="000F7862">
        <w:rPr>
          <w:lang w:val="fr-FR"/>
        </w:rPr>
        <w:t>Com</w:t>
      </w:r>
      <w:r w:rsidR="0009322F" w:rsidRPr="000F7862">
        <w:rPr>
          <w:lang w:val="fr-FR"/>
        </w:rPr>
        <w:t>m</w:t>
      </w:r>
      <w:r w:rsidR="00CB5FC3" w:rsidRPr="000F7862">
        <w:rPr>
          <w:lang w:val="fr-FR"/>
        </w:rPr>
        <w:t>ission d</w:t>
      </w:r>
      <w:r w:rsidR="00120E2E" w:rsidRPr="000F7862">
        <w:rPr>
          <w:lang w:val="fr-FR"/>
        </w:rPr>
        <w:t>’</w:t>
      </w:r>
      <w:r w:rsidR="00CB5FC3" w:rsidRPr="000F7862">
        <w:rPr>
          <w:lang w:val="fr-FR"/>
        </w:rPr>
        <w:t>indemnisation des salariés</w:t>
      </w:r>
      <w:r w:rsidR="0086185C" w:rsidRPr="000F7862">
        <w:rPr>
          <w:lang w:val="fr-FR"/>
        </w:rPr>
        <w:t xml:space="preserve">, </w:t>
      </w:r>
      <w:r w:rsidR="00CB5FC3" w:rsidRPr="000F7862">
        <w:rPr>
          <w:lang w:val="fr-FR"/>
        </w:rPr>
        <w:t xml:space="preserve">du </w:t>
      </w:r>
      <w:r w:rsidR="0086185C" w:rsidRPr="000F7862">
        <w:rPr>
          <w:lang w:val="fr-FR"/>
        </w:rPr>
        <w:t xml:space="preserve">Bureau </w:t>
      </w:r>
      <w:r w:rsidR="00023B74" w:rsidRPr="000F7862">
        <w:rPr>
          <w:lang w:val="fr-FR"/>
        </w:rPr>
        <w:t>des conditions de travail</w:t>
      </w:r>
      <w:r w:rsidR="0086185C" w:rsidRPr="000F7862">
        <w:rPr>
          <w:lang w:val="fr-FR"/>
        </w:rPr>
        <w:t xml:space="preserve">, </w:t>
      </w:r>
      <w:r w:rsidR="00CB5FC3" w:rsidRPr="000F7862">
        <w:rPr>
          <w:lang w:val="fr-FR"/>
        </w:rPr>
        <w:t>des organisations de travailleurs et de consultants/</w:t>
      </w:r>
      <w:r w:rsidR="00517204" w:rsidRPr="000F7862">
        <w:rPr>
          <w:lang w:val="fr-FR"/>
        </w:rPr>
        <w:t xml:space="preserve">spécialistes </w:t>
      </w:r>
      <w:r w:rsidR="00CB5FC3" w:rsidRPr="000F7862">
        <w:rPr>
          <w:lang w:val="fr-FR"/>
        </w:rPr>
        <w:t>en sécurité du travail et en santé au travail afin d</w:t>
      </w:r>
      <w:r w:rsidR="00120E2E" w:rsidRPr="000F7862">
        <w:rPr>
          <w:lang w:val="fr-FR"/>
        </w:rPr>
        <w:t>’</w:t>
      </w:r>
      <w:r w:rsidR="00CB5FC3" w:rsidRPr="000F7862">
        <w:rPr>
          <w:lang w:val="fr-FR"/>
        </w:rPr>
        <w:t>établir la situation de ces projets au regard de la sécurité du travail et de la santé au travail</w:t>
      </w:r>
      <w:r w:rsidR="0086185C" w:rsidRPr="000F7862">
        <w:rPr>
          <w:lang w:val="fr-FR"/>
        </w:rPr>
        <w:t xml:space="preserve"> </w:t>
      </w:r>
      <w:r w:rsidR="00CB5FC3" w:rsidRPr="000F7862">
        <w:rPr>
          <w:lang w:val="fr-FR"/>
        </w:rPr>
        <w:t>et de formuler des recomma</w:t>
      </w:r>
      <w:r w:rsidR="0086185C" w:rsidRPr="000F7862">
        <w:rPr>
          <w:lang w:val="fr-FR"/>
        </w:rPr>
        <w:t xml:space="preserve">ndations </w:t>
      </w:r>
      <w:r w:rsidR="00CB5FC3" w:rsidRPr="000F7862">
        <w:rPr>
          <w:lang w:val="fr-FR"/>
        </w:rPr>
        <w:t xml:space="preserve">concernant </w:t>
      </w:r>
      <w:r w:rsidR="0086185C" w:rsidRPr="000F7862">
        <w:rPr>
          <w:lang w:val="fr-FR"/>
        </w:rPr>
        <w:t xml:space="preserve">112 </w:t>
      </w:r>
      <w:r w:rsidR="00CB5FC3" w:rsidRPr="000F7862">
        <w:rPr>
          <w:lang w:val="fr-FR"/>
        </w:rPr>
        <w:t xml:space="preserve">projets de </w:t>
      </w:r>
      <w:r w:rsidR="0086185C" w:rsidRPr="000F7862">
        <w:rPr>
          <w:lang w:val="fr-FR"/>
        </w:rPr>
        <w:t xml:space="preserve">construction </w:t>
      </w:r>
      <w:r w:rsidR="00CB5FC3" w:rsidRPr="000F7862">
        <w:rPr>
          <w:lang w:val="fr-FR"/>
        </w:rPr>
        <w:t>exécutés dans d</w:t>
      </w:r>
      <w:r w:rsidR="00120E2E" w:rsidRPr="000F7862">
        <w:rPr>
          <w:lang w:val="fr-FR"/>
        </w:rPr>
        <w:t>’</w:t>
      </w:r>
      <w:r w:rsidR="00CB5FC3" w:rsidRPr="000F7862">
        <w:rPr>
          <w:lang w:val="fr-FR"/>
        </w:rPr>
        <w:t xml:space="preserve">importantes régions des </w:t>
      </w:r>
      <w:r w:rsidR="0086185C" w:rsidRPr="000F7862">
        <w:rPr>
          <w:lang w:val="fr-FR"/>
        </w:rPr>
        <w:t>Philippines (</w:t>
      </w:r>
      <w:r w:rsidR="00CB5FC3" w:rsidRPr="000F7862">
        <w:rPr>
          <w:lang w:val="fr-FR"/>
        </w:rPr>
        <w:t>Région de la capitale nationale et ré</w:t>
      </w:r>
      <w:r w:rsidR="0086185C" w:rsidRPr="000F7862">
        <w:rPr>
          <w:lang w:val="fr-FR"/>
        </w:rPr>
        <w:t xml:space="preserve">gions 3, 4A, 7 </w:t>
      </w:r>
      <w:r w:rsidR="00CB5FC3" w:rsidRPr="000F7862">
        <w:rPr>
          <w:lang w:val="fr-FR"/>
        </w:rPr>
        <w:t>et</w:t>
      </w:r>
      <w:r w:rsidR="0086185C" w:rsidRPr="000F7862">
        <w:rPr>
          <w:lang w:val="fr-FR"/>
        </w:rPr>
        <w:t xml:space="preserve"> 11). </w:t>
      </w:r>
    </w:p>
    <w:p w:rsidR="0086185C" w:rsidRPr="000F7862" w:rsidRDefault="003F7F57" w:rsidP="003F7F57">
      <w:pPr>
        <w:pStyle w:val="SingleTxtG"/>
        <w:rPr>
          <w:lang w:val="fr-FR"/>
        </w:rPr>
      </w:pPr>
      <w:r w:rsidRPr="000F7862">
        <w:rPr>
          <w:lang w:val="fr-FR"/>
        </w:rPr>
        <w:t>129.</w:t>
      </w:r>
      <w:r w:rsidRPr="000F7862">
        <w:rPr>
          <w:lang w:val="fr-FR"/>
        </w:rPr>
        <w:tab/>
      </w:r>
      <w:r w:rsidR="00517204" w:rsidRPr="000F7862">
        <w:rPr>
          <w:lang w:val="fr-FR"/>
        </w:rPr>
        <w:t xml:space="preserve">Entre </w:t>
      </w:r>
      <w:r w:rsidR="0086185C" w:rsidRPr="000F7862">
        <w:rPr>
          <w:lang w:val="fr-FR"/>
        </w:rPr>
        <w:t>2009</w:t>
      </w:r>
      <w:r w:rsidR="00517204" w:rsidRPr="000F7862">
        <w:rPr>
          <w:lang w:val="fr-FR"/>
        </w:rPr>
        <w:t xml:space="preserve"> et </w:t>
      </w:r>
      <w:r w:rsidR="0086185C" w:rsidRPr="000F7862">
        <w:rPr>
          <w:lang w:val="fr-FR"/>
        </w:rPr>
        <w:t xml:space="preserve">2012, </w:t>
      </w:r>
      <w:r w:rsidR="00517204" w:rsidRPr="000F7862">
        <w:rPr>
          <w:lang w:val="fr-FR"/>
        </w:rPr>
        <w:t>le Centre de sécurité du travail et de santé au travail a pu fournir les services techniques ci-après</w:t>
      </w:r>
      <w:r w:rsidR="0005004C" w:rsidRPr="000F7862">
        <w:rPr>
          <w:lang w:val="fr-FR"/>
        </w:rPr>
        <w:t>:</w:t>
      </w:r>
    </w:p>
    <w:p w:rsidR="0086185C" w:rsidRPr="000F7862" w:rsidRDefault="007960BB" w:rsidP="001C088C">
      <w:pPr>
        <w:pStyle w:val="SingleTxtG"/>
        <w:ind w:firstLine="567"/>
        <w:rPr>
          <w:lang w:val="fr-FR"/>
        </w:rPr>
      </w:pPr>
      <w:r w:rsidRPr="000F7862">
        <w:rPr>
          <w:lang w:val="fr-FR"/>
        </w:rPr>
        <w:t>a)</w:t>
      </w:r>
      <w:r w:rsidRPr="000F7862">
        <w:rPr>
          <w:lang w:val="fr-FR"/>
        </w:rPr>
        <w:tab/>
      </w:r>
      <w:r w:rsidR="005A48EE" w:rsidRPr="000F7862">
        <w:rPr>
          <w:lang w:val="fr-FR"/>
        </w:rPr>
        <w:t xml:space="preserve">Mesure du milieu de travail, dont ont bénéficié </w:t>
      </w:r>
      <w:r w:rsidR="0086185C" w:rsidRPr="000F7862">
        <w:rPr>
          <w:lang w:val="fr-FR"/>
        </w:rPr>
        <w:t>220</w:t>
      </w:r>
      <w:r w:rsidR="00863539" w:rsidRPr="000F7862">
        <w:rPr>
          <w:lang w:val="fr-FR"/>
        </w:rPr>
        <w:t> </w:t>
      </w:r>
      <w:r w:rsidR="0086185C" w:rsidRPr="000F7862">
        <w:rPr>
          <w:lang w:val="fr-FR"/>
        </w:rPr>
        <w:t xml:space="preserve">896 </w:t>
      </w:r>
      <w:r w:rsidR="005A48EE" w:rsidRPr="000F7862">
        <w:rPr>
          <w:lang w:val="fr-FR"/>
        </w:rPr>
        <w:t xml:space="preserve">salariés de </w:t>
      </w:r>
      <w:r w:rsidR="00863539" w:rsidRPr="000F7862">
        <w:rPr>
          <w:lang w:val="fr-FR"/>
        </w:rPr>
        <w:t>646 </w:t>
      </w:r>
      <w:r w:rsidR="005A48EE" w:rsidRPr="000F7862">
        <w:rPr>
          <w:lang w:val="fr-FR"/>
        </w:rPr>
        <w:t>entreprises</w:t>
      </w:r>
      <w:r w:rsidRPr="000F7862">
        <w:rPr>
          <w:lang w:val="fr-FR"/>
        </w:rPr>
        <w:t>;</w:t>
      </w:r>
    </w:p>
    <w:p w:rsidR="0086185C" w:rsidRPr="000F7862" w:rsidRDefault="007960BB" w:rsidP="001C088C">
      <w:pPr>
        <w:pStyle w:val="SingleTxtG"/>
        <w:ind w:firstLine="567"/>
        <w:rPr>
          <w:lang w:val="fr-FR"/>
        </w:rPr>
      </w:pPr>
      <w:r w:rsidRPr="000F7862">
        <w:rPr>
          <w:lang w:val="fr-FR"/>
        </w:rPr>
        <w:t>b)</w:t>
      </w:r>
      <w:r w:rsidRPr="000F7862">
        <w:rPr>
          <w:lang w:val="fr-FR"/>
        </w:rPr>
        <w:tab/>
      </w:r>
      <w:r w:rsidR="005A48EE" w:rsidRPr="000F7862">
        <w:rPr>
          <w:lang w:val="fr-FR"/>
        </w:rPr>
        <w:t xml:space="preserve">Essai </w:t>
      </w:r>
      <w:r w:rsidR="00384A09" w:rsidRPr="000F7862">
        <w:rPr>
          <w:lang w:val="fr-FR"/>
        </w:rPr>
        <w:t xml:space="preserve">de 4 608 </w:t>
      </w:r>
      <w:r w:rsidR="005A48EE" w:rsidRPr="000F7862">
        <w:rPr>
          <w:lang w:val="fr-FR"/>
        </w:rPr>
        <w:t>équipements de protection individuelle</w:t>
      </w:r>
      <w:r w:rsidRPr="000F7862">
        <w:rPr>
          <w:lang w:val="fr-FR"/>
        </w:rPr>
        <w:t>;</w:t>
      </w:r>
    </w:p>
    <w:p w:rsidR="0086185C" w:rsidRPr="000F7862" w:rsidRDefault="007960BB" w:rsidP="001C088C">
      <w:pPr>
        <w:pStyle w:val="SingleTxtG"/>
        <w:ind w:firstLine="567"/>
        <w:rPr>
          <w:lang w:val="fr-FR"/>
        </w:rPr>
      </w:pPr>
      <w:r w:rsidRPr="000F7862">
        <w:rPr>
          <w:lang w:val="fr-FR"/>
        </w:rPr>
        <w:t>c)</w:t>
      </w:r>
      <w:r w:rsidRPr="000F7862">
        <w:rPr>
          <w:lang w:val="fr-FR"/>
        </w:rPr>
        <w:tab/>
      </w:r>
      <w:r w:rsidR="00384A09" w:rsidRPr="000F7862">
        <w:rPr>
          <w:lang w:val="fr-FR"/>
        </w:rPr>
        <w:t xml:space="preserve">Examens de santé au travail </w:t>
      </w:r>
      <w:r w:rsidR="00A52180" w:rsidRPr="000F7862">
        <w:rPr>
          <w:lang w:val="fr-FR"/>
        </w:rPr>
        <w:t>–</w:t>
      </w:r>
      <w:r w:rsidR="0086185C" w:rsidRPr="000F7862">
        <w:rPr>
          <w:lang w:val="fr-FR"/>
        </w:rPr>
        <w:t xml:space="preserve"> 6</w:t>
      </w:r>
      <w:r w:rsidR="0092702A" w:rsidRPr="000F7862">
        <w:rPr>
          <w:lang w:val="fr-FR"/>
        </w:rPr>
        <w:t> </w:t>
      </w:r>
      <w:r w:rsidR="0086185C" w:rsidRPr="000F7862">
        <w:rPr>
          <w:lang w:val="fr-FR"/>
        </w:rPr>
        <w:t xml:space="preserve">586 </w:t>
      </w:r>
      <w:r w:rsidR="00384A09" w:rsidRPr="000F7862">
        <w:rPr>
          <w:lang w:val="fr-FR"/>
        </w:rPr>
        <w:t>tests de laboratoire</w:t>
      </w:r>
      <w:r w:rsidRPr="000F7862">
        <w:rPr>
          <w:lang w:val="fr-FR"/>
        </w:rPr>
        <w:t>;</w:t>
      </w:r>
    </w:p>
    <w:p w:rsidR="0086185C" w:rsidRPr="000F7862" w:rsidRDefault="007960BB" w:rsidP="001C088C">
      <w:pPr>
        <w:pStyle w:val="SingleTxtG"/>
        <w:ind w:firstLine="567"/>
        <w:rPr>
          <w:lang w:val="fr-FR"/>
        </w:rPr>
      </w:pPr>
      <w:r w:rsidRPr="000F7862">
        <w:rPr>
          <w:lang w:val="fr-FR"/>
        </w:rPr>
        <w:t>d)</w:t>
      </w:r>
      <w:r w:rsidRPr="000F7862">
        <w:rPr>
          <w:lang w:val="fr-FR"/>
        </w:rPr>
        <w:tab/>
      </w:r>
      <w:r w:rsidR="0086185C" w:rsidRPr="000F7862">
        <w:rPr>
          <w:lang w:val="fr-FR"/>
        </w:rPr>
        <w:t>Accr</w:t>
      </w:r>
      <w:r w:rsidR="00384A09" w:rsidRPr="000F7862">
        <w:rPr>
          <w:lang w:val="fr-FR"/>
        </w:rPr>
        <w:t>é</w:t>
      </w:r>
      <w:r w:rsidR="0086185C" w:rsidRPr="000F7862">
        <w:rPr>
          <w:lang w:val="fr-FR"/>
        </w:rPr>
        <w:t xml:space="preserve">ditation </w:t>
      </w:r>
      <w:r w:rsidR="00384A09" w:rsidRPr="000F7862">
        <w:rPr>
          <w:lang w:val="fr-FR"/>
        </w:rPr>
        <w:t>d</w:t>
      </w:r>
      <w:r w:rsidR="00120E2E" w:rsidRPr="000F7862">
        <w:rPr>
          <w:lang w:val="fr-FR"/>
        </w:rPr>
        <w:t>’</w:t>
      </w:r>
      <w:r w:rsidR="00384A09" w:rsidRPr="000F7862">
        <w:rPr>
          <w:lang w:val="fr-FR"/>
        </w:rPr>
        <w:t xml:space="preserve">organisations ou consultants spécialisés en formation en sécurité du travail et en santé au travail </w:t>
      </w:r>
      <w:r w:rsidR="0086185C" w:rsidRPr="000F7862">
        <w:rPr>
          <w:lang w:val="fr-FR"/>
        </w:rPr>
        <w:t>(</w:t>
      </w:r>
      <w:r w:rsidR="00384A09" w:rsidRPr="000F7862">
        <w:rPr>
          <w:lang w:val="fr-FR"/>
        </w:rPr>
        <w:t xml:space="preserve">depuis </w:t>
      </w:r>
      <w:r w:rsidR="0086185C" w:rsidRPr="000F7862">
        <w:rPr>
          <w:lang w:val="fr-FR"/>
        </w:rPr>
        <w:t xml:space="preserve">2011) </w:t>
      </w:r>
      <w:r w:rsidR="00A52180" w:rsidRPr="000F7862">
        <w:rPr>
          <w:lang w:val="fr-FR"/>
        </w:rPr>
        <w:t xml:space="preserve">– </w:t>
      </w:r>
      <w:r w:rsidR="00384A09" w:rsidRPr="000F7862">
        <w:rPr>
          <w:lang w:val="fr-FR"/>
        </w:rPr>
        <w:t>accréditation ou renouvellement d</w:t>
      </w:r>
      <w:r w:rsidR="00120E2E" w:rsidRPr="000F7862">
        <w:rPr>
          <w:lang w:val="fr-FR"/>
        </w:rPr>
        <w:t>’</w:t>
      </w:r>
      <w:r w:rsidR="00384A09" w:rsidRPr="000F7862">
        <w:rPr>
          <w:lang w:val="fr-FR"/>
        </w:rPr>
        <w:t>accréditation pour 25 organisations de formation</w:t>
      </w:r>
      <w:r w:rsidR="0086185C" w:rsidRPr="000F7862">
        <w:rPr>
          <w:lang w:val="fr-FR"/>
        </w:rPr>
        <w:t>/</w:t>
      </w:r>
      <w:r w:rsidR="00384A09" w:rsidRPr="000F7862">
        <w:rPr>
          <w:lang w:val="fr-FR"/>
        </w:rPr>
        <w:t xml:space="preserve">de conseils et </w:t>
      </w:r>
      <w:r w:rsidR="0086185C" w:rsidRPr="000F7862">
        <w:rPr>
          <w:lang w:val="fr-FR"/>
        </w:rPr>
        <w:t xml:space="preserve">60 </w:t>
      </w:r>
      <w:r w:rsidR="00384A09" w:rsidRPr="000F7862">
        <w:rPr>
          <w:lang w:val="fr-FR"/>
        </w:rPr>
        <w:t>c</w:t>
      </w:r>
      <w:r w:rsidR="0086185C" w:rsidRPr="000F7862">
        <w:rPr>
          <w:lang w:val="fr-FR"/>
        </w:rPr>
        <w:t>onsultants.</w:t>
      </w:r>
    </w:p>
    <w:p w:rsidR="0086185C" w:rsidRPr="000F7862" w:rsidRDefault="003F7F57" w:rsidP="003F7F57">
      <w:pPr>
        <w:pStyle w:val="SingleTxtG"/>
        <w:rPr>
          <w:lang w:val="fr-FR"/>
        </w:rPr>
      </w:pPr>
      <w:r w:rsidRPr="000F7862">
        <w:rPr>
          <w:lang w:val="fr-FR"/>
        </w:rPr>
        <w:t>130.</w:t>
      </w:r>
      <w:r w:rsidRPr="000F7862">
        <w:rPr>
          <w:lang w:val="fr-FR"/>
        </w:rPr>
        <w:tab/>
      </w:r>
      <w:r w:rsidR="00384A09" w:rsidRPr="000F7862">
        <w:rPr>
          <w:lang w:val="fr-FR"/>
        </w:rPr>
        <w:t xml:space="preserve">Le Centre a réalisé </w:t>
      </w:r>
      <w:r w:rsidR="0086185C" w:rsidRPr="000F7862">
        <w:rPr>
          <w:lang w:val="fr-FR"/>
        </w:rPr>
        <w:t xml:space="preserve">15 </w:t>
      </w:r>
      <w:r w:rsidR="00384A09" w:rsidRPr="000F7862">
        <w:rPr>
          <w:lang w:val="fr-FR"/>
        </w:rPr>
        <w:t xml:space="preserve">études en sécurité du travail et en santé au travail entre </w:t>
      </w:r>
      <w:r w:rsidR="0086185C" w:rsidRPr="000F7862">
        <w:rPr>
          <w:lang w:val="fr-FR"/>
        </w:rPr>
        <w:t>2009</w:t>
      </w:r>
      <w:r w:rsidR="00384A09" w:rsidRPr="000F7862">
        <w:rPr>
          <w:lang w:val="fr-FR"/>
        </w:rPr>
        <w:t xml:space="preserve"> et </w:t>
      </w:r>
      <w:r w:rsidR="0086185C" w:rsidRPr="000F7862">
        <w:rPr>
          <w:lang w:val="fr-FR"/>
        </w:rPr>
        <w:t xml:space="preserve">2012. </w:t>
      </w:r>
      <w:r w:rsidR="00384A09" w:rsidRPr="000F7862">
        <w:rPr>
          <w:lang w:val="fr-FR"/>
        </w:rPr>
        <w:t>Il en a actuellement trois autres en chantier</w:t>
      </w:r>
      <w:r w:rsidR="0086185C" w:rsidRPr="000F7862">
        <w:rPr>
          <w:lang w:val="fr-FR"/>
        </w:rPr>
        <w:t>.</w:t>
      </w:r>
    </w:p>
    <w:p w:rsidR="0086185C" w:rsidRPr="000F7862" w:rsidRDefault="003F7F57" w:rsidP="003F7F57">
      <w:pPr>
        <w:pStyle w:val="SingleTxtG"/>
        <w:rPr>
          <w:u w:color="0000FF"/>
          <w:lang w:val="fr-FR"/>
        </w:rPr>
      </w:pPr>
      <w:r w:rsidRPr="000F7862">
        <w:rPr>
          <w:u w:color="0000FF"/>
          <w:lang w:val="fr-FR"/>
        </w:rPr>
        <w:t>131.</w:t>
      </w:r>
      <w:r w:rsidRPr="000F7862">
        <w:rPr>
          <w:u w:color="0000FF"/>
          <w:lang w:val="fr-FR"/>
        </w:rPr>
        <w:tab/>
      </w:r>
      <w:r w:rsidR="00384A09" w:rsidRPr="000F7862">
        <w:rPr>
          <w:u w:color="0000FF"/>
          <w:lang w:val="fr-FR"/>
        </w:rPr>
        <w:t xml:space="preserve">Dans le cadre du projet </w:t>
      </w:r>
      <w:r w:rsidR="0086185C" w:rsidRPr="000F7862">
        <w:rPr>
          <w:u w:color="0000FF"/>
          <w:lang w:val="fr-FR"/>
        </w:rPr>
        <w:t xml:space="preserve">GREAT Women, </w:t>
      </w:r>
      <w:r w:rsidR="00384A09" w:rsidRPr="000F7862">
        <w:rPr>
          <w:u w:color="0000FF"/>
          <w:lang w:val="fr-FR"/>
        </w:rPr>
        <w:t>le Ministère du travail et de l</w:t>
      </w:r>
      <w:r w:rsidR="00120E2E" w:rsidRPr="000F7862">
        <w:rPr>
          <w:u w:color="0000FF"/>
          <w:lang w:val="fr-FR"/>
        </w:rPr>
        <w:t>’</w:t>
      </w:r>
      <w:r w:rsidR="00384A09" w:rsidRPr="000F7862">
        <w:rPr>
          <w:u w:color="0000FF"/>
          <w:lang w:val="fr-FR"/>
        </w:rPr>
        <w:t xml:space="preserve">emploi </w:t>
      </w:r>
      <w:r w:rsidR="00FC6724" w:rsidRPr="000F7862">
        <w:rPr>
          <w:u w:color="0000FF"/>
          <w:lang w:val="fr-FR"/>
        </w:rPr>
        <w:t>a inclus le secteur non structuré dans ses</w:t>
      </w:r>
      <w:r w:rsidR="0086185C" w:rsidRPr="000F7862">
        <w:rPr>
          <w:u w:color="0000FF"/>
          <w:lang w:val="fr-FR"/>
        </w:rPr>
        <w:t xml:space="preserve"> </w:t>
      </w:r>
      <w:r w:rsidR="00867E43" w:rsidRPr="000F7862">
        <w:rPr>
          <w:u w:color="0000FF"/>
          <w:lang w:val="fr-FR"/>
        </w:rPr>
        <w:t>programmes</w:t>
      </w:r>
      <w:r w:rsidR="0086185C" w:rsidRPr="000F7862">
        <w:rPr>
          <w:u w:color="0000FF"/>
          <w:lang w:val="fr-FR"/>
        </w:rPr>
        <w:t xml:space="preserve"> </w:t>
      </w:r>
      <w:r w:rsidR="00FC6724" w:rsidRPr="000F7862">
        <w:rPr>
          <w:u w:color="0000FF"/>
          <w:lang w:val="fr-FR"/>
        </w:rPr>
        <w:t xml:space="preserve">relatifs à la </w:t>
      </w:r>
      <w:r w:rsidR="00FC6724" w:rsidRPr="000F7862">
        <w:rPr>
          <w:lang w:val="fr-FR"/>
        </w:rPr>
        <w:t>sécurité du travail et à la santé au travail</w:t>
      </w:r>
      <w:r w:rsidR="0086185C" w:rsidRPr="000F7862">
        <w:rPr>
          <w:u w:color="0000FF"/>
          <w:lang w:val="fr-FR"/>
        </w:rPr>
        <w:t>.</w:t>
      </w:r>
      <w:r w:rsidR="00446EA5" w:rsidRPr="000F7862">
        <w:rPr>
          <w:u w:color="0000FF"/>
          <w:lang w:val="fr-FR"/>
        </w:rPr>
        <w:t xml:space="preserve"> </w:t>
      </w:r>
      <w:r w:rsidR="00FC6724" w:rsidRPr="000F7862">
        <w:rPr>
          <w:u w:color="0000FF"/>
          <w:lang w:val="fr-FR"/>
        </w:rPr>
        <w:t>La formation qu</w:t>
      </w:r>
      <w:r w:rsidR="00120E2E" w:rsidRPr="000F7862">
        <w:rPr>
          <w:u w:color="0000FF"/>
          <w:lang w:val="fr-FR"/>
        </w:rPr>
        <w:t>’</w:t>
      </w:r>
      <w:r w:rsidR="00FC6724" w:rsidRPr="000F7862">
        <w:rPr>
          <w:u w:color="0000FF"/>
          <w:lang w:val="fr-FR"/>
        </w:rPr>
        <w:t xml:space="preserve">il dispense en la matière est notamment destinée aux </w:t>
      </w:r>
      <w:r w:rsidR="0092702A" w:rsidRPr="000F7862">
        <w:rPr>
          <w:u w:color="0000FF"/>
          <w:lang w:val="fr-FR"/>
        </w:rPr>
        <w:t>microentre</w:t>
      </w:r>
      <w:r w:rsidR="0086185C" w:rsidRPr="000F7862">
        <w:rPr>
          <w:u w:color="0000FF"/>
          <w:lang w:val="fr-FR"/>
        </w:rPr>
        <w:t xml:space="preserve">prises </w:t>
      </w:r>
      <w:r w:rsidR="00FC6724" w:rsidRPr="000F7862">
        <w:rPr>
          <w:u w:color="0000FF"/>
          <w:lang w:val="fr-FR"/>
        </w:rPr>
        <w:t>des femmes micro</w:t>
      </w:r>
      <w:r w:rsidR="0086185C" w:rsidRPr="000F7862">
        <w:rPr>
          <w:u w:color="0000FF"/>
          <w:lang w:val="fr-FR"/>
        </w:rPr>
        <w:t xml:space="preserve">entrepreneurs. </w:t>
      </w:r>
    </w:p>
    <w:p w:rsidR="0086185C" w:rsidRPr="000F7862" w:rsidRDefault="0092702A" w:rsidP="0092702A">
      <w:pPr>
        <w:pStyle w:val="H23G"/>
        <w:rPr>
          <w:lang w:val="fr-FR"/>
        </w:rPr>
      </w:pPr>
      <w:r w:rsidRPr="000F7862">
        <w:rPr>
          <w:lang w:val="fr-FR"/>
        </w:rPr>
        <w:tab/>
      </w:r>
      <w:r w:rsidRPr="000F7862">
        <w:rPr>
          <w:lang w:val="fr-FR"/>
        </w:rPr>
        <w:tab/>
      </w:r>
      <w:r w:rsidR="00023B74" w:rsidRPr="000F7862">
        <w:rPr>
          <w:lang w:val="fr-FR"/>
        </w:rPr>
        <w:t>D</w:t>
      </w:r>
      <w:r w:rsidR="0086185C" w:rsidRPr="000F7862">
        <w:rPr>
          <w:lang w:val="fr-FR"/>
        </w:rPr>
        <w:t xml:space="preserve">issolution </w:t>
      </w:r>
      <w:r w:rsidR="00FC6724" w:rsidRPr="000F7862">
        <w:rPr>
          <w:lang w:val="fr-FR"/>
        </w:rPr>
        <w:t xml:space="preserve">du mariage </w:t>
      </w:r>
    </w:p>
    <w:p w:rsidR="0086185C" w:rsidRPr="000F7862" w:rsidRDefault="003F7F57" w:rsidP="003F7F57">
      <w:pPr>
        <w:pStyle w:val="SingleTxtG"/>
        <w:rPr>
          <w:lang w:val="fr-FR"/>
        </w:rPr>
      </w:pPr>
      <w:r w:rsidRPr="000F7862">
        <w:rPr>
          <w:lang w:val="fr-FR"/>
        </w:rPr>
        <w:t>132.</w:t>
      </w:r>
      <w:r w:rsidRPr="000F7862">
        <w:rPr>
          <w:lang w:val="fr-FR"/>
        </w:rPr>
        <w:tab/>
      </w:r>
      <w:r w:rsidR="000B34A5" w:rsidRPr="000F7862">
        <w:rPr>
          <w:lang w:val="fr-FR"/>
        </w:rPr>
        <w:t xml:space="preserve">À propos de la question de la </w:t>
      </w:r>
      <w:r w:rsidR="0086185C" w:rsidRPr="000F7862">
        <w:rPr>
          <w:lang w:val="fr-FR"/>
        </w:rPr>
        <w:t xml:space="preserve">dissolution </w:t>
      </w:r>
      <w:r w:rsidR="000B34A5" w:rsidRPr="000F7862">
        <w:rPr>
          <w:lang w:val="fr-FR"/>
        </w:rPr>
        <w:t>du mariage, le Code de la famille a prévu des voies de recours telles que la déclaration de nullité</w:t>
      </w:r>
      <w:r w:rsidR="0086185C" w:rsidRPr="000F7862">
        <w:rPr>
          <w:lang w:val="fr-FR"/>
        </w:rPr>
        <w:t xml:space="preserve">, </w:t>
      </w:r>
      <w:r w:rsidR="000B34A5" w:rsidRPr="000F7862">
        <w:rPr>
          <w:lang w:val="fr-FR"/>
        </w:rPr>
        <w:t>l</w:t>
      </w:r>
      <w:r w:rsidR="00120E2E" w:rsidRPr="000F7862">
        <w:rPr>
          <w:lang w:val="fr-FR"/>
        </w:rPr>
        <w:t>’</w:t>
      </w:r>
      <w:r w:rsidR="0086185C" w:rsidRPr="000F7862">
        <w:rPr>
          <w:lang w:val="fr-FR"/>
        </w:rPr>
        <w:t>annul</w:t>
      </w:r>
      <w:r w:rsidR="000B34A5" w:rsidRPr="000F7862">
        <w:rPr>
          <w:lang w:val="fr-FR"/>
        </w:rPr>
        <w:t xml:space="preserve">ation et </w:t>
      </w:r>
      <w:r w:rsidR="00FB2F1C" w:rsidRPr="000F7862">
        <w:rPr>
          <w:lang w:val="fr-FR"/>
        </w:rPr>
        <w:t>la séparation de corps</w:t>
      </w:r>
      <w:r w:rsidR="0086185C" w:rsidRPr="000F7862">
        <w:rPr>
          <w:lang w:val="fr-FR"/>
        </w:rPr>
        <w:t xml:space="preserve"> (</w:t>
      </w:r>
      <w:r w:rsidR="0005004C" w:rsidRPr="000F7862">
        <w:rPr>
          <w:lang w:val="fr-FR"/>
        </w:rPr>
        <w:t>«</w:t>
      </w:r>
      <w:r w:rsidR="00FB2F1C" w:rsidRPr="000F7862">
        <w:rPr>
          <w:lang w:val="fr-FR"/>
        </w:rPr>
        <w:t xml:space="preserve">divorce </w:t>
      </w:r>
      <w:r w:rsidR="0086185C" w:rsidRPr="000F7862">
        <w:rPr>
          <w:lang w:val="fr-FR"/>
        </w:rPr>
        <w:t>relati</w:t>
      </w:r>
      <w:r w:rsidR="00FB2F1C" w:rsidRPr="000F7862">
        <w:rPr>
          <w:lang w:val="fr-FR"/>
        </w:rPr>
        <w:t>f</w:t>
      </w:r>
      <w:r w:rsidR="0005004C" w:rsidRPr="000F7862">
        <w:rPr>
          <w:lang w:val="fr-FR"/>
        </w:rPr>
        <w:t>»</w:t>
      </w:r>
      <w:r w:rsidR="0086185C" w:rsidRPr="000F7862">
        <w:rPr>
          <w:lang w:val="fr-FR"/>
        </w:rPr>
        <w:t>).</w:t>
      </w:r>
      <w:r w:rsidR="00446EA5" w:rsidRPr="000F7862">
        <w:rPr>
          <w:lang w:val="fr-FR"/>
        </w:rPr>
        <w:t xml:space="preserve"> </w:t>
      </w:r>
    </w:p>
    <w:p w:rsidR="0086185C" w:rsidRPr="000F7862" w:rsidRDefault="003F7F57" w:rsidP="003F7F57">
      <w:pPr>
        <w:pStyle w:val="SingleTxtG"/>
        <w:rPr>
          <w:lang w:val="fr-FR"/>
        </w:rPr>
      </w:pPr>
      <w:r w:rsidRPr="000F7862">
        <w:rPr>
          <w:lang w:val="fr-FR"/>
        </w:rPr>
        <w:t>133.</w:t>
      </w:r>
      <w:r w:rsidRPr="000F7862">
        <w:rPr>
          <w:lang w:val="fr-FR"/>
        </w:rPr>
        <w:tab/>
      </w:r>
      <w:r w:rsidR="002770FA" w:rsidRPr="000F7862">
        <w:rPr>
          <w:lang w:val="fr-FR"/>
        </w:rPr>
        <w:t xml:space="preserve">Le Congrès a été saisi de projets de loi tendant à introduire le </w:t>
      </w:r>
      <w:r w:rsidR="0086185C" w:rsidRPr="000F7862">
        <w:rPr>
          <w:lang w:val="fr-FR"/>
        </w:rPr>
        <w:t xml:space="preserve">divorce </w:t>
      </w:r>
      <w:r w:rsidR="002770FA" w:rsidRPr="000F7862">
        <w:rPr>
          <w:lang w:val="fr-FR"/>
        </w:rPr>
        <w:t>en tant qu</w:t>
      </w:r>
      <w:r w:rsidR="00120E2E" w:rsidRPr="000F7862">
        <w:rPr>
          <w:lang w:val="fr-FR"/>
        </w:rPr>
        <w:t>’</w:t>
      </w:r>
      <w:r w:rsidR="002770FA" w:rsidRPr="000F7862">
        <w:rPr>
          <w:lang w:val="fr-FR"/>
        </w:rPr>
        <w:t xml:space="preserve">option supplémentaire pour les </w:t>
      </w:r>
      <w:r w:rsidR="0086185C" w:rsidRPr="000F7862">
        <w:rPr>
          <w:lang w:val="fr-FR"/>
        </w:rPr>
        <w:t xml:space="preserve">couples </w:t>
      </w:r>
      <w:r w:rsidR="002770FA" w:rsidRPr="000F7862">
        <w:rPr>
          <w:lang w:val="fr-FR"/>
        </w:rPr>
        <w:t xml:space="preserve">dont le mariage est un échec irrémédiable, à modifier les dispositions du Code de la famille relatives à la séparation de corps en insérant une nouvelle disposition sur le </w:t>
      </w:r>
      <w:r w:rsidR="0086185C" w:rsidRPr="000F7862">
        <w:rPr>
          <w:lang w:val="fr-FR"/>
        </w:rPr>
        <w:t xml:space="preserve">divorce, </w:t>
      </w:r>
      <w:r w:rsidR="002770FA" w:rsidRPr="000F7862">
        <w:rPr>
          <w:lang w:val="fr-FR"/>
        </w:rPr>
        <w:t xml:space="preserve">et à instituer le </w:t>
      </w:r>
      <w:r w:rsidR="0086185C" w:rsidRPr="000F7862">
        <w:rPr>
          <w:lang w:val="fr-FR"/>
        </w:rPr>
        <w:t xml:space="preserve">divorce </w:t>
      </w:r>
      <w:r w:rsidR="002770FA" w:rsidRPr="000F7862">
        <w:rPr>
          <w:lang w:val="fr-FR"/>
        </w:rPr>
        <w:t>en tant que mesure qui rompe les liens du mariage non pas nécessairement dans le but d</w:t>
      </w:r>
      <w:r w:rsidR="00120E2E" w:rsidRPr="000F7862">
        <w:rPr>
          <w:lang w:val="fr-FR"/>
        </w:rPr>
        <w:t>’</w:t>
      </w:r>
      <w:r w:rsidR="002770FA" w:rsidRPr="000F7862">
        <w:rPr>
          <w:lang w:val="fr-FR"/>
        </w:rPr>
        <w:t>un remariage, mais afin de pouvoir retrouver la paix et la sérénité et s</w:t>
      </w:r>
      <w:r w:rsidR="00120E2E" w:rsidRPr="000F7862">
        <w:rPr>
          <w:lang w:val="fr-FR"/>
        </w:rPr>
        <w:t>’</w:t>
      </w:r>
      <w:r w:rsidR="002770FA" w:rsidRPr="000F7862">
        <w:rPr>
          <w:lang w:val="fr-FR"/>
        </w:rPr>
        <w:t>épanouir pleine</w:t>
      </w:r>
      <w:r w:rsidR="0086185C" w:rsidRPr="000F7862">
        <w:rPr>
          <w:lang w:val="fr-FR"/>
        </w:rPr>
        <w:t>me</w:t>
      </w:r>
      <w:r w:rsidR="002770FA" w:rsidRPr="000F7862">
        <w:rPr>
          <w:lang w:val="fr-FR"/>
        </w:rPr>
        <w:t>nt au plan humain</w:t>
      </w:r>
      <w:r w:rsidR="0086185C" w:rsidRPr="000F7862">
        <w:rPr>
          <w:lang w:val="fr-FR"/>
        </w:rPr>
        <w:t xml:space="preserve">. </w:t>
      </w:r>
    </w:p>
    <w:p w:rsidR="0086185C" w:rsidRPr="000F7862" w:rsidRDefault="003F7F57" w:rsidP="003F7F57">
      <w:pPr>
        <w:pStyle w:val="SingleTxtG"/>
        <w:rPr>
          <w:lang w:val="fr-FR"/>
        </w:rPr>
      </w:pPr>
      <w:r w:rsidRPr="000F7862">
        <w:rPr>
          <w:lang w:val="fr-FR"/>
        </w:rPr>
        <w:t>134.</w:t>
      </w:r>
      <w:r w:rsidRPr="000F7862">
        <w:rPr>
          <w:lang w:val="fr-FR"/>
        </w:rPr>
        <w:tab/>
      </w:r>
      <w:r w:rsidR="00AE7D49" w:rsidRPr="000F7862">
        <w:rPr>
          <w:lang w:val="fr-FR"/>
        </w:rPr>
        <w:t>Dans l</w:t>
      </w:r>
      <w:r w:rsidR="00120E2E" w:rsidRPr="000F7862">
        <w:rPr>
          <w:lang w:val="fr-FR"/>
        </w:rPr>
        <w:t>’</w:t>
      </w:r>
      <w:r w:rsidR="00AE7D49" w:rsidRPr="000F7862">
        <w:rPr>
          <w:lang w:val="fr-FR"/>
        </w:rPr>
        <w:t>arrêt qu</w:t>
      </w:r>
      <w:r w:rsidR="00120E2E" w:rsidRPr="000F7862">
        <w:rPr>
          <w:lang w:val="fr-FR"/>
        </w:rPr>
        <w:t>’</w:t>
      </w:r>
      <w:r w:rsidR="00AE7D49" w:rsidRPr="000F7862">
        <w:rPr>
          <w:lang w:val="fr-FR"/>
        </w:rPr>
        <w:t>elle a rendu le 5 octobre 2005 dans l</w:t>
      </w:r>
      <w:r w:rsidR="00120E2E" w:rsidRPr="000F7862">
        <w:rPr>
          <w:lang w:val="fr-FR"/>
        </w:rPr>
        <w:t>’</w:t>
      </w:r>
      <w:r w:rsidR="00AE7D49" w:rsidRPr="000F7862">
        <w:rPr>
          <w:lang w:val="fr-FR"/>
        </w:rPr>
        <w:t xml:space="preserve">affaire </w:t>
      </w:r>
      <w:r w:rsidR="00AE7D49" w:rsidRPr="000F7862">
        <w:rPr>
          <w:i/>
          <w:iCs/>
          <w:lang w:val="fr-FR"/>
        </w:rPr>
        <w:t xml:space="preserve">République des Philippines </w:t>
      </w:r>
      <w:r w:rsidR="00AE7D49" w:rsidRPr="000F7862">
        <w:rPr>
          <w:lang w:val="fr-FR"/>
        </w:rPr>
        <w:t>c.</w:t>
      </w:r>
      <w:r w:rsidR="00AE7D49" w:rsidRPr="000F7862">
        <w:rPr>
          <w:i/>
          <w:iCs/>
          <w:lang w:val="fr-FR"/>
        </w:rPr>
        <w:t xml:space="preserve"> Cipriano Orbecido III</w:t>
      </w:r>
      <w:r w:rsidR="00AE7D49" w:rsidRPr="000F7862">
        <w:rPr>
          <w:lang w:val="fr-FR"/>
        </w:rPr>
        <w:t xml:space="preserve">, G.R. </w:t>
      </w:r>
      <w:r w:rsidR="00730F8F" w:rsidRPr="000F7862">
        <w:rPr>
          <w:lang w:val="fr-FR"/>
        </w:rPr>
        <w:t>n</w:t>
      </w:r>
      <w:r w:rsidR="00730F8F" w:rsidRPr="000F7862">
        <w:rPr>
          <w:vertAlign w:val="superscript"/>
          <w:lang w:val="fr-FR"/>
        </w:rPr>
        <w:t>o</w:t>
      </w:r>
      <w:r w:rsidR="00730F8F" w:rsidRPr="000F7862">
        <w:rPr>
          <w:lang w:val="fr-FR"/>
        </w:rPr>
        <w:t> </w:t>
      </w:r>
      <w:r w:rsidR="00AE7D49" w:rsidRPr="000F7862">
        <w:rPr>
          <w:lang w:val="fr-FR"/>
        </w:rPr>
        <w:t>154380, la Cour suprême a décidé à l</w:t>
      </w:r>
      <w:r w:rsidR="00120E2E" w:rsidRPr="000F7862">
        <w:rPr>
          <w:lang w:val="fr-FR"/>
        </w:rPr>
        <w:t>’</w:t>
      </w:r>
      <w:r w:rsidR="00AE7D49" w:rsidRPr="000F7862">
        <w:rPr>
          <w:lang w:val="fr-FR"/>
        </w:rPr>
        <w:t>unanimité que le p</w:t>
      </w:r>
      <w:r w:rsidR="00B63BFB" w:rsidRPr="000F7862">
        <w:rPr>
          <w:lang w:val="fr-FR"/>
        </w:rPr>
        <w:t>aragraph</w:t>
      </w:r>
      <w:r w:rsidR="00AE7D49" w:rsidRPr="000F7862">
        <w:rPr>
          <w:lang w:val="fr-FR"/>
        </w:rPr>
        <w:t>e</w:t>
      </w:r>
      <w:r w:rsidR="00B63BFB" w:rsidRPr="000F7862">
        <w:rPr>
          <w:lang w:val="fr-FR"/>
        </w:rPr>
        <w:t> </w:t>
      </w:r>
      <w:r w:rsidR="0086185C" w:rsidRPr="000F7862">
        <w:rPr>
          <w:lang w:val="fr-FR"/>
        </w:rPr>
        <w:t xml:space="preserve">2 </w:t>
      </w:r>
      <w:r w:rsidR="00AE7D49" w:rsidRPr="000F7862">
        <w:rPr>
          <w:lang w:val="fr-FR"/>
        </w:rPr>
        <w:t>de l</w:t>
      </w:r>
      <w:r w:rsidR="00120E2E" w:rsidRPr="000F7862">
        <w:rPr>
          <w:lang w:val="fr-FR"/>
        </w:rPr>
        <w:t>’</w:t>
      </w:r>
      <w:r w:rsidR="001C088C" w:rsidRPr="000F7862">
        <w:rPr>
          <w:lang w:val="fr-FR"/>
        </w:rPr>
        <w:t>a</w:t>
      </w:r>
      <w:r w:rsidR="00B63BFB" w:rsidRPr="000F7862">
        <w:rPr>
          <w:lang w:val="fr-FR"/>
        </w:rPr>
        <w:t>rticle </w:t>
      </w:r>
      <w:r w:rsidR="0086185C" w:rsidRPr="000F7862">
        <w:rPr>
          <w:lang w:val="fr-FR"/>
        </w:rPr>
        <w:t xml:space="preserve">26 </w:t>
      </w:r>
      <w:r w:rsidR="00AE7D49" w:rsidRPr="000F7862">
        <w:rPr>
          <w:lang w:val="fr-FR"/>
        </w:rPr>
        <w:t>du Code de la famille devait être interprété comme autorisant un citoyen philippin dont le conjoint avait obtenu le divorce et acquis la nationalité d</w:t>
      </w:r>
      <w:r w:rsidR="00120E2E" w:rsidRPr="000F7862">
        <w:rPr>
          <w:lang w:val="fr-FR"/>
        </w:rPr>
        <w:t>’</w:t>
      </w:r>
      <w:r w:rsidR="00AE7D49" w:rsidRPr="000F7862">
        <w:rPr>
          <w:lang w:val="fr-FR"/>
        </w:rPr>
        <w:t>un pays étranger et s</w:t>
      </w:r>
      <w:r w:rsidR="00120E2E" w:rsidRPr="000F7862">
        <w:rPr>
          <w:lang w:val="fr-FR"/>
        </w:rPr>
        <w:t>’</w:t>
      </w:r>
      <w:r w:rsidR="00AE7D49" w:rsidRPr="000F7862">
        <w:rPr>
          <w:lang w:val="fr-FR"/>
        </w:rPr>
        <w:t xml:space="preserve">était remarié à se remarier lui-même. </w:t>
      </w:r>
    </w:p>
    <w:p w:rsidR="0086185C" w:rsidRPr="000F7862" w:rsidRDefault="003F7F57" w:rsidP="003F7F57">
      <w:pPr>
        <w:pStyle w:val="SingleTxtG"/>
        <w:rPr>
          <w:lang w:val="fr-FR"/>
        </w:rPr>
      </w:pPr>
      <w:r w:rsidRPr="000F7862">
        <w:rPr>
          <w:lang w:val="fr-FR"/>
        </w:rPr>
        <w:t>135.</w:t>
      </w:r>
      <w:r w:rsidRPr="000F7862">
        <w:rPr>
          <w:lang w:val="fr-FR"/>
        </w:rPr>
        <w:tab/>
      </w:r>
      <w:r w:rsidR="00AE7D49" w:rsidRPr="000F7862">
        <w:rPr>
          <w:lang w:val="fr-FR"/>
        </w:rPr>
        <w:t xml:space="preserve">Dans le cas des familles à faibles revenus, les </w:t>
      </w:r>
      <w:r w:rsidR="0086185C" w:rsidRPr="000F7862">
        <w:rPr>
          <w:lang w:val="fr-FR"/>
        </w:rPr>
        <w:t xml:space="preserve">parties </w:t>
      </w:r>
      <w:r w:rsidR="00AE7D49" w:rsidRPr="000F7862">
        <w:rPr>
          <w:lang w:val="fr-FR"/>
        </w:rPr>
        <w:t>demandant l</w:t>
      </w:r>
      <w:r w:rsidR="00120E2E" w:rsidRPr="000F7862">
        <w:rPr>
          <w:lang w:val="fr-FR"/>
        </w:rPr>
        <w:t>’</w:t>
      </w:r>
      <w:r w:rsidR="00AE7D49" w:rsidRPr="000F7862">
        <w:rPr>
          <w:lang w:val="fr-FR"/>
        </w:rPr>
        <w:t xml:space="preserve">annulation de leur mariage peuvent avoir recours aux services juridiques gratuits offerts </w:t>
      </w:r>
      <w:r w:rsidR="00856B10" w:rsidRPr="000F7862">
        <w:rPr>
          <w:lang w:val="fr-FR"/>
        </w:rPr>
        <w:t xml:space="preserve">notamment </w:t>
      </w:r>
      <w:r w:rsidR="00AE7D49" w:rsidRPr="000F7862">
        <w:rPr>
          <w:lang w:val="fr-FR"/>
        </w:rPr>
        <w:t xml:space="preserve">par le Barreau intégré des Philippines, </w:t>
      </w:r>
      <w:r w:rsidR="00856B10" w:rsidRPr="000F7862">
        <w:rPr>
          <w:lang w:val="fr-FR"/>
        </w:rPr>
        <w:t>le Centre juridique de l</w:t>
      </w:r>
      <w:r w:rsidR="00120E2E" w:rsidRPr="000F7862">
        <w:rPr>
          <w:lang w:val="fr-FR"/>
        </w:rPr>
        <w:t>’</w:t>
      </w:r>
      <w:r w:rsidR="00856B10" w:rsidRPr="000F7862">
        <w:rPr>
          <w:lang w:val="fr-FR"/>
        </w:rPr>
        <w:t xml:space="preserve">Université des Philippines, </w:t>
      </w:r>
      <w:r w:rsidR="00AE7D49" w:rsidRPr="000F7862">
        <w:rPr>
          <w:lang w:val="fr-FR"/>
        </w:rPr>
        <w:t>le Centre des droits de l</w:t>
      </w:r>
      <w:r w:rsidR="00120E2E" w:rsidRPr="000F7862">
        <w:rPr>
          <w:lang w:val="fr-FR"/>
        </w:rPr>
        <w:t>’</w:t>
      </w:r>
      <w:r w:rsidR="00AE7D49" w:rsidRPr="000F7862">
        <w:rPr>
          <w:lang w:val="fr-FR"/>
        </w:rPr>
        <w:t>homme de l</w:t>
      </w:r>
      <w:r w:rsidR="00120E2E" w:rsidRPr="000F7862">
        <w:rPr>
          <w:lang w:val="fr-FR"/>
        </w:rPr>
        <w:t>’</w:t>
      </w:r>
      <w:r w:rsidR="00AE7D49" w:rsidRPr="000F7862">
        <w:rPr>
          <w:lang w:val="fr-FR"/>
        </w:rPr>
        <w:t>Ateneo et le Bureau du procureur</w:t>
      </w:r>
      <w:r w:rsidR="0086185C" w:rsidRPr="000F7862">
        <w:rPr>
          <w:lang w:val="fr-FR"/>
        </w:rPr>
        <w:t>.</w:t>
      </w:r>
    </w:p>
    <w:p w:rsidR="0086185C" w:rsidRPr="000F7862" w:rsidRDefault="003F7F57" w:rsidP="003F7F57">
      <w:pPr>
        <w:pStyle w:val="SingleTxtG"/>
        <w:rPr>
          <w:lang w:val="fr-FR"/>
        </w:rPr>
      </w:pPr>
      <w:r w:rsidRPr="000F7862">
        <w:rPr>
          <w:lang w:val="fr-FR"/>
        </w:rPr>
        <w:t>136.</w:t>
      </w:r>
      <w:r w:rsidRPr="000F7862">
        <w:rPr>
          <w:lang w:val="fr-FR"/>
        </w:rPr>
        <w:tab/>
      </w:r>
      <w:r w:rsidR="00856B10" w:rsidRPr="000F7862">
        <w:rPr>
          <w:lang w:val="fr-FR"/>
        </w:rPr>
        <w:t xml:space="preserve">Les mesures prises par le Ministère de la protection sociale et du développement </w:t>
      </w:r>
      <w:r w:rsidR="00F538E2" w:rsidRPr="000F7862">
        <w:rPr>
          <w:lang w:val="fr-FR"/>
        </w:rPr>
        <w:t>dans le cas d</w:t>
      </w:r>
      <w:r w:rsidR="00120E2E" w:rsidRPr="000F7862">
        <w:rPr>
          <w:lang w:val="fr-FR"/>
        </w:rPr>
        <w:t>’</w:t>
      </w:r>
      <w:r w:rsidR="00F538E2" w:rsidRPr="000F7862">
        <w:rPr>
          <w:lang w:val="fr-FR"/>
        </w:rPr>
        <w:t>une séparation informelle et garantissant l</w:t>
      </w:r>
      <w:r w:rsidR="00120E2E" w:rsidRPr="000F7862">
        <w:rPr>
          <w:lang w:val="fr-FR"/>
        </w:rPr>
        <w:t>’</w:t>
      </w:r>
      <w:r w:rsidR="00F538E2" w:rsidRPr="000F7862">
        <w:rPr>
          <w:lang w:val="fr-FR"/>
        </w:rPr>
        <w:t>enregistrement des enfants à la naissance sont les suivantes</w:t>
      </w:r>
      <w:r w:rsidR="0005004C" w:rsidRPr="000F7862">
        <w:rPr>
          <w:lang w:val="fr-FR"/>
        </w:rPr>
        <w:t>:</w:t>
      </w:r>
      <w:r w:rsidR="00F538E2" w:rsidRPr="000F7862">
        <w:rPr>
          <w:lang w:val="fr-FR"/>
        </w:rPr>
        <w:t xml:space="preserve"> mesure de protection de remplacement par le biais d</w:t>
      </w:r>
      <w:r w:rsidR="00120E2E" w:rsidRPr="000F7862">
        <w:rPr>
          <w:lang w:val="fr-FR"/>
        </w:rPr>
        <w:t>’</w:t>
      </w:r>
      <w:r w:rsidR="00F538E2" w:rsidRPr="000F7862">
        <w:rPr>
          <w:lang w:val="fr-FR"/>
        </w:rPr>
        <w:t>une adoption</w:t>
      </w:r>
      <w:r w:rsidR="00213843" w:rsidRPr="000F7862">
        <w:rPr>
          <w:lang w:val="fr-FR"/>
        </w:rPr>
        <w:t>, tutelle légale et placement familial, et programme d</w:t>
      </w:r>
      <w:r w:rsidR="00120E2E" w:rsidRPr="000F7862">
        <w:rPr>
          <w:lang w:val="fr-FR"/>
        </w:rPr>
        <w:t>’</w:t>
      </w:r>
      <w:r w:rsidR="00213843" w:rsidRPr="000F7862">
        <w:rPr>
          <w:lang w:val="fr-FR"/>
        </w:rPr>
        <w:t>enregistrement gratuit à la naissance</w:t>
      </w:r>
      <w:r w:rsidR="0086185C" w:rsidRPr="000F7862">
        <w:rPr>
          <w:lang w:val="fr-FR"/>
        </w:rPr>
        <w:t>.</w:t>
      </w:r>
    </w:p>
    <w:p w:rsidR="0086185C" w:rsidRPr="000F7862" w:rsidRDefault="0092702A" w:rsidP="0092702A">
      <w:pPr>
        <w:pStyle w:val="H23G"/>
        <w:rPr>
          <w:lang w:val="fr-FR"/>
        </w:rPr>
      </w:pPr>
      <w:r w:rsidRPr="000F7862">
        <w:rPr>
          <w:lang w:val="fr-FR"/>
        </w:rPr>
        <w:tab/>
      </w:r>
      <w:r w:rsidRPr="000F7862">
        <w:rPr>
          <w:lang w:val="fr-FR"/>
        </w:rPr>
        <w:tab/>
      </w:r>
      <w:r w:rsidR="00023B74" w:rsidRPr="000F7862">
        <w:rPr>
          <w:lang w:val="fr-FR"/>
        </w:rPr>
        <w:t>R</w:t>
      </w:r>
      <w:r w:rsidR="00BC66C6" w:rsidRPr="000F7862">
        <w:rPr>
          <w:lang w:val="fr-FR"/>
        </w:rPr>
        <w:t xml:space="preserve">enforcement de la </w:t>
      </w:r>
      <w:r w:rsidR="0086185C" w:rsidRPr="000F7862">
        <w:rPr>
          <w:lang w:val="fr-FR"/>
        </w:rPr>
        <w:t xml:space="preserve">protection </w:t>
      </w:r>
      <w:r w:rsidR="00BC66C6" w:rsidRPr="000F7862">
        <w:rPr>
          <w:lang w:val="fr-FR"/>
        </w:rPr>
        <w:t>des femmes contre l</w:t>
      </w:r>
      <w:r w:rsidR="00120E2E" w:rsidRPr="000F7862">
        <w:rPr>
          <w:lang w:val="fr-FR"/>
        </w:rPr>
        <w:t>’</w:t>
      </w:r>
      <w:r w:rsidR="00BC66C6" w:rsidRPr="000F7862">
        <w:rPr>
          <w:lang w:val="fr-FR"/>
        </w:rPr>
        <w:t xml:space="preserve">infraction de viol </w:t>
      </w:r>
    </w:p>
    <w:p w:rsidR="0086185C" w:rsidRPr="000F7862" w:rsidRDefault="003F7F57" w:rsidP="003F7F57">
      <w:pPr>
        <w:pStyle w:val="SingleTxtG"/>
        <w:rPr>
          <w:lang w:val="fr-FR"/>
        </w:rPr>
      </w:pPr>
      <w:r w:rsidRPr="000F7862">
        <w:rPr>
          <w:lang w:val="fr-FR"/>
        </w:rPr>
        <w:t>137.</w:t>
      </w:r>
      <w:r w:rsidRPr="000F7862">
        <w:rPr>
          <w:lang w:val="fr-FR"/>
        </w:rPr>
        <w:tab/>
      </w:r>
      <w:r w:rsidR="00162FA7" w:rsidRPr="000F7862">
        <w:rPr>
          <w:lang w:val="fr-FR"/>
        </w:rPr>
        <w:t xml:space="preserve">Pendant la quinzième législature, un projet de loi </w:t>
      </w:r>
      <w:r w:rsidR="00F65D96" w:rsidRPr="000F7862">
        <w:rPr>
          <w:lang w:val="fr-FR"/>
        </w:rPr>
        <w:t>contre</w:t>
      </w:r>
      <w:r w:rsidR="00A105E5" w:rsidRPr="000F7862">
        <w:rPr>
          <w:lang w:val="fr-FR"/>
        </w:rPr>
        <w:t xml:space="preserve"> le viol (projet de loi de la Chambre des représentants </w:t>
      </w:r>
      <w:r w:rsidR="00730F8F" w:rsidRPr="000F7862">
        <w:rPr>
          <w:lang w:val="fr-FR"/>
        </w:rPr>
        <w:t>n</w:t>
      </w:r>
      <w:r w:rsidR="00730F8F" w:rsidRPr="000F7862">
        <w:rPr>
          <w:vertAlign w:val="superscript"/>
          <w:lang w:val="fr-FR"/>
        </w:rPr>
        <w:t>o</w:t>
      </w:r>
      <w:r w:rsidR="00730F8F" w:rsidRPr="000F7862">
        <w:rPr>
          <w:lang w:val="fr-FR"/>
        </w:rPr>
        <w:t> </w:t>
      </w:r>
      <w:r w:rsidR="0086185C" w:rsidRPr="000F7862">
        <w:rPr>
          <w:lang w:val="fr-FR"/>
        </w:rPr>
        <w:t xml:space="preserve">6170), </w:t>
      </w:r>
      <w:r w:rsidR="00A105E5" w:rsidRPr="000F7862">
        <w:rPr>
          <w:lang w:val="fr-FR"/>
        </w:rPr>
        <w:t>portant modification de la L</w:t>
      </w:r>
      <w:r w:rsidR="0086185C" w:rsidRPr="000F7862">
        <w:rPr>
          <w:lang w:val="fr-FR"/>
        </w:rPr>
        <w:t>.</w:t>
      </w:r>
      <w:r w:rsidR="00A105E5" w:rsidRPr="000F7862">
        <w:rPr>
          <w:lang w:val="fr-FR"/>
        </w:rPr>
        <w:t>R</w:t>
      </w:r>
      <w:r w:rsidR="0086185C" w:rsidRPr="000F7862">
        <w:rPr>
          <w:lang w:val="fr-FR"/>
        </w:rPr>
        <w:t xml:space="preserve">. </w:t>
      </w:r>
      <w:r w:rsidR="00730F8F" w:rsidRPr="000F7862">
        <w:rPr>
          <w:lang w:val="fr-FR"/>
        </w:rPr>
        <w:t>n</w:t>
      </w:r>
      <w:r w:rsidR="00730F8F" w:rsidRPr="000F7862">
        <w:rPr>
          <w:vertAlign w:val="superscript"/>
          <w:lang w:val="fr-FR"/>
        </w:rPr>
        <w:t>o</w:t>
      </w:r>
      <w:r w:rsidR="00730F8F" w:rsidRPr="000F7862">
        <w:rPr>
          <w:lang w:val="fr-FR"/>
        </w:rPr>
        <w:t> </w:t>
      </w:r>
      <w:r w:rsidR="0086185C" w:rsidRPr="000F7862">
        <w:rPr>
          <w:lang w:val="fr-FR"/>
        </w:rPr>
        <w:t>8353 o</w:t>
      </w:r>
      <w:r w:rsidR="00A105E5" w:rsidRPr="000F7862">
        <w:rPr>
          <w:lang w:val="fr-FR"/>
        </w:rPr>
        <w:t xml:space="preserve">u loi de 1997 </w:t>
      </w:r>
      <w:r w:rsidR="00F65D96" w:rsidRPr="000F7862">
        <w:rPr>
          <w:lang w:val="fr-FR"/>
        </w:rPr>
        <w:t>contre</w:t>
      </w:r>
      <w:r w:rsidR="00A105E5" w:rsidRPr="000F7862">
        <w:rPr>
          <w:lang w:val="fr-FR"/>
        </w:rPr>
        <w:t xml:space="preserve"> le viol, a figuré parmi les priorités du </w:t>
      </w:r>
      <w:r w:rsidR="009F6D03" w:rsidRPr="000F7862">
        <w:rPr>
          <w:color w:val="000000"/>
          <w:lang w:val="fr-FR"/>
        </w:rPr>
        <w:t>Programme législatif prioritaire en faveur des femmes</w:t>
      </w:r>
      <w:r w:rsidR="0086185C" w:rsidRPr="000F7862">
        <w:rPr>
          <w:lang w:val="fr-FR"/>
        </w:rPr>
        <w:t xml:space="preserve">. </w:t>
      </w:r>
      <w:r w:rsidR="009F6D03" w:rsidRPr="000F7862">
        <w:rPr>
          <w:lang w:val="fr-FR"/>
        </w:rPr>
        <w:t>En vertu de la loi en vigueur, le pardon de l</w:t>
      </w:r>
      <w:r w:rsidR="00120E2E" w:rsidRPr="000F7862">
        <w:rPr>
          <w:lang w:val="fr-FR"/>
        </w:rPr>
        <w:t>’</w:t>
      </w:r>
      <w:r w:rsidR="009F6D03" w:rsidRPr="000F7862">
        <w:rPr>
          <w:lang w:val="fr-FR"/>
        </w:rPr>
        <w:t>épouse ne décharge pas le mari de sa responsabilité pénale</w:t>
      </w:r>
      <w:r w:rsidR="0086185C" w:rsidRPr="000F7862">
        <w:rPr>
          <w:lang w:val="fr-FR"/>
        </w:rPr>
        <w:t>.</w:t>
      </w:r>
    </w:p>
    <w:p w:rsidR="0086185C" w:rsidRPr="000F7862" w:rsidRDefault="003F7F57" w:rsidP="003F7F57">
      <w:pPr>
        <w:pStyle w:val="SingleTxtG"/>
        <w:rPr>
          <w:lang w:val="fr-FR"/>
        </w:rPr>
      </w:pPr>
      <w:r w:rsidRPr="000F7862">
        <w:rPr>
          <w:lang w:val="fr-FR"/>
        </w:rPr>
        <w:t>138.</w:t>
      </w:r>
      <w:r w:rsidRPr="000F7862">
        <w:rPr>
          <w:lang w:val="fr-FR"/>
        </w:rPr>
        <w:tab/>
      </w:r>
      <w:r w:rsidR="009F6D03" w:rsidRPr="000F7862">
        <w:rPr>
          <w:lang w:val="fr-FR"/>
        </w:rPr>
        <w:t xml:space="preserve">Le projet de loi susvisé a été déposé le </w:t>
      </w:r>
      <w:r w:rsidR="0086185C" w:rsidRPr="000F7862">
        <w:rPr>
          <w:lang w:val="fr-FR"/>
        </w:rPr>
        <w:t xml:space="preserve">15 </w:t>
      </w:r>
      <w:r w:rsidR="009F6D03" w:rsidRPr="000F7862">
        <w:rPr>
          <w:lang w:val="fr-FR"/>
        </w:rPr>
        <w:t>mai</w:t>
      </w:r>
      <w:r w:rsidR="0086185C" w:rsidRPr="000F7862">
        <w:rPr>
          <w:lang w:val="fr-FR"/>
        </w:rPr>
        <w:t xml:space="preserve"> 2012 </w:t>
      </w:r>
      <w:r w:rsidR="00656FAA" w:rsidRPr="000F7862">
        <w:rPr>
          <w:lang w:val="fr-FR"/>
        </w:rPr>
        <w:t>et est en instance devant la Commission des femmes et de l</w:t>
      </w:r>
      <w:r w:rsidR="00120E2E" w:rsidRPr="000F7862">
        <w:rPr>
          <w:lang w:val="fr-FR"/>
        </w:rPr>
        <w:t>’</w:t>
      </w:r>
      <w:r w:rsidR="00656FAA" w:rsidRPr="000F7862">
        <w:rPr>
          <w:lang w:val="fr-FR"/>
        </w:rPr>
        <w:t xml:space="preserve">égalité des sexes depuis le </w:t>
      </w:r>
      <w:r w:rsidR="0086185C" w:rsidRPr="000F7862">
        <w:rPr>
          <w:lang w:val="fr-FR"/>
        </w:rPr>
        <w:t xml:space="preserve">22 </w:t>
      </w:r>
      <w:r w:rsidR="00656FAA" w:rsidRPr="000F7862">
        <w:rPr>
          <w:lang w:val="fr-FR"/>
        </w:rPr>
        <w:t>mai</w:t>
      </w:r>
      <w:r w:rsidR="0086185C" w:rsidRPr="000F7862">
        <w:rPr>
          <w:lang w:val="fr-FR"/>
        </w:rPr>
        <w:t xml:space="preserve"> 2012. </w:t>
      </w:r>
      <w:r w:rsidR="00656FAA" w:rsidRPr="000F7862">
        <w:rPr>
          <w:lang w:val="fr-FR"/>
        </w:rPr>
        <w:t>Il redéfinit l</w:t>
      </w:r>
      <w:r w:rsidR="00120E2E" w:rsidRPr="000F7862">
        <w:rPr>
          <w:lang w:val="fr-FR"/>
        </w:rPr>
        <w:t>’</w:t>
      </w:r>
      <w:r w:rsidR="00656FAA" w:rsidRPr="000F7862">
        <w:rPr>
          <w:lang w:val="fr-FR"/>
        </w:rPr>
        <w:t>infraction de viol en considérant que l</w:t>
      </w:r>
      <w:r w:rsidR="00120E2E" w:rsidRPr="000F7862">
        <w:rPr>
          <w:lang w:val="fr-FR"/>
        </w:rPr>
        <w:t>’</w:t>
      </w:r>
      <w:r w:rsidR="00656FAA" w:rsidRPr="000F7862">
        <w:rPr>
          <w:lang w:val="fr-FR"/>
        </w:rPr>
        <w:t xml:space="preserve">élément crucial de la définition est </w:t>
      </w:r>
      <w:r w:rsidR="002E7607" w:rsidRPr="000F7862">
        <w:rPr>
          <w:lang w:val="fr-FR"/>
        </w:rPr>
        <w:t>«</w:t>
      </w:r>
      <w:r w:rsidR="00656FAA" w:rsidRPr="000F7862">
        <w:rPr>
          <w:lang w:val="fr-FR"/>
        </w:rPr>
        <w:t>l</w:t>
      </w:r>
      <w:r w:rsidR="00120E2E" w:rsidRPr="000F7862">
        <w:rPr>
          <w:lang w:val="fr-FR"/>
        </w:rPr>
        <w:t>’</w:t>
      </w:r>
      <w:r w:rsidR="0086185C" w:rsidRPr="000F7862">
        <w:rPr>
          <w:lang w:val="fr-FR"/>
        </w:rPr>
        <w:t xml:space="preserve">absence </w:t>
      </w:r>
      <w:r w:rsidR="00656FAA" w:rsidRPr="000F7862">
        <w:rPr>
          <w:lang w:val="fr-FR"/>
        </w:rPr>
        <w:t xml:space="preserve">ou le manque de </w:t>
      </w:r>
      <w:r w:rsidR="0086185C" w:rsidRPr="000F7862">
        <w:rPr>
          <w:lang w:val="fr-FR"/>
        </w:rPr>
        <w:t>consent</w:t>
      </w:r>
      <w:r w:rsidR="00656FAA" w:rsidRPr="000F7862">
        <w:rPr>
          <w:lang w:val="fr-FR"/>
        </w:rPr>
        <w:t>ement</w:t>
      </w:r>
      <w:r w:rsidR="002E7607" w:rsidRPr="000F7862">
        <w:rPr>
          <w:lang w:val="fr-FR"/>
        </w:rPr>
        <w:t>»</w:t>
      </w:r>
      <w:r w:rsidR="0086185C" w:rsidRPr="000F7862">
        <w:rPr>
          <w:lang w:val="fr-FR"/>
        </w:rPr>
        <w:t xml:space="preserve">. </w:t>
      </w:r>
      <w:r w:rsidR="00656FAA" w:rsidRPr="000F7862">
        <w:rPr>
          <w:lang w:val="fr-FR"/>
        </w:rPr>
        <w:t>La mesure proposée énumère six cas de présomption d</w:t>
      </w:r>
      <w:r w:rsidR="00120E2E" w:rsidRPr="000F7862">
        <w:rPr>
          <w:lang w:val="fr-FR"/>
        </w:rPr>
        <w:t>’</w:t>
      </w:r>
      <w:r w:rsidR="00656FAA" w:rsidRPr="000F7862">
        <w:rPr>
          <w:lang w:val="fr-FR"/>
        </w:rPr>
        <w:t xml:space="preserve">absence de </w:t>
      </w:r>
      <w:r w:rsidR="0086185C" w:rsidRPr="000F7862">
        <w:rPr>
          <w:lang w:val="fr-FR"/>
        </w:rPr>
        <w:t>consent</w:t>
      </w:r>
      <w:r w:rsidR="00656FAA" w:rsidRPr="000F7862">
        <w:rPr>
          <w:lang w:val="fr-FR"/>
        </w:rPr>
        <w:t>ement</w:t>
      </w:r>
      <w:r w:rsidR="0086185C" w:rsidRPr="000F7862">
        <w:rPr>
          <w:lang w:val="fr-FR"/>
        </w:rPr>
        <w:t xml:space="preserve">, </w:t>
      </w:r>
      <w:r w:rsidR="00656FAA" w:rsidRPr="000F7862">
        <w:rPr>
          <w:lang w:val="fr-FR"/>
        </w:rPr>
        <w:t>en vertu de laquelle il appartient à l</w:t>
      </w:r>
      <w:r w:rsidR="00120E2E" w:rsidRPr="000F7862">
        <w:rPr>
          <w:lang w:val="fr-FR"/>
        </w:rPr>
        <w:t>’</w:t>
      </w:r>
      <w:r w:rsidR="00656FAA" w:rsidRPr="000F7862">
        <w:rPr>
          <w:lang w:val="fr-FR"/>
        </w:rPr>
        <w:t>accusé de prouver que les rapports sexuels qu</w:t>
      </w:r>
      <w:r w:rsidR="00120E2E" w:rsidRPr="000F7862">
        <w:rPr>
          <w:lang w:val="fr-FR"/>
        </w:rPr>
        <w:t>’</w:t>
      </w:r>
      <w:r w:rsidR="00656FAA" w:rsidRPr="000F7862">
        <w:rPr>
          <w:lang w:val="fr-FR"/>
        </w:rPr>
        <w:t>il a eus avec la victime étaient consensuels</w:t>
      </w:r>
      <w:r w:rsidR="0086185C" w:rsidRPr="000F7862">
        <w:rPr>
          <w:lang w:val="fr-FR"/>
        </w:rPr>
        <w:t>.</w:t>
      </w:r>
      <w:r w:rsidR="00446EA5" w:rsidRPr="000F7862">
        <w:rPr>
          <w:lang w:val="fr-FR"/>
        </w:rPr>
        <w:t xml:space="preserve"> </w:t>
      </w:r>
      <w:r w:rsidR="00656FAA" w:rsidRPr="000F7862">
        <w:rPr>
          <w:lang w:val="fr-FR"/>
        </w:rPr>
        <w:t>De même, elle abroge la clause selon laquelle le violeur est pardonné s</w:t>
      </w:r>
      <w:r w:rsidR="00120E2E" w:rsidRPr="000F7862">
        <w:rPr>
          <w:lang w:val="fr-FR"/>
        </w:rPr>
        <w:t>’</w:t>
      </w:r>
      <w:r w:rsidR="00656FAA" w:rsidRPr="000F7862">
        <w:rPr>
          <w:lang w:val="fr-FR"/>
        </w:rPr>
        <w:t>il épouse ultéri</w:t>
      </w:r>
      <w:r w:rsidR="00224904" w:rsidRPr="000F7862">
        <w:rPr>
          <w:lang w:val="fr-FR"/>
        </w:rPr>
        <w:t>eure</w:t>
      </w:r>
      <w:r w:rsidR="00656FAA" w:rsidRPr="000F7862">
        <w:rPr>
          <w:lang w:val="fr-FR"/>
        </w:rPr>
        <w:t xml:space="preserve">ment la victime </w:t>
      </w:r>
      <w:r w:rsidR="00224904" w:rsidRPr="000F7862">
        <w:rPr>
          <w:lang w:val="fr-FR"/>
        </w:rPr>
        <w:t>ou la clause de rémission dans le viol conjugal.</w:t>
      </w:r>
      <w:r w:rsidR="0086185C" w:rsidRPr="000F7862">
        <w:rPr>
          <w:lang w:val="fr-FR"/>
        </w:rPr>
        <w:t xml:space="preserve"> </w:t>
      </w:r>
      <w:r w:rsidR="00224904" w:rsidRPr="000F7862">
        <w:rPr>
          <w:lang w:val="fr-FR"/>
        </w:rPr>
        <w:t>Il s</w:t>
      </w:r>
      <w:r w:rsidR="00120E2E" w:rsidRPr="000F7862">
        <w:rPr>
          <w:lang w:val="fr-FR"/>
        </w:rPr>
        <w:t>’</w:t>
      </w:r>
      <w:r w:rsidR="00224904" w:rsidRPr="000F7862">
        <w:rPr>
          <w:lang w:val="fr-FR"/>
        </w:rPr>
        <w:t>ensuit que ce projet de loi ne décharge pas le mari ou l</w:t>
      </w:r>
      <w:r w:rsidR="00120E2E" w:rsidRPr="000F7862">
        <w:rPr>
          <w:lang w:val="fr-FR"/>
        </w:rPr>
        <w:t>’</w:t>
      </w:r>
      <w:r w:rsidR="00224904" w:rsidRPr="000F7862">
        <w:rPr>
          <w:lang w:val="fr-FR"/>
        </w:rPr>
        <w:t>accusé de sa responsabilité pénale en dépit du pardon accordé par l</w:t>
      </w:r>
      <w:r w:rsidR="00120E2E" w:rsidRPr="000F7862">
        <w:rPr>
          <w:lang w:val="fr-FR"/>
        </w:rPr>
        <w:t>’</w:t>
      </w:r>
      <w:r w:rsidR="00224904" w:rsidRPr="000F7862">
        <w:rPr>
          <w:lang w:val="fr-FR"/>
        </w:rPr>
        <w:t>épouse ou du mariage avec la victime</w:t>
      </w:r>
      <w:r w:rsidR="0086185C" w:rsidRPr="000F7862">
        <w:rPr>
          <w:lang w:val="fr-FR"/>
        </w:rPr>
        <w:t xml:space="preserve">. </w:t>
      </w:r>
    </w:p>
    <w:p w:rsidR="0086185C" w:rsidRPr="000F7862" w:rsidRDefault="003F7F57" w:rsidP="003F7F57">
      <w:pPr>
        <w:pStyle w:val="SingleTxtG"/>
        <w:rPr>
          <w:u w:color="0000FF"/>
          <w:lang w:val="fr-FR"/>
        </w:rPr>
      </w:pPr>
      <w:r w:rsidRPr="000F7862">
        <w:rPr>
          <w:u w:color="0000FF"/>
          <w:lang w:val="fr-FR"/>
        </w:rPr>
        <w:t>139.</w:t>
      </w:r>
      <w:r w:rsidRPr="000F7862">
        <w:rPr>
          <w:u w:color="0000FF"/>
          <w:lang w:val="fr-FR"/>
        </w:rPr>
        <w:tab/>
      </w:r>
      <w:r w:rsidR="00224904" w:rsidRPr="000F7862">
        <w:rPr>
          <w:lang w:val="fr-FR"/>
        </w:rPr>
        <w:t xml:space="preserve">En ce qui concerne </w:t>
      </w:r>
      <w:r w:rsidR="00DF6540" w:rsidRPr="000F7862">
        <w:rPr>
          <w:color w:val="000000"/>
          <w:lang w:val="fr-FR"/>
        </w:rPr>
        <w:t>l</w:t>
      </w:r>
      <w:r w:rsidR="00120E2E" w:rsidRPr="000F7862">
        <w:rPr>
          <w:color w:val="000000"/>
          <w:lang w:val="fr-FR"/>
        </w:rPr>
        <w:t>’</w:t>
      </w:r>
      <w:r w:rsidR="00DF6540" w:rsidRPr="000F7862">
        <w:rPr>
          <w:color w:val="000000"/>
          <w:lang w:val="fr-FR"/>
        </w:rPr>
        <w:t>âge au-delà duquel la législation ne considère plus qu</w:t>
      </w:r>
      <w:r w:rsidR="00120E2E" w:rsidRPr="000F7862">
        <w:rPr>
          <w:color w:val="000000"/>
          <w:lang w:val="fr-FR"/>
        </w:rPr>
        <w:t>’</w:t>
      </w:r>
      <w:r w:rsidR="00DF6540" w:rsidRPr="000F7862">
        <w:rPr>
          <w:color w:val="000000"/>
          <w:lang w:val="fr-FR"/>
        </w:rPr>
        <w:t>il y a atteinte sexuelle sur mineur</w:t>
      </w:r>
      <w:r w:rsidR="0086185C" w:rsidRPr="000F7862">
        <w:rPr>
          <w:lang w:val="fr-FR"/>
        </w:rPr>
        <w:t xml:space="preserve">, </w:t>
      </w:r>
      <w:r w:rsidR="00DF6540" w:rsidRPr="000F7862">
        <w:rPr>
          <w:lang w:val="fr-FR"/>
        </w:rPr>
        <w:t xml:space="preserve">que les lois en vigueur (Code pénal révisé et LR 8353) fixent à 12 ans, </w:t>
      </w:r>
      <w:r w:rsidR="00224904" w:rsidRPr="000F7862">
        <w:rPr>
          <w:lang w:val="fr-FR"/>
        </w:rPr>
        <w:t xml:space="preserve">il est proposé de </w:t>
      </w:r>
      <w:r w:rsidR="00DF6540" w:rsidRPr="000F7862">
        <w:rPr>
          <w:lang w:val="fr-FR"/>
        </w:rPr>
        <w:t>le porter</w:t>
      </w:r>
      <w:r w:rsidR="00224904" w:rsidRPr="000F7862">
        <w:rPr>
          <w:lang w:val="fr-FR"/>
        </w:rPr>
        <w:t xml:space="preserve"> à </w:t>
      </w:r>
      <w:r w:rsidR="0086185C" w:rsidRPr="000F7862">
        <w:rPr>
          <w:lang w:val="fr-FR"/>
        </w:rPr>
        <w:t xml:space="preserve">15 </w:t>
      </w:r>
      <w:r w:rsidR="00224904" w:rsidRPr="000F7862">
        <w:rPr>
          <w:lang w:val="fr-FR"/>
        </w:rPr>
        <w:t>ou</w:t>
      </w:r>
      <w:r w:rsidR="0086185C" w:rsidRPr="000F7862">
        <w:rPr>
          <w:lang w:val="fr-FR"/>
        </w:rPr>
        <w:t xml:space="preserve"> 16 </w:t>
      </w:r>
      <w:r w:rsidR="00DF6540" w:rsidRPr="000F7862">
        <w:rPr>
          <w:lang w:val="fr-FR"/>
        </w:rPr>
        <w:t>ans</w:t>
      </w:r>
      <w:r w:rsidR="00334511" w:rsidRPr="000F7862">
        <w:rPr>
          <w:lang w:val="fr-FR"/>
        </w:rPr>
        <w:t>, par analogie avec l</w:t>
      </w:r>
      <w:r w:rsidR="00120E2E" w:rsidRPr="000F7862">
        <w:rPr>
          <w:lang w:val="fr-FR"/>
        </w:rPr>
        <w:t>’</w:t>
      </w:r>
      <w:r w:rsidR="00334511" w:rsidRPr="000F7862">
        <w:rPr>
          <w:lang w:val="fr-FR"/>
        </w:rPr>
        <w:t xml:space="preserve">âge de </w:t>
      </w:r>
      <w:r w:rsidR="0086185C" w:rsidRPr="000F7862">
        <w:rPr>
          <w:lang w:val="fr-FR"/>
        </w:rPr>
        <w:t>discern</w:t>
      </w:r>
      <w:r w:rsidR="00334511" w:rsidRPr="000F7862">
        <w:rPr>
          <w:lang w:val="fr-FR"/>
        </w:rPr>
        <w:t>e</w:t>
      </w:r>
      <w:r w:rsidR="0086185C" w:rsidRPr="000F7862">
        <w:rPr>
          <w:lang w:val="fr-FR"/>
        </w:rPr>
        <w:t xml:space="preserve">ment </w:t>
      </w:r>
      <w:r w:rsidR="00334511" w:rsidRPr="000F7862">
        <w:rPr>
          <w:lang w:val="fr-FR"/>
        </w:rPr>
        <w:t xml:space="preserve">fixé à 15 ans par la loi </w:t>
      </w:r>
      <w:r w:rsidR="001C45E3" w:rsidRPr="000F7862">
        <w:rPr>
          <w:lang w:val="fr-FR"/>
        </w:rPr>
        <w:t xml:space="preserve">sur la justice pour mineurs et la protection sociale des mineurs </w:t>
      </w:r>
      <w:r w:rsidR="0086185C" w:rsidRPr="000F7862">
        <w:rPr>
          <w:lang w:val="fr-FR"/>
        </w:rPr>
        <w:t>(</w:t>
      </w:r>
      <w:r w:rsidR="001C45E3" w:rsidRPr="000F7862">
        <w:rPr>
          <w:lang w:val="fr-FR"/>
        </w:rPr>
        <w:t>L</w:t>
      </w:r>
      <w:r w:rsidR="0092702A" w:rsidRPr="000F7862">
        <w:rPr>
          <w:lang w:val="fr-FR"/>
        </w:rPr>
        <w:t>R </w:t>
      </w:r>
      <w:r w:rsidR="0086185C" w:rsidRPr="000F7862">
        <w:rPr>
          <w:lang w:val="fr-FR"/>
        </w:rPr>
        <w:t xml:space="preserve">9344). </w:t>
      </w:r>
      <w:r w:rsidR="001C45E3" w:rsidRPr="000F7862">
        <w:rPr>
          <w:lang w:val="fr-FR"/>
        </w:rPr>
        <w:t>Le projet de loi a été redéposé pendant la seizième législature</w:t>
      </w:r>
      <w:r w:rsidR="0086185C" w:rsidRPr="000F7862">
        <w:rPr>
          <w:u w:color="0000FF"/>
          <w:lang w:val="fr-FR"/>
        </w:rPr>
        <w:t>.</w:t>
      </w:r>
    </w:p>
    <w:p w:rsidR="0086185C" w:rsidRPr="000F7862" w:rsidRDefault="0092702A" w:rsidP="0092702A">
      <w:pPr>
        <w:pStyle w:val="H23G"/>
        <w:rPr>
          <w:lang w:val="fr-FR"/>
        </w:rPr>
      </w:pPr>
      <w:r w:rsidRPr="000F7862">
        <w:rPr>
          <w:lang w:val="fr-FR"/>
        </w:rPr>
        <w:tab/>
      </w:r>
      <w:r w:rsidRPr="000F7862">
        <w:rPr>
          <w:lang w:val="fr-FR"/>
        </w:rPr>
        <w:tab/>
      </w:r>
      <w:r w:rsidR="00E72166" w:rsidRPr="000F7862">
        <w:rPr>
          <w:lang w:val="fr-FR"/>
        </w:rPr>
        <w:t>L</w:t>
      </w:r>
      <w:r w:rsidR="001C45E3" w:rsidRPr="000F7862">
        <w:rPr>
          <w:lang w:val="fr-FR"/>
        </w:rPr>
        <w:t xml:space="preserve">utte contre la traite des êtres humains </w:t>
      </w:r>
    </w:p>
    <w:p w:rsidR="0086185C" w:rsidRPr="000F7862" w:rsidRDefault="003F7F57" w:rsidP="007E1CE3">
      <w:pPr>
        <w:pStyle w:val="SingleTxtG"/>
        <w:rPr>
          <w:lang w:val="fr-FR"/>
        </w:rPr>
      </w:pPr>
      <w:r w:rsidRPr="000F7862">
        <w:rPr>
          <w:lang w:val="fr-FR"/>
        </w:rPr>
        <w:t>140.</w:t>
      </w:r>
      <w:r w:rsidRPr="000F7862">
        <w:rPr>
          <w:lang w:val="fr-FR"/>
        </w:rPr>
        <w:tab/>
      </w:r>
      <w:r w:rsidR="000835D3" w:rsidRPr="000F7862">
        <w:rPr>
          <w:lang w:val="fr-FR"/>
        </w:rPr>
        <w:t>En mai 2012, le Ministère du travail et de l</w:t>
      </w:r>
      <w:r w:rsidR="00120E2E" w:rsidRPr="000F7862">
        <w:rPr>
          <w:lang w:val="fr-FR"/>
        </w:rPr>
        <w:t>’</w:t>
      </w:r>
      <w:r w:rsidR="000835D3" w:rsidRPr="000F7862">
        <w:rPr>
          <w:lang w:val="fr-FR"/>
        </w:rPr>
        <w:t>emploi a pris l</w:t>
      </w:r>
      <w:r w:rsidR="00120E2E" w:rsidRPr="000F7862">
        <w:rPr>
          <w:lang w:val="fr-FR"/>
        </w:rPr>
        <w:t>’</w:t>
      </w:r>
      <w:r w:rsidR="000835D3" w:rsidRPr="000F7862">
        <w:rPr>
          <w:lang w:val="fr-FR"/>
        </w:rPr>
        <w:t xml:space="preserve">arrêté </w:t>
      </w:r>
      <w:r w:rsidR="00730F8F" w:rsidRPr="000F7862">
        <w:rPr>
          <w:lang w:val="fr-FR"/>
        </w:rPr>
        <w:t>n</w:t>
      </w:r>
      <w:r w:rsidR="00730F8F" w:rsidRPr="000F7862">
        <w:rPr>
          <w:vertAlign w:val="superscript"/>
          <w:lang w:val="fr-FR"/>
        </w:rPr>
        <w:t>o</w:t>
      </w:r>
      <w:r w:rsidR="00730F8F" w:rsidRPr="000F7862">
        <w:rPr>
          <w:lang w:val="fr-FR"/>
        </w:rPr>
        <w:t> </w:t>
      </w:r>
      <w:r w:rsidR="0086185C" w:rsidRPr="000F7862">
        <w:rPr>
          <w:lang w:val="fr-FR"/>
        </w:rPr>
        <w:t xml:space="preserve">02 </w:t>
      </w:r>
      <w:r w:rsidR="0086185C" w:rsidRPr="000F7862">
        <w:rPr>
          <w:i/>
          <w:iCs/>
          <w:lang w:val="fr-FR"/>
        </w:rPr>
        <w:t>(</w:t>
      </w:r>
      <w:r w:rsidR="000835D3" w:rsidRPr="000F7862">
        <w:rPr>
          <w:i/>
          <w:lang w:val="fr-FR"/>
        </w:rPr>
        <w:t>Manuel sur la procédure de traitement des plaintes pour traite, recrutement illégal ou travail des enfants</w:t>
      </w:r>
      <w:r w:rsidR="0086185C" w:rsidRPr="000F7862">
        <w:rPr>
          <w:i/>
          <w:iCs/>
          <w:lang w:val="fr-FR"/>
        </w:rPr>
        <w:t>)</w:t>
      </w:r>
      <w:r w:rsidR="0086185C" w:rsidRPr="000F7862">
        <w:rPr>
          <w:lang w:val="fr-FR"/>
        </w:rPr>
        <w:t xml:space="preserve"> </w:t>
      </w:r>
      <w:r w:rsidR="000835D3" w:rsidRPr="000F7862">
        <w:rPr>
          <w:lang w:val="fr-FR"/>
        </w:rPr>
        <w:t xml:space="preserve">pour assurer une gestion </w:t>
      </w:r>
      <w:r w:rsidR="0086185C" w:rsidRPr="000F7862">
        <w:rPr>
          <w:lang w:val="fr-FR"/>
        </w:rPr>
        <w:t>organi</w:t>
      </w:r>
      <w:r w:rsidR="000835D3" w:rsidRPr="000F7862">
        <w:rPr>
          <w:lang w:val="fr-FR"/>
        </w:rPr>
        <w:t>sée et efficace des cas de traite des êtres humains, de recrutement illégal et de travail des enfants dans le cadre de l</w:t>
      </w:r>
      <w:r w:rsidR="00120E2E" w:rsidRPr="000F7862">
        <w:rPr>
          <w:lang w:val="fr-FR"/>
        </w:rPr>
        <w:t>’</w:t>
      </w:r>
      <w:r w:rsidR="000835D3" w:rsidRPr="000F7862">
        <w:rPr>
          <w:lang w:val="fr-FR"/>
        </w:rPr>
        <w:t>application des dispositions relatives aux normes en matière de travail du Code du travail et d</w:t>
      </w:r>
      <w:r w:rsidR="00120E2E" w:rsidRPr="000F7862">
        <w:rPr>
          <w:lang w:val="fr-FR"/>
        </w:rPr>
        <w:t>’</w:t>
      </w:r>
      <w:r w:rsidR="000835D3" w:rsidRPr="000F7862">
        <w:rPr>
          <w:lang w:val="fr-FR"/>
        </w:rPr>
        <w:t xml:space="preserve">autres lois, notamment la loi de la République </w:t>
      </w:r>
      <w:r w:rsidR="007E1CE3" w:rsidRPr="000F7862">
        <w:rPr>
          <w:lang w:val="fr-FR"/>
        </w:rPr>
        <w:t>n</w:t>
      </w:r>
      <w:r w:rsidR="007E1CE3" w:rsidRPr="000F7862">
        <w:rPr>
          <w:vertAlign w:val="superscript"/>
          <w:lang w:val="fr-FR"/>
        </w:rPr>
        <w:t>o</w:t>
      </w:r>
      <w:r w:rsidR="007E1CE3" w:rsidRPr="000F7862">
        <w:rPr>
          <w:lang w:val="fr-FR"/>
        </w:rPr>
        <w:t> </w:t>
      </w:r>
      <w:r w:rsidR="0086185C" w:rsidRPr="000F7862">
        <w:rPr>
          <w:lang w:val="fr-FR"/>
        </w:rPr>
        <w:t>9231 (</w:t>
      </w:r>
      <w:r w:rsidR="000835D3" w:rsidRPr="000F7862">
        <w:rPr>
          <w:lang w:val="fr-FR"/>
        </w:rPr>
        <w:t>protection spé</w:t>
      </w:r>
      <w:r w:rsidR="0086185C" w:rsidRPr="000F7862">
        <w:rPr>
          <w:lang w:val="fr-FR"/>
        </w:rPr>
        <w:t>cial</w:t>
      </w:r>
      <w:r w:rsidR="000835D3" w:rsidRPr="000F7862">
        <w:rPr>
          <w:lang w:val="fr-FR"/>
        </w:rPr>
        <w:t>e des enfants contre la maltraitance, l</w:t>
      </w:r>
      <w:r w:rsidR="00120E2E" w:rsidRPr="000F7862">
        <w:rPr>
          <w:lang w:val="fr-FR"/>
        </w:rPr>
        <w:t>’</w:t>
      </w:r>
      <w:r w:rsidR="000835D3" w:rsidRPr="000F7862">
        <w:rPr>
          <w:lang w:val="fr-FR"/>
        </w:rPr>
        <w:t>exploitation et la discrimination</w:t>
      </w:r>
      <w:r w:rsidR="0086185C" w:rsidRPr="000F7862">
        <w:rPr>
          <w:lang w:val="fr-FR"/>
        </w:rPr>
        <w:t xml:space="preserve">), </w:t>
      </w:r>
      <w:r w:rsidR="000835D3" w:rsidRPr="000F7862">
        <w:rPr>
          <w:lang w:val="fr-FR"/>
        </w:rPr>
        <w:t xml:space="preserve">la loi de la </w:t>
      </w:r>
      <w:r w:rsidR="0086185C" w:rsidRPr="000F7862">
        <w:rPr>
          <w:lang w:val="fr-FR"/>
        </w:rPr>
        <w:t>R</w:t>
      </w:r>
      <w:r w:rsidR="000835D3" w:rsidRPr="000F7862">
        <w:rPr>
          <w:lang w:val="fr-FR"/>
        </w:rPr>
        <w:t>é</w:t>
      </w:r>
      <w:r w:rsidR="0086185C" w:rsidRPr="000F7862">
        <w:rPr>
          <w:lang w:val="fr-FR"/>
        </w:rPr>
        <w:t>publi</w:t>
      </w:r>
      <w:r w:rsidR="000835D3" w:rsidRPr="000F7862">
        <w:rPr>
          <w:lang w:val="fr-FR"/>
        </w:rPr>
        <w:t xml:space="preserve">que </w:t>
      </w:r>
      <w:r w:rsidR="007E1CE3" w:rsidRPr="000F7862">
        <w:rPr>
          <w:lang w:val="fr-FR"/>
        </w:rPr>
        <w:t>n</w:t>
      </w:r>
      <w:r w:rsidR="007E1CE3" w:rsidRPr="000F7862">
        <w:rPr>
          <w:vertAlign w:val="superscript"/>
          <w:lang w:val="fr-FR"/>
        </w:rPr>
        <w:t>o</w:t>
      </w:r>
      <w:r w:rsidR="007E1CE3" w:rsidRPr="000F7862">
        <w:rPr>
          <w:lang w:val="fr-FR"/>
        </w:rPr>
        <w:t> </w:t>
      </w:r>
      <w:r w:rsidR="0086185C" w:rsidRPr="000F7862">
        <w:rPr>
          <w:lang w:val="fr-FR"/>
        </w:rPr>
        <w:t>9208 (</w:t>
      </w:r>
      <w:r w:rsidR="009A64A3" w:rsidRPr="000F7862">
        <w:rPr>
          <w:lang w:val="fr-FR"/>
        </w:rPr>
        <w:t>loi de 2003 sur la lutte contre la traite des êtres humains</w:t>
      </w:r>
      <w:r w:rsidR="0086185C" w:rsidRPr="000F7862">
        <w:rPr>
          <w:lang w:val="fr-FR"/>
        </w:rPr>
        <w:t xml:space="preserve">), </w:t>
      </w:r>
      <w:r w:rsidR="009A64A3" w:rsidRPr="000F7862">
        <w:rPr>
          <w:lang w:val="fr-FR"/>
        </w:rPr>
        <w:t xml:space="preserve">la loi de la République </w:t>
      </w:r>
      <w:r w:rsidR="007E1CE3" w:rsidRPr="000F7862">
        <w:rPr>
          <w:lang w:val="fr-FR"/>
        </w:rPr>
        <w:t>n</w:t>
      </w:r>
      <w:r w:rsidR="007E1CE3" w:rsidRPr="000F7862">
        <w:rPr>
          <w:vertAlign w:val="superscript"/>
          <w:lang w:val="fr-FR"/>
        </w:rPr>
        <w:t>o</w:t>
      </w:r>
      <w:r w:rsidR="007E1CE3" w:rsidRPr="000F7862">
        <w:rPr>
          <w:lang w:val="fr-FR"/>
        </w:rPr>
        <w:t> </w:t>
      </w:r>
      <w:r w:rsidR="0086185C" w:rsidRPr="000F7862">
        <w:rPr>
          <w:lang w:val="fr-FR"/>
        </w:rPr>
        <w:t>10022 (</w:t>
      </w:r>
      <w:r w:rsidR="009A64A3" w:rsidRPr="000F7862">
        <w:rPr>
          <w:lang w:val="fr-FR"/>
        </w:rPr>
        <w:t>loi sur les travailleurs m</w:t>
      </w:r>
      <w:r w:rsidR="0086185C" w:rsidRPr="000F7862">
        <w:rPr>
          <w:lang w:val="fr-FR"/>
        </w:rPr>
        <w:t>igrant</w:t>
      </w:r>
      <w:r w:rsidR="009A64A3" w:rsidRPr="000F7862">
        <w:rPr>
          <w:lang w:val="fr-FR"/>
        </w:rPr>
        <w:t>s</w:t>
      </w:r>
      <w:r w:rsidR="0086185C" w:rsidRPr="000F7862">
        <w:rPr>
          <w:lang w:val="fr-FR"/>
        </w:rPr>
        <w:t xml:space="preserve">) </w:t>
      </w:r>
      <w:r w:rsidR="000835D3" w:rsidRPr="000F7862">
        <w:rPr>
          <w:lang w:val="fr-FR"/>
        </w:rPr>
        <w:t>et d</w:t>
      </w:r>
      <w:r w:rsidR="00120E2E" w:rsidRPr="000F7862">
        <w:rPr>
          <w:lang w:val="fr-FR"/>
        </w:rPr>
        <w:t>’</w:t>
      </w:r>
      <w:r w:rsidR="000835D3" w:rsidRPr="000F7862">
        <w:rPr>
          <w:lang w:val="fr-FR"/>
        </w:rPr>
        <w:t>autres lois connexes</w:t>
      </w:r>
      <w:r w:rsidR="0086185C" w:rsidRPr="000F7862">
        <w:rPr>
          <w:lang w:val="fr-FR"/>
        </w:rPr>
        <w:t>.</w:t>
      </w:r>
    </w:p>
    <w:p w:rsidR="0086185C" w:rsidRPr="000F7862" w:rsidRDefault="003F7F57" w:rsidP="003F7F57">
      <w:pPr>
        <w:pStyle w:val="SingleTxtG"/>
        <w:rPr>
          <w:lang w:val="fr-FR"/>
        </w:rPr>
      </w:pPr>
      <w:r w:rsidRPr="000F7862">
        <w:rPr>
          <w:lang w:val="fr-FR"/>
        </w:rPr>
        <w:t>141.</w:t>
      </w:r>
      <w:r w:rsidRPr="000F7862">
        <w:rPr>
          <w:lang w:val="fr-FR"/>
        </w:rPr>
        <w:tab/>
      </w:r>
      <w:r w:rsidR="009A64A3" w:rsidRPr="000F7862">
        <w:rPr>
          <w:lang w:val="fr-FR"/>
        </w:rPr>
        <w:t xml:space="preserve">Ce </w:t>
      </w:r>
      <w:r w:rsidR="0086185C" w:rsidRPr="000F7862">
        <w:rPr>
          <w:lang w:val="fr-FR"/>
        </w:rPr>
        <w:t>Manu</w:t>
      </w:r>
      <w:r w:rsidR="009A64A3" w:rsidRPr="000F7862">
        <w:rPr>
          <w:lang w:val="fr-FR"/>
        </w:rPr>
        <w:t>e</w:t>
      </w:r>
      <w:r w:rsidR="0086185C" w:rsidRPr="000F7862">
        <w:rPr>
          <w:lang w:val="fr-FR"/>
        </w:rPr>
        <w:t xml:space="preserve">l </w:t>
      </w:r>
      <w:r w:rsidR="009A64A3" w:rsidRPr="000F7862">
        <w:rPr>
          <w:lang w:val="fr-FR"/>
        </w:rPr>
        <w:t>donne des instructions pas à pas sur la procédure de traitement des plaintes ou affaires par le réseau mondial d</w:t>
      </w:r>
      <w:r w:rsidR="00385F93" w:rsidRPr="000F7862">
        <w:rPr>
          <w:lang w:val="fr-FR"/>
        </w:rPr>
        <w:t>u</w:t>
      </w:r>
      <w:r w:rsidR="009A64A3" w:rsidRPr="000F7862">
        <w:rPr>
          <w:lang w:val="fr-FR"/>
        </w:rPr>
        <w:t xml:space="preserve"> </w:t>
      </w:r>
      <w:r w:rsidR="00385F93" w:rsidRPr="000F7862">
        <w:rPr>
          <w:color w:val="000000"/>
          <w:lang w:val="fr-FR"/>
        </w:rPr>
        <w:t>Bureau philippin du travail à l</w:t>
      </w:r>
      <w:r w:rsidR="00120E2E" w:rsidRPr="000F7862">
        <w:rPr>
          <w:color w:val="000000"/>
          <w:lang w:val="fr-FR"/>
        </w:rPr>
        <w:t>’</w:t>
      </w:r>
      <w:r w:rsidR="00385F93" w:rsidRPr="000F7862">
        <w:rPr>
          <w:color w:val="000000"/>
          <w:lang w:val="fr-FR"/>
        </w:rPr>
        <w:t>étranger</w:t>
      </w:r>
      <w:r w:rsidR="0086185C" w:rsidRPr="000F7862">
        <w:rPr>
          <w:lang w:val="fr-FR"/>
        </w:rPr>
        <w:t xml:space="preserve">, </w:t>
      </w:r>
      <w:r w:rsidR="00385F93" w:rsidRPr="000F7862">
        <w:rPr>
          <w:lang w:val="fr-FR"/>
        </w:rPr>
        <w:t>l</w:t>
      </w:r>
      <w:r w:rsidR="00120E2E" w:rsidRPr="000F7862">
        <w:rPr>
          <w:lang w:val="fr-FR"/>
        </w:rPr>
        <w:t>’</w:t>
      </w:r>
      <w:r w:rsidR="00385F93" w:rsidRPr="000F7862">
        <w:rPr>
          <w:color w:val="000000"/>
          <w:lang w:val="fr-FR"/>
        </w:rPr>
        <w:t>Agence pour l</w:t>
      </w:r>
      <w:r w:rsidR="00120E2E" w:rsidRPr="000F7862">
        <w:rPr>
          <w:color w:val="000000"/>
          <w:lang w:val="fr-FR"/>
        </w:rPr>
        <w:t>’</w:t>
      </w:r>
      <w:r w:rsidR="00385F93" w:rsidRPr="000F7862">
        <w:rPr>
          <w:color w:val="000000"/>
          <w:lang w:val="fr-FR"/>
        </w:rPr>
        <w:t>emploi de Philippins outre-mer</w:t>
      </w:r>
      <w:r w:rsidR="00385F93" w:rsidRPr="000F7862">
        <w:rPr>
          <w:rStyle w:val="apple-converted-space"/>
          <w:color w:val="000000"/>
          <w:lang w:val="fr-FR"/>
        </w:rPr>
        <w:t> </w:t>
      </w:r>
      <w:r w:rsidR="00385F93" w:rsidRPr="000F7862">
        <w:rPr>
          <w:lang w:val="fr-FR"/>
        </w:rPr>
        <w:t>et le réseau national de bureaux régionaux du Ministère du travail et de l</w:t>
      </w:r>
      <w:r w:rsidR="00120E2E" w:rsidRPr="000F7862">
        <w:rPr>
          <w:lang w:val="fr-FR"/>
        </w:rPr>
        <w:t>’</w:t>
      </w:r>
      <w:r w:rsidR="00385F93" w:rsidRPr="000F7862">
        <w:rPr>
          <w:lang w:val="fr-FR"/>
        </w:rPr>
        <w:t>emploi</w:t>
      </w:r>
      <w:r w:rsidR="0086185C" w:rsidRPr="000F7862">
        <w:rPr>
          <w:lang w:val="fr-FR"/>
        </w:rPr>
        <w:t xml:space="preserve">. </w:t>
      </w:r>
      <w:r w:rsidR="00385F93" w:rsidRPr="000F7862">
        <w:rPr>
          <w:lang w:val="fr-FR"/>
        </w:rPr>
        <w:t>L</w:t>
      </w:r>
      <w:r w:rsidR="00120E2E" w:rsidRPr="000F7862">
        <w:rPr>
          <w:lang w:val="fr-FR"/>
        </w:rPr>
        <w:t>’</w:t>
      </w:r>
      <w:r w:rsidR="00385F93" w:rsidRPr="000F7862">
        <w:rPr>
          <w:lang w:val="fr-FR"/>
        </w:rPr>
        <w:t xml:space="preserve">élaboration du Manuel figure parmi les </w:t>
      </w:r>
      <w:r w:rsidR="005009F2" w:rsidRPr="000F7862">
        <w:rPr>
          <w:lang w:val="fr-FR"/>
        </w:rPr>
        <w:t>programmes et stratégies de lutte contre le travail des enfants présentés dans le Plan philippin relatif au travail et à l</w:t>
      </w:r>
      <w:r w:rsidR="00120E2E" w:rsidRPr="000F7862">
        <w:rPr>
          <w:lang w:val="fr-FR"/>
        </w:rPr>
        <w:t>’</w:t>
      </w:r>
      <w:r w:rsidR="005009F2" w:rsidRPr="000F7862">
        <w:rPr>
          <w:lang w:val="fr-FR"/>
        </w:rPr>
        <w:t xml:space="preserve">emploi </w:t>
      </w:r>
      <w:r w:rsidR="0086185C" w:rsidRPr="000F7862">
        <w:rPr>
          <w:lang w:val="fr-FR"/>
        </w:rPr>
        <w:t>(2011</w:t>
      </w:r>
      <w:r w:rsidR="005009F2" w:rsidRPr="000F7862">
        <w:rPr>
          <w:lang w:val="fr-FR"/>
        </w:rPr>
        <w:t>-</w:t>
      </w:r>
      <w:r w:rsidR="0086185C" w:rsidRPr="000F7862">
        <w:rPr>
          <w:lang w:val="fr-FR"/>
        </w:rPr>
        <w:t xml:space="preserve">2016) </w:t>
      </w:r>
      <w:r w:rsidR="005009F2" w:rsidRPr="000F7862">
        <w:rPr>
          <w:lang w:val="fr-FR"/>
        </w:rPr>
        <w:t xml:space="preserve">dans le but </w:t>
      </w:r>
      <w:r w:rsidR="00F71759" w:rsidRPr="000F7862">
        <w:rPr>
          <w:lang w:val="fr-FR"/>
        </w:rPr>
        <w:t>d</w:t>
      </w:r>
      <w:r w:rsidR="00120E2E" w:rsidRPr="000F7862">
        <w:rPr>
          <w:lang w:val="fr-FR"/>
        </w:rPr>
        <w:t>’</w:t>
      </w:r>
      <w:r w:rsidR="00F71759" w:rsidRPr="000F7862">
        <w:rPr>
          <w:lang w:val="fr-FR"/>
        </w:rPr>
        <w:t>intensifier les efforts que déploie le pays pour éliminer et prévenir le travail des enfants. Le</w:t>
      </w:r>
      <w:r w:rsidR="0086185C" w:rsidRPr="000F7862">
        <w:rPr>
          <w:lang w:val="fr-FR"/>
        </w:rPr>
        <w:t xml:space="preserve"> Plan </w:t>
      </w:r>
      <w:r w:rsidR="00F71759" w:rsidRPr="000F7862">
        <w:rPr>
          <w:lang w:val="fr-FR"/>
        </w:rPr>
        <w:t>porte également sur l</w:t>
      </w:r>
      <w:r w:rsidR="00120E2E" w:rsidRPr="000F7862">
        <w:rPr>
          <w:lang w:val="fr-FR"/>
        </w:rPr>
        <w:t>’</w:t>
      </w:r>
      <w:r w:rsidR="0086185C" w:rsidRPr="000F7862">
        <w:rPr>
          <w:lang w:val="fr-FR"/>
        </w:rPr>
        <w:t>organi</w:t>
      </w:r>
      <w:r w:rsidR="00F71759" w:rsidRPr="000F7862">
        <w:rPr>
          <w:lang w:val="fr-FR"/>
        </w:rPr>
        <w:t>s</w:t>
      </w:r>
      <w:r w:rsidR="0086185C" w:rsidRPr="000F7862">
        <w:rPr>
          <w:lang w:val="fr-FR"/>
        </w:rPr>
        <w:t xml:space="preserve">ation, </w:t>
      </w:r>
      <w:r w:rsidR="00F71759" w:rsidRPr="000F7862">
        <w:rPr>
          <w:lang w:val="fr-FR"/>
        </w:rPr>
        <w:t xml:space="preserve">la </w:t>
      </w:r>
      <w:r w:rsidR="0086185C" w:rsidRPr="000F7862">
        <w:rPr>
          <w:lang w:val="fr-FR"/>
        </w:rPr>
        <w:t>r</w:t>
      </w:r>
      <w:r w:rsidR="00F71759" w:rsidRPr="000F7862">
        <w:rPr>
          <w:lang w:val="fr-FR"/>
        </w:rPr>
        <w:t>é</w:t>
      </w:r>
      <w:r w:rsidR="0086185C" w:rsidRPr="000F7862">
        <w:rPr>
          <w:lang w:val="fr-FR"/>
        </w:rPr>
        <w:t xml:space="preserve">activation </w:t>
      </w:r>
      <w:r w:rsidR="00F71759" w:rsidRPr="000F7862">
        <w:rPr>
          <w:lang w:val="fr-FR"/>
        </w:rPr>
        <w:t>et le renforcement des comités sur le travail des enfants, et sur la mise en place d</w:t>
      </w:r>
      <w:r w:rsidR="00120E2E" w:rsidRPr="000F7862">
        <w:rPr>
          <w:lang w:val="fr-FR"/>
        </w:rPr>
        <w:t>’</w:t>
      </w:r>
      <w:r w:rsidR="00F71759" w:rsidRPr="000F7862">
        <w:rPr>
          <w:lang w:val="fr-FR"/>
        </w:rPr>
        <w:t xml:space="preserve">un système </w:t>
      </w:r>
      <w:r w:rsidR="006A2573" w:rsidRPr="000F7862">
        <w:rPr>
          <w:lang w:val="fr-FR"/>
        </w:rPr>
        <w:t>d</w:t>
      </w:r>
      <w:r w:rsidR="00120E2E" w:rsidRPr="000F7862">
        <w:rPr>
          <w:lang w:val="fr-FR"/>
        </w:rPr>
        <w:t>’</w:t>
      </w:r>
      <w:r w:rsidR="006A2573" w:rsidRPr="000F7862">
        <w:rPr>
          <w:lang w:val="fr-FR"/>
        </w:rPr>
        <w:t>information sur l</w:t>
      </w:r>
      <w:r w:rsidR="00120E2E" w:rsidRPr="000F7862">
        <w:rPr>
          <w:lang w:val="fr-FR"/>
        </w:rPr>
        <w:t>’</w:t>
      </w:r>
      <w:r w:rsidR="006A2573" w:rsidRPr="000F7862">
        <w:rPr>
          <w:lang w:val="fr-FR"/>
        </w:rPr>
        <w:t>incidence du travail des enfants reposant sur l</w:t>
      </w:r>
      <w:r w:rsidR="00120E2E" w:rsidRPr="000F7862">
        <w:rPr>
          <w:lang w:val="fr-FR"/>
        </w:rPr>
        <w:t>’</w:t>
      </w:r>
      <w:r w:rsidR="006A2573" w:rsidRPr="000F7862">
        <w:rPr>
          <w:lang w:val="fr-FR"/>
        </w:rPr>
        <w:t>utilisation d</w:t>
      </w:r>
      <w:r w:rsidR="00120E2E" w:rsidRPr="000F7862">
        <w:rPr>
          <w:lang w:val="fr-FR"/>
        </w:rPr>
        <w:t>’</w:t>
      </w:r>
      <w:r w:rsidR="006A2573" w:rsidRPr="000F7862">
        <w:rPr>
          <w:lang w:val="fr-FR"/>
        </w:rPr>
        <w:t>un site Web de partage des connaissances sur le travail</w:t>
      </w:r>
      <w:r w:rsidR="00E72166" w:rsidRPr="000F7862">
        <w:rPr>
          <w:lang w:val="fr-FR"/>
        </w:rPr>
        <w:t xml:space="preserve"> </w:t>
      </w:r>
      <w:r w:rsidR="006A2573" w:rsidRPr="000F7862">
        <w:rPr>
          <w:lang w:val="fr-FR"/>
        </w:rPr>
        <w:t>des enfants</w:t>
      </w:r>
      <w:r w:rsidR="0086185C" w:rsidRPr="000F7862">
        <w:rPr>
          <w:lang w:val="fr-FR"/>
        </w:rPr>
        <w:t xml:space="preserve">. </w:t>
      </w:r>
    </w:p>
    <w:p w:rsidR="0086185C" w:rsidRPr="000F7862" w:rsidRDefault="003F7F57" w:rsidP="007E1CE3">
      <w:pPr>
        <w:pStyle w:val="SingleTxtG"/>
        <w:rPr>
          <w:lang w:val="fr-FR"/>
        </w:rPr>
      </w:pPr>
      <w:r w:rsidRPr="000F7862">
        <w:rPr>
          <w:lang w:val="fr-FR"/>
        </w:rPr>
        <w:t>142.</w:t>
      </w:r>
      <w:r w:rsidRPr="000F7862">
        <w:rPr>
          <w:lang w:val="fr-FR"/>
        </w:rPr>
        <w:tab/>
      </w:r>
      <w:r w:rsidR="007F5D63" w:rsidRPr="000F7862">
        <w:rPr>
          <w:lang w:val="fr-FR"/>
        </w:rPr>
        <w:t>La récente loi de la République</w:t>
      </w:r>
      <w:r w:rsidR="003D3A45" w:rsidRPr="000F7862">
        <w:rPr>
          <w:lang w:val="fr-FR"/>
        </w:rPr>
        <w:t xml:space="preserve"> </w:t>
      </w:r>
      <w:r w:rsidR="007E1CE3" w:rsidRPr="000F7862">
        <w:rPr>
          <w:lang w:val="fr-FR"/>
        </w:rPr>
        <w:t>n</w:t>
      </w:r>
      <w:r w:rsidR="007E1CE3" w:rsidRPr="000F7862">
        <w:rPr>
          <w:vertAlign w:val="superscript"/>
          <w:lang w:val="fr-FR"/>
        </w:rPr>
        <w:t>o</w:t>
      </w:r>
      <w:r w:rsidR="007E1CE3" w:rsidRPr="000F7862">
        <w:rPr>
          <w:lang w:val="fr-FR"/>
        </w:rPr>
        <w:t> </w:t>
      </w:r>
      <w:r w:rsidR="007F5D63" w:rsidRPr="000F7862">
        <w:rPr>
          <w:lang w:val="fr-FR"/>
        </w:rPr>
        <w:t xml:space="preserve">10364 </w:t>
      </w:r>
      <w:r w:rsidR="0086185C" w:rsidRPr="000F7862">
        <w:rPr>
          <w:lang w:val="fr-FR"/>
        </w:rPr>
        <w:t>(</w:t>
      </w:r>
      <w:r w:rsidR="007F5D63" w:rsidRPr="000F7862">
        <w:rPr>
          <w:i/>
          <w:iCs/>
          <w:lang w:val="fr-FR"/>
        </w:rPr>
        <w:t>loi élargie de 2012 de lutte contre la traite des êtres humains</w:t>
      </w:r>
      <w:r w:rsidR="0086185C" w:rsidRPr="000F7862">
        <w:rPr>
          <w:lang w:val="fr-FR"/>
        </w:rPr>
        <w:t>)</w:t>
      </w:r>
      <w:r w:rsidR="007F5D63" w:rsidRPr="000F7862">
        <w:rPr>
          <w:lang w:val="fr-FR"/>
        </w:rPr>
        <w:t xml:space="preserve"> sanctionne désormais les tentatives de traite</w:t>
      </w:r>
      <w:r w:rsidR="0086185C" w:rsidRPr="000F7862">
        <w:rPr>
          <w:lang w:val="fr-FR"/>
        </w:rPr>
        <w:t xml:space="preserve">. </w:t>
      </w:r>
      <w:r w:rsidR="007F5D63" w:rsidRPr="000F7862">
        <w:rPr>
          <w:lang w:val="fr-FR"/>
        </w:rPr>
        <w:t>Elle sanctionne par ailleurs la complicité, d</w:t>
      </w:r>
      <w:r w:rsidR="00120E2E" w:rsidRPr="000F7862">
        <w:rPr>
          <w:lang w:val="fr-FR"/>
        </w:rPr>
        <w:t>’</w:t>
      </w:r>
      <w:r w:rsidR="007F5D63" w:rsidRPr="000F7862">
        <w:rPr>
          <w:lang w:val="fr-FR"/>
        </w:rPr>
        <w:t>autres actes connexes et un plus grand nombre de personnes</w:t>
      </w:r>
      <w:r w:rsidR="0086185C" w:rsidRPr="000F7862">
        <w:rPr>
          <w:lang w:val="fr-FR"/>
        </w:rPr>
        <w:t xml:space="preserve">. </w:t>
      </w:r>
      <w:r w:rsidR="007F5D63" w:rsidRPr="000F7862">
        <w:rPr>
          <w:lang w:val="fr-FR"/>
        </w:rPr>
        <w:t xml:space="preserve">Par exemple, </w:t>
      </w:r>
      <w:r w:rsidR="00E8509C" w:rsidRPr="000F7862">
        <w:rPr>
          <w:lang w:val="fr-FR"/>
        </w:rPr>
        <w:t>le recrutement à des fins d</w:t>
      </w:r>
      <w:r w:rsidR="00120E2E" w:rsidRPr="000F7862">
        <w:rPr>
          <w:lang w:val="fr-FR"/>
        </w:rPr>
        <w:t>’</w:t>
      </w:r>
      <w:r w:rsidR="00E8509C" w:rsidRPr="000F7862">
        <w:rPr>
          <w:lang w:val="fr-FR"/>
        </w:rPr>
        <w:t>exploitation sexuelle sous couvert d</w:t>
      </w:r>
      <w:r w:rsidR="00120E2E" w:rsidRPr="000F7862">
        <w:rPr>
          <w:lang w:val="fr-FR"/>
        </w:rPr>
        <w:t>’</w:t>
      </w:r>
      <w:r w:rsidR="00E8509C" w:rsidRPr="000F7862">
        <w:rPr>
          <w:lang w:val="fr-FR"/>
        </w:rPr>
        <w:t>emploi dans le pays ou à l</w:t>
      </w:r>
      <w:r w:rsidR="00120E2E" w:rsidRPr="000F7862">
        <w:rPr>
          <w:lang w:val="fr-FR"/>
        </w:rPr>
        <w:t>’</w:t>
      </w:r>
      <w:r w:rsidR="00E8509C" w:rsidRPr="000F7862">
        <w:rPr>
          <w:lang w:val="fr-FR"/>
        </w:rPr>
        <w:t>étranger, le travail forcé ou la servitude imposée pour dette involontaire sont désormais considérés comme des actes de traite des êtres humains</w:t>
      </w:r>
      <w:r w:rsidR="0086185C" w:rsidRPr="000F7862">
        <w:rPr>
          <w:lang w:val="fr-FR"/>
        </w:rPr>
        <w:t>.</w:t>
      </w:r>
    </w:p>
    <w:p w:rsidR="0086185C" w:rsidRPr="000F7862" w:rsidRDefault="003F7F57" w:rsidP="007E1CE3">
      <w:pPr>
        <w:pStyle w:val="SingleTxtG"/>
        <w:rPr>
          <w:lang w:val="fr-FR"/>
        </w:rPr>
      </w:pPr>
      <w:r w:rsidRPr="000F7862">
        <w:rPr>
          <w:lang w:val="fr-FR"/>
        </w:rPr>
        <w:t>143.</w:t>
      </w:r>
      <w:r w:rsidRPr="000F7862">
        <w:rPr>
          <w:lang w:val="fr-FR"/>
        </w:rPr>
        <w:tab/>
      </w:r>
      <w:r w:rsidR="00E8509C" w:rsidRPr="000F7862">
        <w:rPr>
          <w:lang w:val="fr-FR"/>
        </w:rPr>
        <w:t>Les sanctions prévues par la nouvelle loi sont durcies. Les personnes reconnues coupables de traite peuvent être condamnées à une peine d</w:t>
      </w:r>
      <w:r w:rsidR="00120E2E" w:rsidRPr="000F7862">
        <w:rPr>
          <w:lang w:val="fr-FR"/>
        </w:rPr>
        <w:t>’</w:t>
      </w:r>
      <w:r w:rsidR="00E8509C" w:rsidRPr="000F7862">
        <w:rPr>
          <w:lang w:val="fr-FR"/>
        </w:rPr>
        <w:t>emprisonnement d</w:t>
      </w:r>
      <w:r w:rsidR="00120E2E" w:rsidRPr="000F7862">
        <w:rPr>
          <w:lang w:val="fr-FR"/>
        </w:rPr>
        <w:t>’</w:t>
      </w:r>
      <w:r w:rsidR="00E8509C" w:rsidRPr="000F7862">
        <w:rPr>
          <w:lang w:val="fr-FR"/>
        </w:rPr>
        <w:t xml:space="preserve">une durée de </w:t>
      </w:r>
      <w:r w:rsidR="007E1CE3" w:rsidRPr="000F7862">
        <w:rPr>
          <w:lang w:val="fr-FR"/>
        </w:rPr>
        <w:t>six</w:t>
      </w:r>
      <w:r w:rsidR="00E8509C" w:rsidRPr="000F7862">
        <w:rPr>
          <w:lang w:val="fr-FR"/>
        </w:rPr>
        <w:t xml:space="preserve"> à </w:t>
      </w:r>
      <w:r w:rsidR="007E1CE3" w:rsidRPr="000F7862">
        <w:rPr>
          <w:lang w:val="fr-FR"/>
        </w:rPr>
        <w:t>quarante</w:t>
      </w:r>
      <w:r w:rsidR="00E8509C" w:rsidRPr="000F7862">
        <w:rPr>
          <w:lang w:val="fr-FR"/>
        </w:rPr>
        <w:t xml:space="preserve"> ans et à une amende allant de 50 000 à 5 millions de pesos</w:t>
      </w:r>
      <w:r w:rsidR="0086185C" w:rsidRPr="000F7862">
        <w:rPr>
          <w:lang w:val="fr-FR"/>
        </w:rPr>
        <w:t xml:space="preserve">. </w:t>
      </w:r>
    </w:p>
    <w:p w:rsidR="0086185C" w:rsidRPr="000F7862" w:rsidRDefault="003F7F57" w:rsidP="003F7F57">
      <w:pPr>
        <w:pStyle w:val="SingleTxtG"/>
        <w:rPr>
          <w:lang w:val="fr-FR"/>
        </w:rPr>
      </w:pPr>
      <w:r w:rsidRPr="000F7862">
        <w:rPr>
          <w:lang w:val="fr-FR"/>
        </w:rPr>
        <w:t>144.</w:t>
      </w:r>
      <w:r w:rsidRPr="000F7862">
        <w:rPr>
          <w:lang w:val="fr-FR"/>
        </w:rPr>
        <w:tab/>
      </w:r>
      <w:r w:rsidR="00E8509C" w:rsidRPr="000F7862">
        <w:rPr>
          <w:lang w:val="fr-FR"/>
        </w:rPr>
        <w:t xml:space="preserve">Une disposition </w:t>
      </w:r>
      <w:r w:rsidR="0086185C" w:rsidRPr="000F7862">
        <w:rPr>
          <w:lang w:val="fr-FR"/>
        </w:rPr>
        <w:t>important</w:t>
      </w:r>
      <w:r w:rsidR="00E8509C" w:rsidRPr="000F7862">
        <w:rPr>
          <w:lang w:val="fr-FR"/>
        </w:rPr>
        <w:t xml:space="preserve">e de la loi interdit de </w:t>
      </w:r>
      <w:r w:rsidR="009710BA" w:rsidRPr="000F7862">
        <w:rPr>
          <w:lang w:val="fr-FR"/>
        </w:rPr>
        <w:t xml:space="preserve">dévoiler </w:t>
      </w:r>
      <w:r w:rsidR="00E8509C" w:rsidRPr="000F7862">
        <w:rPr>
          <w:lang w:val="fr-FR"/>
        </w:rPr>
        <w:t xml:space="preserve">le nom et </w:t>
      </w:r>
      <w:r w:rsidR="009710BA" w:rsidRPr="000F7862">
        <w:rPr>
          <w:lang w:val="fr-FR"/>
        </w:rPr>
        <w:t>des renseignements sur la situation personnelle des victimes de la traite, alors que</w:t>
      </w:r>
      <w:r w:rsidR="0086185C" w:rsidRPr="000F7862">
        <w:rPr>
          <w:lang w:val="fr-FR"/>
        </w:rPr>
        <w:t xml:space="preserve"> </w:t>
      </w:r>
      <w:r w:rsidR="009710BA" w:rsidRPr="000F7862">
        <w:rPr>
          <w:lang w:val="fr-FR"/>
        </w:rPr>
        <w:t>l</w:t>
      </w:r>
      <w:r w:rsidR="00120E2E" w:rsidRPr="000F7862">
        <w:rPr>
          <w:lang w:val="fr-FR"/>
        </w:rPr>
        <w:t>’</w:t>
      </w:r>
      <w:r w:rsidR="009710BA" w:rsidRPr="000F7862">
        <w:rPr>
          <w:lang w:val="fr-FR"/>
        </w:rPr>
        <w:t>identité des personnes accusées de se livrer à la traite est désormais rendue publique afin de mettre en garde des victimes potentielles</w:t>
      </w:r>
      <w:r w:rsidR="0086185C" w:rsidRPr="000F7862">
        <w:rPr>
          <w:lang w:val="fr-FR"/>
        </w:rPr>
        <w:t>.</w:t>
      </w:r>
    </w:p>
    <w:p w:rsidR="0086185C" w:rsidRPr="000F7862" w:rsidRDefault="003F7F57" w:rsidP="003F7F57">
      <w:pPr>
        <w:pStyle w:val="SingleTxtG"/>
        <w:rPr>
          <w:lang w:val="fr-FR"/>
        </w:rPr>
      </w:pPr>
      <w:r w:rsidRPr="000F7862">
        <w:rPr>
          <w:lang w:val="fr-FR"/>
        </w:rPr>
        <w:t>145.</w:t>
      </w:r>
      <w:r w:rsidRPr="000F7862">
        <w:rPr>
          <w:lang w:val="fr-FR"/>
        </w:rPr>
        <w:tab/>
      </w:r>
      <w:r w:rsidR="009710BA" w:rsidRPr="000F7862">
        <w:rPr>
          <w:lang w:val="fr-FR"/>
        </w:rPr>
        <w:t>Le</w:t>
      </w:r>
      <w:r w:rsidR="0086185C" w:rsidRPr="000F7862">
        <w:rPr>
          <w:lang w:val="fr-FR"/>
        </w:rPr>
        <w:t xml:space="preserve"> </w:t>
      </w:r>
      <w:r w:rsidR="009710BA" w:rsidRPr="000F7862">
        <w:rPr>
          <w:lang w:val="fr-FR"/>
        </w:rPr>
        <w:t>Ministère de la protection sociale et du développement</w:t>
      </w:r>
      <w:r w:rsidR="0086185C" w:rsidRPr="000F7862">
        <w:rPr>
          <w:lang w:val="fr-FR"/>
        </w:rPr>
        <w:t xml:space="preserve">, </w:t>
      </w:r>
      <w:r w:rsidR="009710BA" w:rsidRPr="000F7862">
        <w:rPr>
          <w:lang w:val="fr-FR"/>
        </w:rPr>
        <w:t>épaulé par ses groupes de travail interinstitutions, a obtenu les résultats ci-aprè</w:t>
      </w:r>
      <w:r w:rsidR="00DF2FB9" w:rsidRPr="000F7862">
        <w:rPr>
          <w:lang w:val="fr-FR"/>
        </w:rPr>
        <w:t>s dans sa lutte contre la trait</w:t>
      </w:r>
      <w:r w:rsidR="009710BA" w:rsidRPr="000F7862">
        <w:rPr>
          <w:lang w:val="fr-FR"/>
        </w:rPr>
        <w:t>e des êtres humains, notamment les femmes et les enfants</w:t>
      </w:r>
      <w:r w:rsidR="0005004C" w:rsidRPr="000F7862">
        <w:rPr>
          <w:lang w:val="fr-FR"/>
        </w:rPr>
        <w:t>:</w:t>
      </w:r>
    </w:p>
    <w:p w:rsidR="0086185C" w:rsidRPr="000F7862" w:rsidRDefault="00AE7B22" w:rsidP="00AE7B22">
      <w:pPr>
        <w:pStyle w:val="H23G"/>
        <w:rPr>
          <w:lang w:val="fr-FR"/>
        </w:rPr>
      </w:pPr>
      <w:r w:rsidRPr="000F7862">
        <w:rPr>
          <w:lang w:val="fr-FR"/>
        </w:rPr>
        <w:tab/>
      </w:r>
      <w:r w:rsidRPr="000F7862">
        <w:rPr>
          <w:lang w:val="fr-FR"/>
        </w:rPr>
        <w:tab/>
      </w:r>
      <w:r w:rsidR="009710BA" w:rsidRPr="000F7862">
        <w:rPr>
          <w:lang w:val="fr-FR"/>
        </w:rPr>
        <w:t>Cré</w:t>
      </w:r>
      <w:r w:rsidR="0086185C" w:rsidRPr="000F7862">
        <w:rPr>
          <w:lang w:val="fr-FR"/>
        </w:rPr>
        <w:t xml:space="preserve">ation </w:t>
      </w:r>
      <w:r w:rsidR="009710BA" w:rsidRPr="000F7862">
        <w:rPr>
          <w:lang w:val="fr-FR"/>
        </w:rPr>
        <w:t>de mécanismes structurels</w:t>
      </w:r>
    </w:p>
    <w:p w:rsidR="0086185C" w:rsidRPr="000F7862" w:rsidRDefault="003F7F57" w:rsidP="003F7F57">
      <w:pPr>
        <w:pStyle w:val="SingleTxtG"/>
        <w:rPr>
          <w:lang w:val="fr-FR"/>
        </w:rPr>
      </w:pPr>
      <w:r w:rsidRPr="000F7862">
        <w:rPr>
          <w:lang w:val="fr-FR"/>
        </w:rPr>
        <w:t>146.</w:t>
      </w:r>
      <w:r w:rsidRPr="000F7862">
        <w:rPr>
          <w:lang w:val="fr-FR"/>
        </w:rPr>
        <w:tab/>
      </w:r>
      <w:r w:rsidR="0039321F" w:rsidRPr="000F7862">
        <w:rPr>
          <w:iCs/>
          <w:lang w:val="fr-FR"/>
        </w:rPr>
        <w:t xml:space="preserve">Le </w:t>
      </w:r>
      <w:r w:rsidR="0039321F" w:rsidRPr="000F7862">
        <w:rPr>
          <w:i/>
          <w:iCs/>
          <w:lang w:val="fr-FR"/>
        </w:rPr>
        <w:t>Conseil interinstitutions contre la traite</w:t>
      </w:r>
      <w:r w:rsidR="00E72166" w:rsidRPr="000F7862">
        <w:rPr>
          <w:i/>
          <w:iCs/>
          <w:lang w:val="fr-FR"/>
        </w:rPr>
        <w:t xml:space="preserve"> </w:t>
      </w:r>
      <w:r w:rsidR="0039321F" w:rsidRPr="000F7862">
        <w:rPr>
          <w:lang w:val="fr-FR"/>
        </w:rPr>
        <w:t xml:space="preserve">a été créé pour </w:t>
      </w:r>
      <w:r w:rsidR="0086185C" w:rsidRPr="000F7862">
        <w:rPr>
          <w:lang w:val="fr-FR"/>
        </w:rPr>
        <w:t>coord</w:t>
      </w:r>
      <w:r w:rsidR="0039321F" w:rsidRPr="000F7862">
        <w:rPr>
          <w:lang w:val="fr-FR"/>
        </w:rPr>
        <w:t>onner et suivre l</w:t>
      </w:r>
      <w:r w:rsidR="00120E2E" w:rsidRPr="000F7862">
        <w:rPr>
          <w:lang w:val="fr-FR"/>
        </w:rPr>
        <w:t>’</w:t>
      </w:r>
      <w:r w:rsidR="0039321F" w:rsidRPr="000F7862">
        <w:rPr>
          <w:lang w:val="fr-FR"/>
        </w:rPr>
        <w:t xml:space="preserve">application de la loi de la </w:t>
      </w:r>
      <w:r w:rsidR="0086185C" w:rsidRPr="000F7862">
        <w:rPr>
          <w:lang w:val="fr-FR"/>
        </w:rPr>
        <w:t>R</w:t>
      </w:r>
      <w:r w:rsidR="0039321F" w:rsidRPr="000F7862">
        <w:rPr>
          <w:lang w:val="fr-FR"/>
        </w:rPr>
        <w:t xml:space="preserve">épublique </w:t>
      </w:r>
      <w:r w:rsidR="00730F8F" w:rsidRPr="000F7862">
        <w:rPr>
          <w:lang w:val="fr-FR"/>
        </w:rPr>
        <w:t>n</w:t>
      </w:r>
      <w:r w:rsidR="00730F8F" w:rsidRPr="000F7862">
        <w:rPr>
          <w:vertAlign w:val="superscript"/>
          <w:lang w:val="fr-FR"/>
        </w:rPr>
        <w:t>o</w:t>
      </w:r>
      <w:r w:rsidR="00730F8F" w:rsidRPr="000F7862">
        <w:rPr>
          <w:lang w:val="fr-FR"/>
        </w:rPr>
        <w:t> </w:t>
      </w:r>
      <w:r w:rsidR="0086185C" w:rsidRPr="000F7862">
        <w:rPr>
          <w:lang w:val="fr-FR"/>
        </w:rPr>
        <w:t xml:space="preserve">9208, </w:t>
      </w:r>
      <w:r w:rsidR="0039321F" w:rsidRPr="000F7862">
        <w:rPr>
          <w:lang w:val="fr-FR"/>
        </w:rPr>
        <w:t xml:space="preserve">également appelée </w:t>
      </w:r>
      <w:r w:rsidR="002E7607" w:rsidRPr="000F7862">
        <w:rPr>
          <w:lang w:val="fr-FR"/>
        </w:rPr>
        <w:t>«</w:t>
      </w:r>
      <w:r w:rsidR="0039321F" w:rsidRPr="000F7862">
        <w:rPr>
          <w:lang w:val="fr-FR"/>
        </w:rPr>
        <w:t>Loi de 2003 sur la lutte contre la traite des êtres humains</w:t>
      </w:r>
      <w:r w:rsidR="002E7607" w:rsidRPr="000F7862">
        <w:rPr>
          <w:lang w:val="fr-FR"/>
        </w:rPr>
        <w:t>»</w:t>
      </w:r>
      <w:r w:rsidR="0086185C" w:rsidRPr="000F7862">
        <w:rPr>
          <w:lang w:val="fr-FR"/>
        </w:rPr>
        <w:t xml:space="preserve">. </w:t>
      </w:r>
      <w:r w:rsidR="0039321F" w:rsidRPr="000F7862">
        <w:rPr>
          <w:lang w:val="fr-FR"/>
        </w:rPr>
        <w:t>Il est composé des responsables du Ministère de la justice et du Ministère de la protection s</w:t>
      </w:r>
      <w:r w:rsidR="0086185C" w:rsidRPr="000F7862">
        <w:rPr>
          <w:lang w:val="fr-FR"/>
        </w:rPr>
        <w:t>ocial</w:t>
      </w:r>
      <w:r w:rsidR="0039321F" w:rsidRPr="000F7862">
        <w:rPr>
          <w:lang w:val="fr-FR"/>
        </w:rPr>
        <w:t>e et du dé</w:t>
      </w:r>
      <w:r w:rsidR="0086185C" w:rsidRPr="000F7862">
        <w:rPr>
          <w:lang w:val="fr-FR"/>
        </w:rPr>
        <w:t>velop</w:t>
      </w:r>
      <w:r w:rsidR="0039321F" w:rsidRPr="000F7862">
        <w:rPr>
          <w:lang w:val="fr-FR"/>
        </w:rPr>
        <w:t>pe</w:t>
      </w:r>
      <w:r w:rsidR="0086185C" w:rsidRPr="000F7862">
        <w:rPr>
          <w:lang w:val="fr-FR"/>
        </w:rPr>
        <w:t xml:space="preserve">ment </w:t>
      </w:r>
      <w:r w:rsidR="00FD447B" w:rsidRPr="000F7862">
        <w:rPr>
          <w:lang w:val="fr-FR"/>
        </w:rPr>
        <w:t>en tant que président et coprésident, respectivement, ainsi que ceux d</w:t>
      </w:r>
      <w:r w:rsidR="00120E2E" w:rsidRPr="000F7862">
        <w:rPr>
          <w:lang w:val="fr-FR"/>
        </w:rPr>
        <w:t>’</w:t>
      </w:r>
      <w:r w:rsidR="00FD447B" w:rsidRPr="000F7862">
        <w:rPr>
          <w:lang w:val="fr-FR"/>
        </w:rPr>
        <w:t>autres organismes</w:t>
      </w:r>
      <w:r w:rsidR="0086185C" w:rsidRPr="000F7862">
        <w:rPr>
          <w:lang w:val="fr-FR"/>
        </w:rPr>
        <w:t>.</w:t>
      </w:r>
      <w:r w:rsidR="00446EA5" w:rsidRPr="000F7862">
        <w:rPr>
          <w:lang w:val="fr-FR"/>
        </w:rPr>
        <w:t xml:space="preserve"> </w:t>
      </w:r>
      <w:r w:rsidR="00FD447B" w:rsidRPr="000F7862">
        <w:rPr>
          <w:lang w:val="fr-FR"/>
        </w:rPr>
        <w:t xml:space="preserve">Le Conseil a par ailleurs son pendant aux niveaux régional (Conseils interinstitutions régionaux) et </w:t>
      </w:r>
      <w:r w:rsidR="0086185C" w:rsidRPr="000F7862">
        <w:rPr>
          <w:lang w:val="fr-FR"/>
        </w:rPr>
        <w:t>provincial</w:t>
      </w:r>
      <w:r w:rsidR="00FD447B" w:rsidRPr="000F7862">
        <w:rPr>
          <w:lang w:val="fr-FR"/>
        </w:rPr>
        <w:t xml:space="preserve"> (Conseils interinstitutions provinciaux)</w:t>
      </w:r>
      <w:r w:rsidR="0086185C" w:rsidRPr="000F7862">
        <w:rPr>
          <w:lang w:val="fr-FR"/>
        </w:rPr>
        <w:t>.</w:t>
      </w:r>
    </w:p>
    <w:p w:rsidR="0086185C" w:rsidRPr="000F7862" w:rsidRDefault="003F7F57" w:rsidP="003F7F57">
      <w:pPr>
        <w:pStyle w:val="SingleTxtG"/>
        <w:rPr>
          <w:lang w:val="fr-FR"/>
        </w:rPr>
      </w:pPr>
      <w:r w:rsidRPr="000F7862">
        <w:rPr>
          <w:lang w:val="fr-FR"/>
        </w:rPr>
        <w:t>147.</w:t>
      </w:r>
      <w:r w:rsidRPr="000F7862">
        <w:rPr>
          <w:lang w:val="fr-FR"/>
        </w:rPr>
        <w:tab/>
      </w:r>
      <w:r w:rsidR="00FD447B" w:rsidRPr="000F7862">
        <w:rPr>
          <w:lang w:val="fr-FR"/>
        </w:rPr>
        <w:t xml:space="preserve">Depuis sa </w:t>
      </w:r>
      <w:r w:rsidR="0086185C" w:rsidRPr="000F7862">
        <w:rPr>
          <w:lang w:val="fr-FR"/>
        </w:rPr>
        <w:t>cr</w:t>
      </w:r>
      <w:r w:rsidR="00FD447B" w:rsidRPr="000F7862">
        <w:rPr>
          <w:lang w:val="fr-FR"/>
        </w:rPr>
        <w:t>é</w:t>
      </w:r>
      <w:r w:rsidR="0086185C" w:rsidRPr="000F7862">
        <w:rPr>
          <w:lang w:val="fr-FR"/>
        </w:rPr>
        <w:t>ation</w:t>
      </w:r>
      <w:r w:rsidR="00FD447B" w:rsidRPr="000F7862">
        <w:rPr>
          <w:lang w:val="fr-FR"/>
        </w:rPr>
        <w:t>, le</w:t>
      </w:r>
      <w:r w:rsidR="0086185C" w:rsidRPr="000F7862">
        <w:rPr>
          <w:lang w:val="fr-FR"/>
        </w:rPr>
        <w:t xml:space="preserve"> </w:t>
      </w:r>
      <w:r w:rsidR="00FD447B" w:rsidRPr="000F7862">
        <w:rPr>
          <w:lang w:val="fr-FR"/>
        </w:rPr>
        <w:t>Conseil interinstitutions contre la traite es</w:t>
      </w:r>
      <w:r w:rsidR="0086185C" w:rsidRPr="000F7862">
        <w:rPr>
          <w:lang w:val="fr-FR"/>
        </w:rPr>
        <w:t xml:space="preserve">t </w:t>
      </w:r>
      <w:r w:rsidR="00FD447B" w:rsidRPr="000F7862">
        <w:rPr>
          <w:lang w:val="fr-FR"/>
        </w:rPr>
        <w:t xml:space="preserve">à la pointe du combat </w:t>
      </w:r>
      <w:r w:rsidR="00777E2F" w:rsidRPr="000F7862">
        <w:rPr>
          <w:lang w:val="fr-FR"/>
        </w:rPr>
        <w:t xml:space="preserve">de longue haleine </w:t>
      </w:r>
      <w:r w:rsidR="00FD447B" w:rsidRPr="000F7862">
        <w:rPr>
          <w:lang w:val="fr-FR"/>
        </w:rPr>
        <w:t xml:space="preserve">contre </w:t>
      </w:r>
      <w:r w:rsidR="00777E2F" w:rsidRPr="000F7862">
        <w:rPr>
          <w:lang w:val="fr-FR"/>
        </w:rPr>
        <w:t>la traite des êtres humains</w:t>
      </w:r>
      <w:r w:rsidR="0086185C" w:rsidRPr="000F7862">
        <w:rPr>
          <w:lang w:val="fr-FR"/>
        </w:rPr>
        <w:t xml:space="preserve">. </w:t>
      </w:r>
      <w:r w:rsidR="00777E2F" w:rsidRPr="000F7862">
        <w:rPr>
          <w:lang w:val="fr-FR"/>
        </w:rPr>
        <w:t>Avec l</w:t>
      </w:r>
      <w:r w:rsidR="00120E2E" w:rsidRPr="000F7862">
        <w:rPr>
          <w:lang w:val="fr-FR"/>
        </w:rPr>
        <w:t>’</w:t>
      </w:r>
      <w:r w:rsidR="00777E2F" w:rsidRPr="000F7862">
        <w:rPr>
          <w:lang w:val="fr-FR"/>
        </w:rPr>
        <w:t>appui résolu d</w:t>
      </w:r>
      <w:r w:rsidR="00120E2E" w:rsidRPr="000F7862">
        <w:rPr>
          <w:lang w:val="fr-FR"/>
        </w:rPr>
        <w:t>’</w:t>
      </w:r>
      <w:r w:rsidR="00777E2F" w:rsidRPr="000F7862">
        <w:rPr>
          <w:lang w:val="fr-FR"/>
        </w:rPr>
        <w:t>un grand nombre de partenaires venus du Gouvernement, du secteur privé, de la société civile et des organisations</w:t>
      </w:r>
      <w:r w:rsidR="0086185C" w:rsidRPr="000F7862">
        <w:rPr>
          <w:lang w:val="fr-FR"/>
        </w:rPr>
        <w:t xml:space="preserve"> international</w:t>
      </w:r>
      <w:r w:rsidR="00777E2F" w:rsidRPr="000F7862">
        <w:rPr>
          <w:lang w:val="fr-FR"/>
        </w:rPr>
        <w:t>es</w:t>
      </w:r>
      <w:r w:rsidR="0086185C" w:rsidRPr="000F7862">
        <w:rPr>
          <w:lang w:val="fr-FR"/>
        </w:rPr>
        <w:t xml:space="preserve"> </w:t>
      </w:r>
      <w:r w:rsidR="00777E2F" w:rsidRPr="000F7862">
        <w:rPr>
          <w:lang w:val="fr-FR"/>
        </w:rPr>
        <w:t>s</w:t>
      </w:r>
      <w:r w:rsidR="00120E2E" w:rsidRPr="000F7862">
        <w:rPr>
          <w:lang w:val="fr-FR"/>
        </w:rPr>
        <w:t>’</w:t>
      </w:r>
      <w:r w:rsidR="00777E2F" w:rsidRPr="000F7862">
        <w:rPr>
          <w:lang w:val="fr-FR"/>
        </w:rPr>
        <w:t>occupant de développement et de lutte contre la criminalité, il a mené très loin la campagne du Gouvernement contre la traite des êtres humains</w:t>
      </w:r>
      <w:r w:rsidR="0086185C" w:rsidRPr="000F7862">
        <w:rPr>
          <w:lang w:val="fr-FR"/>
        </w:rPr>
        <w:t>.</w:t>
      </w:r>
    </w:p>
    <w:p w:rsidR="0086185C" w:rsidRPr="000F7862" w:rsidRDefault="003F7F57" w:rsidP="003F7F57">
      <w:pPr>
        <w:pStyle w:val="SingleTxtG"/>
        <w:rPr>
          <w:lang w:val="fr-FR"/>
        </w:rPr>
      </w:pPr>
      <w:r w:rsidRPr="000F7862">
        <w:rPr>
          <w:lang w:val="fr-FR"/>
        </w:rPr>
        <w:t>148.</w:t>
      </w:r>
      <w:r w:rsidRPr="000F7862">
        <w:rPr>
          <w:lang w:val="fr-FR"/>
        </w:rPr>
        <w:tab/>
      </w:r>
      <w:r w:rsidR="0086185C" w:rsidRPr="000F7862">
        <w:rPr>
          <w:lang w:val="fr-FR"/>
        </w:rPr>
        <w:t>A</w:t>
      </w:r>
      <w:r w:rsidR="00777E2F" w:rsidRPr="000F7862">
        <w:rPr>
          <w:lang w:val="fr-FR"/>
        </w:rPr>
        <w:t>u</w:t>
      </w:r>
      <w:r w:rsidR="0086185C" w:rsidRPr="000F7862">
        <w:rPr>
          <w:lang w:val="fr-FR"/>
        </w:rPr>
        <w:t xml:space="preserve"> total</w:t>
      </w:r>
      <w:r w:rsidR="00777E2F" w:rsidRPr="000F7862">
        <w:rPr>
          <w:lang w:val="fr-FR"/>
        </w:rPr>
        <w:t>,</w:t>
      </w:r>
      <w:r w:rsidR="0086185C" w:rsidRPr="000F7862">
        <w:rPr>
          <w:lang w:val="fr-FR"/>
        </w:rPr>
        <w:t xml:space="preserve"> 102 </w:t>
      </w:r>
      <w:r w:rsidR="00777E2F" w:rsidRPr="000F7862">
        <w:rPr>
          <w:lang w:val="fr-FR"/>
        </w:rPr>
        <w:t>auteurs présumés d</w:t>
      </w:r>
      <w:r w:rsidR="00120E2E" w:rsidRPr="000F7862">
        <w:rPr>
          <w:lang w:val="fr-FR"/>
        </w:rPr>
        <w:t>’</w:t>
      </w:r>
      <w:r w:rsidR="00777E2F" w:rsidRPr="000F7862">
        <w:rPr>
          <w:lang w:val="fr-FR"/>
        </w:rPr>
        <w:t xml:space="preserve">actes de traite ont été reconnus coupables en </w:t>
      </w:r>
      <w:r w:rsidR="0086185C" w:rsidRPr="000F7862">
        <w:rPr>
          <w:lang w:val="fr-FR"/>
        </w:rPr>
        <w:t xml:space="preserve">2012 </w:t>
      </w:r>
      <w:r w:rsidR="00777E2F" w:rsidRPr="000F7862">
        <w:rPr>
          <w:lang w:val="fr-FR"/>
        </w:rPr>
        <w:t>grâce à l</w:t>
      </w:r>
      <w:r w:rsidR="00120E2E" w:rsidRPr="000F7862">
        <w:rPr>
          <w:lang w:val="fr-FR"/>
        </w:rPr>
        <w:t>’</w:t>
      </w:r>
      <w:r w:rsidR="00777E2F" w:rsidRPr="000F7862">
        <w:rPr>
          <w:lang w:val="fr-FR"/>
        </w:rPr>
        <w:t>aide de ce Conseil</w:t>
      </w:r>
      <w:r w:rsidR="0086185C" w:rsidRPr="000F7862">
        <w:rPr>
          <w:lang w:val="fr-FR"/>
        </w:rPr>
        <w:t xml:space="preserve">. </w:t>
      </w:r>
      <w:r w:rsidR="00777E2F" w:rsidRPr="000F7862">
        <w:rPr>
          <w:lang w:val="fr-FR"/>
        </w:rPr>
        <w:t>D</w:t>
      </w:r>
      <w:r w:rsidR="00120E2E" w:rsidRPr="000F7862">
        <w:rPr>
          <w:lang w:val="fr-FR"/>
        </w:rPr>
        <w:t>’</w:t>
      </w:r>
      <w:r w:rsidR="00777E2F" w:rsidRPr="000F7862">
        <w:rPr>
          <w:lang w:val="fr-FR"/>
        </w:rPr>
        <w:t xml:space="preserve">autres </w:t>
      </w:r>
      <w:r w:rsidR="00867E43" w:rsidRPr="000F7862">
        <w:rPr>
          <w:lang w:val="fr-FR"/>
        </w:rPr>
        <w:t>programmes</w:t>
      </w:r>
      <w:r w:rsidR="0086185C" w:rsidRPr="000F7862">
        <w:rPr>
          <w:lang w:val="fr-FR"/>
        </w:rPr>
        <w:t xml:space="preserve"> </w:t>
      </w:r>
      <w:r w:rsidR="00777E2F" w:rsidRPr="000F7862">
        <w:rPr>
          <w:lang w:val="fr-FR"/>
        </w:rPr>
        <w:t>mis en place par ce dernier, tels que l</w:t>
      </w:r>
      <w:r w:rsidR="00120E2E" w:rsidRPr="000F7862">
        <w:rPr>
          <w:lang w:val="fr-FR"/>
        </w:rPr>
        <w:t>’</w:t>
      </w:r>
      <w:r w:rsidR="00777E2F" w:rsidRPr="000F7862">
        <w:rPr>
          <w:lang w:val="fr-FR"/>
        </w:rPr>
        <w:t>Équipe spéciale nationale de lutte contre la traite des êtres humains</w:t>
      </w:r>
      <w:r w:rsidR="0086185C" w:rsidRPr="000F7862">
        <w:rPr>
          <w:lang w:val="fr-FR"/>
        </w:rPr>
        <w:t xml:space="preserve">, </w:t>
      </w:r>
      <w:r w:rsidR="00777E2F" w:rsidRPr="000F7862">
        <w:rPr>
          <w:lang w:val="fr-FR"/>
        </w:rPr>
        <w:t>l</w:t>
      </w:r>
      <w:r w:rsidR="00120E2E" w:rsidRPr="000F7862">
        <w:rPr>
          <w:lang w:val="fr-FR"/>
        </w:rPr>
        <w:t>’</w:t>
      </w:r>
      <w:r w:rsidR="00777E2F" w:rsidRPr="000F7862">
        <w:rPr>
          <w:lang w:val="fr-FR"/>
        </w:rPr>
        <w:t>Équipe spéciale ré</w:t>
      </w:r>
      <w:r w:rsidR="0086185C" w:rsidRPr="000F7862">
        <w:rPr>
          <w:lang w:val="fr-FR"/>
        </w:rPr>
        <w:t>gional</w:t>
      </w:r>
      <w:r w:rsidR="00777E2F" w:rsidRPr="000F7862">
        <w:rPr>
          <w:lang w:val="fr-FR"/>
        </w:rPr>
        <w:t>e</w:t>
      </w:r>
      <w:r w:rsidR="0086185C" w:rsidRPr="000F7862">
        <w:rPr>
          <w:lang w:val="fr-FR"/>
        </w:rPr>
        <w:t xml:space="preserve"> </w:t>
      </w:r>
      <w:r w:rsidR="00777E2F" w:rsidRPr="000F7862">
        <w:rPr>
          <w:lang w:val="fr-FR"/>
        </w:rPr>
        <w:t xml:space="preserve">et les groupes en poste dans </w:t>
      </w:r>
      <w:r w:rsidR="00AA4EA7" w:rsidRPr="000F7862">
        <w:rPr>
          <w:lang w:val="fr-FR"/>
        </w:rPr>
        <w:t>les points d</w:t>
      </w:r>
      <w:r w:rsidR="00120E2E" w:rsidRPr="000F7862">
        <w:rPr>
          <w:lang w:val="fr-FR"/>
        </w:rPr>
        <w:t>’</w:t>
      </w:r>
      <w:r w:rsidR="00AA4EA7" w:rsidRPr="000F7862">
        <w:rPr>
          <w:lang w:val="fr-FR"/>
        </w:rPr>
        <w:t>entrée, ont accru les moyens de détection des victimes potentielles de la tr</w:t>
      </w:r>
      <w:r w:rsidR="00E72166" w:rsidRPr="000F7862">
        <w:rPr>
          <w:lang w:val="fr-FR"/>
        </w:rPr>
        <w:t>aite et contribué à développer l</w:t>
      </w:r>
      <w:r w:rsidR="00AA4EA7" w:rsidRPr="000F7862">
        <w:rPr>
          <w:lang w:val="fr-FR"/>
        </w:rPr>
        <w:t>es activités préventives</w:t>
      </w:r>
      <w:r w:rsidR="00E72166" w:rsidRPr="000F7862">
        <w:rPr>
          <w:lang w:val="fr-FR"/>
        </w:rPr>
        <w:t xml:space="preserve"> du Conseil</w:t>
      </w:r>
      <w:r w:rsidR="0086185C" w:rsidRPr="000F7862">
        <w:rPr>
          <w:lang w:val="fr-FR"/>
        </w:rPr>
        <w:t xml:space="preserve">. </w:t>
      </w:r>
    </w:p>
    <w:p w:rsidR="0086185C" w:rsidRPr="000F7862" w:rsidRDefault="003F7F57" w:rsidP="003F7F57">
      <w:pPr>
        <w:pStyle w:val="SingleTxtG"/>
        <w:rPr>
          <w:lang w:val="fr-FR"/>
        </w:rPr>
      </w:pPr>
      <w:r w:rsidRPr="000F7862">
        <w:rPr>
          <w:lang w:val="fr-FR"/>
        </w:rPr>
        <w:t>149.</w:t>
      </w:r>
      <w:r w:rsidRPr="000F7862">
        <w:rPr>
          <w:lang w:val="fr-FR"/>
        </w:rPr>
        <w:tab/>
      </w:r>
      <w:r w:rsidR="00AA4EA7" w:rsidRPr="000F7862">
        <w:rPr>
          <w:lang w:val="fr-FR"/>
        </w:rPr>
        <w:t>Le Conseil a dirigé plusieurs missions de sauvetage et d</w:t>
      </w:r>
      <w:r w:rsidR="00120E2E" w:rsidRPr="000F7862">
        <w:rPr>
          <w:lang w:val="fr-FR"/>
        </w:rPr>
        <w:t>’</w:t>
      </w:r>
      <w:r w:rsidR="00AA4EA7" w:rsidRPr="000F7862">
        <w:rPr>
          <w:lang w:val="fr-FR"/>
        </w:rPr>
        <w:t xml:space="preserve">assistance aux victimes dans le cadre desquelles il a fait appel à la coopération </w:t>
      </w:r>
      <w:r w:rsidR="0086185C" w:rsidRPr="000F7862">
        <w:rPr>
          <w:lang w:val="fr-FR"/>
        </w:rPr>
        <w:t>international</w:t>
      </w:r>
      <w:r w:rsidR="00AA4EA7" w:rsidRPr="000F7862">
        <w:rPr>
          <w:lang w:val="fr-FR"/>
        </w:rPr>
        <w:t>e</w:t>
      </w:r>
      <w:r w:rsidR="0086185C" w:rsidRPr="000F7862">
        <w:rPr>
          <w:lang w:val="fr-FR"/>
        </w:rPr>
        <w:t xml:space="preserve">. </w:t>
      </w:r>
      <w:r w:rsidR="00AA4EA7" w:rsidRPr="000F7862">
        <w:rPr>
          <w:lang w:val="fr-FR"/>
        </w:rPr>
        <w:t xml:space="preserve">En </w:t>
      </w:r>
      <w:r w:rsidR="0086185C" w:rsidRPr="000F7862">
        <w:rPr>
          <w:lang w:val="fr-FR"/>
        </w:rPr>
        <w:t>2012, six victim</w:t>
      </w:r>
      <w:r w:rsidR="00AA4EA7" w:rsidRPr="000F7862">
        <w:rPr>
          <w:lang w:val="fr-FR"/>
        </w:rPr>
        <w:t>e</w:t>
      </w:r>
      <w:r w:rsidR="0086185C" w:rsidRPr="000F7862">
        <w:rPr>
          <w:lang w:val="fr-FR"/>
        </w:rPr>
        <w:t xml:space="preserve">s </w:t>
      </w:r>
      <w:r w:rsidR="00AA4EA7" w:rsidRPr="000F7862">
        <w:rPr>
          <w:lang w:val="fr-FR"/>
        </w:rPr>
        <w:t xml:space="preserve">ont été secourues et aidées en </w:t>
      </w:r>
      <w:r w:rsidR="0086185C" w:rsidRPr="000F7862">
        <w:rPr>
          <w:lang w:val="fr-FR"/>
        </w:rPr>
        <w:t>Mala</w:t>
      </w:r>
      <w:r w:rsidR="00AA4EA7" w:rsidRPr="000F7862">
        <w:rPr>
          <w:lang w:val="fr-FR"/>
        </w:rPr>
        <w:t>isie et cinq autres l</w:t>
      </w:r>
      <w:r w:rsidR="00120E2E" w:rsidRPr="000F7862">
        <w:rPr>
          <w:lang w:val="fr-FR"/>
        </w:rPr>
        <w:t>’</w:t>
      </w:r>
      <w:r w:rsidR="00AA4EA7" w:rsidRPr="000F7862">
        <w:rPr>
          <w:lang w:val="fr-FR"/>
        </w:rPr>
        <w:t>ont été en Chine</w:t>
      </w:r>
      <w:r w:rsidR="0086185C" w:rsidRPr="000F7862">
        <w:rPr>
          <w:lang w:val="fr-FR"/>
        </w:rPr>
        <w:t xml:space="preserve">. </w:t>
      </w:r>
      <w:r w:rsidR="00AA4EA7" w:rsidRPr="000F7862">
        <w:rPr>
          <w:lang w:val="fr-FR"/>
        </w:rPr>
        <w:t>E</w:t>
      </w:r>
      <w:r w:rsidR="0086185C" w:rsidRPr="000F7862">
        <w:rPr>
          <w:lang w:val="fr-FR"/>
        </w:rPr>
        <w:t xml:space="preserve">n 2013, 10 </w:t>
      </w:r>
      <w:r w:rsidR="00AA4EA7" w:rsidRPr="000F7862">
        <w:rPr>
          <w:lang w:val="fr-FR"/>
        </w:rPr>
        <w:t>l</w:t>
      </w:r>
      <w:r w:rsidR="00120E2E" w:rsidRPr="000F7862">
        <w:rPr>
          <w:lang w:val="fr-FR"/>
        </w:rPr>
        <w:t>’</w:t>
      </w:r>
      <w:r w:rsidR="00AA4EA7" w:rsidRPr="000F7862">
        <w:rPr>
          <w:lang w:val="fr-FR"/>
        </w:rPr>
        <w:t xml:space="preserve">ont été à </w:t>
      </w:r>
      <w:r w:rsidR="0086185C" w:rsidRPr="000F7862">
        <w:rPr>
          <w:lang w:val="fr-FR"/>
        </w:rPr>
        <w:t>Singapo</w:t>
      </w:r>
      <w:r w:rsidR="00AA4EA7" w:rsidRPr="000F7862">
        <w:rPr>
          <w:lang w:val="fr-FR"/>
        </w:rPr>
        <w:t>u</w:t>
      </w:r>
      <w:r w:rsidR="0086185C" w:rsidRPr="000F7862">
        <w:rPr>
          <w:lang w:val="fr-FR"/>
        </w:rPr>
        <w:t xml:space="preserve">r. </w:t>
      </w:r>
      <w:r w:rsidR="00AA4EA7" w:rsidRPr="000F7862">
        <w:rPr>
          <w:lang w:val="fr-FR"/>
        </w:rPr>
        <w:t xml:space="preserve">Par ailleurs, dans le cadre des </w:t>
      </w:r>
      <w:r w:rsidR="0086185C" w:rsidRPr="000F7862">
        <w:rPr>
          <w:lang w:val="fr-FR"/>
        </w:rPr>
        <w:t xml:space="preserve">efforts </w:t>
      </w:r>
      <w:r w:rsidR="00AA4EA7" w:rsidRPr="000F7862">
        <w:rPr>
          <w:lang w:val="fr-FR"/>
        </w:rPr>
        <w:t>déployés pour accélérer le règlement des cas de traite</w:t>
      </w:r>
      <w:r w:rsidR="0086185C" w:rsidRPr="000F7862">
        <w:rPr>
          <w:lang w:val="fr-FR"/>
        </w:rPr>
        <w:t xml:space="preserve">, </w:t>
      </w:r>
      <w:r w:rsidR="00AA4EA7" w:rsidRPr="000F7862">
        <w:rPr>
          <w:lang w:val="fr-FR"/>
        </w:rPr>
        <w:t>une base de données complète de tous les cas de traite a été créée</w:t>
      </w:r>
      <w:r w:rsidR="0086185C" w:rsidRPr="000F7862">
        <w:rPr>
          <w:lang w:val="fr-FR"/>
        </w:rPr>
        <w:t xml:space="preserve">. </w:t>
      </w:r>
      <w:r w:rsidR="00AA4EA7" w:rsidRPr="000F7862">
        <w:rPr>
          <w:lang w:val="fr-FR"/>
        </w:rPr>
        <w:t>Le Cons</w:t>
      </w:r>
      <w:r w:rsidR="005C2EF7" w:rsidRPr="000F7862">
        <w:rPr>
          <w:lang w:val="fr-FR"/>
        </w:rPr>
        <w:t>eil a constitué une équipe char</w:t>
      </w:r>
      <w:r w:rsidR="00AA4EA7" w:rsidRPr="000F7862">
        <w:rPr>
          <w:lang w:val="fr-FR"/>
        </w:rPr>
        <w:t>gée de suivre et d</w:t>
      </w:r>
      <w:r w:rsidR="00120E2E" w:rsidRPr="000F7862">
        <w:rPr>
          <w:lang w:val="fr-FR"/>
        </w:rPr>
        <w:t>’</w:t>
      </w:r>
      <w:r w:rsidR="00AA4EA7" w:rsidRPr="000F7862">
        <w:rPr>
          <w:lang w:val="fr-FR"/>
        </w:rPr>
        <w:t xml:space="preserve">inventorier </w:t>
      </w:r>
      <w:r w:rsidR="00DF2FB9" w:rsidRPr="000F7862">
        <w:rPr>
          <w:lang w:val="fr-FR"/>
        </w:rPr>
        <w:t>les affaires pendantes</w:t>
      </w:r>
      <w:r w:rsidR="00AA4EA7" w:rsidRPr="000F7862">
        <w:rPr>
          <w:lang w:val="fr-FR"/>
        </w:rPr>
        <w:t xml:space="preserve"> devant les juridictions régionales du pays</w:t>
      </w:r>
      <w:r w:rsidR="0086185C" w:rsidRPr="000F7862">
        <w:rPr>
          <w:lang w:val="fr-FR"/>
        </w:rPr>
        <w:t xml:space="preserve">. </w:t>
      </w:r>
      <w:r w:rsidR="00AA4EA7" w:rsidRPr="000F7862">
        <w:rPr>
          <w:lang w:val="fr-FR"/>
        </w:rPr>
        <w:t>Cette équipe enregistre les cas</w:t>
      </w:r>
      <w:r w:rsidR="005C2EF7" w:rsidRPr="000F7862">
        <w:rPr>
          <w:lang w:val="fr-FR"/>
        </w:rPr>
        <w:t xml:space="preserve"> en i</w:t>
      </w:r>
      <w:r w:rsidR="00AA4EA7" w:rsidRPr="000F7862">
        <w:rPr>
          <w:lang w:val="fr-FR"/>
        </w:rPr>
        <w:t>n</w:t>
      </w:r>
      <w:r w:rsidR="005C2EF7" w:rsidRPr="000F7862">
        <w:rPr>
          <w:lang w:val="fr-FR"/>
        </w:rPr>
        <w:t>s</w:t>
      </w:r>
      <w:r w:rsidR="00AA4EA7" w:rsidRPr="000F7862">
        <w:rPr>
          <w:lang w:val="fr-FR"/>
        </w:rPr>
        <w:t>tance depuis plus de cinq ans, établit la cause du</w:t>
      </w:r>
      <w:r w:rsidR="0005004C" w:rsidRPr="000F7862">
        <w:rPr>
          <w:lang w:val="fr-FR"/>
        </w:rPr>
        <w:t xml:space="preserve"> </w:t>
      </w:r>
      <w:r w:rsidR="00AA4EA7" w:rsidRPr="000F7862">
        <w:rPr>
          <w:lang w:val="fr-FR"/>
        </w:rPr>
        <w:t>retard</w:t>
      </w:r>
      <w:r w:rsidR="005C2EF7" w:rsidRPr="000F7862">
        <w:rPr>
          <w:lang w:val="fr-FR"/>
        </w:rPr>
        <w:t xml:space="preserve"> et en rend compte au Ministère de la justice pour suite à donner.</w:t>
      </w:r>
    </w:p>
    <w:p w:rsidR="0086185C" w:rsidRPr="000F7862" w:rsidRDefault="003F7F57" w:rsidP="003F7F57">
      <w:pPr>
        <w:pStyle w:val="SingleTxtG"/>
        <w:rPr>
          <w:lang w:val="fr-FR"/>
        </w:rPr>
      </w:pPr>
      <w:r w:rsidRPr="000F7862">
        <w:rPr>
          <w:lang w:val="fr-FR"/>
        </w:rPr>
        <w:t>150.</w:t>
      </w:r>
      <w:r w:rsidRPr="000F7862">
        <w:rPr>
          <w:lang w:val="fr-FR"/>
        </w:rPr>
        <w:tab/>
      </w:r>
      <w:r w:rsidR="005C2EF7" w:rsidRPr="000F7862">
        <w:rPr>
          <w:iCs/>
          <w:lang w:val="fr-FR"/>
        </w:rPr>
        <w:t xml:space="preserve">Le </w:t>
      </w:r>
      <w:r w:rsidR="005C2EF7" w:rsidRPr="000F7862">
        <w:rPr>
          <w:i/>
          <w:lang w:val="fr-FR"/>
        </w:rPr>
        <w:t>Système d</w:t>
      </w:r>
      <w:r w:rsidR="00120E2E" w:rsidRPr="000F7862">
        <w:rPr>
          <w:i/>
          <w:lang w:val="fr-FR"/>
        </w:rPr>
        <w:t>’</w:t>
      </w:r>
      <w:r w:rsidR="00520524" w:rsidRPr="000F7862">
        <w:rPr>
          <w:i/>
          <w:lang w:val="fr-FR"/>
        </w:rPr>
        <w:t xml:space="preserve">aiguillage </w:t>
      </w:r>
      <w:r w:rsidR="005C2EF7" w:rsidRPr="000F7862">
        <w:rPr>
          <w:i/>
          <w:lang w:val="fr-FR"/>
        </w:rPr>
        <w:t>pour la réadaptation et la réinsertion des personnes victimes de la traite</w:t>
      </w:r>
      <w:r w:rsidR="005C2EF7" w:rsidRPr="000F7862">
        <w:rPr>
          <w:lang w:val="fr-FR"/>
        </w:rPr>
        <w:t xml:space="preserve"> </w:t>
      </w:r>
      <w:r w:rsidR="00520524" w:rsidRPr="000F7862">
        <w:rPr>
          <w:w w:val="101"/>
          <w:lang w:val="fr-FR"/>
        </w:rPr>
        <w:t>a pour objectif de renforcer le réseau d</w:t>
      </w:r>
      <w:r w:rsidR="00120E2E" w:rsidRPr="000F7862">
        <w:rPr>
          <w:w w:val="101"/>
          <w:lang w:val="fr-FR"/>
        </w:rPr>
        <w:t>’</w:t>
      </w:r>
      <w:r w:rsidR="00520524" w:rsidRPr="000F7862">
        <w:rPr>
          <w:w w:val="101"/>
          <w:lang w:val="fr-FR"/>
        </w:rPr>
        <w:t>aiguillage des organismes compétents en matière de traite afin d</w:t>
      </w:r>
      <w:r w:rsidR="00120E2E" w:rsidRPr="000F7862">
        <w:rPr>
          <w:w w:val="101"/>
          <w:lang w:val="fr-FR"/>
        </w:rPr>
        <w:t>’</w:t>
      </w:r>
      <w:r w:rsidR="00520524" w:rsidRPr="000F7862">
        <w:rPr>
          <w:w w:val="101"/>
          <w:lang w:val="fr-FR"/>
        </w:rPr>
        <w:t>établir un cadre pour l</w:t>
      </w:r>
      <w:r w:rsidR="00120E2E" w:rsidRPr="000F7862">
        <w:rPr>
          <w:w w:val="101"/>
          <w:lang w:val="fr-FR"/>
        </w:rPr>
        <w:t>’</w:t>
      </w:r>
      <w:r w:rsidR="00520524" w:rsidRPr="000F7862">
        <w:rPr>
          <w:w w:val="101"/>
          <w:lang w:val="fr-FR"/>
        </w:rPr>
        <w:t>intervention et les services en faveur des victimes. Il dispose notamment de formulaires et de canevas pour l</w:t>
      </w:r>
      <w:r w:rsidR="00120E2E" w:rsidRPr="000F7862">
        <w:rPr>
          <w:w w:val="101"/>
          <w:lang w:val="fr-FR"/>
        </w:rPr>
        <w:t>’</w:t>
      </w:r>
      <w:r w:rsidR="00520524" w:rsidRPr="000F7862">
        <w:rPr>
          <w:w w:val="101"/>
          <w:lang w:val="fr-FR"/>
        </w:rPr>
        <w:t>établissement des rapports afin d</w:t>
      </w:r>
      <w:r w:rsidR="00120E2E" w:rsidRPr="000F7862">
        <w:rPr>
          <w:w w:val="101"/>
          <w:lang w:val="fr-FR"/>
        </w:rPr>
        <w:t>’</w:t>
      </w:r>
      <w:r w:rsidR="00520524" w:rsidRPr="000F7862">
        <w:rPr>
          <w:w w:val="101"/>
          <w:lang w:val="fr-FR"/>
        </w:rPr>
        <w:t>éviter aux victimes d</w:t>
      </w:r>
      <w:r w:rsidR="00120E2E" w:rsidRPr="000F7862">
        <w:rPr>
          <w:w w:val="101"/>
          <w:lang w:val="fr-FR"/>
        </w:rPr>
        <w:t>’</w:t>
      </w:r>
      <w:r w:rsidR="00520524" w:rsidRPr="000F7862">
        <w:rPr>
          <w:w w:val="101"/>
          <w:lang w:val="fr-FR"/>
        </w:rPr>
        <w:t>être interrogées inutilement de façon répétée. Il dispose aussi des données de base de la base de données nationale sur la réadaptation et la réinsertion des victimes de la traite. Cette base de données est l</w:t>
      </w:r>
      <w:r w:rsidR="00120E2E" w:rsidRPr="000F7862">
        <w:rPr>
          <w:w w:val="101"/>
          <w:lang w:val="fr-FR"/>
        </w:rPr>
        <w:t>’</w:t>
      </w:r>
      <w:r w:rsidR="00520524" w:rsidRPr="000F7862">
        <w:rPr>
          <w:w w:val="101"/>
          <w:lang w:val="fr-FR"/>
        </w:rPr>
        <w:t>œuvre du Ministère des affaires sociales et du développement</w:t>
      </w:r>
      <w:r w:rsidR="0086185C" w:rsidRPr="000F7862">
        <w:rPr>
          <w:lang w:val="fr-FR"/>
        </w:rPr>
        <w:t>.</w:t>
      </w:r>
    </w:p>
    <w:p w:rsidR="0086185C" w:rsidRPr="000F7862" w:rsidRDefault="003F7F57" w:rsidP="003F7F57">
      <w:pPr>
        <w:pStyle w:val="SingleTxtG"/>
        <w:rPr>
          <w:lang w:val="fr-FR"/>
        </w:rPr>
      </w:pPr>
      <w:r w:rsidRPr="000F7862">
        <w:rPr>
          <w:lang w:val="fr-FR"/>
        </w:rPr>
        <w:t>151.</w:t>
      </w:r>
      <w:r w:rsidRPr="000F7862">
        <w:rPr>
          <w:lang w:val="fr-FR"/>
        </w:rPr>
        <w:tab/>
      </w:r>
      <w:r w:rsidR="00520524" w:rsidRPr="000F7862">
        <w:rPr>
          <w:lang w:val="fr-FR"/>
        </w:rPr>
        <w:t>E</w:t>
      </w:r>
      <w:r w:rsidR="0086185C" w:rsidRPr="000F7862">
        <w:rPr>
          <w:lang w:val="fr-FR"/>
        </w:rPr>
        <w:t xml:space="preserve">n 2012, 90 </w:t>
      </w:r>
      <w:r w:rsidR="00520524" w:rsidRPr="000F7862">
        <w:rPr>
          <w:lang w:val="fr-FR"/>
        </w:rPr>
        <w:t>nouveaux réseaux d</w:t>
      </w:r>
      <w:r w:rsidR="00120E2E" w:rsidRPr="000F7862">
        <w:rPr>
          <w:lang w:val="fr-FR"/>
        </w:rPr>
        <w:t>’</w:t>
      </w:r>
      <w:r w:rsidR="00520524" w:rsidRPr="000F7862">
        <w:rPr>
          <w:lang w:val="fr-FR"/>
        </w:rPr>
        <w:t>aiguillage ont été mis en place pour compléter le système national d</w:t>
      </w:r>
      <w:r w:rsidR="00120E2E" w:rsidRPr="000F7862">
        <w:rPr>
          <w:lang w:val="fr-FR"/>
        </w:rPr>
        <w:t>’</w:t>
      </w:r>
      <w:r w:rsidR="00520524" w:rsidRPr="000F7862">
        <w:rPr>
          <w:lang w:val="fr-FR"/>
        </w:rPr>
        <w:t>aiguillage</w:t>
      </w:r>
      <w:r w:rsidR="0086185C" w:rsidRPr="000F7862">
        <w:rPr>
          <w:lang w:val="fr-FR"/>
        </w:rPr>
        <w:t xml:space="preserve">. </w:t>
      </w:r>
      <w:r w:rsidR="00520524" w:rsidRPr="000F7862">
        <w:rPr>
          <w:lang w:val="fr-FR"/>
        </w:rPr>
        <w:t>Ces réseaux ont contribué au succès des opérations de sauvetage</w:t>
      </w:r>
      <w:r w:rsidR="0086185C" w:rsidRPr="000F7862">
        <w:rPr>
          <w:lang w:val="fr-FR"/>
        </w:rPr>
        <w:t xml:space="preserve">, </w:t>
      </w:r>
      <w:r w:rsidR="00B95F58" w:rsidRPr="000F7862">
        <w:rPr>
          <w:lang w:val="fr-FR"/>
        </w:rPr>
        <w:t>ont permis d</w:t>
      </w:r>
      <w:r w:rsidR="00120E2E" w:rsidRPr="000F7862">
        <w:rPr>
          <w:lang w:val="fr-FR"/>
        </w:rPr>
        <w:t>’</w:t>
      </w:r>
      <w:r w:rsidR="00B95F58" w:rsidRPr="000F7862">
        <w:rPr>
          <w:lang w:val="fr-FR"/>
        </w:rPr>
        <w:t>engager des poursuites contre les auteurs présumés d</w:t>
      </w:r>
      <w:r w:rsidR="00120E2E" w:rsidRPr="000F7862">
        <w:rPr>
          <w:lang w:val="fr-FR"/>
        </w:rPr>
        <w:t>’</w:t>
      </w:r>
      <w:r w:rsidR="00B95F58" w:rsidRPr="000F7862">
        <w:rPr>
          <w:lang w:val="fr-FR"/>
        </w:rPr>
        <w:t xml:space="preserve">actes de traite et ont fourni des </w:t>
      </w:r>
      <w:r w:rsidR="0086185C" w:rsidRPr="000F7862">
        <w:rPr>
          <w:lang w:val="fr-FR"/>
        </w:rPr>
        <w:t xml:space="preserve">services </w:t>
      </w:r>
      <w:r w:rsidR="00B95F58" w:rsidRPr="000F7862">
        <w:rPr>
          <w:lang w:val="fr-FR"/>
        </w:rPr>
        <w:t>sous la forme, notamment, de foyers d</w:t>
      </w:r>
      <w:r w:rsidR="00120E2E" w:rsidRPr="000F7862">
        <w:rPr>
          <w:lang w:val="fr-FR"/>
        </w:rPr>
        <w:t>’</w:t>
      </w:r>
      <w:r w:rsidR="00B95F58" w:rsidRPr="000F7862">
        <w:rPr>
          <w:lang w:val="fr-FR"/>
        </w:rPr>
        <w:t>accueil temporaire, de conseils et de représentation en justice des victimes</w:t>
      </w:r>
      <w:r w:rsidR="0086185C" w:rsidRPr="000F7862">
        <w:rPr>
          <w:lang w:val="fr-FR"/>
        </w:rPr>
        <w:t>.</w:t>
      </w:r>
    </w:p>
    <w:p w:rsidR="0086185C" w:rsidRPr="000F7862" w:rsidRDefault="007E1CE3" w:rsidP="007E1CE3">
      <w:pPr>
        <w:pStyle w:val="H23G"/>
        <w:rPr>
          <w:lang w:val="fr-FR"/>
        </w:rPr>
      </w:pPr>
      <w:r w:rsidRPr="000F7862">
        <w:rPr>
          <w:lang w:val="fr-FR"/>
        </w:rPr>
        <w:tab/>
      </w:r>
      <w:r w:rsidRPr="000F7862">
        <w:rPr>
          <w:lang w:val="fr-FR"/>
        </w:rPr>
        <w:tab/>
      </w:r>
      <w:r w:rsidR="00B95F58" w:rsidRPr="000F7862">
        <w:rPr>
          <w:lang w:val="fr-FR"/>
        </w:rPr>
        <w:t xml:space="preserve">Exécution de </w:t>
      </w:r>
      <w:r w:rsidR="00867E43" w:rsidRPr="000F7862">
        <w:rPr>
          <w:lang w:val="fr-FR"/>
        </w:rPr>
        <w:t>programmes</w:t>
      </w:r>
      <w:r w:rsidR="0086185C" w:rsidRPr="000F7862">
        <w:rPr>
          <w:lang w:val="fr-FR"/>
        </w:rPr>
        <w:t xml:space="preserve"> </w:t>
      </w:r>
      <w:r w:rsidR="00B95F58" w:rsidRPr="000F7862">
        <w:rPr>
          <w:lang w:val="fr-FR"/>
        </w:rPr>
        <w:t xml:space="preserve">et fourniture de </w:t>
      </w:r>
      <w:r w:rsidR="0086185C" w:rsidRPr="000F7862">
        <w:rPr>
          <w:lang w:val="fr-FR"/>
        </w:rPr>
        <w:t>services</w:t>
      </w:r>
    </w:p>
    <w:p w:rsidR="0086185C" w:rsidRPr="000F7862" w:rsidRDefault="003F7F57" w:rsidP="003F7F57">
      <w:pPr>
        <w:pStyle w:val="SingleTxtG"/>
        <w:rPr>
          <w:lang w:val="fr-FR"/>
        </w:rPr>
      </w:pPr>
      <w:r w:rsidRPr="000F7862">
        <w:rPr>
          <w:lang w:val="fr-FR"/>
        </w:rPr>
        <w:t>152.</w:t>
      </w:r>
      <w:r w:rsidRPr="000F7862">
        <w:rPr>
          <w:lang w:val="fr-FR"/>
        </w:rPr>
        <w:tab/>
      </w:r>
      <w:r w:rsidR="00B95F58" w:rsidRPr="000F7862">
        <w:rPr>
          <w:lang w:val="fr-FR"/>
        </w:rPr>
        <w:t xml:space="preserve">Le </w:t>
      </w:r>
      <w:r w:rsidR="00B95F58" w:rsidRPr="000F7862">
        <w:rPr>
          <w:i/>
          <w:lang w:val="fr-FR"/>
        </w:rPr>
        <w:t>Programme de réadaptation et de réinsertion des victimes de la traite</w:t>
      </w:r>
      <w:r w:rsidR="00B95F58" w:rsidRPr="000F7862">
        <w:rPr>
          <w:lang w:val="fr-FR"/>
        </w:rPr>
        <w:t xml:space="preserve"> est un programme global dont l</w:t>
      </w:r>
      <w:r w:rsidR="00120E2E" w:rsidRPr="000F7862">
        <w:rPr>
          <w:lang w:val="fr-FR"/>
        </w:rPr>
        <w:t>’</w:t>
      </w:r>
      <w:r w:rsidR="00B95F58" w:rsidRPr="000F7862">
        <w:rPr>
          <w:lang w:val="fr-FR"/>
        </w:rPr>
        <w:t>objectif est d</w:t>
      </w:r>
      <w:r w:rsidR="00120E2E" w:rsidRPr="000F7862">
        <w:rPr>
          <w:lang w:val="fr-FR"/>
        </w:rPr>
        <w:t>’</w:t>
      </w:r>
      <w:r w:rsidR="00B95F58" w:rsidRPr="000F7862">
        <w:rPr>
          <w:lang w:val="fr-FR"/>
        </w:rPr>
        <w:t>assurer des services efficaces de réadaptation et de réinsertion. Recourant à une approche multisectorielle, ce programme offre une série complète de services pour répondre aux besoins psychosociaux, sociaux et économiques des victimes. Ces services comprenne</w:t>
      </w:r>
      <w:r w:rsidR="004E2036" w:rsidRPr="000F7862">
        <w:rPr>
          <w:lang w:val="fr-FR"/>
        </w:rPr>
        <w:t>nt notamment la sensibilisation</w:t>
      </w:r>
      <w:r w:rsidR="00B95F58" w:rsidRPr="000F7862">
        <w:rPr>
          <w:lang w:val="fr-FR"/>
        </w:rPr>
        <w:t xml:space="preserve"> </w:t>
      </w:r>
      <w:r w:rsidR="004E2036" w:rsidRPr="000F7862">
        <w:rPr>
          <w:lang w:val="fr-FR"/>
        </w:rPr>
        <w:t xml:space="preserve">et </w:t>
      </w:r>
      <w:r w:rsidR="00B95F58" w:rsidRPr="000F7862">
        <w:rPr>
          <w:lang w:val="fr-FR"/>
        </w:rPr>
        <w:t>le renforcement des compétences et des capacités des familles et des communautés qui vont accueillir les victimes et contribuer à leur réinsertion</w:t>
      </w:r>
      <w:r w:rsidR="0086185C" w:rsidRPr="000F7862">
        <w:rPr>
          <w:lang w:val="fr-FR"/>
        </w:rPr>
        <w:t>.</w:t>
      </w:r>
      <w:r w:rsidR="00446EA5" w:rsidRPr="000F7862">
        <w:rPr>
          <w:lang w:val="fr-FR"/>
        </w:rPr>
        <w:t xml:space="preserve"> </w:t>
      </w:r>
    </w:p>
    <w:p w:rsidR="0086185C" w:rsidRPr="000F7862" w:rsidRDefault="003F7F57" w:rsidP="003F7F57">
      <w:pPr>
        <w:pStyle w:val="SingleTxtG"/>
        <w:rPr>
          <w:lang w:val="fr-FR"/>
        </w:rPr>
      </w:pPr>
      <w:r w:rsidRPr="000F7862">
        <w:rPr>
          <w:lang w:val="fr-FR"/>
        </w:rPr>
        <w:t>153.</w:t>
      </w:r>
      <w:r w:rsidRPr="000F7862">
        <w:rPr>
          <w:lang w:val="fr-FR"/>
        </w:rPr>
        <w:tab/>
      </w:r>
      <w:r w:rsidR="0086185C" w:rsidRPr="000F7862">
        <w:rPr>
          <w:lang w:val="fr-FR"/>
        </w:rPr>
        <w:t>A</w:t>
      </w:r>
      <w:r w:rsidR="001B3E2E" w:rsidRPr="000F7862">
        <w:rPr>
          <w:lang w:val="fr-FR"/>
        </w:rPr>
        <w:t>u</w:t>
      </w:r>
      <w:r w:rsidR="0086185C" w:rsidRPr="000F7862">
        <w:rPr>
          <w:lang w:val="fr-FR"/>
        </w:rPr>
        <w:t xml:space="preserve"> total</w:t>
      </w:r>
      <w:r w:rsidR="001B3E2E" w:rsidRPr="000F7862">
        <w:rPr>
          <w:lang w:val="fr-FR"/>
        </w:rPr>
        <w:t>, ce programme a bénéficié à</w:t>
      </w:r>
      <w:r w:rsidR="0086185C" w:rsidRPr="000F7862">
        <w:rPr>
          <w:lang w:val="fr-FR"/>
        </w:rPr>
        <w:t xml:space="preserve"> 949 </w:t>
      </w:r>
      <w:r w:rsidR="001B3E2E" w:rsidRPr="000F7862">
        <w:rPr>
          <w:lang w:val="fr-FR"/>
        </w:rPr>
        <w:t xml:space="preserve">victimes de la traite des êtres humains de </w:t>
      </w:r>
      <w:r w:rsidR="0086185C" w:rsidRPr="000F7862">
        <w:rPr>
          <w:lang w:val="fr-FR"/>
        </w:rPr>
        <w:t>17 r</w:t>
      </w:r>
      <w:r w:rsidR="001B3E2E" w:rsidRPr="000F7862">
        <w:rPr>
          <w:lang w:val="fr-FR"/>
        </w:rPr>
        <w:t>é</w:t>
      </w:r>
      <w:r w:rsidR="0086185C" w:rsidRPr="000F7862">
        <w:rPr>
          <w:lang w:val="fr-FR"/>
        </w:rPr>
        <w:t xml:space="preserve">gions </w:t>
      </w:r>
      <w:r w:rsidR="001B3E2E" w:rsidRPr="000F7862">
        <w:rPr>
          <w:lang w:val="fr-FR"/>
        </w:rPr>
        <w:t xml:space="preserve">en </w:t>
      </w:r>
      <w:r w:rsidR="0086185C" w:rsidRPr="000F7862">
        <w:rPr>
          <w:lang w:val="fr-FR"/>
        </w:rPr>
        <w:t>2012.</w:t>
      </w:r>
    </w:p>
    <w:p w:rsidR="0086185C" w:rsidRPr="000F7862" w:rsidRDefault="003F7F57" w:rsidP="003F7F57">
      <w:pPr>
        <w:pStyle w:val="SingleTxtG"/>
        <w:rPr>
          <w:lang w:val="fr-FR"/>
        </w:rPr>
      </w:pPr>
      <w:r w:rsidRPr="000F7862">
        <w:rPr>
          <w:lang w:val="fr-FR"/>
        </w:rPr>
        <w:t>154.</w:t>
      </w:r>
      <w:r w:rsidRPr="000F7862">
        <w:rPr>
          <w:lang w:val="fr-FR"/>
        </w:rPr>
        <w:tab/>
      </w:r>
      <w:r w:rsidR="00627AB4" w:rsidRPr="000F7862">
        <w:rPr>
          <w:iCs/>
          <w:lang w:val="fr-FR"/>
        </w:rPr>
        <w:t xml:space="preserve">Le projet intitulé </w:t>
      </w:r>
      <w:r w:rsidR="0086185C" w:rsidRPr="000F7862">
        <w:rPr>
          <w:i/>
          <w:iCs/>
          <w:lang w:val="fr-FR"/>
        </w:rPr>
        <w:t xml:space="preserve">Services </w:t>
      </w:r>
      <w:r w:rsidR="00627AB4" w:rsidRPr="000F7862">
        <w:rPr>
          <w:i/>
          <w:iCs/>
          <w:lang w:val="fr-FR"/>
        </w:rPr>
        <w:t>internationaux de protection sociale destiné</w:t>
      </w:r>
      <w:r w:rsidR="004E2036" w:rsidRPr="000F7862">
        <w:rPr>
          <w:i/>
          <w:iCs/>
          <w:lang w:val="fr-FR"/>
        </w:rPr>
        <w:t>s aux ressortissants philippins</w:t>
      </w:r>
      <w:r w:rsidR="0086185C" w:rsidRPr="000F7862">
        <w:rPr>
          <w:b/>
          <w:bCs/>
          <w:i/>
          <w:iCs/>
          <w:lang w:val="fr-FR"/>
        </w:rPr>
        <w:t xml:space="preserve"> </w:t>
      </w:r>
      <w:r w:rsidR="0086185C" w:rsidRPr="000F7862">
        <w:rPr>
          <w:lang w:val="fr-FR"/>
        </w:rPr>
        <w:t>institution</w:t>
      </w:r>
      <w:r w:rsidR="00627AB4" w:rsidRPr="000F7862">
        <w:rPr>
          <w:lang w:val="fr-FR"/>
        </w:rPr>
        <w:t xml:space="preserve">nalise un système consistant à déployer des attachés de protection sociale ou des stagiaires en travail social dans les pays étrangers où travaillent un grand nombre de Philippins afin de fournir des services complets de protection sociale à ceux de ces travailleurs qui sont </w:t>
      </w:r>
      <w:r w:rsidR="0086185C" w:rsidRPr="000F7862">
        <w:rPr>
          <w:lang w:val="fr-FR"/>
        </w:rPr>
        <w:t>vuln</w:t>
      </w:r>
      <w:r w:rsidR="00627AB4" w:rsidRPr="000F7862">
        <w:rPr>
          <w:lang w:val="fr-FR"/>
        </w:rPr>
        <w:t>é</w:t>
      </w:r>
      <w:r w:rsidR="0086185C" w:rsidRPr="000F7862">
        <w:rPr>
          <w:lang w:val="fr-FR"/>
        </w:rPr>
        <w:t>rable</w:t>
      </w:r>
      <w:r w:rsidR="00627AB4" w:rsidRPr="000F7862">
        <w:rPr>
          <w:lang w:val="fr-FR"/>
        </w:rPr>
        <w:t>s</w:t>
      </w:r>
      <w:r w:rsidR="0086185C" w:rsidRPr="000F7862">
        <w:rPr>
          <w:lang w:val="fr-FR"/>
        </w:rPr>
        <w:t xml:space="preserve"> </w:t>
      </w:r>
      <w:r w:rsidR="00627AB4" w:rsidRPr="000F7862">
        <w:rPr>
          <w:lang w:val="fr-FR"/>
        </w:rPr>
        <w:t>et défavorisés et à leur famille</w:t>
      </w:r>
      <w:r w:rsidR="0086185C" w:rsidRPr="000F7862">
        <w:rPr>
          <w:lang w:val="fr-FR"/>
        </w:rPr>
        <w:t>.</w:t>
      </w:r>
    </w:p>
    <w:p w:rsidR="0086185C" w:rsidRPr="000F7862" w:rsidRDefault="003F7F57" w:rsidP="003F7F57">
      <w:pPr>
        <w:pStyle w:val="SingleTxtG"/>
        <w:rPr>
          <w:lang w:val="fr-FR"/>
        </w:rPr>
      </w:pPr>
      <w:r w:rsidRPr="000F7862">
        <w:rPr>
          <w:lang w:val="fr-FR"/>
        </w:rPr>
        <w:t>155.</w:t>
      </w:r>
      <w:r w:rsidRPr="000F7862">
        <w:rPr>
          <w:lang w:val="fr-FR"/>
        </w:rPr>
        <w:tab/>
      </w:r>
      <w:r w:rsidR="00994A53" w:rsidRPr="000F7862">
        <w:rPr>
          <w:lang w:val="fr-FR"/>
        </w:rPr>
        <w:t xml:space="preserve">Ce projet </w:t>
      </w:r>
      <w:r w:rsidR="004F319F" w:rsidRPr="000F7862">
        <w:rPr>
          <w:lang w:val="fr-FR"/>
        </w:rPr>
        <w:t>s</w:t>
      </w:r>
      <w:r w:rsidR="00120E2E" w:rsidRPr="000F7862">
        <w:rPr>
          <w:lang w:val="fr-FR"/>
        </w:rPr>
        <w:t>’</w:t>
      </w:r>
      <w:r w:rsidR="004F319F" w:rsidRPr="000F7862">
        <w:rPr>
          <w:lang w:val="fr-FR"/>
        </w:rPr>
        <w:t>adresse aux Philippins travaillant à l</w:t>
      </w:r>
      <w:r w:rsidR="00120E2E" w:rsidRPr="000F7862">
        <w:rPr>
          <w:lang w:val="fr-FR"/>
        </w:rPr>
        <w:t>’</w:t>
      </w:r>
      <w:r w:rsidR="004F319F" w:rsidRPr="000F7862">
        <w:rPr>
          <w:lang w:val="fr-FR"/>
        </w:rPr>
        <w:t>étranger et migrants qui se trouvent en état de détresse ou en situation de crise, en particulier les personnes expulsées et les personnes rapatriées qui ont été victimes de la traite ou d</w:t>
      </w:r>
      <w:r w:rsidR="00120E2E" w:rsidRPr="000F7862">
        <w:rPr>
          <w:lang w:val="fr-FR"/>
        </w:rPr>
        <w:t>’</w:t>
      </w:r>
      <w:r w:rsidR="004F319F" w:rsidRPr="000F7862">
        <w:rPr>
          <w:lang w:val="fr-FR"/>
        </w:rPr>
        <w:t xml:space="preserve">autres </w:t>
      </w:r>
      <w:r w:rsidR="0086185C" w:rsidRPr="000F7862">
        <w:rPr>
          <w:lang w:val="fr-FR"/>
        </w:rPr>
        <w:t>form</w:t>
      </w:r>
      <w:r w:rsidR="009A057A" w:rsidRPr="000F7862">
        <w:rPr>
          <w:lang w:val="fr-FR"/>
        </w:rPr>
        <w:t>e</w:t>
      </w:r>
      <w:r w:rsidR="0086185C" w:rsidRPr="000F7862">
        <w:rPr>
          <w:lang w:val="fr-FR"/>
        </w:rPr>
        <w:t xml:space="preserve">s </w:t>
      </w:r>
      <w:r w:rsidR="009A057A" w:rsidRPr="000F7862">
        <w:rPr>
          <w:lang w:val="fr-FR"/>
        </w:rPr>
        <w:t>de maltraitance</w:t>
      </w:r>
      <w:r w:rsidR="0086185C" w:rsidRPr="000F7862">
        <w:rPr>
          <w:lang w:val="fr-FR"/>
        </w:rPr>
        <w:t>.</w:t>
      </w:r>
    </w:p>
    <w:p w:rsidR="0086185C" w:rsidRPr="000F7862" w:rsidRDefault="003F7F57" w:rsidP="003F7F57">
      <w:pPr>
        <w:pStyle w:val="SingleTxtG"/>
        <w:rPr>
          <w:lang w:val="fr-FR"/>
        </w:rPr>
      </w:pPr>
      <w:r w:rsidRPr="000F7862">
        <w:rPr>
          <w:lang w:val="fr-FR"/>
        </w:rPr>
        <w:t>156.</w:t>
      </w:r>
      <w:r w:rsidRPr="000F7862">
        <w:rPr>
          <w:lang w:val="fr-FR"/>
        </w:rPr>
        <w:tab/>
      </w:r>
      <w:r w:rsidR="009A057A" w:rsidRPr="000F7862">
        <w:rPr>
          <w:iCs/>
          <w:lang w:val="fr-FR"/>
        </w:rPr>
        <w:t xml:space="preserve">Les </w:t>
      </w:r>
      <w:r w:rsidR="009A057A" w:rsidRPr="000F7862">
        <w:rPr>
          <w:i/>
          <w:iCs/>
          <w:lang w:val="fr-FR"/>
        </w:rPr>
        <w:t>s</w:t>
      </w:r>
      <w:r w:rsidR="009A057A" w:rsidRPr="000F7862">
        <w:rPr>
          <w:i/>
          <w:lang w:val="fr-FR"/>
        </w:rPr>
        <w:t>ervices de protection</w:t>
      </w:r>
      <w:r w:rsidR="009A057A" w:rsidRPr="000F7862">
        <w:rPr>
          <w:lang w:val="fr-FR"/>
        </w:rPr>
        <w:t xml:space="preserve"> sont des services journaliers dispensés par le Ministère des affaires sociales et du développement pour répondre aux besoins des victimes de violence, en particulier des femmes et des enfants. Ces services de protection sont divisés entre services dispensés dans des centres spécialisés et services communautaires.</w:t>
      </w:r>
      <w:r w:rsidR="0086185C" w:rsidRPr="000F7862">
        <w:rPr>
          <w:lang w:val="fr-FR"/>
        </w:rPr>
        <w:t xml:space="preserve"> </w:t>
      </w:r>
    </w:p>
    <w:p w:rsidR="0086185C" w:rsidRPr="000F7862" w:rsidRDefault="003F7F57" w:rsidP="003F7F57">
      <w:pPr>
        <w:pStyle w:val="SingleTxtG"/>
        <w:rPr>
          <w:lang w:val="fr-FR"/>
        </w:rPr>
      </w:pPr>
      <w:r w:rsidRPr="000F7862">
        <w:rPr>
          <w:lang w:val="fr-FR"/>
        </w:rPr>
        <w:t>157.</w:t>
      </w:r>
      <w:r w:rsidRPr="000F7862">
        <w:rPr>
          <w:lang w:val="fr-FR"/>
        </w:rPr>
        <w:tab/>
      </w:r>
      <w:r w:rsidR="009A057A" w:rsidRPr="000F7862">
        <w:rPr>
          <w:lang w:val="fr-FR"/>
        </w:rPr>
        <w:t>Le Conseil interinstitutions contre la traite a mis en place des programmes de renforcement des capacités des agents de la force publique (agents des services de renseignement, des services d</w:t>
      </w:r>
      <w:r w:rsidR="00120E2E" w:rsidRPr="000F7862">
        <w:rPr>
          <w:lang w:val="fr-FR"/>
        </w:rPr>
        <w:t>’</w:t>
      </w:r>
      <w:r w:rsidR="009A057A" w:rsidRPr="000F7862">
        <w:rPr>
          <w:lang w:val="fr-FR"/>
        </w:rPr>
        <w:t>immigration, de la police, voire de l</w:t>
      </w:r>
      <w:r w:rsidR="00120E2E" w:rsidRPr="000F7862">
        <w:rPr>
          <w:lang w:val="fr-FR"/>
        </w:rPr>
        <w:t>’</w:t>
      </w:r>
      <w:r w:rsidR="009A057A" w:rsidRPr="000F7862">
        <w:rPr>
          <w:lang w:val="fr-FR"/>
        </w:rPr>
        <w:t>infanterie de marine), des procureurs, des juges, des travailleurs sociaux, des fonctionnaires du Ministère du travail, du personnel des administrations locales et de membres des organisations non gouvernementales et d</w:t>
      </w:r>
      <w:r w:rsidR="00120E2E" w:rsidRPr="000F7862">
        <w:rPr>
          <w:lang w:val="fr-FR"/>
        </w:rPr>
        <w:t>’</w:t>
      </w:r>
      <w:r w:rsidR="009A057A" w:rsidRPr="000F7862">
        <w:rPr>
          <w:lang w:val="fr-FR"/>
        </w:rPr>
        <w:t>organismes de la fonction publique, en organisant 104 formations et séminaires afin de renforcer les méthodes de répression de la traite et les mesures à prendre dans les domaines de compétence</w:t>
      </w:r>
      <w:r w:rsidR="004E2036" w:rsidRPr="000F7862">
        <w:rPr>
          <w:lang w:val="fr-FR"/>
        </w:rPr>
        <w:t xml:space="preserve"> de ces personnels</w:t>
      </w:r>
      <w:r w:rsidR="0086185C" w:rsidRPr="000F7862">
        <w:rPr>
          <w:lang w:val="fr-FR"/>
        </w:rPr>
        <w:t>.</w:t>
      </w:r>
    </w:p>
    <w:p w:rsidR="0086185C" w:rsidRPr="000F7862" w:rsidRDefault="003F7F57" w:rsidP="003F7F57">
      <w:pPr>
        <w:pStyle w:val="SingleTxtG"/>
        <w:rPr>
          <w:lang w:val="fr-FR"/>
        </w:rPr>
      </w:pPr>
      <w:r w:rsidRPr="000F7862">
        <w:rPr>
          <w:lang w:val="fr-FR"/>
        </w:rPr>
        <w:t>158.</w:t>
      </w:r>
      <w:r w:rsidRPr="000F7862">
        <w:rPr>
          <w:lang w:val="fr-FR"/>
        </w:rPr>
        <w:tab/>
      </w:r>
      <w:r w:rsidR="00696418" w:rsidRPr="000F7862">
        <w:rPr>
          <w:lang w:val="fr-FR"/>
        </w:rPr>
        <w:t xml:space="preserve">Les missions diplomatiques des </w:t>
      </w:r>
      <w:r w:rsidR="0086185C" w:rsidRPr="000F7862">
        <w:rPr>
          <w:lang w:val="fr-FR"/>
        </w:rPr>
        <w:t>Philippine</w:t>
      </w:r>
      <w:r w:rsidR="00696418" w:rsidRPr="000F7862">
        <w:rPr>
          <w:lang w:val="fr-FR"/>
        </w:rPr>
        <w:t>s</w:t>
      </w:r>
      <w:r w:rsidR="0086185C" w:rsidRPr="000F7862">
        <w:rPr>
          <w:lang w:val="fr-FR"/>
        </w:rPr>
        <w:t xml:space="preserve"> </w:t>
      </w:r>
      <w:r w:rsidR="00696418" w:rsidRPr="000F7862">
        <w:rPr>
          <w:lang w:val="fr-FR"/>
        </w:rPr>
        <w:t>à l</w:t>
      </w:r>
      <w:r w:rsidR="00120E2E" w:rsidRPr="000F7862">
        <w:rPr>
          <w:lang w:val="fr-FR"/>
        </w:rPr>
        <w:t>’</w:t>
      </w:r>
      <w:r w:rsidR="00696418" w:rsidRPr="000F7862">
        <w:rPr>
          <w:lang w:val="fr-FR"/>
        </w:rPr>
        <w:t xml:space="preserve">étranger offrent de leur côté </w:t>
      </w:r>
      <w:r w:rsidR="00933B5C" w:rsidRPr="000F7862">
        <w:rPr>
          <w:lang w:val="fr-FR"/>
        </w:rPr>
        <w:t xml:space="preserve">un </w:t>
      </w:r>
      <w:r w:rsidR="00696418" w:rsidRPr="000F7862">
        <w:rPr>
          <w:lang w:val="fr-FR"/>
        </w:rPr>
        <w:t>accompagnement psychologique aux victimes de la traite et aux Philippins travaillant à l</w:t>
      </w:r>
      <w:r w:rsidR="00120E2E" w:rsidRPr="000F7862">
        <w:rPr>
          <w:lang w:val="fr-FR"/>
        </w:rPr>
        <w:t>’</w:t>
      </w:r>
      <w:r w:rsidR="00696418" w:rsidRPr="000F7862">
        <w:rPr>
          <w:lang w:val="fr-FR"/>
        </w:rPr>
        <w:t>étranger</w:t>
      </w:r>
      <w:r w:rsidR="0086185C" w:rsidRPr="000F7862">
        <w:rPr>
          <w:lang w:val="fr-FR"/>
        </w:rPr>
        <w:t xml:space="preserve">. </w:t>
      </w:r>
      <w:r w:rsidR="00696418" w:rsidRPr="000F7862">
        <w:rPr>
          <w:lang w:val="fr-FR"/>
        </w:rPr>
        <w:t>E</w:t>
      </w:r>
      <w:r w:rsidR="0086185C" w:rsidRPr="000F7862">
        <w:rPr>
          <w:lang w:val="fr-FR"/>
        </w:rPr>
        <w:t xml:space="preserve">n 2010, </w:t>
      </w:r>
      <w:r w:rsidR="00696418" w:rsidRPr="000F7862">
        <w:rPr>
          <w:lang w:val="fr-FR"/>
        </w:rPr>
        <w:t>une expansion des programmes de formation sur la lutte contre la traite à l</w:t>
      </w:r>
      <w:r w:rsidR="00120E2E" w:rsidRPr="000F7862">
        <w:rPr>
          <w:lang w:val="fr-FR"/>
        </w:rPr>
        <w:t>’</w:t>
      </w:r>
      <w:r w:rsidR="00696418" w:rsidRPr="000F7862">
        <w:rPr>
          <w:lang w:val="fr-FR"/>
        </w:rPr>
        <w:t>intention des fonctionnaires du service diplomatique affectés dans les pays où se produisent de nombreux cas de traite a été entreprise conjointement par le Ministère de la justice et le Ministère des affaires étrangères</w:t>
      </w:r>
      <w:r w:rsidR="0086185C" w:rsidRPr="000F7862">
        <w:rPr>
          <w:lang w:val="fr-FR"/>
        </w:rPr>
        <w:t xml:space="preserve">. </w:t>
      </w:r>
      <w:r w:rsidR="00933B5C" w:rsidRPr="000F7862">
        <w:rPr>
          <w:lang w:val="fr-FR"/>
        </w:rPr>
        <w:t>La formation des prestataires de ces services, y compris des membres de l</w:t>
      </w:r>
      <w:r w:rsidR="00120E2E" w:rsidRPr="000F7862">
        <w:rPr>
          <w:lang w:val="fr-FR"/>
        </w:rPr>
        <w:t>’</w:t>
      </w:r>
      <w:r w:rsidR="00933B5C" w:rsidRPr="000F7862">
        <w:rPr>
          <w:lang w:val="fr-FR"/>
        </w:rPr>
        <w:t>Équipe du Ministère de la justice chargée de la lutte contre la traite, de fonctionnaires de la Police nationale et d</w:t>
      </w:r>
      <w:r w:rsidR="00120E2E" w:rsidRPr="000F7862">
        <w:rPr>
          <w:lang w:val="fr-FR"/>
        </w:rPr>
        <w:t>’</w:t>
      </w:r>
      <w:r w:rsidR="00933B5C" w:rsidRPr="000F7862">
        <w:rPr>
          <w:lang w:val="fr-FR"/>
        </w:rPr>
        <w:t>agents de la Division de lutte contre la traite des êtres humains du Bureau national d</w:t>
      </w:r>
      <w:r w:rsidR="00120E2E" w:rsidRPr="000F7862">
        <w:rPr>
          <w:lang w:val="fr-FR"/>
        </w:rPr>
        <w:t>’</w:t>
      </w:r>
      <w:r w:rsidR="00933B5C" w:rsidRPr="000F7862">
        <w:rPr>
          <w:lang w:val="fr-FR"/>
        </w:rPr>
        <w:t>investigation, a été organisée pour améliorer les compétences de ces personnes en matière de surveillance, de sauvetage des victimes de la traite et de collecte et de traitement des données sur les cas de traite</w:t>
      </w:r>
      <w:r w:rsidR="0086185C" w:rsidRPr="000F7862">
        <w:rPr>
          <w:lang w:val="fr-FR"/>
        </w:rPr>
        <w:t xml:space="preserve">. </w:t>
      </w:r>
    </w:p>
    <w:p w:rsidR="0086185C" w:rsidRPr="000F7862" w:rsidRDefault="003F7F57" w:rsidP="003F7F57">
      <w:pPr>
        <w:pStyle w:val="SingleTxtG"/>
        <w:rPr>
          <w:iCs/>
          <w:lang w:val="fr-FR"/>
        </w:rPr>
      </w:pPr>
      <w:r w:rsidRPr="000F7862">
        <w:rPr>
          <w:iCs/>
          <w:lang w:val="fr-FR"/>
        </w:rPr>
        <w:t>159.</w:t>
      </w:r>
      <w:r w:rsidRPr="000F7862">
        <w:rPr>
          <w:iCs/>
          <w:lang w:val="fr-FR"/>
        </w:rPr>
        <w:tab/>
      </w:r>
      <w:r w:rsidR="001554C5" w:rsidRPr="000F7862">
        <w:rPr>
          <w:u w:color="0070C0"/>
          <w:lang w:val="fr-FR"/>
        </w:rPr>
        <w:t xml:space="preserve">De même, en ce qui concerne </w:t>
      </w:r>
      <w:r w:rsidR="001554C5" w:rsidRPr="000F7862">
        <w:rPr>
          <w:lang w:val="fr-FR"/>
        </w:rPr>
        <w:t>la formation obligatoire des membres des forces de l</w:t>
      </w:r>
      <w:r w:rsidR="00120E2E" w:rsidRPr="000F7862">
        <w:rPr>
          <w:lang w:val="fr-FR"/>
        </w:rPr>
        <w:t>’</w:t>
      </w:r>
      <w:r w:rsidR="001554C5" w:rsidRPr="000F7862">
        <w:rPr>
          <w:lang w:val="fr-FR"/>
        </w:rPr>
        <w:t>ordre, des procureurs et des juges à la législation réprimant la traite</w:t>
      </w:r>
      <w:r w:rsidR="0086185C" w:rsidRPr="000F7862">
        <w:rPr>
          <w:lang w:val="fr-FR"/>
        </w:rPr>
        <w:t xml:space="preserve">, </w:t>
      </w:r>
      <w:r w:rsidR="001554C5" w:rsidRPr="000F7862">
        <w:rPr>
          <w:lang w:val="fr-FR"/>
        </w:rPr>
        <w:t>la Cour suprême a, par l</w:t>
      </w:r>
      <w:r w:rsidR="00120E2E" w:rsidRPr="000F7862">
        <w:rPr>
          <w:lang w:val="fr-FR"/>
        </w:rPr>
        <w:t>’</w:t>
      </w:r>
      <w:r w:rsidR="001554C5" w:rsidRPr="000F7862">
        <w:rPr>
          <w:lang w:val="fr-FR"/>
        </w:rPr>
        <w:t>intermédiaire de</w:t>
      </w:r>
      <w:r w:rsidR="002E1C18" w:rsidRPr="000F7862">
        <w:rPr>
          <w:lang w:val="fr-FR"/>
        </w:rPr>
        <w:t xml:space="preserve"> l</w:t>
      </w:r>
      <w:r w:rsidR="00120E2E" w:rsidRPr="000F7862">
        <w:rPr>
          <w:lang w:val="fr-FR"/>
        </w:rPr>
        <w:t>’</w:t>
      </w:r>
      <w:r w:rsidR="002E1C18" w:rsidRPr="000F7862">
        <w:rPr>
          <w:lang w:val="fr-FR"/>
        </w:rPr>
        <w:t>École de la magistrature qui lui est rattachée</w:t>
      </w:r>
      <w:r w:rsidR="0086185C" w:rsidRPr="000F7862">
        <w:rPr>
          <w:lang w:val="fr-FR"/>
        </w:rPr>
        <w:t xml:space="preserve">, </w:t>
      </w:r>
      <w:r w:rsidR="002E1C18" w:rsidRPr="000F7862">
        <w:rPr>
          <w:lang w:val="fr-FR"/>
        </w:rPr>
        <w:t>lancé des programmes de formation sur la lutte contre la traite</w:t>
      </w:r>
      <w:r w:rsidR="0086185C" w:rsidRPr="000F7862">
        <w:rPr>
          <w:lang w:val="fr-FR"/>
        </w:rPr>
        <w:t xml:space="preserve">. </w:t>
      </w:r>
      <w:r w:rsidR="002E1C18" w:rsidRPr="000F7862">
        <w:rPr>
          <w:lang w:val="fr-FR"/>
        </w:rPr>
        <w:t xml:space="preserve">Elle a organisé au </w:t>
      </w:r>
      <w:r w:rsidR="0086185C" w:rsidRPr="000F7862">
        <w:rPr>
          <w:lang w:val="fr-FR"/>
        </w:rPr>
        <w:t xml:space="preserve">total 36 </w:t>
      </w:r>
      <w:r w:rsidR="00867E43" w:rsidRPr="000F7862">
        <w:rPr>
          <w:lang w:val="fr-FR"/>
        </w:rPr>
        <w:t>programmes</w:t>
      </w:r>
      <w:r w:rsidR="0086185C" w:rsidRPr="000F7862">
        <w:rPr>
          <w:lang w:val="fr-FR"/>
        </w:rPr>
        <w:t xml:space="preserve"> </w:t>
      </w:r>
      <w:r w:rsidR="002E1C18" w:rsidRPr="000F7862">
        <w:rPr>
          <w:lang w:val="fr-FR"/>
        </w:rPr>
        <w:t xml:space="preserve">de formation </w:t>
      </w:r>
      <w:r w:rsidR="00883D67" w:rsidRPr="000F7862">
        <w:rPr>
          <w:lang w:val="fr-FR"/>
        </w:rPr>
        <w:t>à</w:t>
      </w:r>
      <w:r w:rsidR="002E1C18" w:rsidRPr="000F7862">
        <w:rPr>
          <w:lang w:val="fr-FR"/>
        </w:rPr>
        <w:t xml:space="preserve"> la loi sur la lutte contre la traite, y compris son règlement d</w:t>
      </w:r>
      <w:r w:rsidR="00120E2E" w:rsidRPr="000F7862">
        <w:rPr>
          <w:lang w:val="fr-FR"/>
        </w:rPr>
        <w:t>’</w:t>
      </w:r>
      <w:r w:rsidR="002E1C18" w:rsidRPr="000F7862">
        <w:rPr>
          <w:lang w:val="fr-FR"/>
        </w:rPr>
        <w:t>application, depuis qu</w:t>
      </w:r>
      <w:r w:rsidR="00120E2E" w:rsidRPr="000F7862">
        <w:rPr>
          <w:lang w:val="fr-FR"/>
        </w:rPr>
        <w:t>’</w:t>
      </w:r>
      <w:r w:rsidR="002E1C18" w:rsidRPr="000F7862">
        <w:rPr>
          <w:lang w:val="fr-FR"/>
        </w:rPr>
        <w:t xml:space="preserve">elle a été adoptée en </w:t>
      </w:r>
      <w:r w:rsidR="0086185C" w:rsidRPr="000F7862">
        <w:rPr>
          <w:lang w:val="fr-FR"/>
        </w:rPr>
        <w:t xml:space="preserve">2002. </w:t>
      </w:r>
      <w:r w:rsidR="001853CB" w:rsidRPr="000F7862">
        <w:rPr>
          <w:lang w:val="fr-FR"/>
        </w:rPr>
        <w:t xml:space="preserve">Cette formation a notamment pris la forme de 24 modules consacrés au </w:t>
      </w:r>
      <w:r w:rsidR="002E7607" w:rsidRPr="000F7862">
        <w:rPr>
          <w:lang w:val="fr-FR"/>
        </w:rPr>
        <w:t>«</w:t>
      </w:r>
      <w:r w:rsidR="001853CB" w:rsidRPr="000F7862">
        <w:rPr>
          <w:i/>
          <w:iCs/>
          <w:lang w:val="fr-FR"/>
        </w:rPr>
        <w:t>R</w:t>
      </w:r>
      <w:r w:rsidR="001853CB" w:rsidRPr="000F7862">
        <w:rPr>
          <w:i/>
          <w:lang w:val="fr-FR"/>
        </w:rPr>
        <w:t xml:space="preserve">enforcement des compétences des juges des tribunaux des affaires familiales et de leur personnel en matière </w:t>
      </w:r>
      <w:r w:rsidR="009B29AC" w:rsidRPr="000F7862">
        <w:rPr>
          <w:i/>
          <w:lang w:val="fr-FR"/>
        </w:rPr>
        <w:t xml:space="preserve">de </w:t>
      </w:r>
      <w:r w:rsidR="001853CB" w:rsidRPr="000F7862">
        <w:rPr>
          <w:i/>
          <w:lang w:val="fr-FR"/>
        </w:rPr>
        <w:t>traitement des affaires de maltraitance à enfant et de traite d</w:t>
      </w:r>
      <w:r w:rsidR="00120E2E" w:rsidRPr="000F7862">
        <w:rPr>
          <w:i/>
          <w:lang w:val="fr-FR"/>
        </w:rPr>
        <w:t>’</w:t>
      </w:r>
      <w:r w:rsidR="001853CB" w:rsidRPr="000F7862">
        <w:rPr>
          <w:i/>
          <w:lang w:val="fr-FR"/>
        </w:rPr>
        <w:t>enfants</w:t>
      </w:r>
      <w:r w:rsidR="002E7607" w:rsidRPr="000F7862">
        <w:rPr>
          <w:i/>
          <w:iCs/>
          <w:lang w:val="fr-FR"/>
        </w:rPr>
        <w:t>»</w:t>
      </w:r>
      <w:r w:rsidR="001853CB" w:rsidRPr="000F7862">
        <w:rPr>
          <w:lang w:val="fr-FR"/>
        </w:rPr>
        <w:t>, formation dispensée de 2008 à 2013.</w:t>
      </w:r>
      <w:r w:rsidR="0005004C" w:rsidRPr="000F7862">
        <w:rPr>
          <w:lang w:val="fr-FR"/>
        </w:rPr>
        <w:t xml:space="preserve"> </w:t>
      </w:r>
      <w:r w:rsidR="00883D67" w:rsidRPr="000F7862">
        <w:rPr>
          <w:lang w:val="fr-FR"/>
        </w:rPr>
        <w:t xml:space="preserve">Ces </w:t>
      </w:r>
      <w:r w:rsidR="001853CB" w:rsidRPr="000F7862">
        <w:rPr>
          <w:lang w:val="fr-FR"/>
        </w:rPr>
        <w:t>programme</w:t>
      </w:r>
      <w:r w:rsidR="00883D67" w:rsidRPr="000F7862">
        <w:rPr>
          <w:lang w:val="fr-FR"/>
        </w:rPr>
        <w:t>s</w:t>
      </w:r>
      <w:r w:rsidR="001853CB" w:rsidRPr="000F7862">
        <w:rPr>
          <w:lang w:val="fr-FR"/>
        </w:rPr>
        <w:t xml:space="preserve"> </w:t>
      </w:r>
      <w:r w:rsidR="00883D67" w:rsidRPr="000F7862">
        <w:rPr>
          <w:lang w:val="fr-FR"/>
        </w:rPr>
        <w:t>ont pour objectif d</w:t>
      </w:r>
      <w:r w:rsidR="00120E2E" w:rsidRPr="000F7862">
        <w:rPr>
          <w:lang w:val="fr-FR"/>
        </w:rPr>
        <w:t>’</w:t>
      </w:r>
      <w:r w:rsidR="00883D67" w:rsidRPr="000F7862">
        <w:rPr>
          <w:lang w:val="fr-FR"/>
        </w:rPr>
        <w:t>améliorer</w:t>
      </w:r>
      <w:r w:rsidR="001853CB" w:rsidRPr="000F7862">
        <w:rPr>
          <w:lang w:val="fr-FR"/>
        </w:rPr>
        <w:t xml:space="preserve"> les compétences des juges, des procureurs et du personnel des tribunaux des affaires familiales et des tribunaux </w:t>
      </w:r>
      <w:r w:rsidR="00883D67" w:rsidRPr="000F7862">
        <w:rPr>
          <w:lang w:val="fr-FR"/>
        </w:rPr>
        <w:t>statuant à juge unique</w:t>
      </w:r>
      <w:r w:rsidR="001853CB" w:rsidRPr="000F7862">
        <w:rPr>
          <w:lang w:val="fr-FR"/>
        </w:rPr>
        <w:t xml:space="preserve"> pour les affaires </w:t>
      </w:r>
      <w:r w:rsidR="00883D67" w:rsidRPr="000F7862">
        <w:rPr>
          <w:lang w:val="fr-FR"/>
        </w:rPr>
        <w:t xml:space="preserve">de sévices sexuels et </w:t>
      </w:r>
      <w:r w:rsidR="001853CB" w:rsidRPr="000F7862">
        <w:rPr>
          <w:lang w:val="fr-FR"/>
        </w:rPr>
        <w:t>d</w:t>
      </w:r>
      <w:r w:rsidR="00120E2E" w:rsidRPr="000F7862">
        <w:rPr>
          <w:lang w:val="fr-FR"/>
        </w:rPr>
        <w:t>’</w:t>
      </w:r>
      <w:r w:rsidR="001853CB" w:rsidRPr="000F7862">
        <w:rPr>
          <w:lang w:val="fr-FR"/>
        </w:rPr>
        <w:t>exploitation sexuelle à des fins commerciales.</w:t>
      </w:r>
      <w:r w:rsidR="0086185C" w:rsidRPr="000F7862">
        <w:rPr>
          <w:iCs/>
          <w:lang w:val="fr-FR"/>
        </w:rPr>
        <w:t xml:space="preserve"> </w:t>
      </w:r>
    </w:p>
    <w:p w:rsidR="0086185C" w:rsidRPr="000F7862" w:rsidRDefault="007E1CE3" w:rsidP="007E1CE3">
      <w:pPr>
        <w:pStyle w:val="H23G"/>
        <w:rPr>
          <w:lang w:val="fr-FR"/>
        </w:rPr>
      </w:pPr>
      <w:r w:rsidRPr="000F7862">
        <w:rPr>
          <w:lang w:val="fr-FR"/>
        </w:rPr>
        <w:tab/>
      </w:r>
      <w:r w:rsidRPr="000F7862">
        <w:rPr>
          <w:lang w:val="fr-FR"/>
        </w:rPr>
        <w:tab/>
      </w:r>
      <w:r w:rsidR="00883D67" w:rsidRPr="000F7862">
        <w:rPr>
          <w:lang w:val="fr-FR"/>
        </w:rPr>
        <w:t xml:space="preserve">Lutte contre le travail des enfants </w:t>
      </w:r>
    </w:p>
    <w:p w:rsidR="0086185C" w:rsidRPr="000F7862" w:rsidRDefault="003F7F57" w:rsidP="003F7F57">
      <w:pPr>
        <w:pStyle w:val="SingleTxtG"/>
        <w:keepNext/>
        <w:keepLines/>
        <w:rPr>
          <w:lang w:val="fr-FR"/>
        </w:rPr>
      </w:pPr>
      <w:r w:rsidRPr="000F7862">
        <w:rPr>
          <w:lang w:val="fr-FR"/>
        </w:rPr>
        <w:t>160.</w:t>
      </w:r>
      <w:r w:rsidRPr="000F7862">
        <w:rPr>
          <w:lang w:val="fr-FR"/>
        </w:rPr>
        <w:tab/>
      </w:r>
      <w:r w:rsidR="007117BC" w:rsidRPr="000F7862">
        <w:rPr>
          <w:lang w:val="fr-FR"/>
        </w:rPr>
        <w:t>Afin d</w:t>
      </w:r>
      <w:r w:rsidR="00120E2E" w:rsidRPr="000F7862">
        <w:rPr>
          <w:lang w:val="fr-FR"/>
        </w:rPr>
        <w:t>’</w:t>
      </w:r>
      <w:r w:rsidR="0086185C" w:rsidRPr="000F7862">
        <w:rPr>
          <w:lang w:val="fr-FR"/>
        </w:rPr>
        <w:t>intensif</w:t>
      </w:r>
      <w:r w:rsidR="007117BC" w:rsidRPr="000F7862">
        <w:rPr>
          <w:lang w:val="fr-FR"/>
        </w:rPr>
        <w:t>ier la lutte contre le travail des enfants, le Ministère du travail et de l</w:t>
      </w:r>
      <w:r w:rsidR="00120E2E" w:rsidRPr="000F7862">
        <w:rPr>
          <w:lang w:val="fr-FR"/>
        </w:rPr>
        <w:t>’</w:t>
      </w:r>
      <w:r w:rsidR="007117BC" w:rsidRPr="000F7862">
        <w:rPr>
          <w:lang w:val="fr-FR"/>
        </w:rPr>
        <w:t>emploi a pris les arrêtés et la circulaire ci-après</w:t>
      </w:r>
      <w:r w:rsidR="0005004C" w:rsidRPr="000F7862">
        <w:rPr>
          <w:lang w:val="fr-FR"/>
        </w:rPr>
        <w:t>:</w:t>
      </w:r>
    </w:p>
    <w:p w:rsidR="0086185C" w:rsidRPr="000F7862" w:rsidRDefault="007117BC" w:rsidP="009111E1">
      <w:pPr>
        <w:pStyle w:val="Bullet1G"/>
      </w:pPr>
      <w:r w:rsidRPr="000F7862">
        <w:t xml:space="preserve">En septembre 2012, arrêté ministériel </w:t>
      </w:r>
      <w:r w:rsidR="00730F8F" w:rsidRPr="000F7862">
        <w:t>n</w:t>
      </w:r>
      <w:r w:rsidR="00730F8F" w:rsidRPr="000F7862">
        <w:rPr>
          <w:vertAlign w:val="superscript"/>
        </w:rPr>
        <w:t>o</w:t>
      </w:r>
      <w:r w:rsidR="00730F8F" w:rsidRPr="000F7862">
        <w:t> </w:t>
      </w:r>
      <w:r w:rsidR="0086185C" w:rsidRPr="000F7862">
        <w:t xml:space="preserve">115-A </w:t>
      </w:r>
      <w:r w:rsidRPr="000F7862">
        <w:t xml:space="preserve">intitulé </w:t>
      </w:r>
      <w:r w:rsidRPr="000F7862">
        <w:rPr>
          <w:i/>
          <w:iCs/>
        </w:rPr>
        <w:t>Directives opérationnelles concernant la délivrance de certificats t</w:t>
      </w:r>
      <w:r w:rsidR="0086185C" w:rsidRPr="000F7862">
        <w:rPr>
          <w:i/>
          <w:iCs/>
        </w:rPr>
        <w:t>ripartite</w:t>
      </w:r>
      <w:r w:rsidRPr="000F7862">
        <w:rPr>
          <w:i/>
          <w:iCs/>
        </w:rPr>
        <w:t>s</w:t>
      </w:r>
      <w:r w:rsidR="0086185C" w:rsidRPr="000F7862">
        <w:rPr>
          <w:i/>
          <w:iCs/>
        </w:rPr>
        <w:t xml:space="preserve"> </w:t>
      </w:r>
      <w:r w:rsidRPr="000F7862">
        <w:rPr>
          <w:i/>
          <w:iCs/>
        </w:rPr>
        <w:t>de conformité avec l</w:t>
      </w:r>
      <w:r w:rsidR="009B29AC" w:rsidRPr="000F7862">
        <w:rPr>
          <w:i/>
          <w:iCs/>
        </w:rPr>
        <w:t>es normes en matière de travail</w:t>
      </w:r>
      <w:r w:rsidR="0086185C" w:rsidRPr="000F7862">
        <w:t xml:space="preserve">. </w:t>
      </w:r>
      <w:r w:rsidRPr="000F7862">
        <w:t>L</w:t>
      </w:r>
      <w:r w:rsidR="00120E2E" w:rsidRPr="000F7862">
        <w:t>’</w:t>
      </w:r>
      <w:r w:rsidRPr="000F7862">
        <w:t>octroi de ces certificats vise à promouvoir le respect volontaire des normes générales en matière de travail, des normes en matière de sécurité du travail et de santé au travail, et de la législation sur le travail des enfants</w:t>
      </w:r>
      <w:r w:rsidR="007B2B6C" w:rsidRPr="000F7862">
        <w:t>;</w:t>
      </w:r>
    </w:p>
    <w:p w:rsidR="0086185C" w:rsidRPr="000F7862" w:rsidRDefault="007117BC" w:rsidP="009111E1">
      <w:pPr>
        <w:pStyle w:val="Bullet1G"/>
      </w:pPr>
      <w:r w:rsidRPr="000F7862">
        <w:t xml:space="preserve">Le 5 décembre 2012, arrêté ministériel </w:t>
      </w:r>
      <w:r w:rsidR="00730F8F" w:rsidRPr="000F7862">
        <w:t>n</w:t>
      </w:r>
      <w:r w:rsidR="00730F8F" w:rsidRPr="000F7862">
        <w:rPr>
          <w:vertAlign w:val="superscript"/>
        </w:rPr>
        <w:t>o</w:t>
      </w:r>
      <w:r w:rsidR="00730F8F" w:rsidRPr="000F7862">
        <w:t> </w:t>
      </w:r>
      <w:r w:rsidRPr="000F7862">
        <w:t xml:space="preserve">115-B intitulé </w:t>
      </w:r>
      <w:r w:rsidR="00144AA4" w:rsidRPr="000F7862">
        <w:rPr>
          <w:i/>
        </w:rPr>
        <w:t>Directives opérationnelles concernant la délivrance du label de l</w:t>
      </w:r>
      <w:r w:rsidR="00120E2E" w:rsidRPr="000F7862">
        <w:rPr>
          <w:i/>
        </w:rPr>
        <w:t>’</w:t>
      </w:r>
      <w:r w:rsidR="00144AA4" w:rsidRPr="000F7862">
        <w:rPr>
          <w:i/>
        </w:rPr>
        <w:t>établissement ou de la zone d</w:t>
      </w:r>
      <w:r w:rsidR="00120E2E" w:rsidRPr="000F7862">
        <w:rPr>
          <w:i/>
        </w:rPr>
        <w:t>’</w:t>
      </w:r>
      <w:r w:rsidR="00144AA4" w:rsidRPr="000F7862">
        <w:rPr>
          <w:i/>
        </w:rPr>
        <w:t>où le travail des enfants est exclu</w:t>
      </w:r>
      <w:r w:rsidR="0086185C" w:rsidRPr="000F7862">
        <w:rPr>
          <w:iCs/>
        </w:rPr>
        <w:t xml:space="preserve">. </w:t>
      </w:r>
      <w:r w:rsidR="00144AA4" w:rsidRPr="000F7862">
        <w:t xml:space="preserve">Ces directives régissent la </w:t>
      </w:r>
      <w:r w:rsidR="0086185C" w:rsidRPr="000F7862">
        <w:t>proc</w:t>
      </w:r>
      <w:r w:rsidR="00144AA4" w:rsidRPr="000F7862">
        <w:t>é</w:t>
      </w:r>
      <w:r w:rsidR="0086185C" w:rsidRPr="000F7862">
        <w:t xml:space="preserve">dure </w:t>
      </w:r>
      <w:r w:rsidR="00144AA4" w:rsidRPr="000F7862">
        <w:t>d</w:t>
      </w:r>
      <w:r w:rsidR="00120E2E" w:rsidRPr="000F7862">
        <w:t>’</w:t>
      </w:r>
      <w:r w:rsidR="00144AA4" w:rsidRPr="000F7862">
        <w:t>octroi du label de l</w:t>
      </w:r>
      <w:r w:rsidR="00120E2E" w:rsidRPr="000F7862">
        <w:t>’</w:t>
      </w:r>
      <w:r w:rsidR="00144AA4" w:rsidRPr="000F7862">
        <w:t>établissement ou de la zone d</w:t>
      </w:r>
      <w:r w:rsidR="00120E2E" w:rsidRPr="000F7862">
        <w:t>’</w:t>
      </w:r>
      <w:r w:rsidR="00144AA4" w:rsidRPr="000F7862">
        <w:t xml:space="preserve">où le travail des enfants est exclu, le but de la délivrance de ce label étant de </w:t>
      </w:r>
      <w:r w:rsidR="0086185C" w:rsidRPr="000F7862">
        <w:t>promo</w:t>
      </w:r>
      <w:r w:rsidR="00144AA4" w:rsidRPr="000F7862">
        <w:t>uvoir des pratiques commerciales respectueuses des dispositions légales et socialement responsables</w:t>
      </w:r>
      <w:r w:rsidR="0086185C" w:rsidRPr="000F7862">
        <w:t xml:space="preserve">. </w:t>
      </w:r>
      <w:r w:rsidR="006C76B0" w:rsidRPr="000F7862">
        <w:t>Pour les établissements, le label du Ministère est oc</w:t>
      </w:r>
      <w:r w:rsidR="007E1CE3" w:rsidRPr="000F7862">
        <w:t>troyé sous la forme d</w:t>
      </w:r>
      <w:r w:rsidR="00120E2E" w:rsidRPr="000F7862">
        <w:t>’</w:t>
      </w:r>
      <w:r w:rsidR="007E1CE3" w:rsidRPr="000F7862">
        <w:t>un certi</w:t>
      </w:r>
      <w:r w:rsidR="006C76B0" w:rsidRPr="000F7862">
        <w:t>ficat d</w:t>
      </w:r>
      <w:r w:rsidR="00120E2E" w:rsidRPr="000F7862">
        <w:t>’</w:t>
      </w:r>
      <w:r w:rsidR="006C76B0" w:rsidRPr="000F7862">
        <w:t>établissement d</w:t>
      </w:r>
      <w:r w:rsidR="00120E2E" w:rsidRPr="000F7862">
        <w:t>’</w:t>
      </w:r>
      <w:r w:rsidR="006C76B0" w:rsidRPr="000F7862">
        <w:t>où le travail des enfants est exclu et, pour la z</w:t>
      </w:r>
      <w:r w:rsidR="0086185C" w:rsidRPr="000F7862">
        <w:t xml:space="preserve">one, </w:t>
      </w:r>
      <w:r w:rsidR="006C76B0" w:rsidRPr="000F7862">
        <w:t>il prend la forme d</w:t>
      </w:r>
      <w:r w:rsidR="00120E2E" w:rsidRPr="000F7862">
        <w:t>’</w:t>
      </w:r>
      <w:r w:rsidR="006C76B0" w:rsidRPr="000F7862">
        <w:t>un marqueur de zone d</w:t>
      </w:r>
      <w:r w:rsidR="00120E2E" w:rsidRPr="000F7862">
        <w:t>’</w:t>
      </w:r>
      <w:r w:rsidR="006C76B0" w:rsidRPr="000F7862">
        <w:t>où le travail des enfants est exclu</w:t>
      </w:r>
      <w:r w:rsidR="007B2B6C" w:rsidRPr="000F7862">
        <w:t>;</w:t>
      </w:r>
    </w:p>
    <w:p w:rsidR="0086185C" w:rsidRPr="000F7862" w:rsidRDefault="006C76B0" w:rsidP="009111E1">
      <w:pPr>
        <w:pStyle w:val="Bullet1G"/>
      </w:pPr>
      <w:r w:rsidRPr="000F7862">
        <w:t xml:space="preserve">Circulaire ministérielle </w:t>
      </w:r>
      <w:r w:rsidR="00730F8F" w:rsidRPr="000F7862">
        <w:t>n</w:t>
      </w:r>
      <w:r w:rsidR="00730F8F" w:rsidRPr="000F7862">
        <w:rPr>
          <w:vertAlign w:val="superscript"/>
        </w:rPr>
        <w:t>o</w:t>
      </w:r>
      <w:r w:rsidR="00730F8F" w:rsidRPr="000F7862">
        <w:t> </w:t>
      </w:r>
      <w:r w:rsidR="0086185C" w:rsidRPr="000F7862">
        <w:t xml:space="preserve">02, </w:t>
      </w:r>
      <w:r w:rsidRPr="000F7862">
        <w:t>sé</w:t>
      </w:r>
      <w:r w:rsidR="0086185C" w:rsidRPr="000F7862">
        <w:t>rie</w:t>
      </w:r>
      <w:r w:rsidRPr="000F7862">
        <w:t xml:space="preserve"> de</w:t>
      </w:r>
      <w:r w:rsidR="0086185C" w:rsidRPr="000F7862">
        <w:t xml:space="preserve"> 2012</w:t>
      </w:r>
      <w:r w:rsidRPr="000F7862">
        <w:t>, intitulée</w:t>
      </w:r>
      <w:r w:rsidR="0086185C" w:rsidRPr="000F7862">
        <w:t xml:space="preserve"> </w:t>
      </w:r>
      <w:r w:rsidRPr="000F7862">
        <w:rPr>
          <w:i/>
        </w:rPr>
        <w:t>Manuel sur la procédure de traitement des plaintes pour traite des êtres humains, recrutement illégal ou travail des enfants</w:t>
      </w:r>
      <w:r w:rsidR="0086185C" w:rsidRPr="000F7862">
        <w:rPr>
          <w:i/>
          <w:iCs/>
        </w:rPr>
        <w:t>.</w:t>
      </w:r>
      <w:r w:rsidR="0005004C" w:rsidRPr="000F7862">
        <w:rPr>
          <w:i/>
          <w:iCs/>
        </w:rPr>
        <w:t xml:space="preserve"> </w:t>
      </w:r>
      <w:r w:rsidR="0086185C" w:rsidRPr="000F7862">
        <w:t>Sign</w:t>
      </w:r>
      <w:r w:rsidRPr="000F7862">
        <w:t>é</w:t>
      </w:r>
      <w:r w:rsidR="0086185C" w:rsidRPr="000F7862">
        <w:t>e</w:t>
      </w:r>
      <w:r w:rsidRPr="000F7862">
        <w:t xml:space="preserve"> le </w:t>
      </w:r>
      <w:r w:rsidR="0086185C" w:rsidRPr="000F7862">
        <w:t xml:space="preserve">7 </w:t>
      </w:r>
      <w:r w:rsidRPr="000F7862">
        <w:t xml:space="preserve">mai </w:t>
      </w:r>
      <w:r w:rsidR="0086185C" w:rsidRPr="000F7862">
        <w:t xml:space="preserve">2012, </w:t>
      </w:r>
      <w:r w:rsidRPr="000F7862">
        <w:t>cette circulaire vise à montrer comment traiter d</w:t>
      </w:r>
      <w:r w:rsidR="00120E2E" w:rsidRPr="000F7862">
        <w:t>’</w:t>
      </w:r>
      <w:r w:rsidRPr="000F7862">
        <w:t>une manière organisée et efficace les affaires de traite des êtres humains, de recrutement illégal et de travail des enfants</w:t>
      </w:r>
      <w:r w:rsidR="00796859" w:rsidRPr="000F7862">
        <w:t>. Elle présente les mesures juridiques devan</w:t>
      </w:r>
      <w:r w:rsidR="0086185C" w:rsidRPr="000F7862">
        <w:t xml:space="preserve">t </w:t>
      </w:r>
      <w:r w:rsidR="00796859" w:rsidRPr="000F7862">
        <w:t>faciliter la poursuite des délinquants et offrir aux victimes une protection et des moyens de se réadapter et de se réinsérer dans la société</w:t>
      </w:r>
      <w:r w:rsidR="007B2B6C" w:rsidRPr="000F7862">
        <w:t>.</w:t>
      </w:r>
    </w:p>
    <w:p w:rsidR="0086185C" w:rsidRPr="000F7862" w:rsidRDefault="003F7F57" w:rsidP="003F7F57">
      <w:pPr>
        <w:pStyle w:val="SingleTxtG"/>
        <w:rPr>
          <w:lang w:val="fr-FR"/>
        </w:rPr>
      </w:pPr>
      <w:r w:rsidRPr="000F7862">
        <w:rPr>
          <w:lang w:val="fr-FR"/>
        </w:rPr>
        <w:t>161.</w:t>
      </w:r>
      <w:r w:rsidRPr="000F7862">
        <w:rPr>
          <w:lang w:val="fr-FR"/>
        </w:rPr>
        <w:tab/>
      </w:r>
      <w:r w:rsidR="00796859" w:rsidRPr="000F7862">
        <w:rPr>
          <w:lang w:val="fr-FR"/>
        </w:rPr>
        <w:t>Par ailleurs, le Ministère a recruté d</w:t>
      </w:r>
      <w:r w:rsidR="00120E2E" w:rsidRPr="000F7862">
        <w:rPr>
          <w:lang w:val="fr-FR"/>
        </w:rPr>
        <w:t>’</w:t>
      </w:r>
      <w:r w:rsidR="00796859" w:rsidRPr="000F7862">
        <w:rPr>
          <w:lang w:val="fr-FR"/>
        </w:rPr>
        <w:t xml:space="preserve">autres fonctionnaires chargés de faire respecter la législation du travail </w:t>
      </w:r>
      <w:r w:rsidR="0086185C" w:rsidRPr="000F7862">
        <w:rPr>
          <w:lang w:val="fr-FR"/>
        </w:rPr>
        <w:t>(</w:t>
      </w:r>
      <w:r w:rsidR="00796859" w:rsidRPr="000F7862">
        <w:rPr>
          <w:lang w:val="fr-FR"/>
        </w:rPr>
        <w:t>inspecteu</w:t>
      </w:r>
      <w:r w:rsidR="0086185C" w:rsidRPr="000F7862">
        <w:rPr>
          <w:lang w:val="fr-FR"/>
        </w:rPr>
        <w:t>rs</w:t>
      </w:r>
      <w:r w:rsidR="00796859" w:rsidRPr="000F7862">
        <w:rPr>
          <w:lang w:val="fr-FR"/>
        </w:rPr>
        <w:t xml:space="preserve"> du travail</w:t>
      </w:r>
      <w:r w:rsidR="0086185C" w:rsidRPr="000F7862">
        <w:rPr>
          <w:lang w:val="fr-FR"/>
        </w:rPr>
        <w:t xml:space="preserve">) </w:t>
      </w:r>
      <w:r w:rsidR="00796859" w:rsidRPr="000F7862">
        <w:rPr>
          <w:lang w:val="fr-FR"/>
        </w:rPr>
        <w:t xml:space="preserve">pour </w:t>
      </w:r>
      <w:r w:rsidR="0086185C" w:rsidRPr="000F7862">
        <w:rPr>
          <w:lang w:val="fr-FR"/>
        </w:rPr>
        <w:t>compl</w:t>
      </w:r>
      <w:r w:rsidR="00796859" w:rsidRPr="000F7862">
        <w:rPr>
          <w:lang w:val="fr-FR"/>
        </w:rPr>
        <w:t>éter les effectifs de la structure d</w:t>
      </w:r>
      <w:r w:rsidR="00120E2E" w:rsidRPr="000F7862">
        <w:rPr>
          <w:lang w:val="fr-FR"/>
        </w:rPr>
        <w:t>’</w:t>
      </w:r>
      <w:r w:rsidR="00796859" w:rsidRPr="000F7862">
        <w:rPr>
          <w:lang w:val="fr-FR"/>
        </w:rPr>
        <w:t>inspection du travail en place dans les bureaux régionaux, afin de faire respecter les normes en matière de travail, y compris les activités menées contre le travail des enfants</w:t>
      </w:r>
      <w:r w:rsidR="0086185C" w:rsidRPr="000F7862">
        <w:rPr>
          <w:lang w:val="fr-FR"/>
        </w:rPr>
        <w:t>.</w:t>
      </w:r>
    </w:p>
    <w:p w:rsidR="0086185C" w:rsidRPr="000F7862" w:rsidRDefault="00AE7B22" w:rsidP="00AE7B22">
      <w:pPr>
        <w:pStyle w:val="H23G"/>
        <w:rPr>
          <w:lang w:val="fr-FR"/>
        </w:rPr>
      </w:pPr>
      <w:r w:rsidRPr="000F7862">
        <w:rPr>
          <w:lang w:val="fr-FR"/>
        </w:rPr>
        <w:tab/>
      </w:r>
      <w:r w:rsidRPr="000F7862">
        <w:rPr>
          <w:lang w:val="fr-FR"/>
        </w:rPr>
        <w:tab/>
      </w:r>
      <w:r w:rsidR="00796859" w:rsidRPr="000F7862">
        <w:rPr>
          <w:lang w:val="fr-FR"/>
        </w:rPr>
        <w:t xml:space="preserve">Amendes et sanctions pénales imposées aux personnes qui ont recours illégalement au travail des enfants </w:t>
      </w:r>
    </w:p>
    <w:p w:rsidR="0086185C" w:rsidRPr="000F7862" w:rsidRDefault="003F7F57" w:rsidP="003F7F57">
      <w:pPr>
        <w:pStyle w:val="SingleTxtG"/>
        <w:rPr>
          <w:shd w:val="clear" w:color="auto" w:fill="FFFFFF"/>
          <w:lang w:val="fr-FR"/>
        </w:rPr>
      </w:pPr>
      <w:r w:rsidRPr="000F7862">
        <w:rPr>
          <w:lang w:val="fr-FR"/>
        </w:rPr>
        <w:t>162.</w:t>
      </w:r>
      <w:r w:rsidRPr="000F7862">
        <w:rPr>
          <w:lang w:val="fr-FR"/>
        </w:rPr>
        <w:tab/>
      </w:r>
      <w:r w:rsidR="00796859" w:rsidRPr="000F7862">
        <w:rPr>
          <w:shd w:val="clear" w:color="auto" w:fill="FFFFFF"/>
          <w:lang w:val="fr-FR"/>
        </w:rPr>
        <w:t xml:space="preserve">La </w:t>
      </w:r>
      <w:r w:rsidR="00796859" w:rsidRPr="000F7862">
        <w:rPr>
          <w:iCs/>
          <w:lang w:val="fr-FR"/>
        </w:rPr>
        <w:t>loi élargie de lutte contre la traite des êtres humains</w:t>
      </w:r>
      <w:r w:rsidR="00E406F5" w:rsidRPr="000F7862">
        <w:rPr>
          <w:iCs/>
          <w:lang w:val="fr-FR"/>
        </w:rPr>
        <w:t xml:space="preserve"> protège les enfants contre la traite grâce à ses dispositions renforcées qui sanctionnent également la tentative de traite et la complicité</w:t>
      </w:r>
      <w:r w:rsidR="0086185C" w:rsidRPr="000F7862">
        <w:rPr>
          <w:shd w:val="clear" w:color="auto" w:fill="FFFFFF"/>
          <w:lang w:val="fr-FR"/>
        </w:rPr>
        <w:t>.</w:t>
      </w:r>
    </w:p>
    <w:p w:rsidR="0086185C" w:rsidRPr="000F7862" w:rsidRDefault="003F7F57" w:rsidP="003F7F57">
      <w:pPr>
        <w:pStyle w:val="SingleTxtG"/>
        <w:rPr>
          <w:shd w:val="clear" w:color="auto" w:fill="FFFFFF"/>
          <w:lang w:val="fr-FR"/>
        </w:rPr>
      </w:pPr>
      <w:r w:rsidRPr="000F7862">
        <w:rPr>
          <w:lang w:val="fr-FR"/>
        </w:rPr>
        <w:t>163.</w:t>
      </w:r>
      <w:r w:rsidRPr="000F7862">
        <w:rPr>
          <w:lang w:val="fr-FR"/>
        </w:rPr>
        <w:tab/>
      </w:r>
      <w:r w:rsidR="00E406F5" w:rsidRPr="000F7862">
        <w:rPr>
          <w:lang w:val="fr-FR"/>
        </w:rPr>
        <w:t xml:space="preserve">Le pays compte </w:t>
      </w:r>
      <w:r w:rsidR="0086185C" w:rsidRPr="000F7862">
        <w:rPr>
          <w:lang w:val="fr-FR"/>
        </w:rPr>
        <w:t xml:space="preserve">16 </w:t>
      </w:r>
      <w:r w:rsidR="00E406F5" w:rsidRPr="000F7862">
        <w:rPr>
          <w:lang w:val="fr-FR"/>
        </w:rPr>
        <w:t>unités d</w:t>
      </w:r>
      <w:r w:rsidR="00120E2E" w:rsidRPr="000F7862">
        <w:rPr>
          <w:lang w:val="fr-FR"/>
        </w:rPr>
        <w:t>’</w:t>
      </w:r>
      <w:r w:rsidR="00E406F5" w:rsidRPr="000F7862">
        <w:rPr>
          <w:lang w:val="fr-FR"/>
        </w:rPr>
        <w:t>intervention d</w:t>
      </w:r>
      <w:r w:rsidR="00120E2E" w:rsidRPr="000F7862">
        <w:rPr>
          <w:lang w:val="fr-FR"/>
        </w:rPr>
        <w:t>’</w:t>
      </w:r>
      <w:r w:rsidR="00E406F5" w:rsidRPr="000F7862">
        <w:rPr>
          <w:lang w:val="fr-FR"/>
        </w:rPr>
        <w:t xml:space="preserve">urgence et </w:t>
      </w:r>
      <w:r w:rsidR="0086185C" w:rsidRPr="000F7862">
        <w:rPr>
          <w:lang w:val="fr-FR"/>
        </w:rPr>
        <w:t xml:space="preserve">30 </w:t>
      </w:r>
      <w:r w:rsidR="00E406F5" w:rsidRPr="000F7862">
        <w:rPr>
          <w:lang w:val="fr-FR"/>
        </w:rPr>
        <w:t>centres d</w:t>
      </w:r>
      <w:r w:rsidR="00120E2E" w:rsidRPr="000F7862">
        <w:rPr>
          <w:lang w:val="fr-FR"/>
        </w:rPr>
        <w:t>’</w:t>
      </w:r>
      <w:r w:rsidR="00E406F5" w:rsidRPr="000F7862">
        <w:rPr>
          <w:lang w:val="fr-FR"/>
        </w:rPr>
        <w:t>hébergement pour enfants que le Ministère du travail et de l</w:t>
      </w:r>
      <w:r w:rsidR="00120E2E" w:rsidRPr="000F7862">
        <w:rPr>
          <w:lang w:val="fr-FR"/>
        </w:rPr>
        <w:t>’</w:t>
      </w:r>
      <w:r w:rsidR="00E406F5" w:rsidRPr="000F7862">
        <w:rPr>
          <w:lang w:val="fr-FR"/>
        </w:rPr>
        <w:t>emploi gère pour remédier aux situations d</w:t>
      </w:r>
      <w:r w:rsidR="00120E2E" w:rsidRPr="000F7862">
        <w:rPr>
          <w:lang w:val="fr-FR"/>
        </w:rPr>
        <w:t>’</w:t>
      </w:r>
      <w:r w:rsidR="00884299" w:rsidRPr="000F7862">
        <w:rPr>
          <w:lang w:val="fr-FR"/>
        </w:rPr>
        <w:t xml:space="preserve">urgence </w:t>
      </w:r>
      <w:r w:rsidR="00E406F5" w:rsidRPr="000F7862">
        <w:rPr>
          <w:lang w:val="fr-FR"/>
        </w:rPr>
        <w:t>telles que les cas de maltraitance à enfant</w:t>
      </w:r>
      <w:r w:rsidR="0086185C" w:rsidRPr="000F7862">
        <w:rPr>
          <w:lang w:val="fr-FR"/>
        </w:rPr>
        <w:t xml:space="preserve">. </w:t>
      </w:r>
      <w:r w:rsidR="00E406F5" w:rsidRPr="000F7862">
        <w:rPr>
          <w:lang w:val="fr-FR"/>
        </w:rPr>
        <w:t>Sur le plan des effectifs, au moins une personne est désignée dans chaque bureau régional pour participer à l</w:t>
      </w:r>
      <w:r w:rsidR="00120E2E" w:rsidRPr="000F7862">
        <w:rPr>
          <w:lang w:val="fr-FR"/>
        </w:rPr>
        <w:t>’</w:t>
      </w:r>
      <w:r w:rsidR="00E406F5" w:rsidRPr="000F7862">
        <w:rPr>
          <w:lang w:val="fr-FR"/>
        </w:rPr>
        <w:t>opération de sauvetage conduite à la demande de la police nationale</w:t>
      </w:r>
      <w:r w:rsidR="0086185C" w:rsidRPr="000F7862">
        <w:rPr>
          <w:lang w:val="fr-FR"/>
        </w:rPr>
        <w:t>.</w:t>
      </w:r>
    </w:p>
    <w:p w:rsidR="0086185C" w:rsidRPr="000F7862" w:rsidRDefault="00AE7B22" w:rsidP="00AE7B22">
      <w:pPr>
        <w:pStyle w:val="H23G"/>
        <w:rPr>
          <w:lang w:val="fr-FR"/>
        </w:rPr>
      </w:pPr>
      <w:r w:rsidRPr="000F7862">
        <w:rPr>
          <w:lang w:val="fr-FR"/>
        </w:rPr>
        <w:tab/>
      </w:r>
      <w:r w:rsidRPr="000F7862">
        <w:rPr>
          <w:lang w:val="fr-FR"/>
        </w:rPr>
        <w:tab/>
      </w:r>
      <w:r w:rsidR="00E406F5" w:rsidRPr="000F7862">
        <w:rPr>
          <w:lang w:val="fr-FR"/>
        </w:rPr>
        <w:t xml:space="preserve">Formation des agents chargés de faire respecter la loi, des procureurs et des juges </w:t>
      </w:r>
    </w:p>
    <w:p w:rsidR="0086185C" w:rsidRPr="000F7862" w:rsidRDefault="003F7F57" w:rsidP="003F7F57">
      <w:pPr>
        <w:pStyle w:val="SingleTxtG"/>
        <w:rPr>
          <w:lang w:val="fr-FR"/>
        </w:rPr>
      </w:pPr>
      <w:r w:rsidRPr="000F7862">
        <w:rPr>
          <w:lang w:val="fr-FR"/>
        </w:rPr>
        <w:t>164.</w:t>
      </w:r>
      <w:r w:rsidRPr="000F7862">
        <w:rPr>
          <w:lang w:val="fr-FR"/>
        </w:rPr>
        <w:tab/>
      </w:r>
      <w:r w:rsidR="009A0901" w:rsidRPr="000F7862">
        <w:rPr>
          <w:lang w:val="fr-FR"/>
        </w:rPr>
        <w:t>L</w:t>
      </w:r>
      <w:r w:rsidR="00120E2E" w:rsidRPr="000F7862">
        <w:rPr>
          <w:lang w:val="fr-FR"/>
        </w:rPr>
        <w:t>’</w:t>
      </w:r>
      <w:r w:rsidR="009A0901" w:rsidRPr="000F7862">
        <w:rPr>
          <w:lang w:val="fr-FR"/>
        </w:rPr>
        <w:t xml:space="preserve">École de la magistrature </w:t>
      </w:r>
      <w:r w:rsidR="00810581" w:rsidRPr="000F7862">
        <w:rPr>
          <w:lang w:val="fr-FR"/>
        </w:rPr>
        <w:t>assure la formation des juges de la Cour suprême</w:t>
      </w:r>
      <w:r w:rsidR="0086185C" w:rsidRPr="000F7862">
        <w:rPr>
          <w:lang w:val="fr-FR"/>
        </w:rPr>
        <w:t xml:space="preserve">, </w:t>
      </w:r>
      <w:r w:rsidR="00810581" w:rsidRPr="000F7862">
        <w:rPr>
          <w:lang w:val="fr-FR"/>
        </w:rPr>
        <w:t xml:space="preserve">des autres </w:t>
      </w:r>
      <w:r w:rsidR="0086185C" w:rsidRPr="000F7862">
        <w:rPr>
          <w:lang w:val="fr-FR"/>
        </w:rPr>
        <w:t xml:space="preserve">juges, </w:t>
      </w:r>
      <w:r w:rsidR="00810581" w:rsidRPr="000F7862">
        <w:rPr>
          <w:lang w:val="fr-FR"/>
        </w:rPr>
        <w:t xml:space="preserve">du personnel judiciaire, des avocats et des </w:t>
      </w:r>
      <w:r w:rsidR="0086185C" w:rsidRPr="000F7862">
        <w:rPr>
          <w:lang w:val="fr-FR"/>
        </w:rPr>
        <w:t xml:space="preserve">aspirants </w:t>
      </w:r>
      <w:r w:rsidR="00810581" w:rsidRPr="000F7862">
        <w:rPr>
          <w:lang w:val="fr-FR"/>
        </w:rPr>
        <w:t>à des postes judiciaires</w:t>
      </w:r>
      <w:r w:rsidR="0086185C" w:rsidRPr="000F7862">
        <w:rPr>
          <w:lang w:val="fr-FR"/>
        </w:rPr>
        <w:t>.</w:t>
      </w:r>
      <w:r w:rsidR="00446EA5" w:rsidRPr="000F7862">
        <w:rPr>
          <w:lang w:val="fr-FR"/>
        </w:rPr>
        <w:t xml:space="preserve"> </w:t>
      </w:r>
      <w:r w:rsidR="00810581" w:rsidRPr="000F7862">
        <w:rPr>
          <w:lang w:val="fr-FR"/>
        </w:rPr>
        <w:t>Elle fournit et applique un programme d</w:t>
      </w:r>
      <w:r w:rsidR="00120E2E" w:rsidRPr="000F7862">
        <w:rPr>
          <w:lang w:val="fr-FR"/>
        </w:rPr>
        <w:t>’</w:t>
      </w:r>
      <w:r w:rsidR="00810581" w:rsidRPr="000F7862">
        <w:rPr>
          <w:lang w:val="fr-FR"/>
        </w:rPr>
        <w:t xml:space="preserve">études judiciaires et conduit des </w:t>
      </w:r>
      <w:r w:rsidR="0086185C" w:rsidRPr="000F7862">
        <w:rPr>
          <w:lang w:val="fr-FR"/>
        </w:rPr>
        <w:t>s</w:t>
      </w:r>
      <w:r w:rsidR="00810581" w:rsidRPr="000F7862">
        <w:rPr>
          <w:lang w:val="fr-FR"/>
        </w:rPr>
        <w:t>é</w:t>
      </w:r>
      <w:r w:rsidR="0086185C" w:rsidRPr="000F7862">
        <w:rPr>
          <w:lang w:val="fr-FR"/>
        </w:rPr>
        <w:t>mina</w:t>
      </w:r>
      <w:r w:rsidR="00810581" w:rsidRPr="000F7862">
        <w:rPr>
          <w:lang w:val="fr-FR"/>
        </w:rPr>
        <w:t>i</w:t>
      </w:r>
      <w:r w:rsidR="0086185C" w:rsidRPr="000F7862">
        <w:rPr>
          <w:lang w:val="fr-FR"/>
        </w:rPr>
        <w:t>r</w:t>
      </w:r>
      <w:r w:rsidR="00810581" w:rsidRPr="000F7862">
        <w:rPr>
          <w:lang w:val="fr-FR"/>
        </w:rPr>
        <w:t>e</w:t>
      </w:r>
      <w:r w:rsidR="0086185C" w:rsidRPr="000F7862">
        <w:rPr>
          <w:lang w:val="fr-FR"/>
        </w:rPr>
        <w:t xml:space="preserve">s, </w:t>
      </w:r>
      <w:r w:rsidR="00810581" w:rsidRPr="000F7862">
        <w:rPr>
          <w:lang w:val="fr-FR"/>
        </w:rPr>
        <w:t xml:space="preserve">ateliers et autres </w:t>
      </w:r>
      <w:r w:rsidR="00867E43" w:rsidRPr="000F7862">
        <w:rPr>
          <w:lang w:val="fr-FR"/>
        </w:rPr>
        <w:t>programmes</w:t>
      </w:r>
      <w:r w:rsidR="0086185C" w:rsidRPr="000F7862">
        <w:rPr>
          <w:lang w:val="fr-FR"/>
        </w:rPr>
        <w:t xml:space="preserve"> </w:t>
      </w:r>
      <w:r w:rsidR="00810581" w:rsidRPr="000F7862">
        <w:rPr>
          <w:lang w:val="fr-FR"/>
        </w:rPr>
        <w:t>de formation conçus pour améliorer les connaissances juridiques de ces personnes ainsi que leur</w:t>
      </w:r>
      <w:r w:rsidR="0086185C" w:rsidRPr="000F7862">
        <w:rPr>
          <w:lang w:val="fr-FR"/>
        </w:rPr>
        <w:t xml:space="preserve"> </w:t>
      </w:r>
      <w:r w:rsidR="007C4F51" w:rsidRPr="000F7862">
        <w:rPr>
          <w:lang w:val="fr-FR"/>
        </w:rPr>
        <w:t xml:space="preserve">idonéité </w:t>
      </w:r>
      <w:r w:rsidR="0086185C" w:rsidRPr="000F7862">
        <w:rPr>
          <w:lang w:val="fr-FR"/>
        </w:rPr>
        <w:t>moral</w:t>
      </w:r>
      <w:r w:rsidR="007C4F51" w:rsidRPr="000F7862">
        <w:rPr>
          <w:lang w:val="fr-FR"/>
        </w:rPr>
        <w:t>e</w:t>
      </w:r>
      <w:r w:rsidR="0086185C" w:rsidRPr="000F7862">
        <w:rPr>
          <w:lang w:val="fr-FR"/>
        </w:rPr>
        <w:t xml:space="preserve">, </w:t>
      </w:r>
      <w:r w:rsidR="007C4F51" w:rsidRPr="000F7862">
        <w:rPr>
          <w:lang w:val="fr-FR"/>
        </w:rPr>
        <w:t>leur probité</w:t>
      </w:r>
      <w:r w:rsidR="0086185C" w:rsidRPr="000F7862">
        <w:rPr>
          <w:lang w:val="fr-FR"/>
        </w:rPr>
        <w:t xml:space="preserve">, </w:t>
      </w:r>
      <w:r w:rsidR="007C4F51" w:rsidRPr="000F7862">
        <w:rPr>
          <w:lang w:val="fr-FR"/>
        </w:rPr>
        <w:t>leur efficacité et leurs capacités</w:t>
      </w:r>
      <w:r w:rsidR="0086185C" w:rsidRPr="000F7862">
        <w:rPr>
          <w:lang w:val="fr-FR"/>
        </w:rPr>
        <w:t>.</w:t>
      </w:r>
      <w:r w:rsidR="00446EA5" w:rsidRPr="000F7862">
        <w:rPr>
          <w:lang w:val="fr-FR"/>
        </w:rPr>
        <w:t xml:space="preserve"> </w:t>
      </w:r>
      <w:r w:rsidR="007C4F51" w:rsidRPr="000F7862">
        <w:rPr>
          <w:lang w:val="fr-FR"/>
        </w:rPr>
        <w:t>Les programmes ordinaires et spéciaux de l</w:t>
      </w:r>
      <w:r w:rsidR="00120E2E" w:rsidRPr="000F7862">
        <w:rPr>
          <w:lang w:val="fr-FR"/>
        </w:rPr>
        <w:t>’</w:t>
      </w:r>
      <w:r w:rsidR="007C4F51" w:rsidRPr="000F7862">
        <w:rPr>
          <w:lang w:val="fr-FR"/>
        </w:rPr>
        <w:t xml:space="preserve">École font notamment une place aux thèmes liés au droit </w:t>
      </w:r>
      <w:r w:rsidR="0086185C" w:rsidRPr="000F7862">
        <w:rPr>
          <w:lang w:val="fr-FR"/>
        </w:rPr>
        <w:t>international</w:t>
      </w:r>
      <w:r w:rsidR="007C4F51" w:rsidRPr="000F7862">
        <w:rPr>
          <w:lang w:val="fr-FR"/>
        </w:rPr>
        <w:t xml:space="preserve"> et</w:t>
      </w:r>
      <w:r w:rsidR="0086185C" w:rsidRPr="000F7862">
        <w:rPr>
          <w:lang w:val="fr-FR"/>
        </w:rPr>
        <w:t xml:space="preserve"> </w:t>
      </w:r>
      <w:r w:rsidR="007C4F51" w:rsidRPr="000F7862">
        <w:rPr>
          <w:lang w:val="fr-FR"/>
        </w:rPr>
        <w:t>aux femmes et aux enfants</w:t>
      </w:r>
      <w:r w:rsidR="0086185C" w:rsidRPr="000F7862">
        <w:rPr>
          <w:lang w:val="fr-FR"/>
        </w:rPr>
        <w:t xml:space="preserve">. </w:t>
      </w:r>
    </w:p>
    <w:p w:rsidR="0086185C" w:rsidRPr="000F7862" w:rsidRDefault="003F7F57" w:rsidP="00A92F14">
      <w:pPr>
        <w:pStyle w:val="SingleTxtG"/>
        <w:rPr>
          <w:lang w:val="fr-FR"/>
        </w:rPr>
      </w:pPr>
      <w:r w:rsidRPr="000F7862">
        <w:rPr>
          <w:lang w:val="fr-FR"/>
        </w:rPr>
        <w:t>165.</w:t>
      </w:r>
      <w:r w:rsidRPr="000F7862">
        <w:rPr>
          <w:lang w:val="fr-FR"/>
        </w:rPr>
        <w:tab/>
      </w:r>
      <w:r w:rsidR="007C4F51" w:rsidRPr="000F7862">
        <w:rPr>
          <w:lang w:val="fr-FR"/>
        </w:rPr>
        <w:t xml:space="preserve">Dès </w:t>
      </w:r>
      <w:r w:rsidR="0086185C" w:rsidRPr="000F7862">
        <w:rPr>
          <w:lang w:val="fr-FR"/>
        </w:rPr>
        <w:t xml:space="preserve">1998, </w:t>
      </w:r>
      <w:r w:rsidR="007C4F51" w:rsidRPr="000F7862">
        <w:rPr>
          <w:lang w:val="fr-FR"/>
        </w:rPr>
        <w:t xml:space="preserve">la Cour suprême a préconisé le </w:t>
      </w:r>
      <w:r w:rsidR="002E7607" w:rsidRPr="000F7862">
        <w:rPr>
          <w:lang w:val="fr-FR"/>
        </w:rPr>
        <w:t>«</w:t>
      </w:r>
      <w:r w:rsidR="007C4F51" w:rsidRPr="000F7862">
        <w:rPr>
          <w:i/>
          <w:lang w:val="fr-FR"/>
        </w:rPr>
        <w:t>Renforcement de la protection juridique des enfants</w:t>
      </w:r>
      <w:r w:rsidR="002E7607" w:rsidRPr="000F7862">
        <w:rPr>
          <w:iCs/>
          <w:lang w:val="fr-FR"/>
        </w:rPr>
        <w:t>»</w:t>
      </w:r>
      <w:r w:rsidR="0086185C" w:rsidRPr="000F7862">
        <w:rPr>
          <w:b/>
          <w:lang w:val="fr-FR"/>
        </w:rPr>
        <w:t xml:space="preserve"> </w:t>
      </w:r>
      <w:r w:rsidR="007C4F51" w:rsidRPr="000F7862">
        <w:rPr>
          <w:lang w:val="fr-FR"/>
        </w:rPr>
        <w:t>par le biais des séminaires-ateliers conduits par l</w:t>
      </w:r>
      <w:r w:rsidR="00120E2E" w:rsidRPr="000F7862">
        <w:rPr>
          <w:lang w:val="fr-FR"/>
        </w:rPr>
        <w:t>’</w:t>
      </w:r>
      <w:r w:rsidR="007C4F51" w:rsidRPr="000F7862">
        <w:rPr>
          <w:lang w:val="fr-FR"/>
        </w:rPr>
        <w:t xml:space="preserve">École de la magistrature en </w:t>
      </w:r>
      <w:r w:rsidR="0086185C" w:rsidRPr="000F7862">
        <w:rPr>
          <w:lang w:val="fr-FR"/>
        </w:rPr>
        <w:t>1998</w:t>
      </w:r>
      <w:r w:rsidR="007C4F51" w:rsidRPr="000F7862">
        <w:rPr>
          <w:lang w:val="fr-FR"/>
        </w:rPr>
        <w:t xml:space="preserve"> et </w:t>
      </w:r>
      <w:r w:rsidR="0086185C" w:rsidRPr="000F7862">
        <w:rPr>
          <w:lang w:val="fr-FR"/>
        </w:rPr>
        <w:t xml:space="preserve">1999. </w:t>
      </w:r>
      <w:r w:rsidR="007C4F51" w:rsidRPr="000F7862">
        <w:rPr>
          <w:lang w:val="fr-FR"/>
        </w:rPr>
        <w:t xml:space="preserve">Ils ont été suivis par une série </w:t>
      </w:r>
      <w:r w:rsidR="00DA7271" w:rsidRPr="000F7862">
        <w:rPr>
          <w:lang w:val="fr-FR"/>
        </w:rPr>
        <w:t xml:space="preserve">de </w:t>
      </w:r>
      <w:r w:rsidR="002E7607" w:rsidRPr="000F7862">
        <w:rPr>
          <w:lang w:val="fr-FR"/>
        </w:rPr>
        <w:t>«</w:t>
      </w:r>
      <w:r w:rsidR="007C4F51" w:rsidRPr="000F7862">
        <w:rPr>
          <w:rFonts w:eastAsia="Calibri"/>
          <w:i/>
          <w:lang w:val="fr-FR"/>
        </w:rPr>
        <w:t>Séminaires-ateliers régionaux m</w:t>
      </w:r>
      <w:r w:rsidR="0086185C" w:rsidRPr="000F7862">
        <w:rPr>
          <w:rFonts w:eastAsia="Calibri"/>
          <w:i/>
          <w:lang w:val="fr-FR"/>
        </w:rPr>
        <w:t>ulti</w:t>
      </w:r>
      <w:r w:rsidR="007C4F51" w:rsidRPr="000F7862">
        <w:rPr>
          <w:rFonts w:eastAsia="Calibri"/>
          <w:i/>
          <w:lang w:val="fr-FR"/>
        </w:rPr>
        <w:t>se</w:t>
      </w:r>
      <w:r w:rsidR="0086185C" w:rsidRPr="000F7862">
        <w:rPr>
          <w:rFonts w:eastAsia="Calibri"/>
          <w:i/>
          <w:lang w:val="fr-FR"/>
        </w:rPr>
        <w:t>ctor</w:t>
      </w:r>
      <w:r w:rsidR="007C4F51" w:rsidRPr="000F7862">
        <w:rPr>
          <w:rFonts w:eastAsia="Calibri"/>
          <w:i/>
          <w:lang w:val="fr-FR"/>
        </w:rPr>
        <w:t>iels</w:t>
      </w:r>
      <w:r w:rsidR="0086185C" w:rsidRPr="000F7862">
        <w:rPr>
          <w:rFonts w:eastAsia="Calibri"/>
          <w:i/>
          <w:lang w:val="fr-FR"/>
        </w:rPr>
        <w:t xml:space="preserve"> </w:t>
      </w:r>
      <w:r w:rsidR="007C4F51" w:rsidRPr="000F7862">
        <w:rPr>
          <w:rFonts w:eastAsia="Calibri"/>
          <w:i/>
          <w:lang w:val="fr-FR"/>
        </w:rPr>
        <w:t>sur la justice pour mineurs et des relations familiales</w:t>
      </w:r>
      <w:r w:rsidR="002E7607" w:rsidRPr="000F7862">
        <w:rPr>
          <w:lang w:val="fr-FR"/>
        </w:rPr>
        <w:t>»</w:t>
      </w:r>
      <w:r w:rsidR="001A39BF" w:rsidRPr="000F7862">
        <w:rPr>
          <w:lang w:val="fr-FR"/>
        </w:rPr>
        <w:t>.</w:t>
      </w:r>
      <w:r w:rsidR="00A92F14" w:rsidRPr="000F7862">
        <w:rPr>
          <w:bCs/>
          <w:lang w:val="fr-FR"/>
        </w:rPr>
        <w:t xml:space="preserve"> </w:t>
      </w:r>
      <w:r w:rsidR="00406A48" w:rsidRPr="000F7862">
        <w:rPr>
          <w:lang w:val="fr-FR"/>
        </w:rPr>
        <w:t xml:space="preserve">Le </w:t>
      </w:r>
      <w:r w:rsidR="00867E43" w:rsidRPr="000F7862">
        <w:rPr>
          <w:lang w:val="fr-FR"/>
        </w:rPr>
        <w:t>programme</w:t>
      </w:r>
      <w:r w:rsidR="0086185C" w:rsidRPr="000F7862">
        <w:rPr>
          <w:rFonts w:eastAsia="Calibri"/>
          <w:lang w:val="fr-FR"/>
        </w:rPr>
        <w:t xml:space="preserve"> </w:t>
      </w:r>
      <w:r w:rsidR="00406A48" w:rsidRPr="000F7862">
        <w:rPr>
          <w:rFonts w:eastAsia="Calibri"/>
          <w:lang w:val="fr-FR"/>
        </w:rPr>
        <w:t>se fixe les buts suivants</w:t>
      </w:r>
      <w:r w:rsidR="0005004C" w:rsidRPr="000F7862">
        <w:rPr>
          <w:rFonts w:eastAsia="Calibri"/>
          <w:lang w:val="fr-FR"/>
        </w:rPr>
        <w:t>:</w:t>
      </w:r>
      <w:r w:rsidR="00406A48" w:rsidRPr="000F7862">
        <w:rPr>
          <w:rFonts w:eastAsia="Calibri"/>
          <w:lang w:val="fr-FR"/>
        </w:rPr>
        <w:t xml:space="preserve"> </w:t>
      </w:r>
      <w:r w:rsidR="00172149" w:rsidRPr="000F7862">
        <w:rPr>
          <w:lang w:val="fr-FR"/>
        </w:rPr>
        <w:t>a</w:t>
      </w:r>
      <w:r w:rsidR="0086185C" w:rsidRPr="000F7862">
        <w:rPr>
          <w:lang w:val="fr-FR"/>
        </w:rPr>
        <w:t>)</w:t>
      </w:r>
      <w:r w:rsidR="007B2B6C" w:rsidRPr="000F7862">
        <w:rPr>
          <w:rFonts w:eastAsia="Calibri"/>
          <w:lang w:val="fr-FR"/>
        </w:rPr>
        <w:t> </w:t>
      </w:r>
      <w:r w:rsidR="00406A48" w:rsidRPr="000F7862">
        <w:rPr>
          <w:rFonts w:eastAsia="Calibri"/>
          <w:lang w:val="fr-FR"/>
        </w:rPr>
        <w:t xml:space="preserve">examiner les droits des familles, des femmes et des enfants au regard de la </w:t>
      </w:r>
      <w:r w:rsidR="001C088C" w:rsidRPr="000F7862">
        <w:rPr>
          <w:lang w:val="fr-FR"/>
        </w:rPr>
        <w:t xml:space="preserve">Convention </w:t>
      </w:r>
      <w:r w:rsidR="00406A48" w:rsidRPr="000F7862">
        <w:rPr>
          <w:lang w:val="fr-FR"/>
        </w:rPr>
        <w:t>relative aux droits de l</w:t>
      </w:r>
      <w:r w:rsidR="00120E2E" w:rsidRPr="000F7862">
        <w:rPr>
          <w:lang w:val="fr-FR"/>
        </w:rPr>
        <w:t>’</w:t>
      </w:r>
      <w:r w:rsidR="00406A48" w:rsidRPr="000F7862">
        <w:rPr>
          <w:lang w:val="fr-FR"/>
        </w:rPr>
        <w:t>enfant</w:t>
      </w:r>
      <w:r w:rsidR="0086185C" w:rsidRPr="000F7862">
        <w:rPr>
          <w:rFonts w:eastAsia="Calibri"/>
          <w:lang w:val="fr-FR"/>
        </w:rPr>
        <w:t xml:space="preserve">, </w:t>
      </w:r>
      <w:r w:rsidR="00406A48" w:rsidRPr="000F7862">
        <w:rPr>
          <w:rFonts w:eastAsia="Calibri"/>
          <w:lang w:val="fr-FR"/>
        </w:rPr>
        <w:t xml:space="preserve">de la </w:t>
      </w:r>
      <w:r w:rsidR="001C088C" w:rsidRPr="000F7862">
        <w:rPr>
          <w:lang w:val="fr-FR"/>
        </w:rPr>
        <w:t xml:space="preserve">Convention </w:t>
      </w:r>
      <w:r w:rsidR="00406A48" w:rsidRPr="000F7862">
        <w:rPr>
          <w:lang w:val="fr-FR"/>
        </w:rPr>
        <w:t>sur l</w:t>
      </w:r>
      <w:r w:rsidR="00120E2E" w:rsidRPr="000F7862">
        <w:rPr>
          <w:lang w:val="fr-FR"/>
        </w:rPr>
        <w:t>’</w:t>
      </w:r>
      <w:r w:rsidR="00406A48" w:rsidRPr="000F7862">
        <w:rPr>
          <w:lang w:val="fr-FR"/>
        </w:rPr>
        <w:t>é</w:t>
      </w:r>
      <w:r w:rsidR="001C088C" w:rsidRPr="000F7862">
        <w:rPr>
          <w:lang w:val="fr-FR"/>
        </w:rPr>
        <w:t xml:space="preserve">limination </w:t>
      </w:r>
      <w:r w:rsidR="00406A48" w:rsidRPr="000F7862">
        <w:rPr>
          <w:lang w:val="fr-FR"/>
        </w:rPr>
        <w:t>de toutes les formes de d</w:t>
      </w:r>
      <w:r w:rsidR="001C088C" w:rsidRPr="000F7862">
        <w:rPr>
          <w:lang w:val="fr-FR"/>
        </w:rPr>
        <w:t xml:space="preserve">iscrimination </w:t>
      </w:r>
      <w:r w:rsidR="00406A48" w:rsidRPr="000F7862">
        <w:rPr>
          <w:lang w:val="fr-FR"/>
        </w:rPr>
        <w:t>à l</w:t>
      </w:r>
      <w:r w:rsidR="00120E2E" w:rsidRPr="000F7862">
        <w:rPr>
          <w:lang w:val="fr-FR"/>
        </w:rPr>
        <w:t>’</w:t>
      </w:r>
      <w:r w:rsidR="00406A48" w:rsidRPr="000F7862">
        <w:rPr>
          <w:lang w:val="fr-FR"/>
        </w:rPr>
        <w:t>égard des femmes et d</w:t>
      </w:r>
      <w:r w:rsidR="00120E2E" w:rsidRPr="000F7862">
        <w:rPr>
          <w:lang w:val="fr-FR"/>
        </w:rPr>
        <w:t>’</w:t>
      </w:r>
      <w:r w:rsidR="00406A48" w:rsidRPr="000F7862">
        <w:rPr>
          <w:lang w:val="fr-FR"/>
        </w:rPr>
        <w:t>autres normes des Nations Unies</w:t>
      </w:r>
      <w:r w:rsidR="0086185C" w:rsidRPr="000F7862">
        <w:rPr>
          <w:rFonts w:eastAsia="Calibri"/>
          <w:lang w:val="fr-FR"/>
        </w:rPr>
        <w:t>;</w:t>
      </w:r>
      <w:r w:rsidR="00406A48" w:rsidRPr="000F7862">
        <w:rPr>
          <w:lang w:val="fr-FR"/>
        </w:rPr>
        <w:t xml:space="preserve"> </w:t>
      </w:r>
      <w:r w:rsidR="00172149" w:rsidRPr="000F7862">
        <w:rPr>
          <w:lang w:val="fr-FR"/>
        </w:rPr>
        <w:t>b</w:t>
      </w:r>
      <w:r w:rsidR="0086185C" w:rsidRPr="000F7862">
        <w:rPr>
          <w:lang w:val="fr-FR"/>
        </w:rPr>
        <w:t>)</w:t>
      </w:r>
      <w:r w:rsidR="007B2B6C" w:rsidRPr="000F7862">
        <w:rPr>
          <w:lang w:val="fr-FR"/>
        </w:rPr>
        <w:t> </w:t>
      </w:r>
      <w:r w:rsidR="00406A48" w:rsidRPr="000F7862">
        <w:rPr>
          <w:lang w:val="fr-FR"/>
        </w:rPr>
        <w:t xml:space="preserve">décrire le rôle des autres piliers de la </w:t>
      </w:r>
      <w:r w:rsidR="0086185C" w:rsidRPr="000F7862">
        <w:rPr>
          <w:rFonts w:eastAsia="Calibri"/>
          <w:lang w:val="fr-FR"/>
        </w:rPr>
        <w:t xml:space="preserve">justice </w:t>
      </w:r>
      <w:r w:rsidR="00406A48" w:rsidRPr="000F7862">
        <w:rPr>
          <w:rFonts w:eastAsia="Calibri"/>
          <w:lang w:val="fr-FR"/>
        </w:rPr>
        <w:t>dans le système de justice pour mineurs</w:t>
      </w:r>
      <w:r w:rsidR="0086185C" w:rsidRPr="000F7862">
        <w:rPr>
          <w:rFonts w:eastAsia="Calibri"/>
          <w:lang w:val="fr-FR"/>
        </w:rPr>
        <w:t>;</w:t>
      </w:r>
      <w:r w:rsidR="0086185C" w:rsidRPr="000F7862">
        <w:rPr>
          <w:lang w:val="fr-FR"/>
        </w:rPr>
        <w:t xml:space="preserve"> </w:t>
      </w:r>
      <w:r w:rsidR="00172149" w:rsidRPr="000F7862">
        <w:rPr>
          <w:rFonts w:eastAsia="Calibri"/>
          <w:lang w:val="fr-FR"/>
        </w:rPr>
        <w:t>c</w:t>
      </w:r>
      <w:r w:rsidR="0086185C" w:rsidRPr="000F7862">
        <w:rPr>
          <w:lang w:val="fr-FR"/>
        </w:rPr>
        <w:t>)</w:t>
      </w:r>
      <w:r w:rsidR="007B2B6C" w:rsidRPr="000F7862">
        <w:rPr>
          <w:rFonts w:eastAsia="Calibri"/>
          <w:lang w:val="fr-FR"/>
        </w:rPr>
        <w:t> </w:t>
      </w:r>
      <w:r w:rsidR="00406A48" w:rsidRPr="000F7862">
        <w:rPr>
          <w:rFonts w:eastAsia="Calibri"/>
          <w:lang w:val="fr-FR"/>
        </w:rPr>
        <w:t xml:space="preserve">trouver des moyens permettant à chaque tribunal des affaires familiales, agissant de lui-même ou en concertation avec les autres piliers, de mieux appliquer les prescriptions de la </w:t>
      </w:r>
      <w:r w:rsidR="00406A48" w:rsidRPr="000F7862">
        <w:rPr>
          <w:lang w:val="fr-FR"/>
        </w:rPr>
        <w:t>Convention relative aux droits de l</w:t>
      </w:r>
      <w:r w:rsidR="00120E2E" w:rsidRPr="000F7862">
        <w:rPr>
          <w:lang w:val="fr-FR"/>
        </w:rPr>
        <w:t>’</w:t>
      </w:r>
      <w:r w:rsidR="00406A48" w:rsidRPr="000F7862">
        <w:rPr>
          <w:lang w:val="fr-FR"/>
        </w:rPr>
        <w:t>enfant et</w:t>
      </w:r>
      <w:r w:rsidR="00406A48" w:rsidRPr="000F7862">
        <w:rPr>
          <w:rFonts w:eastAsia="Calibri"/>
          <w:lang w:val="fr-FR"/>
        </w:rPr>
        <w:t xml:space="preserve"> de la </w:t>
      </w:r>
      <w:r w:rsidR="00406A48" w:rsidRPr="000F7862">
        <w:rPr>
          <w:lang w:val="fr-FR"/>
        </w:rPr>
        <w:t>Convention sur l</w:t>
      </w:r>
      <w:r w:rsidR="00120E2E" w:rsidRPr="000F7862">
        <w:rPr>
          <w:lang w:val="fr-FR"/>
        </w:rPr>
        <w:t>’</w:t>
      </w:r>
      <w:r w:rsidR="00406A48" w:rsidRPr="000F7862">
        <w:rPr>
          <w:lang w:val="fr-FR"/>
        </w:rPr>
        <w:t>élimination de toutes les formes de discrimination à l</w:t>
      </w:r>
      <w:r w:rsidR="00120E2E" w:rsidRPr="000F7862">
        <w:rPr>
          <w:lang w:val="fr-FR"/>
        </w:rPr>
        <w:t>’</w:t>
      </w:r>
      <w:r w:rsidR="00406A48" w:rsidRPr="000F7862">
        <w:rPr>
          <w:lang w:val="fr-FR"/>
        </w:rPr>
        <w:t>égard des femmes, et les autres normes des Nations Unies,</w:t>
      </w:r>
      <w:r w:rsidR="0005004C" w:rsidRPr="000F7862">
        <w:rPr>
          <w:lang w:val="fr-FR"/>
        </w:rPr>
        <w:t xml:space="preserve"> </w:t>
      </w:r>
      <w:r w:rsidR="00406A48" w:rsidRPr="000F7862">
        <w:rPr>
          <w:lang w:val="fr-FR"/>
        </w:rPr>
        <w:t>ainsi que les dispositions de la loi sur les tribunaux des affaires familiales</w:t>
      </w:r>
      <w:r w:rsidR="0086185C" w:rsidRPr="000F7862">
        <w:rPr>
          <w:lang w:val="fr-FR"/>
        </w:rPr>
        <w:t>,</w:t>
      </w:r>
      <w:r w:rsidR="0086185C" w:rsidRPr="000F7862">
        <w:rPr>
          <w:rFonts w:eastAsia="Calibri"/>
          <w:lang w:val="fr-FR"/>
        </w:rPr>
        <w:t xml:space="preserve"> </w:t>
      </w:r>
      <w:r w:rsidR="00406A48" w:rsidRPr="000F7862">
        <w:rPr>
          <w:rFonts w:eastAsia="Calibri"/>
          <w:lang w:val="fr-FR"/>
        </w:rPr>
        <w:t>et des lois philippines connexes</w:t>
      </w:r>
      <w:r w:rsidR="0086185C" w:rsidRPr="000F7862">
        <w:rPr>
          <w:rFonts w:eastAsia="Calibri"/>
          <w:lang w:val="fr-FR"/>
        </w:rPr>
        <w:t xml:space="preserve">; </w:t>
      </w:r>
      <w:r w:rsidR="00406A48" w:rsidRPr="000F7862">
        <w:rPr>
          <w:rFonts w:eastAsia="Calibri"/>
          <w:lang w:val="fr-FR"/>
        </w:rPr>
        <w:t>et</w:t>
      </w:r>
      <w:r w:rsidR="0086185C" w:rsidRPr="000F7862">
        <w:rPr>
          <w:rFonts w:eastAsia="Calibri"/>
          <w:lang w:val="fr-FR"/>
        </w:rPr>
        <w:t xml:space="preserve"> </w:t>
      </w:r>
      <w:r w:rsidR="00172149" w:rsidRPr="000F7862">
        <w:rPr>
          <w:rFonts w:eastAsia="Calibri"/>
          <w:lang w:val="fr-FR"/>
        </w:rPr>
        <w:t>d</w:t>
      </w:r>
      <w:r w:rsidR="0086185C" w:rsidRPr="000F7862">
        <w:rPr>
          <w:lang w:val="fr-FR"/>
        </w:rPr>
        <w:t>)</w:t>
      </w:r>
      <w:r w:rsidR="007B2B6C" w:rsidRPr="000F7862">
        <w:rPr>
          <w:rFonts w:eastAsia="Calibri"/>
          <w:lang w:val="fr-FR"/>
        </w:rPr>
        <w:t> </w:t>
      </w:r>
      <w:r w:rsidR="0086185C" w:rsidRPr="000F7862">
        <w:rPr>
          <w:rFonts w:eastAsia="Calibri"/>
          <w:lang w:val="fr-FR"/>
        </w:rPr>
        <w:t>familiari</w:t>
      </w:r>
      <w:r w:rsidR="00406A48" w:rsidRPr="000F7862">
        <w:rPr>
          <w:rFonts w:eastAsia="Calibri"/>
          <w:lang w:val="fr-FR"/>
        </w:rPr>
        <w:t xml:space="preserve">ser les </w:t>
      </w:r>
      <w:r w:rsidR="0086185C" w:rsidRPr="000F7862">
        <w:rPr>
          <w:rFonts w:eastAsia="Calibri"/>
          <w:lang w:val="fr-FR"/>
        </w:rPr>
        <w:t xml:space="preserve">participants </w:t>
      </w:r>
      <w:r w:rsidR="00406A48" w:rsidRPr="000F7862">
        <w:rPr>
          <w:rFonts w:eastAsia="Calibri"/>
          <w:lang w:val="fr-FR"/>
        </w:rPr>
        <w:t>avec les lois récentes et les règles de la Cour suprême concernant les femmes, les enfants et la famille</w:t>
      </w:r>
      <w:r w:rsidR="0086185C" w:rsidRPr="000F7862">
        <w:rPr>
          <w:rFonts w:eastAsia="Calibri"/>
          <w:lang w:val="fr-FR"/>
        </w:rPr>
        <w:t xml:space="preserve">. </w:t>
      </w:r>
      <w:r w:rsidR="00F64581" w:rsidRPr="000F7862">
        <w:rPr>
          <w:rFonts w:eastAsia="Calibri"/>
          <w:lang w:val="fr-FR"/>
        </w:rPr>
        <w:t>De même, les juges et le personnel judiciaire peuvent actualiser leur</w:t>
      </w:r>
      <w:r w:rsidR="00DA7271" w:rsidRPr="000F7862">
        <w:rPr>
          <w:rFonts w:eastAsia="Calibri"/>
          <w:lang w:val="fr-FR"/>
        </w:rPr>
        <w:t xml:space="preserve"> connaissance des lois, des règles et de la </w:t>
      </w:r>
      <w:r w:rsidR="0086185C" w:rsidRPr="000F7862">
        <w:rPr>
          <w:lang w:val="fr-FR"/>
        </w:rPr>
        <w:t xml:space="preserve">jurisprudence </w:t>
      </w:r>
      <w:r w:rsidR="00DA7271" w:rsidRPr="000F7862">
        <w:rPr>
          <w:lang w:val="fr-FR"/>
        </w:rPr>
        <w:t>concernant les enfants grâce aux programmes ordinaires et spéciaux de l</w:t>
      </w:r>
      <w:r w:rsidR="00120E2E" w:rsidRPr="000F7862">
        <w:rPr>
          <w:lang w:val="fr-FR"/>
        </w:rPr>
        <w:t>’</w:t>
      </w:r>
      <w:r w:rsidR="00DA7271" w:rsidRPr="000F7862">
        <w:rPr>
          <w:lang w:val="fr-FR"/>
        </w:rPr>
        <w:t>École de la magistrature qu</w:t>
      </w:r>
      <w:r w:rsidR="00120E2E" w:rsidRPr="000F7862">
        <w:rPr>
          <w:lang w:val="fr-FR"/>
        </w:rPr>
        <w:t>’</w:t>
      </w:r>
      <w:r w:rsidR="00DA7271" w:rsidRPr="000F7862">
        <w:rPr>
          <w:lang w:val="fr-FR"/>
        </w:rPr>
        <w:t>ils sont tenus de suivre</w:t>
      </w:r>
      <w:r w:rsidR="0086185C" w:rsidRPr="000F7862">
        <w:rPr>
          <w:lang w:val="fr-FR"/>
        </w:rPr>
        <w:t>.</w:t>
      </w:r>
    </w:p>
    <w:p w:rsidR="0086185C" w:rsidRPr="000F7862" w:rsidRDefault="003F7F57" w:rsidP="009B71DB">
      <w:pPr>
        <w:pStyle w:val="SingleTxtG"/>
        <w:rPr>
          <w:lang w:val="fr-FR"/>
        </w:rPr>
      </w:pPr>
      <w:r w:rsidRPr="000F7862">
        <w:rPr>
          <w:lang w:val="fr-FR"/>
        </w:rPr>
        <w:t>166.</w:t>
      </w:r>
      <w:r w:rsidRPr="000F7862">
        <w:rPr>
          <w:lang w:val="fr-FR"/>
        </w:rPr>
        <w:tab/>
      </w:r>
      <w:r w:rsidR="00DA7271" w:rsidRPr="000F7862">
        <w:rPr>
          <w:lang w:val="fr-FR"/>
        </w:rPr>
        <w:t>E</w:t>
      </w:r>
      <w:r w:rsidR="0086185C" w:rsidRPr="000F7862">
        <w:rPr>
          <w:lang w:val="fr-FR"/>
        </w:rPr>
        <w:t xml:space="preserve">n </w:t>
      </w:r>
      <w:r w:rsidR="00DA7271" w:rsidRPr="000F7862">
        <w:rPr>
          <w:lang w:val="fr-FR"/>
        </w:rPr>
        <w:t xml:space="preserve">janvier </w:t>
      </w:r>
      <w:r w:rsidR="0086185C" w:rsidRPr="000F7862">
        <w:rPr>
          <w:lang w:val="fr-FR"/>
        </w:rPr>
        <w:t xml:space="preserve">2013, </w:t>
      </w:r>
      <w:r w:rsidR="00493C81" w:rsidRPr="000F7862">
        <w:rPr>
          <w:lang w:val="fr-FR"/>
        </w:rPr>
        <w:t>le Ministère du travail et de l</w:t>
      </w:r>
      <w:r w:rsidR="00120E2E" w:rsidRPr="000F7862">
        <w:rPr>
          <w:lang w:val="fr-FR"/>
        </w:rPr>
        <w:t>’</w:t>
      </w:r>
      <w:r w:rsidR="00493C81" w:rsidRPr="000F7862">
        <w:rPr>
          <w:lang w:val="fr-FR"/>
        </w:rPr>
        <w:t xml:space="preserve">emploi a, en </w:t>
      </w:r>
      <w:r w:rsidR="0086185C" w:rsidRPr="000F7862">
        <w:rPr>
          <w:lang w:val="fr-FR"/>
        </w:rPr>
        <w:t xml:space="preserve">coordination </w:t>
      </w:r>
      <w:r w:rsidR="00493C81" w:rsidRPr="000F7862">
        <w:rPr>
          <w:lang w:val="fr-FR"/>
        </w:rPr>
        <w:t>avec d</w:t>
      </w:r>
      <w:r w:rsidR="00120E2E" w:rsidRPr="000F7862">
        <w:rPr>
          <w:lang w:val="fr-FR"/>
        </w:rPr>
        <w:t>’</w:t>
      </w:r>
      <w:r w:rsidR="00493C81" w:rsidRPr="000F7862">
        <w:rPr>
          <w:lang w:val="fr-FR"/>
        </w:rPr>
        <w:t>autres organismes tels que le Ministère de la protection sociale et du développement et le Ministère de l</w:t>
      </w:r>
      <w:r w:rsidR="00120E2E" w:rsidRPr="000F7862">
        <w:rPr>
          <w:lang w:val="fr-FR"/>
        </w:rPr>
        <w:t>’</w:t>
      </w:r>
      <w:r w:rsidR="00493C81" w:rsidRPr="000F7862">
        <w:rPr>
          <w:lang w:val="fr-FR"/>
        </w:rPr>
        <w:t>intérieur et des collectivités locales</w:t>
      </w:r>
      <w:r w:rsidR="0086185C" w:rsidRPr="000F7862">
        <w:rPr>
          <w:lang w:val="fr-FR"/>
        </w:rPr>
        <w:t xml:space="preserve">, </w:t>
      </w:r>
      <w:r w:rsidR="00493C81" w:rsidRPr="000F7862">
        <w:rPr>
          <w:lang w:val="fr-FR"/>
        </w:rPr>
        <w:t xml:space="preserve">mis en place un </w:t>
      </w:r>
      <w:r w:rsidR="00867E43" w:rsidRPr="000F7862">
        <w:rPr>
          <w:lang w:val="fr-FR"/>
        </w:rPr>
        <w:t>programme</w:t>
      </w:r>
      <w:r w:rsidR="0086185C" w:rsidRPr="000F7862">
        <w:rPr>
          <w:lang w:val="fr-FR"/>
        </w:rPr>
        <w:t xml:space="preserve"> </w:t>
      </w:r>
      <w:r w:rsidR="00493C81" w:rsidRPr="000F7862">
        <w:rPr>
          <w:lang w:val="fr-FR"/>
        </w:rPr>
        <w:t>destiné à remédier au problème des pires formes de travail des enfants d</w:t>
      </w:r>
      <w:r w:rsidR="00120E2E" w:rsidRPr="000F7862">
        <w:rPr>
          <w:lang w:val="fr-FR"/>
        </w:rPr>
        <w:t>’</w:t>
      </w:r>
      <w:r w:rsidR="00493C81" w:rsidRPr="000F7862">
        <w:rPr>
          <w:lang w:val="fr-FR"/>
        </w:rPr>
        <w:t>ici à 2016</w:t>
      </w:r>
      <w:r w:rsidR="0086185C" w:rsidRPr="000F7862">
        <w:rPr>
          <w:lang w:val="fr-FR"/>
        </w:rPr>
        <w:t xml:space="preserve">. </w:t>
      </w:r>
      <w:r w:rsidR="00493C81" w:rsidRPr="000F7862">
        <w:rPr>
          <w:lang w:val="fr-FR"/>
        </w:rPr>
        <w:t xml:space="preserve">Ce </w:t>
      </w:r>
      <w:r w:rsidR="00867E43" w:rsidRPr="000F7862">
        <w:rPr>
          <w:lang w:val="fr-FR"/>
        </w:rPr>
        <w:t>programme</w:t>
      </w:r>
      <w:r w:rsidR="0086185C" w:rsidRPr="000F7862">
        <w:rPr>
          <w:lang w:val="fr-FR"/>
        </w:rPr>
        <w:t xml:space="preserve"> </w:t>
      </w:r>
      <w:r w:rsidR="00493C81" w:rsidRPr="000F7862">
        <w:rPr>
          <w:lang w:val="fr-FR"/>
        </w:rPr>
        <w:t>fournira un</w:t>
      </w:r>
      <w:r w:rsidR="00532D28" w:rsidRPr="000F7862">
        <w:rPr>
          <w:lang w:val="fr-FR"/>
        </w:rPr>
        <w:t>e aide pour l</w:t>
      </w:r>
      <w:r w:rsidR="00120E2E" w:rsidRPr="000F7862">
        <w:rPr>
          <w:lang w:val="fr-FR"/>
        </w:rPr>
        <w:t>’</w:t>
      </w:r>
      <w:r w:rsidR="00532D28" w:rsidRPr="000F7862">
        <w:rPr>
          <w:lang w:val="fr-FR"/>
        </w:rPr>
        <w:t>éducation des enfants qui travaillent – transport, uniformes et fournitures scolaires, allocation pour les repas scolaires et des moyens de subsistance pour les parents</w:t>
      </w:r>
      <w:r w:rsidR="0086185C" w:rsidRPr="000F7862">
        <w:rPr>
          <w:lang w:val="fr-FR"/>
        </w:rPr>
        <w:t xml:space="preserve">. </w:t>
      </w:r>
      <w:r w:rsidR="00532D28" w:rsidRPr="000F7862">
        <w:rPr>
          <w:lang w:val="fr-FR"/>
        </w:rPr>
        <w:t>Selon les statistique</w:t>
      </w:r>
      <w:r w:rsidR="0086185C" w:rsidRPr="000F7862">
        <w:rPr>
          <w:lang w:val="fr-FR"/>
        </w:rPr>
        <w:t>s</w:t>
      </w:r>
      <w:r w:rsidR="00532D28" w:rsidRPr="000F7862">
        <w:rPr>
          <w:lang w:val="fr-FR"/>
        </w:rPr>
        <w:t xml:space="preserve"> nationales</w:t>
      </w:r>
      <w:r w:rsidR="0086185C" w:rsidRPr="000F7862">
        <w:rPr>
          <w:lang w:val="fr-FR"/>
        </w:rPr>
        <w:t xml:space="preserve">, </w:t>
      </w:r>
      <w:r w:rsidR="00532D28" w:rsidRPr="000F7862">
        <w:rPr>
          <w:lang w:val="fr-FR"/>
        </w:rPr>
        <w:t xml:space="preserve">ce sont près de trois </w:t>
      </w:r>
      <w:r w:rsidR="00796D18" w:rsidRPr="000F7862">
        <w:rPr>
          <w:lang w:val="fr-FR"/>
        </w:rPr>
        <w:t>million</w:t>
      </w:r>
      <w:r w:rsidR="00532D28" w:rsidRPr="000F7862">
        <w:rPr>
          <w:lang w:val="fr-FR"/>
        </w:rPr>
        <w:t>s d</w:t>
      </w:r>
      <w:r w:rsidR="00120E2E" w:rsidRPr="000F7862">
        <w:rPr>
          <w:lang w:val="fr-FR"/>
        </w:rPr>
        <w:t>’</w:t>
      </w:r>
      <w:r w:rsidR="00532D28" w:rsidRPr="000F7862">
        <w:rPr>
          <w:lang w:val="fr-FR"/>
        </w:rPr>
        <w:t xml:space="preserve">enfants âgés de </w:t>
      </w:r>
      <w:r w:rsidR="009B71DB" w:rsidRPr="000F7862">
        <w:rPr>
          <w:lang w:val="fr-FR"/>
        </w:rPr>
        <w:t>5</w:t>
      </w:r>
      <w:r w:rsidR="00532D28" w:rsidRPr="000F7862">
        <w:rPr>
          <w:lang w:val="fr-FR"/>
        </w:rPr>
        <w:t xml:space="preserve"> à 17 ans qui travaillent</w:t>
      </w:r>
      <w:r w:rsidR="0086185C" w:rsidRPr="000F7862">
        <w:rPr>
          <w:lang w:val="fr-FR"/>
        </w:rPr>
        <w:t>.</w:t>
      </w:r>
    </w:p>
    <w:p w:rsidR="0086185C" w:rsidRPr="000F7862" w:rsidRDefault="003F7F57" w:rsidP="003F7F57">
      <w:pPr>
        <w:pStyle w:val="SingleTxtG"/>
        <w:rPr>
          <w:lang w:val="fr-FR"/>
        </w:rPr>
      </w:pPr>
      <w:r w:rsidRPr="000F7862">
        <w:rPr>
          <w:lang w:val="fr-FR"/>
        </w:rPr>
        <w:t>167.</w:t>
      </w:r>
      <w:r w:rsidRPr="000F7862">
        <w:rPr>
          <w:lang w:val="fr-FR"/>
        </w:rPr>
        <w:tab/>
      </w:r>
      <w:r w:rsidR="00532D28" w:rsidRPr="000F7862">
        <w:rPr>
          <w:lang w:val="fr-FR"/>
        </w:rPr>
        <w:t>Le Ministère du travail et de l</w:t>
      </w:r>
      <w:r w:rsidR="00120E2E" w:rsidRPr="000F7862">
        <w:rPr>
          <w:lang w:val="fr-FR"/>
        </w:rPr>
        <w:t>’</w:t>
      </w:r>
      <w:r w:rsidR="00532D28" w:rsidRPr="000F7862">
        <w:rPr>
          <w:lang w:val="fr-FR"/>
        </w:rPr>
        <w:t>emploi a fait en 2012 un grand pas dans la lutte contre le travail des enfants avec sa campagne communautaire pour des barangay</w:t>
      </w:r>
      <w:r w:rsidR="00A92F14" w:rsidRPr="000F7862">
        <w:rPr>
          <w:lang w:val="fr-FR"/>
        </w:rPr>
        <w:t>s</w:t>
      </w:r>
      <w:r w:rsidR="00532D28" w:rsidRPr="000F7862">
        <w:rPr>
          <w:lang w:val="fr-FR"/>
        </w:rPr>
        <w:t xml:space="preserve"> d</w:t>
      </w:r>
      <w:r w:rsidR="00120E2E" w:rsidRPr="000F7862">
        <w:rPr>
          <w:lang w:val="fr-FR"/>
        </w:rPr>
        <w:t>’</w:t>
      </w:r>
      <w:r w:rsidR="00532D28" w:rsidRPr="000F7862">
        <w:rPr>
          <w:lang w:val="fr-FR"/>
        </w:rPr>
        <w:t>où le travail des enfants est exclu</w:t>
      </w:r>
      <w:r w:rsidR="0086185C" w:rsidRPr="000F7862">
        <w:rPr>
          <w:lang w:val="fr-FR"/>
        </w:rPr>
        <w:t>. La</w:t>
      </w:r>
      <w:r w:rsidR="00532D28" w:rsidRPr="000F7862">
        <w:rPr>
          <w:lang w:val="fr-FR"/>
        </w:rPr>
        <w:t xml:space="preserve">ncée le </w:t>
      </w:r>
      <w:r w:rsidR="0086185C" w:rsidRPr="000F7862">
        <w:rPr>
          <w:lang w:val="fr-FR"/>
        </w:rPr>
        <w:t xml:space="preserve">18 </w:t>
      </w:r>
      <w:r w:rsidR="00532D28" w:rsidRPr="000F7862">
        <w:rPr>
          <w:lang w:val="fr-FR"/>
        </w:rPr>
        <w:t xml:space="preserve">mai </w:t>
      </w:r>
      <w:r w:rsidR="0086185C" w:rsidRPr="000F7862">
        <w:rPr>
          <w:lang w:val="fr-FR"/>
        </w:rPr>
        <w:t xml:space="preserve">2012, </w:t>
      </w:r>
      <w:r w:rsidR="00532D28" w:rsidRPr="000F7862">
        <w:rPr>
          <w:lang w:val="fr-FR"/>
        </w:rPr>
        <w:t xml:space="preserve">cette campagne entend contribuer à donner corps à la </w:t>
      </w:r>
      <w:r w:rsidR="0086185C" w:rsidRPr="000F7862">
        <w:rPr>
          <w:lang w:val="fr-FR"/>
        </w:rPr>
        <w:t xml:space="preserve">vision </w:t>
      </w:r>
      <w:r w:rsidR="00532D28" w:rsidRPr="000F7862">
        <w:rPr>
          <w:lang w:val="fr-FR"/>
        </w:rPr>
        <w:t xml:space="preserve">des </w:t>
      </w:r>
      <w:r w:rsidR="002E7607" w:rsidRPr="000F7862">
        <w:rPr>
          <w:b/>
          <w:bCs/>
          <w:lang w:val="fr-FR"/>
        </w:rPr>
        <w:t>«</w:t>
      </w:r>
      <w:r w:rsidR="0086185C" w:rsidRPr="000F7862">
        <w:rPr>
          <w:lang w:val="fr-FR"/>
        </w:rPr>
        <w:t>Philippines</w:t>
      </w:r>
      <w:r w:rsidR="00532D28" w:rsidRPr="000F7862">
        <w:rPr>
          <w:lang w:val="fr-FR"/>
        </w:rPr>
        <w:t xml:space="preserve"> où le travail des enfants est banni</w:t>
      </w:r>
      <w:r w:rsidR="002E7607" w:rsidRPr="000F7862">
        <w:rPr>
          <w:lang w:val="fr-FR"/>
        </w:rPr>
        <w:t>»</w:t>
      </w:r>
      <w:r w:rsidR="0086185C" w:rsidRPr="000F7862">
        <w:rPr>
          <w:lang w:val="fr-FR"/>
        </w:rPr>
        <w:t xml:space="preserve">. </w:t>
      </w:r>
      <w:r w:rsidR="00CA0A43" w:rsidRPr="000F7862">
        <w:rPr>
          <w:lang w:val="fr-FR"/>
        </w:rPr>
        <w:t xml:space="preserve">Elle cherche </w:t>
      </w:r>
      <w:r w:rsidR="001457B5" w:rsidRPr="000F7862">
        <w:rPr>
          <w:lang w:val="fr-FR"/>
        </w:rPr>
        <w:t xml:space="preserve">à prolonger au niveau local – à celui du </w:t>
      </w:r>
      <w:r w:rsidR="0086185C" w:rsidRPr="000F7862">
        <w:rPr>
          <w:lang w:val="fr-FR"/>
        </w:rPr>
        <w:t xml:space="preserve">barangay, </w:t>
      </w:r>
      <w:r w:rsidR="001457B5" w:rsidRPr="000F7862">
        <w:rPr>
          <w:lang w:val="fr-FR"/>
        </w:rPr>
        <w:t>l</w:t>
      </w:r>
      <w:r w:rsidR="00120E2E" w:rsidRPr="000F7862">
        <w:rPr>
          <w:lang w:val="fr-FR"/>
        </w:rPr>
        <w:t>’</w:t>
      </w:r>
      <w:r w:rsidR="001457B5" w:rsidRPr="000F7862">
        <w:rPr>
          <w:lang w:val="fr-FR"/>
        </w:rPr>
        <w:t>unité géopolitique de base – le combat contre le travail des enfants</w:t>
      </w:r>
      <w:r w:rsidR="0086185C" w:rsidRPr="000F7862">
        <w:rPr>
          <w:lang w:val="fr-FR"/>
        </w:rPr>
        <w:t xml:space="preserve">, </w:t>
      </w:r>
      <w:r w:rsidR="001457B5" w:rsidRPr="000F7862">
        <w:rPr>
          <w:lang w:val="fr-FR"/>
        </w:rPr>
        <w:t>et à faciliter une communauté de vues sur le Programme de prévention et d</w:t>
      </w:r>
      <w:r w:rsidR="00120E2E" w:rsidRPr="000F7862">
        <w:rPr>
          <w:lang w:val="fr-FR"/>
        </w:rPr>
        <w:t>’</w:t>
      </w:r>
      <w:r w:rsidR="001457B5" w:rsidRPr="000F7862">
        <w:rPr>
          <w:lang w:val="fr-FR"/>
        </w:rPr>
        <w:t>élimination du travail des enfants du Ministère et à le faire soutenir par le public</w:t>
      </w:r>
      <w:r w:rsidR="0086185C" w:rsidRPr="000F7862">
        <w:rPr>
          <w:lang w:val="fr-FR"/>
        </w:rPr>
        <w:t>.</w:t>
      </w:r>
    </w:p>
    <w:p w:rsidR="0086185C" w:rsidRPr="000F7862" w:rsidRDefault="003F7F57" w:rsidP="00A92F14">
      <w:pPr>
        <w:pStyle w:val="SingleTxtG"/>
        <w:rPr>
          <w:lang w:val="fr-FR"/>
        </w:rPr>
      </w:pPr>
      <w:r w:rsidRPr="000F7862">
        <w:rPr>
          <w:lang w:val="fr-FR"/>
        </w:rPr>
        <w:t>168.</w:t>
      </w:r>
      <w:r w:rsidRPr="000F7862">
        <w:rPr>
          <w:lang w:val="fr-FR"/>
        </w:rPr>
        <w:tab/>
      </w:r>
      <w:r w:rsidR="0086185C" w:rsidRPr="000F7862">
        <w:rPr>
          <w:lang w:val="fr-FR"/>
        </w:rPr>
        <w:t>A</w:t>
      </w:r>
      <w:r w:rsidR="001457B5" w:rsidRPr="000F7862">
        <w:rPr>
          <w:lang w:val="fr-FR"/>
        </w:rPr>
        <w:t xml:space="preserve">u </w:t>
      </w:r>
      <w:r w:rsidR="0086185C" w:rsidRPr="000F7862">
        <w:rPr>
          <w:lang w:val="fr-FR"/>
        </w:rPr>
        <w:t xml:space="preserve">30 </w:t>
      </w:r>
      <w:r w:rsidR="001457B5" w:rsidRPr="000F7862">
        <w:rPr>
          <w:lang w:val="fr-FR"/>
        </w:rPr>
        <w:t>av</w:t>
      </w:r>
      <w:r w:rsidR="0086185C" w:rsidRPr="000F7862">
        <w:rPr>
          <w:lang w:val="fr-FR"/>
        </w:rPr>
        <w:t xml:space="preserve">ril 2013, 129 barangays </w:t>
      </w:r>
      <w:r w:rsidR="00EC69B9" w:rsidRPr="000F7862">
        <w:rPr>
          <w:lang w:val="fr-FR"/>
        </w:rPr>
        <w:t xml:space="preserve">avaient </w:t>
      </w:r>
      <w:r w:rsidR="001457B5" w:rsidRPr="000F7862">
        <w:rPr>
          <w:lang w:val="fr-FR"/>
        </w:rPr>
        <w:t xml:space="preserve">été ciblés par les bureaux régionaux du Ministère en vue de leur transformation en </w:t>
      </w:r>
      <w:r w:rsidR="001B4B3B" w:rsidRPr="000F7862">
        <w:rPr>
          <w:lang w:val="fr-FR"/>
        </w:rPr>
        <w:t>barangays d</w:t>
      </w:r>
      <w:r w:rsidR="00120E2E" w:rsidRPr="000F7862">
        <w:rPr>
          <w:lang w:val="fr-FR"/>
        </w:rPr>
        <w:t>’</w:t>
      </w:r>
      <w:r w:rsidR="001B4B3B" w:rsidRPr="000F7862">
        <w:rPr>
          <w:lang w:val="fr-FR"/>
        </w:rPr>
        <w:t>où le travail des enfants est exclu.</w:t>
      </w:r>
      <w:r w:rsidR="0086185C" w:rsidRPr="000F7862">
        <w:rPr>
          <w:lang w:val="fr-FR"/>
        </w:rPr>
        <w:t xml:space="preserve"> </w:t>
      </w:r>
      <w:r w:rsidR="001B4B3B" w:rsidRPr="000F7862">
        <w:rPr>
          <w:lang w:val="fr-FR"/>
        </w:rPr>
        <w:t>La plupart d</w:t>
      </w:r>
      <w:r w:rsidR="00120E2E" w:rsidRPr="000F7862">
        <w:rPr>
          <w:lang w:val="fr-FR"/>
        </w:rPr>
        <w:t>’</w:t>
      </w:r>
      <w:r w:rsidR="00075C62" w:rsidRPr="000F7862">
        <w:rPr>
          <w:lang w:val="fr-FR"/>
        </w:rPr>
        <w:t>entre eux se trouvent dans la</w:t>
      </w:r>
      <w:r w:rsidR="001B4B3B" w:rsidRPr="000F7862">
        <w:rPr>
          <w:lang w:val="fr-FR"/>
        </w:rPr>
        <w:t xml:space="preserve"> ré</w:t>
      </w:r>
      <w:r w:rsidR="00075C62" w:rsidRPr="000F7862">
        <w:rPr>
          <w:lang w:val="fr-FR"/>
        </w:rPr>
        <w:t>gion</w:t>
      </w:r>
      <w:r w:rsidR="0086185C" w:rsidRPr="000F7862">
        <w:rPr>
          <w:lang w:val="fr-FR"/>
        </w:rPr>
        <w:t xml:space="preserve"> VIII (14 barangays), </w:t>
      </w:r>
      <w:r w:rsidR="00075C62" w:rsidRPr="000F7862">
        <w:rPr>
          <w:lang w:val="fr-FR"/>
        </w:rPr>
        <w:t xml:space="preserve">la </w:t>
      </w:r>
      <w:r w:rsidR="001B4B3B" w:rsidRPr="000F7862">
        <w:rPr>
          <w:lang w:val="fr-FR"/>
        </w:rPr>
        <w:t xml:space="preserve">Région administrative de la Cordillère </w:t>
      </w:r>
      <w:r w:rsidR="0086185C" w:rsidRPr="000F7862">
        <w:rPr>
          <w:lang w:val="fr-FR"/>
        </w:rPr>
        <w:t xml:space="preserve">(11 barangays) </w:t>
      </w:r>
      <w:r w:rsidR="001B4B3B" w:rsidRPr="000F7862">
        <w:rPr>
          <w:lang w:val="fr-FR"/>
        </w:rPr>
        <w:t>et</w:t>
      </w:r>
      <w:r w:rsidR="0086185C" w:rsidRPr="000F7862">
        <w:rPr>
          <w:lang w:val="fr-FR"/>
        </w:rPr>
        <w:t xml:space="preserve"> </w:t>
      </w:r>
      <w:r w:rsidR="00075C62" w:rsidRPr="000F7862">
        <w:rPr>
          <w:lang w:val="fr-FR"/>
        </w:rPr>
        <w:t xml:space="preserve">la région </w:t>
      </w:r>
      <w:r w:rsidR="0086185C" w:rsidRPr="000F7862">
        <w:rPr>
          <w:lang w:val="fr-FR"/>
        </w:rPr>
        <w:t xml:space="preserve">V (11 barangays). </w:t>
      </w:r>
      <w:r w:rsidR="001B4B3B" w:rsidRPr="000F7862">
        <w:rPr>
          <w:lang w:val="fr-FR"/>
        </w:rPr>
        <w:t xml:space="preserve">Sur les </w:t>
      </w:r>
      <w:r w:rsidR="00A92F14" w:rsidRPr="000F7862">
        <w:rPr>
          <w:lang w:val="fr-FR"/>
        </w:rPr>
        <w:t>129 </w:t>
      </w:r>
      <w:r w:rsidR="0086185C" w:rsidRPr="000F7862">
        <w:rPr>
          <w:lang w:val="fr-FR"/>
        </w:rPr>
        <w:t>barangays</w:t>
      </w:r>
      <w:r w:rsidR="001B4B3B" w:rsidRPr="000F7862">
        <w:rPr>
          <w:lang w:val="fr-FR"/>
        </w:rPr>
        <w:t xml:space="preserve"> ainsi retenus</w:t>
      </w:r>
      <w:r w:rsidR="0086185C" w:rsidRPr="000F7862">
        <w:rPr>
          <w:lang w:val="fr-FR"/>
        </w:rPr>
        <w:t xml:space="preserve">, 65 </w:t>
      </w:r>
      <w:r w:rsidR="001B4B3B" w:rsidRPr="000F7862">
        <w:rPr>
          <w:lang w:val="fr-FR"/>
        </w:rPr>
        <w:t xml:space="preserve">relèvent de </w:t>
      </w:r>
      <w:r w:rsidR="0086185C" w:rsidRPr="000F7862">
        <w:rPr>
          <w:lang w:val="fr-FR"/>
        </w:rPr>
        <w:t xml:space="preserve">31 </w:t>
      </w:r>
      <w:r w:rsidR="007F4C7D" w:rsidRPr="000F7862">
        <w:rPr>
          <w:lang w:val="fr-FR"/>
        </w:rPr>
        <w:t xml:space="preserve">des 609 </w:t>
      </w:r>
      <w:r w:rsidR="0086185C" w:rsidRPr="000F7862">
        <w:rPr>
          <w:lang w:val="fr-FR"/>
        </w:rPr>
        <w:t>municipalit</w:t>
      </w:r>
      <w:r w:rsidR="001B4B3B" w:rsidRPr="000F7862">
        <w:rPr>
          <w:lang w:val="fr-FR"/>
        </w:rPr>
        <w:t>é</w:t>
      </w:r>
      <w:r w:rsidR="0086185C" w:rsidRPr="000F7862">
        <w:rPr>
          <w:lang w:val="fr-FR"/>
        </w:rPr>
        <w:t xml:space="preserve">s </w:t>
      </w:r>
      <w:r w:rsidR="007F4C7D" w:rsidRPr="000F7862">
        <w:rPr>
          <w:lang w:val="fr-FR"/>
        </w:rPr>
        <w:t xml:space="preserve">sélectionnées par la </w:t>
      </w:r>
      <w:r w:rsidR="00A92F14" w:rsidRPr="000F7862">
        <w:rPr>
          <w:lang w:val="fr-FR"/>
        </w:rPr>
        <w:t>Commission</w:t>
      </w:r>
      <w:r w:rsidR="007F4C7D" w:rsidRPr="000F7862">
        <w:rPr>
          <w:lang w:val="fr-FR"/>
        </w:rPr>
        <w:t xml:space="preserve"> nationale de lutte contre la pauvreté</w:t>
      </w:r>
      <w:r w:rsidR="0086185C" w:rsidRPr="000F7862">
        <w:rPr>
          <w:lang w:val="fr-FR"/>
        </w:rPr>
        <w:t xml:space="preserve">, </w:t>
      </w:r>
      <w:r w:rsidR="00A92F14" w:rsidRPr="000F7862">
        <w:rPr>
          <w:lang w:val="fr-FR"/>
        </w:rPr>
        <w:t>2</w:t>
      </w:r>
      <w:r w:rsidR="007F4C7D" w:rsidRPr="000F7862">
        <w:rPr>
          <w:lang w:val="fr-FR"/>
        </w:rPr>
        <w:t xml:space="preserve"> </w:t>
      </w:r>
      <w:r w:rsidR="0086185C" w:rsidRPr="000F7862">
        <w:rPr>
          <w:lang w:val="fr-FR"/>
        </w:rPr>
        <w:t xml:space="preserve">barangays </w:t>
      </w:r>
      <w:r w:rsidR="007F4C7D" w:rsidRPr="000F7862">
        <w:rPr>
          <w:lang w:val="fr-FR"/>
        </w:rPr>
        <w:t xml:space="preserve">sont désignés par le projet </w:t>
      </w:r>
      <w:r w:rsidR="0086185C" w:rsidRPr="000F7862">
        <w:rPr>
          <w:lang w:val="fr-FR"/>
        </w:rPr>
        <w:t>ABK3 LEAP (</w:t>
      </w:r>
      <w:r w:rsidR="007F4C7D" w:rsidRPr="000F7862">
        <w:rPr>
          <w:lang w:val="fr-FR"/>
        </w:rPr>
        <w:t>moyens de subsistance, é</w:t>
      </w:r>
      <w:r w:rsidR="0086185C" w:rsidRPr="000F7862">
        <w:rPr>
          <w:lang w:val="fr-FR"/>
        </w:rPr>
        <w:t xml:space="preserve">ducation, </w:t>
      </w:r>
      <w:r w:rsidR="007F4C7D" w:rsidRPr="000F7862">
        <w:rPr>
          <w:lang w:val="fr-FR"/>
        </w:rPr>
        <w:t>sensibilisation et p</w:t>
      </w:r>
      <w:r w:rsidR="0086185C" w:rsidRPr="000F7862">
        <w:rPr>
          <w:lang w:val="fr-FR"/>
        </w:rPr>
        <w:t xml:space="preserve">rotection </w:t>
      </w:r>
      <w:r w:rsidR="007F4C7D" w:rsidRPr="000F7862">
        <w:rPr>
          <w:lang w:val="fr-FR"/>
        </w:rPr>
        <w:t>pour réduire le travail des enfants dans les plantations de canne à sucre</w:t>
      </w:r>
      <w:r w:rsidR="0086185C" w:rsidRPr="000F7862">
        <w:rPr>
          <w:lang w:val="fr-FR"/>
        </w:rPr>
        <w:t>)</w:t>
      </w:r>
      <w:r w:rsidR="007F4C7D" w:rsidRPr="000F7862">
        <w:rPr>
          <w:lang w:val="fr-FR"/>
        </w:rPr>
        <w:t xml:space="preserve"> de World Vision </w:t>
      </w:r>
      <w:r w:rsidR="00075C62" w:rsidRPr="000F7862">
        <w:rPr>
          <w:lang w:val="fr-FR"/>
        </w:rPr>
        <w:t xml:space="preserve">et </w:t>
      </w:r>
      <w:r w:rsidR="00A92F14" w:rsidRPr="000F7862">
        <w:rPr>
          <w:lang w:val="fr-FR"/>
        </w:rPr>
        <w:t>26 </w:t>
      </w:r>
      <w:r w:rsidR="00075C62" w:rsidRPr="000F7862">
        <w:rPr>
          <w:lang w:val="fr-FR"/>
        </w:rPr>
        <w:t xml:space="preserve">autres sont couverts par le </w:t>
      </w:r>
      <w:r w:rsidR="00075C62" w:rsidRPr="000F7862">
        <w:rPr>
          <w:color w:val="000000"/>
          <w:lang w:val="fr-FR"/>
        </w:rPr>
        <w:t>Programme IPEC de l</w:t>
      </w:r>
      <w:r w:rsidR="00120E2E" w:rsidRPr="000F7862">
        <w:rPr>
          <w:color w:val="000000"/>
          <w:lang w:val="fr-FR"/>
        </w:rPr>
        <w:t>’</w:t>
      </w:r>
      <w:r w:rsidR="00075C62" w:rsidRPr="000F7862">
        <w:rPr>
          <w:color w:val="000000"/>
          <w:lang w:val="fr-FR"/>
        </w:rPr>
        <w:t>OIT</w:t>
      </w:r>
      <w:r w:rsidR="0086185C" w:rsidRPr="000F7862">
        <w:rPr>
          <w:lang w:val="fr-FR"/>
        </w:rPr>
        <w:t xml:space="preserve">. </w:t>
      </w:r>
    </w:p>
    <w:p w:rsidR="0086185C" w:rsidRPr="000F7862" w:rsidRDefault="003F7F57" w:rsidP="003F7F57">
      <w:pPr>
        <w:pStyle w:val="SingleTxtG"/>
        <w:rPr>
          <w:lang w:val="fr-FR"/>
        </w:rPr>
      </w:pPr>
      <w:r w:rsidRPr="000F7862">
        <w:rPr>
          <w:lang w:val="fr-FR"/>
        </w:rPr>
        <w:t>169.</w:t>
      </w:r>
      <w:r w:rsidRPr="000F7862">
        <w:rPr>
          <w:lang w:val="fr-FR"/>
        </w:rPr>
        <w:tab/>
      </w:r>
      <w:r w:rsidR="00173317" w:rsidRPr="000F7862">
        <w:rPr>
          <w:lang w:val="fr-FR"/>
        </w:rPr>
        <w:t>Pour l</w:t>
      </w:r>
      <w:r w:rsidR="00120E2E" w:rsidRPr="000F7862">
        <w:rPr>
          <w:lang w:val="fr-FR"/>
        </w:rPr>
        <w:t>’</w:t>
      </w:r>
      <w:r w:rsidR="00173317" w:rsidRPr="000F7862">
        <w:rPr>
          <w:lang w:val="fr-FR"/>
        </w:rPr>
        <w:t xml:space="preserve">essentiel, les enfants qui travaillent dans ces </w:t>
      </w:r>
      <w:r w:rsidR="0086185C" w:rsidRPr="000F7862">
        <w:rPr>
          <w:lang w:val="fr-FR"/>
        </w:rPr>
        <w:t xml:space="preserve">barangays </w:t>
      </w:r>
      <w:r w:rsidR="00173317" w:rsidRPr="000F7862">
        <w:rPr>
          <w:lang w:val="fr-FR"/>
        </w:rPr>
        <w:t xml:space="preserve">ciblés sont vendeurs, vivent de la récupération de déchets, sont travailleurs agricoles </w:t>
      </w:r>
      <w:r w:rsidR="0086185C" w:rsidRPr="000F7862">
        <w:rPr>
          <w:lang w:val="fr-FR"/>
        </w:rPr>
        <w:t>(</w:t>
      </w:r>
      <w:r w:rsidR="00173317" w:rsidRPr="000F7862">
        <w:rPr>
          <w:lang w:val="fr-FR"/>
        </w:rPr>
        <w:t>légumes, riz et canne à sucre</w:t>
      </w:r>
      <w:r w:rsidR="0086185C" w:rsidRPr="000F7862">
        <w:rPr>
          <w:lang w:val="fr-FR"/>
        </w:rPr>
        <w:t xml:space="preserve">), </w:t>
      </w:r>
      <w:r w:rsidR="00173317" w:rsidRPr="000F7862">
        <w:rPr>
          <w:lang w:val="fr-FR"/>
        </w:rPr>
        <w:t xml:space="preserve">pêchent et </w:t>
      </w:r>
      <w:r w:rsidR="008E3FBE" w:rsidRPr="000F7862">
        <w:rPr>
          <w:lang w:val="fr-FR"/>
        </w:rPr>
        <w:t>travaillent dans de petites exploitations minières</w:t>
      </w:r>
      <w:r w:rsidR="0086185C" w:rsidRPr="000F7862">
        <w:rPr>
          <w:lang w:val="fr-FR"/>
        </w:rPr>
        <w:t xml:space="preserve">. </w:t>
      </w:r>
      <w:r w:rsidR="004030D0" w:rsidRPr="000F7862">
        <w:rPr>
          <w:lang w:val="fr-FR"/>
        </w:rPr>
        <w:t>D</w:t>
      </w:r>
      <w:r w:rsidR="00120E2E" w:rsidRPr="000F7862">
        <w:rPr>
          <w:lang w:val="fr-FR"/>
        </w:rPr>
        <w:t>’</w:t>
      </w:r>
      <w:r w:rsidR="004030D0" w:rsidRPr="000F7862">
        <w:rPr>
          <w:lang w:val="fr-FR"/>
        </w:rPr>
        <w:t>autres travaillent comme écorceurs, conducteurs de cyclo-pousse</w:t>
      </w:r>
      <w:r w:rsidR="0086185C" w:rsidRPr="000F7862">
        <w:rPr>
          <w:lang w:val="fr-FR"/>
        </w:rPr>
        <w:t>, kasambahay</w:t>
      </w:r>
      <w:r w:rsidR="0086185C" w:rsidRPr="000F7862">
        <w:rPr>
          <w:i/>
          <w:iCs/>
          <w:lang w:val="fr-FR"/>
        </w:rPr>
        <w:t xml:space="preserve"> </w:t>
      </w:r>
      <w:r w:rsidR="004030D0" w:rsidRPr="000F7862">
        <w:rPr>
          <w:lang w:val="fr-FR"/>
        </w:rPr>
        <w:t xml:space="preserve">et </w:t>
      </w:r>
      <w:r w:rsidR="00957199" w:rsidRPr="000F7862">
        <w:rPr>
          <w:lang w:val="fr-FR"/>
        </w:rPr>
        <w:t>transporteurs de rondins</w:t>
      </w:r>
      <w:r w:rsidR="0086185C" w:rsidRPr="000F7862">
        <w:rPr>
          <w:i/>
          <w:iCs/>
          <w:lang w:val="fr-FR"/>
        </w:rPr>
        <w:t>.</w:t>
      </w:r>
    </w:p>
    <w:p w:rsidR="0086185C" w:rsidRPr="000F7862" w:rsidRDefault="003F7F57" w:rsidP="003F7F57">
      <w:pPr>
        <w:pStyle w:val="SingleTxtG"/>
        <w:rPr>
          <w:lang w:val="fr-FR"/>
        </w:rPr>
      </w:pPr>
      <w:r w:rsidRPr="000F7862">
        <w:rPr>
          <w:lang w:val="fr-FR"/>
        </w:rPr>
        <w:t>170.</w:t>
      </w:r>
      <w:r w:rsidRPr="000F7862">
        <w:rPr>
          <w:lang w:val="fr-FR"/>
        </w:rPr>
        <w:tab/>
      </w:r>
      <w:r w:rsidR="00957199" w:rsidRPr="000F7862">
        <w:rPr>
          <w:lang w:val="fr-FR"/>
        </w:rPr>
        <w:t xml:space="preserve">On a fourni à </w:t>
      </w:r>
      <w:r w:rsidR="0086185C" w:rsidRPr="000F7862">
        <w:rPr>
          <w:lang w:val="fr-FR"/>
        </w:rPr>
        <w:t>1</w:t>
      </w:r>
      <w:r w:rsidR="00A92F14" w:rsidRPr="000F7862">
        <w:rPr>
          <w:lang w:val="fr-FR"/>
        </w:rPr>
        <w:t> </w:t>
      </w:r>
      <w:r w:rsidR="0086185C" w:rsidRPr="000F7862">
        <w:rPr>
          <w:lang w:val="fr-FR"/>
        </w:rPr>
        <w:t xml:space="preserve">802 </w:t>
      </w:r>
      <w:r w:rsidR="00957199" w:rsidRPr="000F7862">
        <w:rPr>
          <w:lang w:val="fr-FR"/>
        </w:rPr>
        <w:t>de ces enfants et à d</w:t>
      </w:r>
      <w:r w:rsidR="00120E2E" w:rsidRPr="000F7862">
        <w:rPr>
          <w:lang w:val="fr-FR"/>
        </w:rPr>
        <w:t>’</w:t>
      </w:r>
      <w:r w:rsidR="00957199" w:rsidRPr="000F7862">
        <w:rPr>
          <w:lang w:val="fr-FR"/>
        </w:rPr>
        <w:t>autres enfants qui risquaient de connaître le même sort une aide pour l</w:t>
      </w:r>
      <w:r w:rsidR="00120E2E" w:rsidRPr="000F7862">
        <w:rPr>
          <w:lang w:val="fr-FR"/>
        </w:rPr>
        <w:t>’</w:t>
      </w:r>
      <w:r w:rsidR="00957199" w:rsidRPr="000F7862">
        <w:rPr>
          <w:lang w:val="fr-FR"/>
        </w:rPr>
        <w:t xml:space="preserve">éducation sous la </w:t>
      </w:r>
      <w:r w:rsidR="0086185C" w:rsidRPr="000F7862">
        <w:rPr>
          <w:lang w:val="fr-FR"/>
        </w:rPr>
        <w:t>form</w:t>
      </w:r>
      <w:r w:rsidR="00957199" w:rsidRPr="000F7862">
        <w:rPr>
          <w:lang w:val="fr-FR"/>
        </w:rPr>
        <w:t>e</w:t>
      </w:r>
      <w:r w:rsidR="0086185C" w:rsidRPr="000F7862">
        <w:rPr>
          <w:lang w:val="fr-FR"/>
        </w:rPr>
        <w:t xml:space="preserve"> </w:t>
      </w:r>
      <w:r w:rsidR="00957199" w:rsidRPr="000F7862">
        <w:rPr>
          <w:lang w:val="fr-FR"/>
        </w:rPr>
        <w:t>de fournitures scolaires, de cartables et de bourses d</w:t>
      </w:r>
      <w:r w:rsidR="00120E2E" w:rsidRPr="000F7862">
        <w:rPr>
          <w:lang w:val="fr-FR"/>
        </w:rPr>
        <w:t>’</w:t>
      </w:r>
      <w:r w:rsidR="00957199" w:rsidRPr="000F7862">
        <w:rPr>
          <w:lang w:val="fr-FR"/>
        </w:rPr>
        <w:t>études</w:t>
      </w:r>
      <w:r w:rsidR="0086185C" w:rsidRPr="000F7862">
        <w:rPr>
          <w:lang w:val="fr-FR"/>
        </w:rPr>
        <w:t xml:space="preserve">. </w:t>
      </w:r>
      <w:r w:rsidR="00957199" w:rsidRPr="000F7862">
        <w:rPr>
          <w:lang w:val="fr-FR"/>
        </w:rPr>
        <w:t>On a aidé certains enfants qui travaillaient à s</w:t>
      </w:r>
      <w:r w:rsidR="00120E2E" w:rsidRPr="000F7862">
        <w:rPr>
          <w:lang w:val="fr-FR"/>
        </w:rPr>
        <w:t>’</w:t>
      </w:r>
      <w:r w:rsidR="00957199" w:rsidRPr="000F7862">
        <w:rPr>
          <w:lang w:val="fr-FR"/>
        </w:rPr>
        <w:t xml:space="preserve">inscrire </w:t>
      </w:r>
      <w:r w:rsidR="00B335C5" w:rsidRPr="000F7862">
        <w:rPr>
          <w:lang w:val="fr-FR"/>
        </w:rPr>
        <w:t>au système d</w:t>
      </w:r>
      <w:r w:rsidR="00120E2E" w:rsidRPr="000F7862">
        <w:rPr>
          <w:lang w:val="fr-FR"/>
        </w:rPr>
        <w:t>’</w:t>
      </w:r>
      <w:r w:rsidR="00B335C5" w:rsidRPr="000F7862">
        <w:rPr>
          <w:lang w:val="fr-FR"/>
        </w:rPr>
        <w:t>apprentissage non traditionnel – un programme d</w:t>
      </w:r>
      <w:r w:rsidR="00120E2E" w:rsidRPr="000F7862">
        <w:rPr>
          <w:lang w:val="fr-FR"/>
        </w:rPr>
        <w:t>’</w:t>
      </w:r>
      <w:r w:rsidR="00B335C5" w:rsidRPr="000F7862">
        <w:rPr>
          <w:lang w:val="fr-FR"/>
        </w:rPr>
        <w:t xml:space="preserve">éducation non formelle </w:t>
      </w:r>
      <w:r w:rsidR="00CD092C" w:rsidRPr="000F7862">
        <w:rPr>
          <w:lang w:val="fr-FR"/>
        </w:rPr>
        <w:t xml:space="preserve">échelonné </w:t>
      </w:r>
      <w:r w:rsidR="00B335C5" w:rsidRPr="000F7862">
        <w:rPr>
          <w:lang w:val="fr-FR"/>
        </w:rPr>
        <w:t>et modulaire</w:t>
      </w:r>
      <w:r w:rsidR="0086185C" w:rsidRPr="000F7862">
        <w:rPr>
          <w:lang w:val="fr-FR"/>
        </w:rPr>
        <w:t xml:space="preserve"> </w:t>
      </w:r>
      <w:r w:rsidR="00CD092C" w:rsidRPr="000F7862">
        <w:rPr>
          <w:lang w:val="fr-FR"/>
        </w:rPr>
        <w:t>destiné aux élèves ayant abandonné leurs études élémentaires et secondaires et aux enfants non scolarisés</w:t>
      </w:r>
      <w:r w:rsidR="0086185C" w:rsidRPr="000F7862">
        <w:rPr>
          <w:lang w:val="fr-FR"/>
        </w:rPr>
        <w:t xml:space="preserve">. </w:t>
      </w:r>
      <w:r w:rsidR="00CD092C" w:rsidRPr="000F7862">
        <w:rPr>
          <w:lang w:val="fr-FR"/>
        </w:rPr>
        <w:t>D</w:t>
      </w:r>
      <w:r w:rsidR="00120E2E" w:rsidRPr="000F7862">
        <w:rPr>
          <w:lang w:val="fr-FR"/>
        </w:rPr>
        <w:t>’</w:t>
      </w:r>
      <w:r w:rsidR="00CD092C" w:rsidRPr="000F7862">
        <w:rPr>
          <w:lang w:val="fr-FR"/>
        </w:rPr>
        <w:t xml:space="preserve">autres enfants ont bénéficié pendant les </w:t>
      </w:r>
      <w:r w:rsidR="00E673B9" w:rsidRPr="000F7862">
        <w:rPr>
          <w:lang w:val="fr-FR"/>
        </w:rPr>
        <w:t>mois</w:t>
      </w:r>
      <w:r w:rsidR="00CD092C" w:rsidRPr="000F7862">
        <w:rPr>
          <w:lang w:val="fr-FR"/>
        </w:rPr>
        <w:t xml:space="preserve"> d</w:t>
      </w:r>
      <w:r w:rsidR="00120E2E" w:rsidRPr="000F7862">
        <w:rPr>
          <w:lang w:val="fr-FR"/>
        </w:rPr>
        <w:t>’</w:t>
      </w:r>
      <w:r w:rsidR="00CD092C" w:rsidRPr="000F7862">
        <w:rPr>
          <w:lang w:val="fr-FR"/>
        </w:rPr>
        <w:t xml:space="preserve">été </w:t>
      </w:r>
      <w:r w:rsidR="00E673B9" w:rsidRPr="000F7862">
        <w:rPr>
          <w:lang w:val="fr-FR"/>
        </w:rPr>
        <w:t>de cours en petits groupes aux fins d</w:t>
      </w:r>
      <w:r w:rsidR="00120E2E" w:rsidRPr="000F7862">
        <w:rPr>
          <w:lang w:val="fr-FR"/>
        </w:rPr>
        <w:t>’</w:t>
      </w:r>
      <w:r w:rsidR="0086185C" w:rsidRPr="000F7862">
        <w:rPr>
          <w:lang w:val="fr-FR"/>
        </w:rPr>
        <w:t>accr</w:t>
      </w:r>
      <w:r w:rsidR="00E673B9" w:rsidRPr="000F7862">
        <w:rPr>
          <w:lang w:val="fr-FR"/>
        </w:rPr>
        <w:t>é</w:t>
      </w:r>
      <w:r w:rsidR="0086185C" w:rsidRPr="000F7862">
        <w:rPr>
          <w:lang w:val="fr-FR"/>
        </w:rPr>
        <w:t xml:space="preserve">ditation </w:t>
      </w:r>
      <w:r w:rsidR="00E673B9" w:rsidRPr="000F7862">
        <w:rPr>
          <w:lang w:val="fr-FR"/>
        </w:rPr>
        <w:t>des connaissances et d</w:t>
      </w:r>
      <w:r w:rsidR="00120E2E" w:rsidRPr="000F7862">
        <w:rPr>
          <w:lang w:val="fr-FR"/>
        </w:rPr>
        <w:t>’</w:t>
      </w:r>
      <w:r w:rsidR="00E673B9" w:rsidRPr="000F7862">
        <w:rPr>
          <w:lang w:val="fr-FR"/>
        </w:rPr>
        <w:t>obtention d</w:t>
      </w:r>
      <w:r w:rsidR="00120E2E" w:rsidRPr="000F7862">
        <w:rPr>
          <w:lang w:val="fr-FR"/>
        </w:rPr>
        <w:t>’</w:t>
      </w:r>
      <w:r w:rsidR="00E673B9" w:rsidRPr="000F7862">
        <w:rPr>
          <w:lang w:val="fr-FR"/>
        </w:rPr>
        <w:t>une équivalence</w:t>
      </w:r>
      <w:r w:rsidR="0086185C" w:rsidRPr="000F7862">
        <w:rPr>
          <w:lang w:val="fr-FR"/>
        </w:rPr>
        <w:t>.</w:t>
      </w:r>
    </w:p>
    <w:p w:rsidR="0086185C" w:rsidRPr="000F7862" w:rsidRDefault="00AE7B22" w:rsidP="00AE7B22">
      <w:pPr>
        <w:pStyle w:val="H23G"/>
        <w:rPr>
          <w:lang w:val="fr-FR"/>
        </w:rPr>
      </w:pPr>
      <w:r w:rsidRPr="000F7862">
        <w:rPr>
          <w:lang w:val="fr-FR"/>
        </w:rPr>
        <w:tab/>
      </w:r>
      <w:r w:rsidRPr="000F7862">
        <w:rPr>
          <w:lang w:val="fr-FR"/>
        </w:rPr>
        <w:tab/>
      </w:r>
      <w:r w:rsidR="0086185C" w:rsidRPr="000F7862">
        <w:rPr>
          <w:lang w:val="fr-FR"/>
        </w:rPr>
        <w:t>Sagip Batang Manggagawa (SBM)</w:t>
      </w:r>
    </w:p>
    <w:p w:rsidR="0086185C" w:rsidRPr="000F7862" w:rsidRDefault="003F7F57" w:rsidP="003F7F57">
      <w:pPr>
        <w:pStyle w:val="SingleTxtG"/>
        <w:rPr>
          <w:lang w:val="fr-FR"/>
        </w:rPr>
      </w:pPr>
      <w:r w:rsidRPr="000F7862">
        <w:rPr>
          <w:lang w:val="fr-FR"/>
        </w:rPr>
        <w:t>171.</w:t>
      </w:r>
      <w:r w:rsidRPr="000F7862">
        <w:rPr>
          <w:lang w:val="fr-FR"/>
        </w:rPr>
        <w:tab/>
      </w:r>
      <w:r w:rsidR="00E673B9" w:rsidRPr="000F7862">
        <w:rPr>
          <w:lang w:val="fr-FR"/>
        </w:rPr>
        <w:t>E</w:t>
      </w:r>
      <w:r w:rsidR="0086185C" w:rsidRPr="000F7862">
        <w:rPr>
          <w:lang w:val="fr-FR"/>
        </w:rPr>
        <w:t xml:space="preserve">n 2012, </w:t>
      </w:r>
      <w:r w:rsidR="00FF2B37" w:rsidRPr="000F7862">
        <w:rPr>
          <w:lang w:val="fr-FR"/>
        </w:rPr>
        <w:t>il a été porté secours à</w:t>
      </w:r>
      <w:r w:rsidR="00E673B9" w:rsidRPr="000F7862">
        <w:rPr>
          <w:lang w:val="fr-FR"/>
        </w:rPr>
        <w:t xml:space="preserve"> </w:t>
      </w:r>
      <w:r w:rsidR="0086185C" w:rsidRPr="000F7862">
        <w:rPr>
          <w:lang w:val="fr-FR"/>
        </w:rPr>
        <w:t xml:space="preserve">223 </w:t>
      </w:r>
      <w:r w:rsidR="00E673B9" w:rsidRPr="000F7862">
        <w:rPr>
          <w:lang w:val="fr-FR"/>
        </w:rPr>
        <w:t>enfants qui travaillaient</w:t>
      </w:r>
      <w:r w:rsidR="00FF2B37" w:rsidRPr="000F7862">
        <w:rPr>
          <w:lang w:val="fr-FR"/>
        </w:rPr>
        <w:t>, c</w:t>
      </w:r>
      <w:r w:rsidR="00E673B9" w:rsidRPr="000F7862">
        <w:rPr>
          <w:lang w:val="fr-FR"/>
        </w:rPr>
        <w:t xml:space="preserve">e </w:t>
      </w:r>
      <w:r w:rsidR="00FF2B37" w:rsidRPr="000F7862">
        <w:rPr>
          <w:lang w:val="fr-FR"/>
        </w:rPr>
        <w:t>qui portait à</w:t>
      </w:r>
      <w:r w:rsidR="0086185C" w:rsidRPr="000F7862">
        <w:rPr>
          <w:lang w:val="fr-FR"/>
        </w:rPr>
        <w:t xml:space="preserve"> 3</w:t>
      </w:r>
      <w:r w:rsidR="00A92F14" w:rsidRPr="000F7862">
        <w:rPr>
          <w:lang w:val="fr-FR"/>
        </w:rPr>
        <w:t> </w:t>
      </w:r>
      <w:r w:rsidR="0086185C" w:rsidRPr="000F7862">
        <w:rPr>
          <w:lang w:val="fr-FR"/>
        </w:rPr>
        <w:t xml:space="preserve">270 </w:t>
      </w:r>
      <w:r w:rsidR="00FF2B37" w:rsidRPr="000F7862">
        <w:rPr>
          <w:lang w:val="fr-FR"/>
        </w:rPr>
        <w:t>le nombre d</w:t>
      </w:r>
      <w:r w:rsidR="00120E2E" w:rsidRPr="000F7862">
        <w:rPr>
          <w:lang w:val="fr-FR"/>
        </w:rPr>
        <w:t>’</w:t>
      </w:r>
      <w:r w:rsidR="00E673B9" w:rsidRPr="000F7862">
        <w:rPr>
          <w:lang w:val="fr-FR"/>
        </w:rPr>
        <w:t xml:space="preserve">enfants </w:t>
      </w:r>
      <w:r w:rsidR="00101969" w:rsidRPr="000F7862">
        <w:rPr>
          <w:lang w:val="fr-FR"/>
        </w:rPr>
        <w:t xml:space="preserve">à qui </w:t>
      </w:r>
      <w:r w:rsidR="00E673B9" w:rsidRPr="000F7862">
        <w:rPr>
          <w:lang w:val="fr-FR"/>
        </w:rPr>
        <w:t>les équipes d</w:t>
      </w:r>
      <w:r w:rsidR="00120E2E" w:rsidRPr="000F7862">
        <w:rPr>
          <w:lang w:val="fr-FR"/>
        </w:rPr>
        <w:t>’</w:t>
      </w:r>
      <w:r w:rsidR="00E673B9" w:rsidRPr="000F7862">
        <w:rPr>
          <w:lang w:val="fr-FR"/>
        </w:rPr>
        <w:t xml:space="preserve">intervention rapide </w:t>
      </w:r>
      <w:r w:rsidR="0086185C" w:rsidRPr="000F7862">
        <w:rPr>
          <w:lang w:val="fr-FR"/>
        </w:rPr>
        <w:t>Sagip Batang Manggagawa (SBM QATs)</w:t>
      </w:r>
      <w:r w:rsidR="00101969" w:rsidRPr="000F7862">
        <w:rPr>
          <w:lang w:val="fr-FR"/>
        </w:rPr>
        <w:t xml:space="preserve"> ont porté secours</w:t>
      </w:r>
      <w:r w:rsidR="0086185C" w:rsidRPr="000F7862">
        <w:rPr>
          <w:lang w:val="fr-FR"/>
        </w:rPr>
        <w:t xml:space="preserve"> </w:t>
      </w:r>
      <w:r w:rsidR="00E673B9" w:rsidRPr="000F7862">
        <w:rPr>
          <w:lang w:val="fr-FR"/>
        </w:rPr>
        <w:t xml:space="preserve">depuis leur création en </w:t>
      </w:r>
      <w:r w:rsidR="0086185C" w:rsidRPr="000F7862">
        <w:rPr>
          <w:lang w:val="fr-FR"/>
        </w:rPr>
        <w:t xml:space="preserve">1993. </w:t>
      </w:r>
      <w:r w:rsidR="00E673B9" w:rsidRPr="000F7862">
        <w:rPr>
          <w:lang w:val="fr-FR"/>
        </w:rPr>
        <w:t xml:space="preserve">Ces enfants </w:t>
      </w:r>
      <w:r w:rsidR="00053CA0" w:rsidRPr="000F7862">
        <w:rPr>
          <w:lang w:val="fr-FR"/>
        </w:rPr>
        <w:t xml:space="preserve">travaillaient dans des bars </w:t>
      </w:r>
      <w:r w:rsidR="0086185C" w:rsidRPr="000F7862">
        <w:rPr>
          <w:lang w:val="fr-FR"/>
        </w:rPr>
        <w:t xml:space="preserve">KTV </w:t>
      </w:r>
      <w:r w:rsidR="00053CA0" w:rsidRPr="000F7862">
        <w:rPr>
          <w:lang w:val="fr-FR"/>
        </w:rPr>
        <w:t>et des boîtes de nuit où ils se prostituaient, dans l</w:t>
      </w:r>
      <w:r w:rsidR="00120E2E" w:rsidRPr="000F7862">
        <w:rPr>
          <w:lang w:val="fr-FR"/>
        </w:rPr>
        <w:t>’</w:t>
      </w:r>
      <w:r w:rsidR="00053CA0" w:rsidRPr="000F7862">
        <w:rPr>
          <w:lang w:val="fr-FR"/>
        </w:rPr>
        <w:t>industrie forestière comme transporteurs de rondins</w:t>
      </w:r>
      <w:r w:rsidR="0086185C" w:rsidRPr="000F7862">
        <w:rPr>
          <w:lang w:val="fr-FR"/>
        </w:rPr>
        <w:t xml:space="preserve">, </w:t>
      </w:r>
      <w:r w:rsidR="00053CA0" w:rsidRPr="000F7862">
        <w:rPr>
          <w:lang w:val="fr-FR"/>
        </w:rPr>
        <w:t xml:space="preserve">dans les </w:t>
      </w:r>
      <w:r w:rsidR="0086185C" w:rsidRPr="000F7862">
        <w:rPr>
          <w:lang w:val="fr-FR"/>
        </w:rPr>
        <w:t xml:space="preserve">plantations </w:t>
      </w:r>
      <w:r w:rsidR="00053CA0" w:rsidRPr="000F7862">
        <w:rPr>
          <w:lang w:val="fr-FR"/>
        </w:rPr>
        <w:t xml:space="preserve">de canne à sucre comme </w:t>
      </w:r>
      <w:r w:rsidR="0086185C" w:rsidRPr="000F7862">
        <w:rPr>
          <w:i/>
          <w:lang w:val="fr-FR"/>
        </w:rPr>
        <w:t>sacadas</w:t>
      </w:r>
      <w:r w:rsidR="0086185C" w:rsidRPr="000F7862">
        <w:rPr>
          <w:lang w:val="fr-FR"/>
        </w:rPr>
        <w:t xml:space="preserve">, </w:t>
      </w:r>
      <w:r w:rsidR="00053CA0" w:rsidRPr="000F7862">
        <w:rPr>
          <w:lang w:val="fr-FR"/>
        </w:rPr>
        <w:t xml:space="preserve">sur les chantiers de </w:t>
      </w:r>
      <w:r w:rsidR="0086185C" w:rsidRPr="000F7862">
        <w:rPr>
          <w:lang w:val="fr-FR"/>
        </w:rPr>
        <w:t xml:space="preserve">construction </w:t>
      </w:r>
      <w:r w:rsidR="00053CA0" w:rsidRPr="000F7862">
        <w:rPr>
          <w:lang w:val="fr-FR"/>
        </w:rPr>
        <w:t>comme ouvriers du bâtiment</w:t>
      </w:r>
      <w:r w:rsidR="0086185C" w:rsidRPr="000F7862">
        <w:rPr>
          <w:lang w:val="fr-FR"/>
        </w:rPr>
        <w:t xml:space="preserve">, </w:t>
      </w:r>
      <w:r w:rsidR="00053CA0" w:rsidRPr="000F7862">
        <w:rPr>
          <w:lang w:val="fr-FR"/>
        </w:rPr>
        <w:t>dans les ports comme dockers et pêcheurs, et dans des entreprises manufacturières comme ouvriers d</w:t>
      </w:r>
      <w:r w:rsidR="00120E2E" w:rsidRPr="000F7862">
        <w:rPr>
          <w:lang w:val="fr-FR"/>
        </w:rPr>
        <w:t>’</w:t>
      </w:r>
      <w:r w:rsidR="00053CA0" w:rsidRPr="000F7862">
        <w:rPr>
          <w:lang w:val="fr-FR"/>
        </w:rPr>
        <w:t>usine</w:t>
      </w:r>
      <w:r w:rsidR="0086185C" w:rsidRPr="000F7862">
        <w:rPr>
          <w:lang w:val="fr-FR"/>
        </w:rPr>
        <w:t xml:space="preserve">. </w:t>
      </w:r>
    </w:p>
    <w:p w:rsidR="0086185C" w:rsidRPr="000F7862" w:rsidRDefault="003F7F57" w:rsidP="003F7F57">
      <w:pPr>
        <w:pStyle w:val="SingleTxtG"/>
        <w:rPr>
          <w:lang w:val="fr-FR"/>
        </w:rPr>
      </w:pPr>
      <w:r w:rsidRPr="000F7862">
        <w:rPr>
          <w:lang w:val="fr-FR"/>
        </w:rPr>
        <w:t>172.</w:t>
      </w:r>
      <w:r w:rsidRPr="000F7862">
        <w:rPr>
          <w:lang w:val="fr-FR"/>
        </w:rPr>
        <w:tab/>
      </w:r>
      <w:r w:rsidR="00053CA0" w:rsidRPr="000F7862">
        <w:rPr>
          <w:lang w:val="fr-FR"/>
        </w:rPr>
        <w:t>E</w:t>
      </w:r>
      <w:r w:rsidR="0086185C" w:rsidRPr="000F7862">
        <w:rPr>
          <w:lang w:val="fr-FR"/>
        </w:rPr>
        <w:t xml:space="preserve">n 2012, </w:t>
      </w:r>
      <w:r w:rsidR="00053CA0" w:rsidRPr="000F7862">
        <w:rPr>
          <w:lang w:val="fr-FR"/>
        </w:rPr>
        <w:t>le Ministère du travail et de l</w:t>
      </w:r>
      <w:r w:rsidR="00120E2E" w:rsidRPr="000F7862">
        <w:rPr>
          <w:lang w:val="fr-FR"/>
        </w:rPr>
        <w:t>’</w:t>
      </w:r>
      <w:r w:rsidR="00053CA0" w:rsidRPr="000F7862">
        <w:rPr>
          <w:lang w:val="fr-FR"/>
        </w:rPr>
        <w:t xml:space="preserve">emploi a fait fermer définitivement quatre bars </w:t>
      </w:r>
      <w:r w:rsidR="0086185C" w:rsidRPr="000F7862">
        <w:rPr>
          <w:lang w:val="fr-FR"/>
        </w:rPr>
        <w:t xml:space="preserve">KTV </w:t>
      </w:r>
      <w:r w:rsidR="00E266C5" w:rsidRPr="000F7862">
        <w:rPr>
          <w:lang w:val="fr-FR"/>
        </w:rPr>
        <w:t xml:space="preserve">de la Région de la capitale nationale qui </w:t>
      </w:r>
      <w:r w:rsidR="00327E7D" w:rsidRPr="000F7862">
        <w:rPr>
          <w:lang w:val="fr-FR"/>
        </w:rPr>
        <w:t>prostituaient</w:t>
      </w:r>
      <w:r w:rsidR="00E266C5" w:rsidRPr="000F7862">
        <w:rPr>
          <w:lang w:val="fr-FR"/>
        </w:rPr>
        <w:t xml:space="preserve"> </w:t>
      </w:r>
      <w:r w:rsidR="0086185C" w:rsidRPr="000F7862">
        <w:rPr>
          <w:lang w:val="fr-FR"/>
        </w:rPr>
        <w:t>28 min</w:t>
      </w:r>
      <w:r w:rsidR="00E266C5" w:rsidRPr="000F7862">
        <w:rPr>
          <w:lang w:val="fr-FR"/>
        </w:rPr>
        <w:t>eu</w:t>
      </w:r>
      <w:r w:rsidR="0086185C" w:rsidRPr="000F7862">
        <w:rPr>
          <w:lang w:val="fr-FR"/>
        </w:rPr>
        <w:t xml:space="preserve">rs. </w:t>
      </w:r>
      <w:r w:rsidR="00E266C5" w:rsidRPr="000F7862">
        <w:rPr>
          <w:lang w:val="fr-FR"/>
        </w:rPr>
        <w:t xml:space="preserve">Ce sont au </w:t>
      </w:r>
      <w:r w:rsidR="0086185C" w:rsidRPr="000F7862">
        <w:rPr>
          <w:lang w:val="fr-FR"/>
        </w:rPr>
        <w:t xml:space="preserve">total 33 </w:t>
      </w:r>
      <w:r w:rsidR="00E266C5" w:rsidRPr="000F7862">
        <w:rPr>
          <w:lang w:val="fr-FR"/>
        </w:rPr>
        <w:t>établissements qui ont été fermés par ce Ministère depuis l</w:t>
      </w:r>
      <w:r w:rsidR="00120E2E" w:rsidRPr="000F7862">
        <w:rPr>
          <w:lang w:val="fr-FR"/>
        </w:rPr>
        <w:t>’</w:t>
      </w:r>
      <w:r w:rsidR="00E266C5" w:rsidRPr="000F7862">
        <w:rPr>
          <w:lang w:val="fr-FR"/>
        </w:rPr>
        <w:t xml:space="preserve">adoption en 2003 de la loi de la </w:t>
      </w:r>
      <w:r w:rsidR="0086185C" w:rsidRPr="000F7862">
        <w:rPr>
          <w:lang w:val="fr-FR"/>
        </w:rPr>
        <w:t>R</w:t>
      </w:r>
      <w:r w:rsidR="00E266C5" w:rsidRPr="000F7862">
        <w:rPr>
          <w:lang w:val="fr-FR"/>
        </w:rPr>
        <w:t>é</w:t>
      </w:r>
      <w:r w:rsidR="0086185C" w:rsidRPr="000F7862">
        <w:rPr>
          <w:lang w:val="fr-FR"/>
        </w:rPr>
        <w:t>publi</w:t>
      </w:r>
      <w:r w:rsidR="00E266C5" w:rsidRPr="000F7862">
        <w:rPr>
          <w:lang w:val="fr-FR"/>
        </w:rPr>
        <w:t xml:space="preserve">que </w:t>
      </w:r>
      <w:r w:rsidR="00730F8F" w:rsidRPr="000F7862">
        <w:rPr>
          <w:lang w:val="fr-FR"/>
        </w:rPr>
        <w:t>n</w:t>
      </w:r>
      <w:r w:rsidR="00730F8F" w:rsidRPr="000F7862">
        <w:rPr>
          <w:vertAlign w:val="superscript"/>
          <w:lang w:val="fr-FR"/>
        </w:rPr>
        <w:t>o</w:t>
      </w:r>
      <w:r w:rsidR="00730F8F" w:rsidRPr="000F7862">
        <w:rPr>
          <w:lang w:val="fr-FR"/>
        </w:rPr>
        <w:t> </w:t>
      </w:r>
      <w:r w:rsidR="0086185C" w:rsidRPr="000F7862">
        <w:rPr>
          <w:lang w:val="fr-FR"/>
        </w:rPr>
        <w:t>9231. A</w:t>
      </w:r>
      <w:r w:rsidR="00E266C5" w:rsidRPr="000F7862">
        <w:rPr>
          <w:lang w:val="fr-FR"/>
        </w:rPr>
        <w:t xml:space="preserve">u </w:t>
      </w:r>
      <w:r w:rsidR="0086185C" w:rsidRPr="000F7862">
        <w:rPr>
          <w:lang w:val="fr-FR"/>
        </w:rPr>
        <w:t>total</w:t>
      </w:r>
      <w:r w:rsidR="00E266C5" w:rsidRPr="000F7862">
        <w:rPr>
          <w:lang w:val="fr-FR"/>
        </w:rPr>
        <w:t>,</w:t>
      </w:r>
      <w:r w:rsidR="0086185C" w:rsidRPr="000F7862">
        <w:rPr>
          <w:lang w:val="fr-FR"/>
        </w:rPr>
        <w:t xml:space="preserve"> 147 min</w:t>
      </w:r>
      <w:r w:rsidR="00E266C5" w:rsidRPr="000F7862">
        <w:rPr>
          <w:lang w:val="fr-FR"/>
        </w:rPr>
        <w:t>eur</w:t>
      </w:r>
      <w:r w:rsidR="0086185C" w:rsidRPr="000F7862">
        <w:rPr>
          <w:lang w:val="fr-FR"/>
        </w:rPr>
        <w:t>s expos</w:t>
      </w:r>
      <w:r w:rsidR="00E266C5" w:rsidRPr="000F7862">
        <w:rPr>
          <w:lang w:val="fr-FR"/>
        </w:rPr>
        <w:t xml:space="preserve">és à la </w:t>
      </w:r>
      <w:r w:rsidR="0086185C" w:rsidRPr="000F7862">
        <w:rPr>
          <w:lang w:val="fr-FR"/>
        </w:rPr>
        <w:t xml:space="preserve">prostitution </w:t>
      </w:r>
      <w:r w:rsidR="00E266C5" w:rsidRPr="000F7862">
        <w:rPr>
          <w:lang w:val="fr-FR"/>
        </w:rPr>
        <w:t xml:space="preserve">ont été </w:t>
      </w:r>
      <w:r w:rsidR="00A30471" w:rsidRPr="000F7862">
        <w:rPr>
          <w:lang w:val="fr-FR"/>
        </w:rPr>
        <w:t>secourus</w:t>
      </w:r>
      <w:r w:rsidR="00E266C5" w:rsidRPr="000F7862">
        <w:rPr>
          <w:lang w:val="fr-FR"/>
        </w:rPr>
        <w:t xml:space="preserve"> de ces </w:t>
      </w:r>
      <w:r w:rsidR="0086185C" w:rsidRPr="000F7862">
        <w:rPr>
          <w:lang w:val="fr-FR"/>
        </w:rPr>
        <w:t xml:space="preserve">33 </w:t>
      </w:r>
      <w:r w:rsidR="00E266C5" w:rsidRPr="000F7862">
        <w:rPr>
          <w:lang w:val="fr-FR"/>
        </w:rPr>
        <w:t>établissements</w:t>
      </w:r>
      <w:r w:rsidR="0086185C" w:rsidRPr="000F7862">
        <w:rPr>
          <w:lang w:val="fr-FR"/>
        </w:rPr>
        <w:t xml:space="preserve">. </w:t>
      </w:r>
    </w:p>
    <w:p w:rsidR="0086185C" w:rsidRPr="000F7862" w:rsidRDefault="00AE7B22" w:rsidP="00AE7B22">
      <w:pPr>
        <w:pStyle w:val="H23G"/>
        <w:rPr>
          <w:lang w:val="fr-FR"/>
        </w:rPr>
      </w:pPr>
      <w:r w:rsidRPr="000F7862">
        <w:rPr>
          <w:lang w:val="fr-FR"/>
        </w:rPr>
        <w:tab/>
      </w:r>
      <w:r w:rsidRPr="000F7862">
        <w:rPr>
          <w:lang w:val="fr-FR"/>
        </w:rPr>
        <w:tab/>
      </w:r>
      <w:r w:rsidR="00E266C5" w:rsidRPr="000F7862">
        <w:rPr>
          <w:lang w:val="fr-FR"/>
        </w:rPr>
        <w:t>Proje</w:t>
      </w:r>
      <w:r w:rsidR="0086185C" w:rsidRPr="000F7862">
        <w:rPr>
          <w:lang w:val="fr-FR"/>
        </w:rPr>
        <w:t xml:space="preserve">t Angel Tree </w:t>
      </w:r>
    </w:p>
    <w:p w:rsidR="0086185C" w:rsidRPr="000F7862" w:rsidRDefault="003F7F57" w:rsidP="00A92F14">
      <w:pPr>
        <w:pStyle w:val="SingleTxtG"/>
        <w:rPr>
          <w:lang w:val="fr-FR"/>
        </w:rPr>
      </w:pPr>
      <w:r w:rsidRPr="000F7862">
        <w:rPr>
          <w:lang w:val="fr-FR"/>
        </w:rPr>
        <w:t>173.</w:t>
      </w:r>
      <w:r w:rsidRPr="000F7862">
        <w:rPr>
          <w:lang w:val="fr-FR"/>
        </w:rPr>
        <w:tab/>
      </w:r>
      <w:r w:rsidR="00F02A5F" w:rsidRPr="000F7862">
        <w:rPr>
          <w:lang w:val="fr-FR"/>
        </w:rPr>
        <w:t xml:space="preserve">Le projet Angel Tree a fourni une aide éducative à </w:t>
      </w:r>
      <w:r w:rsidR="0086185C" w:rsidRPr="000F7862">
        <w:rPr>
          <w:lang w:val="fr-FR"/>
        </w:rPr>
        <w:t>6</w:t>
      </w:r>
      <w:r w:rsidR="00F02A5F" w:rsidRPr="000F7862">
        <w:rPr>
          <w:lang w:val="fr-FR"/>
        </w:rPr>
        <w:t xml:space="preserve"> </w:t>
      </w:r>
      <w:r w:rsidR="00A92F14" w:rsidRPr="000F7862">
        <w:rPr>
          <w:lang w:val="fr-FR"/>
        </w:rPr>
        <w:t> </w:t>
      </w:r>
      <w:r w:rsidR="0086185C" w:rsidRPr="000F7862">
        <w:rPr>
          <w:lang w:val="fr-FR"/>
        </w:rPr>
        <w:t xml:space="preserve">71 </w:t>
      </w:r>
      <w:r w:rsidR="00F02A5F" w:rsidRPr="000F7862">
        <w:rPr>
          <w:lang w:val="fr-FR"/>
        </w:rPr>
        <w:t>enfants qui travaill</w:t>
      </w:r>
      <w:r w:rsidR="00B67359" w:rsidRPr="000F7862">
        <w:rPr>
          <w:lang w:val="fr-FR"/>
        </w:rPr>
        <w:t>ai</w:t>
      </w:r>
      <w:r w:rsidR="00F02A5F" w:rsidRPr="000F7862">
        <w:rPr>
          <w:lang w:val="fr-FR"/>
        </w:rPr>
        <w:t xml:space="preserve">ent ou </w:t>
      </w:r>
      <w:r w:rsidR="00596687" w:rsidRPr="000F7862">
        <w:rPr>
          <w:lang w:val="fr-FR"/>
        </w:rPr>
        <w:t xml:space="preserve">qui </w:t>
      </w:r>
      <w:r w:rsidR="00B67359" w:rsidRPr="000F7862">
        <w:rPr>
          <w:lang w:val="fr-FR"/>
        </w:rPr>
        <w:t>étaient exposés au risque d</w:t>
      </w:r>
      <w:r w:rsidR="00120E2E" w:rsidRPr="000F7862">
        <w:rPr>
          <w:lang w:val="fr-FR"/>
        </w:rPr>
        <w:t>’</w:t>
      </w:r>
      <w:r w:rsidR="005746B6" w:rsidRPr="000F7862">
        <w:rPr>
          <w:lang w:val="fr-FR"/>
        </w:rPr>
        <w:t>être utilisé comme travailleurs</w:t>
      </w:r>
      <w:r w:rsidR="00F10F26" w:rsidRPr="000F7862">
        <w:rPr>
          <w:lang w:val="fr-FR"/>
        </w:rPr>
        <w:t>, ce qui</w:t>
      </w:r>
      <w:r w:rsidR="00B67359" w:rsidRPr="000F7862">
        <w:rPr>
          <w:lang w:val="fr-FR"/>
        </w:rPr>
        <w:t xml:space="preserve"> porte à </w:t>
      </w:r>
      <w:r w:rsidR="0086185C" w:rsidRPr="000F7862">
        <w:rPr>
          <w:lang w:val="fr-FR"/>
        </w:rPr>
        <w:t>34</w:t>
      </w:r>
      <w:r w:rsidR="00A92F14" w:rsidRPr="000F7862">
        <w:rPr>
          <w:lang w:val="fr-FR"/>
        </w:rPr>
        <w:t> </w:t>
      </w:r>
      <w:r w:rsidR="0086185C" w:rsidRPr="000F7862">
        <w:rPr>
          <w:lang w:val="fr-FR"/>
        </w:rPr>
        <w:t xml:space="preserve">146 </w:t>
      </w:r>
      <w:r w:rsidR="00B67359" w:rsidRPr="000F7862">
        <w:rPr>
          <w:lang w:val="fr-FR"/>
        </w:rPr>
        <w:t>le nombre d</w:t>
      </w:r>
      <w:r w:rsidR="00120E2E" w:rsidRPr="000F7862">
        <w:rPr>
          <w:lang w:val="fr-FR"/>
        </w:rPr>
        <w:t>’</w:t>
      </w:r>
      <w:r w:rsidR="00B67359" w:rsidRPr="000F7862">
        <w:rPr>
          <w:lang w:val="fr-FR"/>
        </w:rPr>
        <w:t xml:space="preserve">enfants qui ont </w:t>
      </w:r>
      <w:r w:rsidR="0086185C" w:rsidRPr="000F7862">
        <w:rPr>
          <w:lang w:val="fr-FR"/>
        </w:rPr>
        <w:t>b</w:t>
      </w:r>
      <w:r w:rsidR="00B67359" w:rsidRPr="000F7862">
        <w:rPr>
          <w:lang w:val="fr-FR"/>
        </w:rPr>
        <w:t>é</w:t>
      </w:r>
      <w:r w:rsidR="0086185C" w:rsidRPr="000F7862">
        <w:rPr>
          <w:lang w:val="fr-FR"/>
        </w:rPr>
        <w:t>n</w:t>
      </w:r>
      <w:r w:rsidR="00B67359" w:rsidRPr="000F7862">
        <w:rPr>
          <w:lang w:val="fr-FR"/>
        </w:rPr>
        <w:t>é</w:t>
      </w:r>
      <w:r w:rsidR="0086185C" w:rsidRPr="000F7862">
        <w:rPr>
          <w:lang w:val="fr-FR"/>
        </w:rPr>
        <w:t>fi</w:t>
      </w:r>
      <w:r w:rsidR="00B67359" w:rsidRPr="000F7862">
        <w:rPr>
          <w:lang w:val="fr-FR"/>
        </w:rPr>
        <w:t xml:space="preserve">cié de ce projet depuis son lancement en </w:t>
      </w:r>
      <w:r w:rsidR="0086185C" w:rsidRPr="000F7862">
        <w:rPr>
          <w:lang w:val="fr-FR"/>
        </w:rPr>
        <w:t xml:space="preserve">2006. </w:t>
      </w:r>
      <w:r w:rsidR="00831535" w:rsidRPr="000F7862">
        <w:rPr>
          <w:lang w:val="fr-FR"/>
        </w:rPr>
        <w:t>L</w:t>
      </w:r>
      <w:r w:rsidR="00120E2E" w:rsidRPr="000F7862">
        <w:rPr>
          <w:lang w:val="fr-FR"/>
        </w:rPr>
        <w:t>’</w:t>
      </w:r>
      <w:r w:rsidR="00831535" w:rsidRPr="000F7862">
        <w:rPr>
          <w:lang w:val="fr-FR"/>
        </w:rPr>
        <w:t xml:space="preserve">aide éducative </w:t>
      </w:r>
      <w:r w:rsidR="00F8760A" w:rsidRPr="000F7862">
        <w:rPr>
          <w:lang w:val="fr-FR"/>
        </w:rPr>
        <w:t xml:space="preserve">a été apportée sous la </w:t>
      </w:r>
      <w:r w:rsidR="0086185C" w:rsidRPr="000F7862">
        <w:rPr>
          <w:lang w:val="fr-FR"/>
        </w:rPr>
        <w:t>form</w:t>
      </w:r>
      <w:r w:rsidR="00F8760A" w:rsidRPr="000F7862">
        <w:rPr>
          <w:lang w:val="fr-FR"/>
        </w:rPr>
        <w:t>e de fournitures scolaires, de cartables, de parapluies, d</w:t>
      </w:r>
      <w:r w:rsidR="00120E2E" w:rsidRPr="000F7862">
        <w:rPr>
          <w:lang w:val="fr-FR"/>
        </w:rPr>
        <w:t>’</w:t>
      </w:r>
      <w:r w:rsidR="00F8760A" w:rsidRPr="000F7862">
        <w:rPr>
          <w:lang w:val="fr-FR"/>
        </w:rPr>
        <w:t xml:space="preserve">imperméables, </w:t>
      </w:r>
      <w:r w:rsidR="005C353E" w:rsidRPr="000F7862">
        <w:rPr>
          <w:lang w:val="fr-FR"/>
        </w:rPr>
        <w:t>de verres, de pantoufles et d</w:t>
      </w:r>
      <w:r w:rsidR="00120E2E" w:rsidRPr="000F7862">
        <w:rPr>
          <w:lang w:val="fr-FR"/>
        </w:rPr>
        <w:t>’</w:t>
      </w:r>
      <w:r w:rsidR="005C353E" w:rsidRPr="000F7862">
        <w:rPr>
          <w:lang w:val="fr-FR"/>
        </w:rPr>
        <w:t>articles</w:t>
      </w:r>
      <w:r w:rsidR="0086185C" w:rsidRPr="000F7862">
        <w:rPr>
          <w:lang w:val="fr-FR"/>
        </w:rPr>
        <w:t xml:space="preserve"> </w:t>
      </w:r>
      <w:r w:rsidR="005C353E" w:rsidRPr="000F7862">
        <w:rPr>
          <w:lang w:val="fr-FR"/>
        </w:rPr>
        <w:t>de toilette</w:t>
      </w:r>
      <w:r w:rsidR="0086185C" w:rsidRPr="000F7862">
        <w:rPr>
          <w:lang w:val="fr-FR"/>
        </w:rPr>
        <w:t xml:space="preserve">. </w:t>
      </w:r>
      <w:r w:rsidR="005C353E" w:rsidRPr="000F7862">
        <w:rPr>
          <w:lang w:val="fr-FR"/>
        </w:rPr>
        <w:t>Un</w:t>
      </w:r>
      <w:r w:rsidR="00485B77" w:rsidRPr="000F7862">
        <w:rPr>
          <w:lang w:val="fr-FR"/>
        </w:rPr>
        <w:t xml:space="preserve">e bourse a été octroyée à </w:t>
      </w:r>
      <w:r w:rsidR="0086185C" w:rsidRPr="000F7862">
        <w:rPr>
          <w:lang w:val="fr-FR"/>
        </w:rPr>
        <w:t xml:space="preserve">111 </w:t>
      </w:r>
      <w:r w:rsidR="00485B77" w:rsidRPr="000F7862">
        <w:rPr>
          <w:lang w:val="fr-FR"/>
        </w:rPr>
        <w:t>de ces enfants</w:t>
      </w:r>
      <w:r w:rsidR="0086185C" w:rsidRPr="000F7862">
        <w:rPr>
          <w:lang w:val="fr-FR"/>
        </w:rPr>
        <w:t xml:space="preserve">. </w:t>
      </w:r>
    </w:p>
    <w:p w:rsidR="0086185C" w:rsidRPr="000F7862" w:rsidRDefault="00485B77" w:rsidP="009111E1">
      <w:pPr>
        <w:pStyle w:val="Bullet1G"/>
      </w:pPr>
      <w:r w:rsidRPr="000F7862">
        <w:t xml:space="preserve">Dans la région 4-A, la </w:t>
      </w:r>
      <w:r w:rsidR="0086185C" w:rsidRPr="000F7862">
        <w:t xml:space="preserve">San Miguel Foundation, Inc. </w:t>
      </w:r>
      <w:r w:rsidR="00752B59" w:rsidRPr="000F7862">
        <w:t>a</w:t>
      </w:r>
      <w:r w:rsidRPr="000F7862">
        <w:t xml:space="preserve"> octroyé une bourse à quatre enfants</w:t>
      </w:r>
      <w:r w:rsidR="00FB69A2" w:rsidRPr="000F7862">
        <w:t>, qui auparavant, travaillaient, afin</w:t>
      </w:r>
      <w:r w:rsidRPr="000F7862">
        <w:t xml:space="preserve"> </w:t>
      </w:r>
      <w:r w:rsidR="00752B59" w:rsidRPr="000F7862">
        <w:t>qu</w:t>
      </w:r>
      <w:r w:rsidR="00120E2E" w:rsidRPr="000F7862">
        <w:t>’</w:t>
      </w:r>
      <w:r w:rsidR="00752B59" w:rsidRPr="000F7862">
        <w:t>ils poursuivent leurs études jusqu</w:t>
      </w:r>
      <w:r w:rsidR="00120E2E" w:rsidRPr="000F7862">
        <w:t>’</w:t>
      </w:r>
      <w:r w:rsidR="00752B59" w:rsidRPr="000F7862">
        <w:t>à l</w:t>
      </w:r>
      <w:r w:rsidR="00120E2E" w:rsidRPr="000F7862">
        <w:t>’</w:t>
      </w:r>
      <w:r w:rsidR="00752B59" w:rsidRPr="000F7862">
        <w:t>université</w:t>
      </w:r>
      <w:r w:rsidR="007B2B6C" w:rsidRPr="000F7862">
        <w:t>;</w:t>
      </w:r>
    </w:p>
    <w:p w:rsidR="0086185C" w:rsidRPr="000F7862" w:rsidRDefault="00752B59" w:rsidP="009111E1">
      <w:pPr>
        <w:pStyle w:val="Bullet1G"/>
      </w:pPr>
      <w:r w:rsidRPr="000F7862">
        <w:t xml:space="preserve">Dans la région X, le </w:t>
      </w:r>
      <w:r w:rsidR="0086185C" w:rsidRPr="000F7862">
        <w:t xml:space="preserve">Mountain View College </w:t>
      </w:r>
      <w:r w:rsidRPr="000F7862">
        <w:t>de l</w:t>
      </w:r>
      <w:r w:rsidR="00120E2E" w:rsidRPr="000F7862">
        <w:t>’</w:t>
      </w:r>
      <w:r w:rsidRPr="000F7862">
        <w:t xml:space="preserve">Église adventiste du septième jour a </w:t>
      </w:r>
      <w:r w:rsidR="00C03AC0" w:rsidRPr="000F7862">
        <w:t>intégré</w:t>
      </w:r>
      <w:r w:rsidRPr="000F7862">
        <w:t xml:space="preserve"> </w:t>
      </w:r>
      <w:r w:rsidR="00390C29" w:rsidRPr="000F7862">
        <w:t xml:space="preserve">dans son </w:t>
      </w:r>
      <w:r w:rsidR="00A92F14" w:rsidRPr="000F7862">
        <w:t>programme</w:t>
      </w:r>
      <w:r w:rsidR="00390C29" w:rsidRPr="000F7862">
        <w:t xml:space="preserve"> de bourses </w:t>
      </w:r>
      <w:r w:rsidR="0086185C" w:rsidRPr="000F7862">
        <w:t xml:space="preserve">85 </w:t>
      </w:r>
      <w:r w:rsidRPr="000F7862">
        <w:t>enfants</w:t>
      </w:r>
      <w:r w:rsidR="00390C29" w:rsidRPr="000F7862">
        <w:t xml:space="preserve"> qui, auparavant, travaillaient</w:t>
      </w:r>
      <w:r w:rsidR="0005004C" w:rsidRPr="000F7862">
        <w:t xml:space="preserve"> </w:t>
      </w:r>
      <w:r w:rsidRPr="000F7862">
        <w:t xml:space="preserve">dans les plantations de canne à sucre de </w:t>
      </w:r>
      <w:r w:rsidR="0086185C" w:rsidRPr="000F7862">
        <w:t xml:space="preserve">Valencia City; 61 </w:t>
      </w:r>
      <w:r w:rsidRPr="000F7862">
        <w:t>d</w:t>
      </w:r>
      <w:r w:rsidR="00120E2E" w:rsidRPr="000F7862">
        <w:t>’</w:t>
      </w:r>
      <w:r w:rsidRPr="000F7862">
        <w:t>entre eux</w:t>
      </w:r>
      <w:r w:rsidR="00390C29" w:rsidRPr="000F7862">
        <w:t xml:space="preserve"> sont scolarisés dans le</w:t>
      </w:r>
      <w:r w:rsidRPr="000F7862">
        <w:t xml:space="preserve"> primaire</w:t>
      </w:r>
      <w:r w:rsidR="007B2B6C" w:rsidRPr="000F7862">
        <w:t>;</w:t>
      </w:r>
    </w:p>
    <w:p w:rsidR="0086185C" w:rsidRPr="000F7862" w:rsidRDefault="00752B59" w:rsidP="009111E1">
      <w:pPr>
        <w:pStyle w:val="Bullet1G"/>
      </w:pPr>
      <w:r w:rsidRPr="000F7862">
        <w:t xml:space="preserve">La </w:t>
      </w:r>
      <w:r w:rsidR="0086185C" w:rsidRPr="000F7862">
        <w:t xml:space="preserve">Central Mindanao University </w:t>
      </w:r>
      <w:r w:rsidRPr="000F7862">
        <w:t xml:space="preserve">a octroyé une bourse à </w:t>
      </w:r>
      <w:r w:rsidR="0086185C" w:rsidRPr="000F7862">
        <w:t xml:space="preserve">22 </w:t>
      </w:r>
      <w:r w:rsidRPr="000F7862">
        <w:t>enfants</w:t>
      </w:r>
      <w:r w:rsidR="00234829" w:rsidRPr="000F7862">
        <w:t xml:space="preserve"> qui, auparavant, travaillaient, afin</w:t>
      </w:r>
      <w:r w:rsidRPr="000F7862">
        <w:t xml:space="preserve"> qu</w:t>
      </w:r>
      <w:r w:rsidR="00120E2E" w:rsidRPr="000F7862">
        <w:t>’</w:t>
      </w:r>
      <w:r w:rsidRPr="000F7862">
        <w:t>ils suivent le cours d</w:t>
      </w:r>
      <w:r w:rsidR="00DC762C" w:rsidRPr="000F7862">
        <w:t>e formation d</w:t>
      </w:r>
      <w:r w:rsidR="00120E2E" w:rsidRPr="000F7862">
        <w:t>’</w:t>
      </w:r>
      <w:r w:rsidR="00A92F14" w:rsidRPr="000F7862">
        <w:rPr>
          <w:iCs/>
        </w:rPr>
        <w:t>auxiliaire</w:t>
      </w:r>
      <w:r w:rsidR="00DC762C" w:rsidRPr="000F7862">
        <w:rPr>
          <w:iCs/>
        </w:rPr>
        <w:t xml:space="preserve"> de production et de gestion sucrières</w:t>
      </w:r>
      <w:r w:rsidR="0086185C" w:rsidRPr="000F7862">
        <w:t xml:space="preserve">. </w:t>
      </w:r>
      <w:r w:rsidR="00DC762C" w:rsidRPr="000F7862">
        <w:t xml:space="preserve">Dix autres enfants </w:t>
      </w:r>
      <w:r w:rsidR="00CF1698" w:rsidRPr="000F7862">
        <w:t>qui, auparavant, travaillaient</w:t>
      </w:r>
      <w:r w:rsidR="00DC762C" w:rsidRPr="000F7862">
        <w:t xml:space="preserve"> dans </w:t>
      </w:r>
      <w:r w:rsidR="00CF1698" w:rsidRPr="000F7862">
        <w:t>d</w:t>
      </w:r>
      <w:r w:rsidR="00DC762C" w:rsidRPr="000F7862">
        <w:t>es plantations de canne à sucre ont bénéficié d</w:t>
      </w:r>
      <w:r w:rsidR="00120E2E" w:rsidRPr="000F7862">
        <w:t>’</w:t>
      </w:r>
      <w:r w:rsidR="00DC762C" w:rsidRPr="000F7862">
        <w:t xml:space="preserve">une </w:t>
      </w:r>
      <w:r w:rsidR="00DC762C" w:rsidRPr="000F7862">
        <w:rPr>
          <w:iCs/>
        </w:rPr>
        <w:t>formation</w:t>
      </w:r>
      <w:r w:rsidR="0005004C" w:rsidRPr="000F7862">
        <w:rPr>
          <w:iCs/>
        </w:rPr>
        <w:t xml:space="preserve"> </w:t>
      </w:r>
      <w:r w:rsidR="00DC762C" w:rsidRPr="000F7862">
        <w:rPr>
          <w:iCs/>
        </w:rPr>
        <w:t>à la réflexologie</w:t>
      </w:r>
      <w:r w:rsidR="0086185C" w:rsidRPr="000F7862">
        <w:rPr>
          <w:iCs/>
        </w:rPr>
        <w:t>.</w:t>
      </w:r>
      <w:r w:rsidR="0086185C" w:rsidRPr="000F7862">
        <w:rPr>
          <w:i/>
          <w:iCs/>
        </w:rPr>
        <w:t xml:space="preserve"> </w:t>
      </w:r>
    </w:p>
    <w:p w:rsidR="0086185C" w:rsidRPr="000F7862" w:rsidRDefault="00034450" w:rsidP="00034450">
      <w:pPr>
        <w:pStyle w:val="H23G"/>
        <w:rPr>
          <w:lang w:val="fr-FR"/>
        </w:rPr>
      </w:pPr>
      <w:r w:rsidRPr="000F7862">
        <w:rPr>
          <w:lang w:val="fr-FR"/>
        </w:rPr>
        <w:tab/>
      </w:r>
      <w:r w:rsidRPr="000F7862">
        <w:rPr>
          <w:lang w:val="fr-FR"/>
        </w:rPr>
        <w:tab/>
      </w:r>
      <w:r w:rsidR="0086185C" w:rsidRPr="000F7862">
        <w:rPr>
          <w:lang w:val="fr-FR"/>
        </w:rPr>
        <w:t xml:space="preserve">ABK 3 LEAP – </w:t>
      </w:r>
      <w:r w:rsidR="00DC762C" w:rsidRPr="000F7862">
        <w:rPr>
          <w:lang w:val="fr-FR"/>
        </w:rPr>
        <w:t>moyens de subsistance, éducation, sen</w:t>
      </w:r>
      <w:r w:rsidR="00940DCC" w:rsidRPr="000F7862">
        <w:rPr>
          <w:lang w:val="fr-FR"/>
        </w:rPr>
        <w:t>sibilisation et protection pour </w:t>
      </w:r>
      <w:r w:rsidR="00DC762C" w:rsidRPr="000F7862">
        <w:rPr>
          <w:lang w:val="fr-FR"/>
        </w:rPr>
        <w:t xml:space="preserve">réduire le travail des enfants dans les plantations de canne à sucre </w:t>
      </w:r>
    </w:p>
    <w:p w:rsidR="0086185C" w:rsidRPr="000F7862" w:rsidRDefault="003F7F57" w:rsidP="003F7F57">
      <w:pPr>
        <w:pStyle w:val="SingleTxtG"/>
        <w:rPr>
          <w:lang w:val="fr-FR"/>
        </w:rPr>
      </w:pPr>
      <w:r w:rsidRPr="000F7862">
        <w:rPr>
          <w:lang w:val="fr-FR"/>
        </w:rPr>
        <w:t>174.</w:t>
      </w:r>
      <w:r w:rsidRPr="000F7862">
        <w:rPr>
          <w:lang w:val="fr-FR"/>
        </w:rPr>
        <w:tab/>
      </w:r>
      <w:r w:rsidR="00DC762C" w:rsidRPr="000F7862">
        <w:rPr>
          <w:lang w:val="fr-FR"/>
        </w:rPr>
        <w:t xml:space="preserve">Lancé le </w:t>
      </w:r>
      <w:r w:rsidR="0086185C" w:rsidRPr="000F7862">
        <w:rPr>
          <w:lang w:val="fr-FR"/>
        </w:rPr>
        <w:t xml:space="preserve">29 </w:t>
      </w:r>
      <w:r w:rsidR="00DC762C" w:rsidRPr="000F7862">
        <w:rPr>
          <w:lang w:val="fr-FR"/>
        </w:rPr>
        <w:t xml:space="preserve">février </w:t>
      </w:r>
      <w:r w:rsidR="0086185C" w:rsidRPr="000F7862">
        <w:rPr>
          <w:lang w:val="fr-FR"/>
        </w:rPr>
        <w:t xml:space="preserve">2012, </w:t>
      </w:r>
      <w:r w:rsidR="00DC762C" w:rsidRPr="000F7862">
        <w:rPr>
          <w:lang w:val="fr-FR"/>
        </w:rPr>
        <w:t xml:space="preserve">le projet </w:t>
      </w:r>
      <w:r w:rsidR="00834769" w:rsidRPr="000F7862">
        <w:rPr>
          <w:lang w:val="fr-FR"/>
        </w:rPr>
        <w:t xml:space="preserve">ABK3 LEAP </w:t>
      </w:r>
      <w:r w:rsidR="00DC762C" w:rsidRPr="000F7862">
        <w:rPr>
          <w:lang w:val="fr-FR"/>
        </w:rPr>
        <w:t xml:space="preserve">vise à </w:t>
      </w:r>
      <w:r w:rsidR="00834769" w:rsidRPr="000F7862">
        <w:rPr>
          <w:lang w:val="fr-FR"/>
        </w:rPr>
        <w:t>faire reculer l</w:t>
      </w:r>
      <w:r w:rsidR="00120E2E" w:rsidRPr="000F7862">
        <w:rPr>
          <w:lang w:val="fr-FR"/>
        </w:rPr>
        <w:t>’</w:t>
      </w:r>
      <w:r w:rsidR="00834769" w:rsidRPr="000F7862">
        <w:rPr>
          <w:lang w:val="fr-FR"/>
        </w:rPr>
        <w:t xml:space="preserve">exploitation du travail des enfants dans </w:t>
      </w:r>
      <w:r w:rsidR="00B263DE" w:rsidRPr="000F7862">
        <w:rPr>
          <w:lang w:val="fr-FR"/>
        </w:rPr>
        <w:t xml:space="preserve">les </w:t>
      </w:r>
      <w:r w:rsidR="0086185C" w:rsidRPr="000F7862">
        <w:rPr>
          <w:lang w:val="fr-FR"/>
        </w:rPr>
        <w:t xml:space="preserve">11 provinces </w:t>
      </w:r>
      <w:r w:rsidR="00834769" w:rsidRPr="000F7862">
        <w:rPr>
          <w:lang w:val="fr-FR"/>
        </w:rPr>
        <w:t xml:space="preserve">de culture de la canne à sucre </w:t>
      </w:r>
      <w:r w:rsidR="00B263DE" w:rsidRPr="000F7862">
        <w:rPr>
          <w:lang w:val="fr-FR"/>
        </w:rPr>
        <w:t>ci-après</w:t>
      </w:r>
      <w:r w:rsidR="0005004C" w:rsidRPr="000F7862">
        <w:rPr>
          <w:lang w:val="fr-FR"/>
        </w:rPr>
        <w:t>:</w:t>
      </w:r>
      <w:r w:rsidR="00B263DE" w:rsidRPr="000F7862">
        <w:rPr>
          <w:lang w:val="fr-FR"/>
        </w:rPr>
        <w:t xml:space="preserve"> </w:t>
      </w:r>
      <w:r w:rsidR="0086185C" w:rsidRPr="000F7862">
        <w:rPr>
          <w:lang w:val="fr-FR"/>
        </w:rPr>
        <w:t xml:space="preserve">Batangas </w:t>
      </w:r>
      <w:r w:rsidR="00B263DE" w:rsidRPr="000F7862">
        <w:rPr>
          <w:lang w:val="fr-FR"/>
        </w:rPr>
        <w:t xml:space="preserve">et </w:t>
      </w:r>
      <w:r w:rsidR="0086185C" w:rsidRPr="000F7862">
        <w:rPr>
          <w:lang w:val="fr-FR"/>
        </w:rPr>
        <w:t xml:space="preserve">Camarines Sur </w:t>
      </w:r>
      <w:r w:rsidR="00B263DE" w:rsidRPr="000F7862">
        <w:rPr>
          <w:lang w:val="fr-FR"/>
        </w:rPr>
        <w:t>à</w:t>
      </w:r>
      <w:r w:rsidR="0086185C" w:rsidRPr="000F7862">
        <w:rPr>
          <w:lang w:val="fr-FR"/>
        </w:rPr>
        <w:t xml:space="preserve"> Lu</w:t>
      </w:r>
      <w:r w:rsidR="00B263DE" w:rsidRPr="000F7862">
        <w:rPr>
          <w:lang w:val="fr-FR"/>
        </w:rPr>
        <w:t>çon</w:t>
      </w:r>
      <w:r w:rsidR="0086185C" w:rsidRPr="000F7862">
        <w:rPr>
          <w:lang w:val="fr-FR"/>
        </w:rPr>
        <w:t xml:space="preserve">; Capiz, Iloilo, Cebu, Leyte, Negros Oriental </w:t>
      </w:r>
      <w:r w:rsidR="00B263DE" w:rsidRPr="000F7862">
        <w:rPr>
          <w:lang w:val="fr-FR"/>
        </w:rPr>
        <w:t xml:space="preserve">et </w:t>
      </w:r>
      <w:r w:rsidR="0086185C" w:rsidRPr="000F7862">
        <w:rPr>
          <w:lang w:val="fr-FR"/>
        </w:rPr>
        <w:t xml:space="preserve">Negros Occidental </w:t>
      </w:r>
      <w:r w:rsidR="00B263DE" w:rsidRPr="000F7862">
        <w:rPr>
          <w:lang w:val="fr-FR"/>
        </w:rPr>
        <w:t xml:space="preserve">dans les </w:t>
      </w:r>
      <w:r w:rsidR="0086185C" w:rsidRPr="000F7862">
        <w:rPr>
          <w:lang w:val="fr-FR"/>
        </w:rPr>
        <w:t xml:space="preserve">Visayas; </w:t>
      </w:r>
      <w:r w:rsidR="00B263DE" w:rsidRPr="000F7862">
        <w:rPr>
          <w:lang w:val="fr-FR"/>
        </w:rPr>
        <w:t xml:space="preserve">et </w:t>
      </w:r>
      <w:r w:rsidR="0086185C" w:rsidRPr="000F7862">
        <w:rPr>
          <w:lang w:val="fr-FR"/>
        </w:rPr>
        <w:t xml:space="preserve">Bukidnon, Davao del Sur </w:t>
      </w:r>
      <w:r w:rsidR="00B263DE" w:rsidRPr="000F7862">
        <w:rPr>
          <w:lang w:val="fr-FR"/>
        </w:rPr>
        <w:t xml:space="preserve">et </w:t>
      </w:r>
      <w:r w:rsidR="0086185C" w:rsidRPr="000F7862">
        <w:rPr>
          <w:lang w:val="fr-FR"/>
        </w:rPr>
        <w:t xml:space="preserve">North Cotabato </w:t>
      </w:r>
      <w:r w:rsidR="00B263DE" w:rsidRPr="000F7862">
        <w:rPr>
          <w:lang w:val="fr-FR"/>
        </w:rPr>
        <w:t xml:space="preserve">dans le </w:t>
      </w:r>
      <w:r w:rsidR="0086185C" w:rsidRPr="000F7862">
        <w:rPr>
          <w:lang w:val="fr-FR"/>
        </w:rPr>
        <w:t>Mindanao</w:t>
      </w:r>
      <w:r w:rsidR="00B263DE" w:rsidRPr="000F7862">
        <w:rPr>
          <w:lang w:val="fr-FR"/>
        </w:rPr>
        <w:t>, dans le cadre d</w:t>
      </w:r>
      <w:r w:rsidR="00120E2E" w:rsidRPr="000F7862">
        <w:rPr>
          <w:lang w:val="fr-FR"/>
        </w:rPr>
        <w:t>’</w:t>
      </w:r>
      <w:r w:rsidR="00B263DE" w:rsidRPr="000F7862">
        <w:rPr>
          <w:lang w:val="fr-FR"/>
        </w:rPr>
        <w:t xml:space="preserve">une démarche </w:t>
      </w:r>
      <w:r w:rsidR="0086185C" w:rsidRPr="000F7862">
        <w:rPr>
          <w:spacing w:val="-1"/>
          <w:lang w:val="fr-FR"/>
        </w:rPr>
        <w:t>m</w:t>
      </w:r>
      <w:r w:rsidR="0086185C" w:rsidRPr="000F7862">
        <w:rPr>
          <w:lang w:val="fr-FR"/>
        </w:rPr>
        <w:t>ult</w:t>
      </w:r>
      <w:r w:rsidR="0086185C" w:rsidRPr="000F7862">
        <w:rPr>
          <w:spacing w:val="-1"/>
          <w:lang w:val="fr-FR"/>
        </w:rPr>
        <w:t>i</w:t>
      </w:r>
      <w:r w:rsidR="0086185C" w:rsidRPr="000F7862">
        <w:rPr>
          <w:lang w:val="fr-FR"/>
        </w:rPr>
        <w:t>se</w:t>
      </w:r>
      <w:r w:rsidR="0086185C" w:rsidRPr="000F7862">
        <w:rPr>
          <w:spacing w:val="-1"/>
          <w:lang w:val="fr-FR"/>
        </w:rPr>
        <w:t>c</w:t>
      </w:r>
      <w:r w:rsidR="0086185C" w:rsidRPr="000F7862">
        <w:rPr>
          <w:lang w:val="fr-FR"/>
        </w:rPr>
        <w:t>tor</w:t>
      </w:r>
      <w:r w:rsidR="00B263DE" w:rsidRPr="000F7862">
        <w:rPr>
          <w:lang w:val="fr-FR"/>
        </w:rPr>
        <w:t>ielle reposant sur les éléments suivants</w:t>
      </w:r>
      <w:r w:rsidR="0005004C" w:rsidRPr="000F7862">
        <w:rPr>
          <w:lang w:val="fr-FR"/>
        </w:rPr>
        <w:t>:</w:t>
      </w:r>
      <w:r w:rsidR="00B263DE" w:rsidRPr="000F7862">
        <w:rPr>
          <w:lang w:val="fr-FR"/>
        </w:rPr>
        <w:t xml:space="preserve"> fourniture de services et de liens </w:t>
      </w:r>
      <w:r w:rsidR="0086185C" w:rsidRPr="000F7862">
        <w:rPr>
          <w:lang w:val="fr-FR"/>
        </w:rPr>
        <w:t>di</w:t>
      </w:r>
      <w:r w:rsidR="0086185C" w:rsidRPr="000F7862">
        <w:rPr>
          <w:spacing w:val="-1"/>
          <w:lang w:val="fr-FR"/>
        </w:rPr>
        <w:t>r</w:t>
      </w:r>
      <w:r w:rsidR="0086185C" w:rsidRPr="000F7862">
        <w:rPr>
          <w:lang w:val="fr-FR"/>
        </w:rPr>
        <w:t>ect</w:t>
      </w:r>
      <w:r w:rsidR="00B263DE" w:rsidRPr="000F7862">
        <w:rPr>
          <w:lang w:val="fr-FR"/>
        </w:rPr>
        <w:t>s</w:t>
      </w:r>
      <w:r w:rsidR="0086185C" w:rsidRPr="000F7862">
        <w:rPr>
          <w:lang w:val="fr-FR"/>
        </w:rPr>
        <w:t xml:space="preserve"> </w:t>
      </w:r>
      <w:r w:rsidR="00B263DE" w:rsidRPr="000F7862">
        <w:rPr>
          <w:lang w:val="fr-FR"/>
        </w:rPr>
        <w:t>en matière d</w:t>
      </w:r>
      <w:r w:rsidR="00120E2E" w:rsidRPr="000F7862">
        <w:rPr>
          <w:lang w:val="fr-FR"/>
        </w:rPr>
        <w:t>’</w:t>
      </w:r>
      <w:r w:rsidR="00B263DE" w:rsidRPr="000F7862">
        <w:rPr>
          <w:lang w:val="fr-FR"/>
        </w:rPr>
        <w:t xml:space="preserve">éducation et de moyens de subsistance à </w:t>
      </w:r>
      <w:r w:rsidR="0086185C" w:rsidRPr="000F7862">
        <w:rPr>
          <w:lang w:val="fr-FR"/>
        </w:rPr>
        <w:t>52</w:t>
      </w:r>
      <w:r w:rsidR="00A92F14" w:rsidRPr="000F7862">
        <w:rPr>
          <w:lang w:val="fr-FR"/>
        </w:rPr>
        <w:t> </w:t>
      </w:r>
      <w:r w:rsidR="0086185C" w:rsidRPr="000F7862">
        <w:rPr>
          <w:lang w:val="fr-FR"/>
        </w:rPr>
        <w:t xml:space="preserve">000 </w:t>
      </w:r>
      <w:r w:rsidR="00B263DE" w:rsidRPr="000F7862">
        <w:rPr>
          <w:lang w:val="fr-FR"/>
        </w:rPr>
        <w:t xml:space="preserve">enfants et </w:t>
      </w:r>
      <w:r w:rsidR="0086185C" w:rsidRPr="000F7862">
        <w:rPr>
          <w:lang w:val="fr-FR"/>
        </w:rPr>
        <w:t>25</w:t>
      </w:r>
      <w:r w:rsidR="00A92F14" w:rsidRPr="000F7862">
        <w:rPr>
          <w:lang w:val="fr-FR"/>
        </w:rPr>
        <w:t> </w:t>
      </w:r>
      <w:r w:rsidR="0086185C" w:rsidRPr="000F7862">
        <w:rPr>
          <w:lang w:val="fr-FR"/>
        </w:rPr>
        <w:t xml:space="preserve">000 </w:t>
      </w:r>
      <w:r w:rsidR="00B263DE" w:rsidRPr="000F7862">
        <w:rPr>
          <w:lang w:val="fr-FR"/>
        </w:rPr>
        <w:t>ménages</w:t>
      </w:r>
      <w:r w:rsidR="0086185C" w:rsidRPr="000F7862">
        <w:rPr>
          <w:lang w:val="fr-FR"/>
        </w:rPr>
        <w:t xml:space="preserve">, </w:t>
      </w:r>
      <w:r w:rsidR="00B263DE" w:rsidRPr="000F7862">
        <w:rPr>
          <w:lang w:val="fr-FR"/>
        </w:rPr>
        <w:t xml:space="preserve">renforcement des capacités des institutions </w:t>
      </w:r>
      <w:r w:rsidR="0086185C" w:rsidRPr="000F7862">
        <w:rPr>
          <w:spacing w:val="-1"/>
          <w:lang w:val="fr-FR"/>
        </w:rPr>
        <w:t>l</w:t>
      </w:r>
      <w:r w:rsidR="0086185C" w:rsidRPr="000F7862">
        <w:rPr>
          <w:lang w:val="fr-FR"/>
        </w:rPr>
        <w:t>ocal</w:t>
      </w:r>
      <w:r w:rsidR="00B263DE" w:rsidRPr="000F7862">
        <w:rPr>
          <w:lang w:val="fr-FR"/>
        </w:rPr>
        <w:t>es et</w:t>
      </w:r>
      <w:r w:rsidR="0086185C" w:rsidRPr="000F7862">
        <w:rPr>
          <w:lang w:val="fr-FR"/>
        </w:rPr>
        <w:t xml:space="preserve"> na</w:t>
      </w:r>
      <w:r w:rsidR="0086185C" w:rsidRPr="000F7862">
        <w:rPr>
          <w:spacing w:val="-1"/>
          <w:lang w:val="fr-FR"/>
        </w:rPr>
        <w:t>ti</w:t>
      </w:r>
      <w:r w:rsidR="0086185C" w:rsidRPr="000F7862">
        <w:rPr>
          <w:lang w:val="fr-FR"/>
        </w:rPr>
        <w:t>onal</w:t>
      </w:r>
      <w:r w:rsidR="00B263DE" w:rsidRPr="000F7862">
        <w:rPr>
          <w:lang w:val="fr-FR"/>
        </w:rPr>
        <w:t>es</w:t>
      </w:r>
      <w:r w:rsidR="0086185C" w:rsidRPr="000F7862">
        <w:rPr>
          <w:lang w:val="fr-FR"/>
        </w:rPr>
        <w:t xml:space="preserve">, </w:t>
      </w:r>
      <w:r w:rsidR="00685FDE" w:rsidRPr="000F7862">
        <w:rPr>
          <w:lang w:val="fr-FR"/>
        </w:rPr>
        <w:t>activités de plaidoyer</w:t>
      </w:r>
      <w:r w:rsidR="0086185C" w:rsidRPr="000F7862">
        <w:rPr>
          <w:lang w:val="fr-FR"/>
        </w:rPr>
        <w:t xml:space="preserve">, </w:t>
      </w:r>
      <w:r w:rsidR="00685FDE" w:rsidRPr="000F7862">
        <w:rPr>
          <w:lang w:val="fr-FR"/>
        </w:rPr>
        <w:t>sensibilisation</w:t>
      </w:r>
      <w:r w:rsidR="0086185C" w:rsidRPr="000F7862">
        <w:rPr>
          <w:lang w:val="fr-FR"/>
        </w:rPr>
        <w:t xml:space="preserve">, </w:t>
      </w:r>
      <w:r w:rsidR="00685FDE" w:rsidRPr="000F7862">
        <w:rPr>
          <w:lang w:val="fr-FR"/>
        </w:rPr>
        <w:t>obtention de l</w:t>
      </w:r>
      <w:r w:rsidR="00120E2E" w:rsidRPr="000F7862">
        <w:rPr>
          <w:lang w:val="fr-FR"/>
        </w:rPr>
        <w:t>’</w:t>
      </w:r>
      <w:r w:rsidR="00685FDE" w:rsidRPr="000F7862">
        <w:rPr>
          <w:lang w:val="fr-FR"/>
        </w:rPr>
        <w:t>engagement de partenaires publics et privés, et activités de recherche destinées à fournir des données fiables sur le travail des enfants</w:t>
      </w:r>
      <w:r w:rsidR="0086185C" w:rsidRPr="000F7862">
        <w:rPr>
          <w:lang w:val="fr-FR"/>
        </w:rPr>
        <w:t>.</w:t>
      </w:r>
      <w:r w:rsidR="00446EA5" w:rsidRPr="000F7862">
        <w:rPr>
          <w:lang w:val="fr-FR"/>
        </w:rPr>
        <w:t xml:space="preserve"> </w:t>
      </w:r>
      <w:r w:rsidR="00685FDE" w:rsidRPr="000F7862">
        <w:rPr>
          <w:lang w:val="fr-FR"/>
        </w:rPr>
        <w:t xml:space="preserve">Le projet </w:t>
      </w:r>
      <w:r w:rsidR="0086185C" w:rsidRPr="000F7862">
        <w:rPr>
          <w:lang w:val="fr-FR"/>
        </w:rPr>
        <w:t xml:space="preserve">ABK3 LEAP </w:t>
      </w:r>
      <w:r w:rsidR="00685FDE" w:rsidRPr="000F7862">
        <w:rPr>
          <w:lang w:val="fr-FR"/>
        </w:rPr>
        <w:t xml:space="preserve">est exécuté sous la direction de </w:t>
      </w:r>
      <w:r w:rsidR="0086185C" w:rsidRPr="000F7862">
        <w:rPr>
          <w:lang w:val="fr-FR"/>
        </w:rPr>
        <w:t>World Vision</w:t>
      </w:r>
      <w:r w:rsidR="00685FDE" w:rsidRPr="000F7862">
        <w:rPr>
          <w:lang w:val="fr-FR"/>
        </w:rPr>
        <w:t xml:space="preserve">, du </w:t>
      </w:r>
      <w:r w:rsidR="0086185C" w:rsidRPr="000F7862">
        <w:rPr>
          <w:lang w:val="fr-FR"/>
        </w:rPr>
        <w:t xml:space="preserve">Child Fund </w:t>
      </w:r>
      <w:r w:rsidR="00685FDE" w:rsidRPr="000F7862">
        <w:rPr>
          <w:lang w:val="fr-FR"/>
        </w:rPr>
        <w:t>et d</w:t>
      </w:r>
      <w:r w:rsidR="00120E2E" w:rsidRPr="000F7862">
        <w:rPr>
          <w:lang w:val="fr-FR"/>
        </w:rPr>
        <w:t>’</w:t>
      </w:r>
      <w:r w:rsidR="0086185C" w:rsidRPr="000F7862">
        <w:rPr>
          <w:lang w:val="fr-FR"/>
        </w:rPr>
        <w:t xml:space="preserve">ERDA. </w:t>
      </w:r>
    </w:p>
    <w:p w:rsidR="0086185C" w:rsidRPr="000F7862" w:rsidRDefault="003F7F57" w:rsidP="003F7F57">
      <w:pPr>
        <w:pStyle w:val="SingleTxtG"/>
        <w:rPr>
          <w:lang w:val="fr-FR"/>
        </w:rPr>
      </w:pPr>
      <w:r w:rsidRPr="000F7862">
        <w:rPr>
          <w:lang w:val="fr-FR"/>
        </w:rPr>
        <w:t>175.</w:t>
      </w:r>
      <w:r w:rsidRPr="000F7862">
        <w:rPr>
          <w:lang w:val="fr-FR"/>
        </w:rPr>
        <w:tab/>
      </w:r>
      <w:r w:rsidR="00685FDE" w:rsidRPr="000F7862">
        <w:rPr>
          <w:lang w:val="fr-FR"/>
        </w:rPr>
        <w:t xml:space="preserve">En </w:t>
      </w:r>
      <w:r w:rsidR="006F54E2" w:rsidRPr="000F7862">
        <w:rPr>
          <w:lang w:val="fr-FR"/>
        </w:rPr>
        <w:t xml:space="preserve">décembre </w:t>
      </w:r>
      <w:r w:rsidR="0086185C" w:rsidRPr="000F7862">
        <w:rPr>
          <w:lang w:val="fr-FR"/>
        </w:rPr>
        <w:t xml:space="preserve">2012, ABK 3 LEAP </w:t>
      </w:r>
      <w:r w:rsidR="006F54E2" w:rsidRPr="000F7862">
        <w:rPr>
          <w:lang w:val="fr-FR"/>
        </w:rPr>
        <w:t xml:space="preserve">avait fourni une aide éducative à </w:t>
      </w:r>
      <w:r w:rsidR="0086185C" w:rsidRPr="000F7862">
        <w:rPr>
          <w:lang w:val="fr-FR"/>
        </w:rPr>
        <w:t>10</w:t>
      </w:r>
      <w:r w:rsidR="00A92F14" w:rsidRPr="000F7862">
        <w:rPr>
          <w:lang w:val="fr-FR"/>
        </w:rPr>
        <w:t> </w:t>
      </w:r>
      <w:r w:rsidR="0086185C" w:rsidRPr="000F7862">
        <w:rPr>
          <w:lang w:val="fr-FR"/>
        </w:rPr>
        <w:t xml:space="preserve">717 </w:t>
      </w:r>
      <w:r w:rsidR="006F54E2" w:rsidRPr="000F7862">
        <w:rPr>
          <w:lang w:val="fr-FR"/>
        </w:rPr>
        <w:t>enfants</w:t>
      </w:r>
      <w:r w:rsidR="0086185C" w:rsidRPr="000F7862">
        <w:rPr>
          <w:lang w:val="fr-FR"/>
        </w:rPr>
        <w:t xml:space="preserve">, </w:t>
      </w:r>
      <w:r w:rsidR="006F54E2" w:rsidRPr="000F7862">
        <w:rPr>
          <w:lang w:val="fr-FR"/>
        </w:rPr>
        <w:t xml:space="preserve">dont </w:t>
      </w:r>
      <w:r w:rsidR="0086185C" w:rsidRPr="000F7862">
        <w:rPr>
          <w:lang w:val="fr-FR"/>
        </w:rPr>
        <w:t>10</w:t>
      </w:r>
      <w:r w:rsidR="00A92F14" w:rsidRPr="000F7862">
        <w:rPr>
          <w:lang w:val="fr-FR"/>
        </w:rPr>
        <w:t> </w:t>
      </w:r>
      <w:r w:rsidR="0086185C" w:rsidRPr="000F7862">
        <w:rPr>
          <w:lang w:val="fr-FR"/>
        </w:rPr>
        <w:t>609 (99</w:t>
      </w:r>
      <w:r w:rsidR="00DC1196" w:rsidRPr="000F7862">
        <w:rPr>
          <w:lang w:val="fr-FR"/>
        </w:rPr>
        <w:t> %</w:t>
      </w:r>
      <w:r w:rsidR="0086185C" w:rsidRPr="000F7862">
        <w:rPr>
          <w:lang w:val="fr-FR"/>
        </w:rPr>
        <w:t xml:space="preserve">) </w:t>
      </w:r>
      <w:r w:rsidR="006F54E2" w:rsidRPr="000F7862">
        <w:rPr>
          <w:lang w:val="fr-FR"/>
        </w:rPr>
        <w:t xml:space="preserve">enfants qui travaillent et </w:t>
      </w:r>
      <w:r w:rsidR="0086185C" w:rsidRPr="000F7862">
        <w:rPr>
          <w:lang w:val="fr-FR"/>
        </w:rPr>
        <w:t>1</w:t>
      </w:r>
      <w:r w:rsidR="00DC1196" w:rsidRPr="000F7862">
        <w:rPr>
          <w:lang w:val="fr-FR"/>
        </w:rPr>
        <w:t> %</w:t>
      </w:r>
      <w:r w:rsidR="0086185C" w:rsidRPr="000F7862">
        <w:rPr>
          <w:lang w:val="fr-FR"/>
        </w:rPr>
        <w:t xml:space="preserve"> </w:t>
      </w:r>
      <w:r w:rsidR="006F54E2" w:rsidRPr="000F7862">
        <w:rPr>
          <w:lang w:val="fr-FR"/>
        </w:rPr>
        <w:t>d</w:t>
      </w:r>
      <w:r w:rsidR="00120E2E" w:rsidRPr="000F7862">
        <w:rPr>
          <w:lang w:val="fr-FR"/>
        </w:rPr>
        <w:t>’</w:t>
      </w:r>
      <w:r w:rsidR="006F54E2" w:rsidRPr="000F7862">
        <w:rPr>
          <w:lang w:val="fr-FR"/>
        </w:rPr>
        <w:t>enfants risquant de connaître le même sort</w:t>
      </w:r>
      <w:r w:rsidR="0086185C" w:rsidRPr="000F7862">
        <w:rPr>
          <w:lang w:val="fr-FR"/>
        </w:rPr>
        <w:t>.</w:t>
      </w:r>
      <w:r w:rsidR="00446EA5" w:rsidRPr="000F7862">
        <w:rPr>
          <w:lang w:val="fr-FR"/>
        </w:rPr>
        <w:t xml:space="preserve"> </w:t>
      </w:r>
      <w:r w:rsidR="006F54E2" w:rsidRPr="000F7862">
        <w:rPr>
          <w:lang w:val="fr-FR"/>
        </w:rPr>
        <w:t>Quant au niveau d</w:t>
      </w:r>
      <w:r w:rsidR="00120E2E" w:rsidRPr="000F7862">
        <w:rPr>
          <w:lang w:val="fr-FR"/>
        </w:rPr>
        <w:t>’</w:t>
      </w:r>
      <w:r w:rsidR="006F54E2" w:rsidRPr="000F7862">
        <w:rPr>
          <w:lang w:val="fr-FR"/>
        </w:rPr>
        <w:t xml:space="preserve">études, </w:t>
      </w:r>
      <w:r w:rsidR="0086185C" w:rsidRPr="000F7862">
        <w:rPr>
          <w:lang w:val="fr-FR"/>
        </w:rPr>
        <w:t>6</w:t>
      </w:r>
      <w:r w:rsidR="00A92F14" w:rsidRPr="000F7862">
        <w:rPr>
          <w:lang w:val="fr-FR"/>
        </w:rPr>
        <w:t> </w:t>
      </w:r>
      <w:r w:rsidR="0086185C" w:rsidRPr="000F7862">
        <w:rPr>
          <w:lang w:val="fr-FR"/>
        </w:rPr>
        <w:t xml:space="preserve">209 </w:t>
      </w:r>
      <w:r w:rsidR="006F54E2" w:rsidRPr="000F7862">
        <w:rPr>
          <w:lang w:val="fr-FR"/>
        </w:rPr>
        <w:t>font des études primaires</w:t>
      </w:r>
      <w:r w:rsidR="0086185C" w:rsidRPr="000F7862">
        <w:rPr>
          <w:lang w:val="fr-FR"/>
        </w:rPr>
        <w:t>, 4</w:t>
      </w:r>
      <w:r w:rsidR="00A92F14" w:rsidRPr="000F7862">
        <w:rPr>
          <w:lang w:val="fr-FR"/>
        </w:rPr>
        <w:t> </w:t>
      </w:r>
      <w:r w:rsidR="0086185C" w:rsidRPr="000F7862">
        <w:rPr>
          <w:lang w:val="fr-FR"/>
        </w:rPr>
        <w:t xml:space="preserve">313 </w:t>
      </w:r>
      <w:r w:rsidR="006F54E2" w:rsidRPr="000F7862">
        <w:rPr>
          <w:lang w:val="fr-FR"/>
        </w:rPr>
        <w:t>font des études secondaires</w:t>
      </w:r>
      <w:r w:rsidR="0086185C" w:rsidRPr="000F7862">
        <w:rPr>
          <w:lang w:val="fr-FR"/>
        </w:rPr>
        <w:t xml:space="preserve">, 64 </w:t>
      </w:r>
      <w:r w:rsidR="006F54E2" w:rsidRPr="000F7862">
        <w:rPr>
          <w:lang w:val="fr-FR"/>
        </w:rPr>
        <w:t xml:space="preserve">suivent </w:t>
      </w:r>
      <w:r w:rsidR="00AE4990" w:rsidRPr="000F7862">
        <w:rPr>
          <w:lang w:val="fr-FR"/>
        </w:rPr>
        <w:t>le système d</w:t>
      </w:r>
      <w:r w:rsidR="00120E2E" w:rsidRPr="000F7862">
        <w:rPr>
          <w:lang w:val="fr-FR"/>
        </w:rPr>
        <w:t>’</w:t>
      </w:r>
      <w:r w:rsidR="00AE4990" w:rsidRPr="000F7862">
        <w:rPr>
          <w:lang w:val="fr-FR"/>
        </w:rPr>
        <w:t xml:space="preserve">apprentissage non traditionnel et un enseignement professionnel, tandis que </w:t>
      </w:r>
      <w:r w:rsidR="0086185C" w:rsidRPr="000F7862">
        <w:rPr>
          <w:lang w:val="fr-FR"/>
        </w:rPr>
        <w:t xml:space="preserve">131 </w:t>
      </w:r>
      <w:r w:rsidR="00AE4990" w:rsidRPr="000F7862">
        <w:rPr>
          <w:lang w:val="fr-FR"/>
        </w:rPr>
        <w:t>sont inscrits dans des établissements préscolaires</w:t>
      </w:r>
      <w:r w:rsidR="0086185C" w:rsidRPr="000F7862">
        <w:rPr>
          <w:lang w:val="fr-FR"/>
        </w:rPr>
        <w:t>.</w:t>
      </w:r>
    </w:p>
    <w:p w:rsidR="0086185C" w:rsidRPr="000F7862" w:rsidRDefault="00A92F14" w:rsidP="00A92F14">
      <w:pPr>
        <w:pStyle w:val="H23G"/>
        <w:rPr>
          <w:lang w:val="fr-FR"/>
        </w:rPr>
      </w:pPr>
      <w:r w:rsidRPr="000F7862">
        <w:rPr>
          <w:lang w:val="fr-FR"/>
        </w:rPr>
        <w:tab/>
      </w:r>
      <w:r w:rsidRPr="000F7862">
        <w:rPr>
          <w:lang w:val="fr-FR"/>
        </w:rPr>
        <w:tab/>
      </w:r>
      <w:r w:rsidR="00AE4990" w:rsidRPr="000F7862">
        <w:rPr>
          <w:lang w:val="fr-FR"/>
        </w:rPr>
        <w:t xml:space="preserve">Enquête nationale sur les enfants de </w:t>
      </w:r>
      <w:r w:rsidR="0086185C" w:rsidRPr="000F7862">
        <w:rPr>
          <w:lang w:val="fr-FR"/>
        </w:rPr>
        <w:t xml:space="preserve">2011 </w:t>
      </w:r>
    </w:p>
    <w:p w:rsidR="0086185C" w:rsidRPr="000F7862" w:rsidRDefault="003F7F57" w:rsidP="003F7F57">
      <w:pPr>
        <w:pStyle w:val="SingleTxtG"/>
        <w:rPr>
          <w:lang w:val="fr-FR"/>
        </w:rPr>
      </w:pPr>
      <w:r w:rsidRPr="000F7862">
        <w:rPr>
          <w:lang w:val="fr-FR"/>
        </w:rPr>
        <w:t>176.</w:t>
      </w:r>
      <w:r w:rsidRPr="000F7862">
        <w:rPr>
          <w:lang w:val="fr-FR"/>
        </w:rPr>
        <w:tab/>
      </w:r>
      <w:r w:rsidR="00473CB9" w:rsidRPr="000F7862">
        <w:rPr>
          <w:lang w:val="fr-FR"/>
        </w:rPr>
        <w:t>L</w:t>
      </w:r>
      <w:r w:rsidR="00120E2E" w:rsidRPr="000F7862">
        <w:rPr>
          <w:lang w:val="fr-FR"/>
        </w:rPr>
        <w:t>’</w:t>
      </w:r>
      <w:r w:rsidR="00473CB9" w:rsidRPr="000F7862">
        <w:rPr>
          <w:lang w:val="fr-FR"/>
        </w:rPr>
        <w:t xml:space="preserve">enquête sur les enfants menée en </w:t>
      </w:r>
      <w:r w:rsidR="0086185C" w:rsidRPr="000F7862">
        <w:rPr>
          <w:lang w:val="fr-FR"/>
        </w:rPr>
        <w:t xml:space="preserve">2011 </w:t>
      </w:r>
      <w:r w:rsidR="00DD609F" w:rsidRPr="000F7862">
        <w:rPr>
          <w:lang w:val="fr-FR"/>
        </w:rPr>
        <w:t>par le Bureau national de statistique montre que les enfants travaillaient principalement dans l</w:t>
      </w:r>
      <w:r w:rsidR="00120E2E" w:rsidRPr="000F7862">
        <w:rPr>
          <w:lang w:val="fr-FR"/>
        </w:rPr>
        <w:t>’</w:t>
      </w:r>
      <w:r w:rsidR="0086185C" w:rsidRPr="000F7862">
        <w:rPr>
          <w:lang w:val="fr-FR"/>
        </w:rPr>
        <w:t>agriculture (62</w:t>
      </w:r>
      <w:r w:rsidR="00DD609F" w:rsidRPr="000F7862">
        <w:rPr>
          <w:lang w:val="fr-FR"/>
        </w:rPr>
        <w:t>,</w:t>
      </w:r>
      <w:r w:rsidR="0086185C" w:rsidRPr="000F7862">
        <w:rPr>
          <w:lang w:val="fr-FR"/>
        </w:rPr>
        <w:t>4</w:t>
      </w:r>
      <w:r w:rsidR="00DC1196" w:rsidRPr="000F7862">
        <w:rPr>
          <w:lang w:val="fr-FR"/>
        </w:rPr>
        <w:t> %</w:t>
      </w:r>
      <w:r w:rsidR="0086185C" w:rsidRPr="000F7862">
        <w:rPr>
          <w:lang w:val="fr-FR"/>
        </w:rPr>
        <w:t xml:space="preserve">) </w:t>
      </w:r>
      <w:r w:rsidR="00DD609F" w:rsidRPr="000F7862">
        <w:rPr>
          <w:lang w:val="fr-FR"/>
        </w:rPr>
        <w:t xml:space="preserve">et dans le secteur des </w:t>
      </w:r>
      <w:r w:rsidR="0086185C" w:rsidRPr="000F7862">
        <w:rPr>
          <w:lang w:val="fr-FR"/>
        </w:rPr>
        <w:t>services (30</w:t>
      </w:r>
      <w:r w:rsidR="00DD609F" w:rsidRPr="000F7862">
        <w:rPr>
          <w:lang w:val="fr-FR"/>
        </w:rPr>
        <w:t>,</w:t>
      </w:r>
      <w:r w:rsidR="0086185C" w:rsidRPr="000F7862">
        <w:rPr>
          <w:lang w:val="fr-FR"/>
        </w:rPr>
        <w:t>1</w:t>
      </w:r>
      <w:r w:rsidR="00DC1196" w:rsidRPr="000F7862">
        <w:rPr>
          <w:lang w:val="fr-FR"/>
        </w:rPr>
        <w:t> %</w:t>
      </w:r>
      <w:r w:rsidR="0086185C" w:rsidRPr="000F7862">
        <w:rPr>
          <w:lang w:val="fr-FR"/>
        </w:rPr>
        <w:t>).</w:t>
      </w:r>
      <w:r w:rsidR="00446EA5" w:rsidRPr="000F7862">
        <w:rPr>
          <w:lang w:val="fr-FR"/>
        </w:rPr>
        <w:t xml:space="preserve"> </w:t>
      </w:r>
      <w:r w:rsidR="00DD609F" w:rsidRPr="000F7862">
        <w:rPr>
          <w:lang w:val="fr-FR"/>
        </w:rPr>
        <w:t xml:space="preserve">Une faible </w:t>
      </w:r>
      <w:r w:rsidR="0086185C" w:rsidRPr="000F7862">
        <w:rPr>
          <w:lang w:val="fr-FR"/>
        </w:rPr>
        <w:t>proportion (7</w:t>
      </w:r>
      <w:r w:rsidR="00DD609F" w:rsidRPr="000F7862">
        <w:rPr>
          <w:lang w:val="fr-FR"/>
        </w:rPr>
        <w:t>,</w:t>
      </w:r>
      <w:r w:rsidR="0086185C" w:rsidRPr="000F7862">
        <w:rPr>
          <w:lang w:val="fr-FR"/>
        </w:rPr>
        <w:t>6</w:t>
      </w:r>
      <w:r w:rsidR="00DC1196" w:rsidRPr="000F7862">
        <w:rPr>
          <w:lang w:val="fr-FR"/>
        </w:rPr>
        <w:t> %</w:t>
      </w:r>
      <w:r w:rsidR="0086185C" w:rsidRPr="000F7862">
        <w:rPr>
          <w:lang w:val="fr-FR"/>
        </w:rPr>
        <w:t xml:space="preserve">) </w:t>
      </w:r>
      <w:r w:rsidR="00DD609F" w:rsidRPr="000F7862">
        <w:rPr>
          <w:lang w:val="fr-FR"/>
        </w:rPr>
        <w:t>travaillait dans l</w:t>
      </w:r>
      <w:r w:rsidR="00120E2E" w:rsidRPr="000F7862">
        <w:rPr>
          <w:lang w:val="fr-FR"/>
        </w:rPr>
        <w:t>’</w:t>
      </w:r>
      <w:r w:rsidR="00DD609F" w:rsidRPr="000F7862">
        <w:rPr>
          <w:lang w:val="fr-FR"/>
        </w:rPr>
        <w:t>industrie</w:t>
      </w:r>
      <w:r w:rsidR="0086185C" w:rsidRPr="000F7862">
        <w:rPr>
          <w:lang w:val="fr-FR"/>
        </w:rPr>
        <w:t>.</w:t>
      </w:r>
      <w:r w:rsidR="00446EA5" w:rsidRPr="000F7862">
        <w:rPr>
          <w:lang w:val="fr-FR"/>
        </w:rPr>
        <w:t xml:space="preserve"> </w:t>
      </w:r>
      <w:r w:rsidR="00DD609F" w:rsidRPr="000F7862">
        <w:rPr>
          <w:lang w:val="fr-FR"/>
        </w:rPr>
        <w:t>L</w:t>
      </w:r>
      <w:r w:rsidR="00120E2E" w:rsidRPr="000F7862">
        <w:rPr>
          <w:lang w:val="fr-FR"/>
        </w:rPr>
        <w:t>’</w:t>
      </w:r>
      <w:r w:rsidR="00DD609F" w:rsidRPr="000F7862">
        <w:rPr>
          <w:lang w:val="fr-FR"/>
        </w:rPr>
        <w:t>enquête sur la population active, que l</w:t>
      </w:r>
      <w:r w:rsidR="00120E2E" w:rsidRPr="000F7862">
        <w:rPr>
          <w:lang w:val="fr-FR"/>
        </w:rPr>
        <w:t>’</w:t>
      </w:r>
      <w:r w:rsidR="00DD609F" w:rsidRPr="000F7862">
        <w:rPr>
          <w:lang w:val="fr-FR"/>
        </w:rPr>
        <w:t>on doit également au BNS, a également constaté que les enfants qui travaillaient étaient largement concentrés dans les secteurs de l</w:t>
      </w:r>
      <w:r w:rsidR="00120E2E" w:rsidRPr="000F7862">
        <w:rPr>
          <w:lang w:val="fr-FR"/>
        </w:rPr>
        <w:t>’</w:t>
      </w:r>
      <w:r w:rsidR="00DD609F" w:rsidRPr="000F7862">
        <w:rPr>
          <w:lang w:val="fr-FR"/>
        </w:rPr>
        <w:t>agriculture et des services et les moins nombreux dans l</w:t>
      </w:r>
      <w:r w:rsidR="00120E2E" w:rsidRPr="000F7862">
        <w:rPr>
          <w:lang w:val="fr-FR"/>
        </w:rPr>
        <w:t>’</w:t>
      </w:r>
      <w:r w:rsidR="00DD609F" w:rsidRPr="000F7862">
        <w:rPr>
          <w:lang w:val="fr-FR"/>
        </w:rPr>
        <w:t>industrie</w:t>
      </w:r>
      <w:r w:rsidR="0086185C" w:rsidRPr="000F7862">
        <w:rPr>
          <w:lang w:val="fr-FR"/>
        </w:rPr>
        <w:t>.</w:t>
      </w:r>
      <w:r w:rsidR="00446EA5" w:rsidRPr="000F7862">
        <w:rPr>
          <w:lang w:val="fr-FR"/>
        </w:rPr>
        <w:t xml:space="preserve"> </w:t>
      </w:r>
    </w:p>
    <w:p w:rsidR="0086185C" w:rsidRPr="000F7862" w:rsidRDefault="00A92F14" w:rsidP="00A92F14">
      <w:pPr>
        <w:pStyle w:val="H23G"/>
        <w:rPr>
          <w:lang w:val="fr-FR"/>
        </w:rPr>
      </w:pPr>
      <w:r w:rsidRPr="000F7862">
        <w:rPr>
          <w:lang w:val="fr-FR"/>
        </w:rPr>
        <w:tab/>
      </w:r>
      <w:r w:rsidRPr="000F7862">
        <w:rPr>
          <w:lang w:val="fr-FR"/>
        </w:rPr>
        <w:tab/>
      </w:r>
      <w:r w:rsidR="00DD609F" w:rsidRPr="000F7862">
        <w:rPr>
          <w:lang w:val="fr-FR"/>
        </w:rPr>
        <w:t>Initiatives tendant à l</w:t>
      </w:r>
      <w:r w:rsidR="00120E2E" w:rsidRPr="000F7862">
        <w:rPr>
          <w:lang w:val="fr-FR"/>
        </w:rPr>
        <w:t>’</w:t>
      </w:r>
      <w:r w:rsidR="00DD609F" w:rsidRPr="000F7862">
        <w:rPr>
          <w:lang w:val="fr-FR"/>
        </w:rPr>
        <w:t xml:space="preserve">élimination de la pauvreté </w:t>
      </w:r>
    </w:p>
    <w:p w:rsidR="0086185C" w:rsidRPr="000F7862" w:rsidRDefault="003F7F57" w:rsidP="003F7F57">
      <w:pPr>
        <w:pStyle w:val="SingleTxtG"/>
        <w:rPr>
          <w:lang w:val="fr-FR"/>
        </w:rPr>
      </w:pPr>
      <w:r w:rsidRPr="000F7862">
        <w:rPr>
          <w:lang w:val="fr-FR"/>
        </w:rPr>
        <w:t>177.</w:t>
      </w:r>
      <w:r w:rsidRPr="000F7862">
        <w:rPr>
          <w:lang w:val="fr-FR"/>
        </w:rPr>
        <w:tab/>
      </w:r>
      <w:r w:rsidR="00D53787" w:rsidRPr="000F7862">
        <w:rPr>
          <w:lang w:val="fr-FR"/>
        </w:rPr>
        <w:t>Le</w:t>
      </w:r>
      <w:r w:rsidR="0086185C" w:rsidRPr="000F7862">
        <w:rPr>
          <w:lang w:val="fr-FR"/>
        </w:rPr>
        <w:t xml:space="preserve"> </w:t>
      </w:r>
      <w:r w:rsidR="00D53787" w:rsidRPr="000F7862">
        <w:rPr>
          <w:lang w:val="fr-FR"/>
        </w:rPr>
        <w:t>Ministère de la protection sociale et du développement recou</w:t>
      </w:r>
      <w:r w:rsidR="00EB1DAC" w:rsidRPr="000F7862">
        <w:rPr>
          <w:lang w:val="fr-FR"/>
        </w:rPr>
        <w:t xml:space="preserve">rt à une stratégie convergente </w:t>
      </w:r>
      <w:r w:rsidR="00D53787" w:rsidRPr="000F7862">
        <w:rPr>
          <w:lang w:val="fr-FR"/>
        </w:rPr>
        <w:t xml:space="preserve">pour harmoniser ses programmes de réduction de la pauvreté – le programme de transfert monétaire assorti de conditions </w:t>
      </w:r>
      <w:r w:rsidR="00D53787" w:rsidRPr="000F7862">
        <w:rPr>
          <w:iCs/>
          <w:lang w:val="fr-FR"/>
        </w:rPr>
        <w:t>(Pantawid Pamilya),</w:t>
      </w:r>
      <w:r w:rsidR="00D53787" w:rsidRPr="000F7862">
        <w:rPr>
          <w:lang w:val="fr-FR"/>
        </w:rPr>
        <w:t xml:space="preserve"> le programme global</w:t>
      </w:r>
      <w:r w:rsidR="00EB1DAC" w:rsidRPr="000F7862">
        <w:rPr>
          <w:lang w:val="fr-FR"/>
        </w:rPr>
        <w:t xml:space="preserve"> et intégré</w:t>
      </w:r>
      <w:r w:rsidR="00D53787" w:rsidRPr="000F7862">
        <w:rPr>
          <w:lang w:val="fr-FR"/>
        </w:rPr>
        <w:t xml:space="preserve"> (Kapit-Bisig Laban sa Kashirapan)</w:t>
      </w:r>
      <w:r w:rsidR="00D53787" w:rsidRPr="000F7862">
        <w:rPr>
          <w:i/>
          <w:lang w:val="fr-FR"/>
        </w:rPr>
        <w:t xml:space="preserve"> </w:t>
      </w:r>
      <w:r w:rsidR="00D53787" w:rsidRPr="000F7862">
        <w:rPr>
          <w:lang w:val="fr-FR"/>
        </w:rPr>
        <w:t>de services sociaux (KALAHI-CIDDS),</w:t>
      </w:r>
      <w:r w:rsidR="0005004C" w:rsidRPr="000F7862">
        <w:rPr>
          <w:lang w:val="fr-FR"/>
        </w:rPr>
        <w:t xml:space="preserve"> </w:t>
      </w:r>
      <w:r w:rsidR="00D53787" w:rsidRPr="000F7862">
        <w:rPr>
          <w:lang w:val="fr-FR"/>
        </w:rPr>
        <w:t xml:space="preserve">ainsi que le programme des moyens de subsistance durables. </w:t>
      </w:r>
      <w:r w:rsidR="00674F52" w:rsidRPr="000F7862">
        <w:rPr>
          <w:lang w:val="fr-FR"/>
        </w:rPr>
        <w:t>Grâce à l</w:t>
      </w:r>
      <w:r w:rsidR="00120E2E" w:rsidRPr="000F7862">
        <w:rPr>
          <w:lang w:val="fr-FR"/>
        </w:rPr>
        <w:t>’</w:t>
      </w:r>
      <w:r w:rsidR="00EB1DAC" w:rsidRPr="000F7862">
        <w:rPr>
          <w:lang w:val="fr-FR"/>
        </w:rPr>
        <w:t xml:space="preserve">identification des </w:t>
      </w:r>
      <w:r w:rsidR="00FD28CB" w:rsidRPr="000F7862">
        <w:rPr>
          <w:lang w:val="fr-FR"/>
        </w:rPr>
        <w:t>personnes démunies</w:t>
      </w:r>
      <w:r w:rsidR="00D53787" w:rsidRPr="000F7862">
        <w:rPr>
          <w:lang w:val="fr-FR"/>
        </w:rPr>
        <w:t xml:space="preserve"> et </w:t>
      </w:r>
      <w:r w:rsidR="00674F52" w:rsidRPr="000F7862">
        <w:rPr>
          <w:lang w:val="fr-FR"/>
        </w:rPr>
        <w:t xml:space="preserve">à </w:t>
      </w:r>
      <w:r w:rsidR="00D53787" w:rsidRPr="000F7862">
        <w:rPr>
          <w:lang w:val="fr-FR"/>
        </w:rPr>
        <w:t>leur localisation par le biais du projet de lutte contre la pauvreté lié au Système national d</w:t>
      </w:r>
      <w:r w:rsidR="00120E2E" w:rsidRPr="000F7862">
        <w:rPr>
          <w:lang w:val="fr-FR"/>
        </w:rPr>
        <w:t>’</w:t>
      </w:r>
      <w:r w:rsidR="00D53787" w:rsidRPr="000F7862">
        <w:rPr>
          <w:lang w:val="fr-FR"/>
        </w:rPr>
        <w:t>identification des ménages, la maximisation des ressources et la prestation efficiente de services efficaces aux populations marginalisées ont dès lors été perçues comme des objectifs réalisables</w:t>
      </w:r>
      <w:r w:rsidR="0086185C" w:rsidRPr="000F7862">
        <w:rPr>
          <w:lang w:val="fr-FR"/>
        </w:rPr>
        <w:t>.</w:t>
      </w:r>
    </w:p>
    <w:p w:rsidR="0086185C" w:rsidRPr="000F7862" w:rsidRDefault="00A92F14" w:rsidP="00A92F14">
      <w:pPr>
        <w:pStyle w:val="H23G"/>
        <w:rPr>
          <w:lang w:val="fr-FR"/>
        </w:rPr>
      </w:pPr>
      <w:r w:rsidRPr="000F7862">
        <w:rPr>
          <w:lang w:val="fr-FR"/>
        </w:rPr>
        <w:tab/>
      </w:r>
      <w:r w:rsidRPr="000F7862">
        <w:rPr>
          <w:lang w:val="fr-FR"/>
        </w:rPr>
        <w:tab/>
      </w:r>
      <w:r w:rsidR="009D25F7" w:rsidRPr="000F7862">
        <w:rPr>
          <w:lang w:val="fr-FR"/>
        </w:rPr>
        <w:t>Programme Pantawid Pamilya</w:t>
      </w:r>
    </w:p>
    <w:p w:rsidR="0086185C" w:rsidRPr="000F7862" w:rsidRDefault="003F7F57" w:rsidP="003F7F57">
      <w:pPr>
        <w:pStyle w:val="SingleTxtG"/>
        <w:rPr>
          <w:lang w:val="fr-FR"/>
        </w:rPr>
      </w:pPr>
      <w:r w:rsidRPr="000F7862">
        <w:rPr>
          <w:lang w:val="fr-FR"/>
        </w:rPr>
        <w:t>178.</w:t>
      </w:r>
      <w:r w:rsidRPr="000F7862">
        <w:rPr>
          <w:lang w:val="fr-FR"/>
        </w:rPr>
        <w:tab/>
      </w:r>
      <w:r w:rsidR="0086185C" w:rsidRPr="000F7862">
        <w:rPr>
          <w:lang w:val="fr-FR"/>
        </w:rPr>
        <w:t>A</w:t>
      </w:r>
      <w:r w:rsidR="009D25F7" w:rsidRPr="000F7862">
        <w:rPr>
          <w:lang w:val="fr-FR"/>
        </w:rPr>
        <w:t xml:space="preserve">u </w:t>
      </w:r>
      <w:r w:rsidR="0086185C" w:rsidRPr="000F7862">
        <w:rPr>
          <w:lang w:val="fr-FR"/>
        </w:rPr>
        <w:t xml:space="preserve">31 </w:t>
      </w:r>
      <w:r w:rsidR="009D25F7" w:rsidRPr="000F7862">
        <w:rPr>
          <w:lang w:val="fr-FR"/>
        </w:rPr>
        <w:t xml:space="preserve">mars </w:t>
      </w:r>
      <w:r w:rsidR="0086185C" w:rsidRPr="000F7862">
        <w:rPr>
          <w:lang w:val="fr-FR"/>
        </w:rPr>
        <w:t xml:space="preserve">2013, </w:t>
      </w:r>
      <w:r w:rsidR="009D25F7" w:rsidRPr="000F7862">
        <w:rPr>
          <w:lang w:val="fr-FR"/>
        </w:rPr>
        <w:t xml:space="preserve">le nombre </w:t>
      </w:r>
      <w:r w:rsidR="0086185C" w:rsidRPr="000F7862">
        <w:rPr>
          <w:lang w:val="fr-FR"/>
        </w:rPr>
        <w:t xml:space="preserve">total </w:t>
      </w:r>
      <w:r w:rsidR="009D25F7" w:rsidRPr="000F7862">
        <w:rPr>
          <w:lang w:val="fr-FR"/>
        </w:rPr>
        <w:t xml:space="preserve">de ménages enregistrés </w:t>
      </w:r>
      <w:r w:rsidR="0086185C" w:rsidRPr="000F7862">
        <w:rPr>
          <w:lang w:val="fr-FR"/>
        </w:rPr>
        <w:t>(</w:t>
      </w:r>
      <w:r w:rsidR="009D25F7" w:rsidRPr="000F7862">
        <w:rPr>
          <w:lang w:val="fr-FR"/>
        </w:rPr>
        <w:t xml:space="preserve">depuis la mise à exécution du programme en </w:t>
      </w:r>
      <w:r w:rsidR="0086185C" w:rsidRPr="000F7862">
        <w:rPr>
          <w:lang w:val="fr-FR"/>
        </w:rPr>
        <w:t xml:space="preserve">2007) </w:t>
      </w:r>
      <w:r w:rsidR="009D25F7" w:rsidRPr="000F7862">
        <w:rPr>
          <w:lang w:val="fr-FR"/>
        </w:rPr>
        <w:t xml:space="preserve">atteignait </w:t>
      </w:r>
      <w:r w:rsidR="0086185C" w:rsidRPr="000F7862">
        <w:rPr>
          <w:lang w:val="fr-FR"/>
        </w:rPr>
        <w:t>3</w:t>
      </w:r>
      <w:r w:rsidR="009D25F7" w:rsidRPr="000F7862">
        <w:rPr>
          <w:lang w:val="fr-FR"/>
        </w:rPr>
        <w:t> </w:t>
      </w:r>
      <w:r w:rsidR="0086185C" w:rsidRPr="000F7862">
        <w:rPr>
          <w:lang w:val="fr-FR"/>
        </w:rPr>
        <w:t>967</w:t>
      </w:r>
      <w:r w:rsidR="009D25F7" w:rsidRPr="000F7862">
        <w:rPr>
          <w:lang w:val="fr-FR"/>
        </w:rPr>
        <w:t> </w:t>
      </w:r>
      <w:r w:rsidR="0086185C" w:rsidRPr="000F7862">
        <w:rPr>
          <w:lang w:val="fr-FR"/>
        </w:rPr>
        <w:t>517</w:t>
      </w:r>
      <w:r w:rsidR="009D25F7" w:rsidRPr="000F7862">
        <w:rPr>
          <w:lang w:val="fr-FR"/>
        </w:rPr>
        <w:t xml:space="preserve">, soit </w:t>
      </w:r>
      <w:r w:rsidR="0086185C" w:rsidRPr="000F7862">
        <w:rPr>
          <w:lang w:val="fr-FR"/>
        </w:rPr>
        <w:t>104</w:t>
      </w:r>
      <w:r w:rsidR="009D25F7" w:rsidRPr="000F7862">
        <w:rPr>
          <w:lang w:val="fr-FR"/>
        </w:rPr>
        <w:t>,</w:t>
      </w:r>
      <w:r w:rsidR="0086185C" w:rsidRPr="000F7862">
        <w:rPr>
          <w:lang w:val="fr-FR"/>
        </w:rPr>
        <w:t>14</w:t>
      </w:r>
      <w:r w:rsidR="00DC1196" w:rsidRPr="000F7862">
        <w:rPr>
          <w:lang w:val="fr-FR"/>
        </w:rPr>
        <w:t> %</w:t>
      </w:r>
      <w:r w:rsidR="0086185C" w:rsidRPr="000F7862">
        <w:rPr>
          <w:lang w:val="fr-FR"/>
        </w:rPr>
        <w:t xml:space="preserve"> </w:t>
      </w:r>
      <w:r w:rsidR="009D25F7" w:rsidRPr="000F7862">
        <w:rPr>
          <w:lang w:val="fr-FR"/>
        </w:rPr>
        <w:t>des 3</w:t>
      </w:r>
      <w:r w:rsidR="00A92F14" w:rsidRPr="000F7862">
        <w:rPr>
          <w:lang w:val="fr-FR"/>
        </w:rPr>
        <w:t> </w:t>
      </w:r>
      <w:r w:rsidR="0086185C" w:rsidRPr="000F7862">
        <w:rPr>
          <w:lang w:val="fr-FR"/>
        </w:rPr>
        <w:t>809</w:t>
      </w:r>
      <w:r w:rsidR="00A92F14" w:rsidRPr="000F7862">
        <w:rPr>
          <w:lang w:val="fr-FR"/>
        </w:rPr>
        <w:t> </w:t>
      </w:r>
      <w:r w:rsidR="0086185C" w:rsidRPr="000F7862">
        <w:rPr>
          <w:lang w:val="fr-FR"/>
        </w:rPr>
        <w:t xml:space="preserve">769 </w:t>
      </w:r>
      <w:r w:rsidR="009D25F7" w:rsidRPr="000F7862">
        <w:rPr>
          <w:lang w:val="fr-FR"/>
        </w:rPr>
        <w:t xml:space="preserve">ménages cibles des groupes 1 à 6 pour </w:t>
      </w:r>
      <w:r w:rsidR="0086185C" w:rsidRPr="000F7862">
        <w:rPr>
          <w:lang w:val="fr-FR"/>
        </w:rPr>
        <w:t xml:space="preserve">2013. </w:t>
      </w:r>
      <w:r w:rsidR="009D25F7" w:rsidRPr="000F7862">
        <w:rPr>
          <w:lang w:val="fr-FR"/>
        </w:rPr>
        <w:t xml:space="preserve">Comme le montre la figure </w:t>
      </w:r>
      <w:r w:rsidR="0086185C" w:rsidRPr="000F7862">
        <w:rPr>
          <w:lang w:val="fr-FR"/>
        </w:rPr>
        <w:t xml:space="preserve">1 </w:t>
      </w:r>
      <w:r w:rsidR="009D25F7" w:rsidRPr="000F7862">
        <w:rPr>
          <w:lang w:val="fr-FR"/>
        </w:rPr>
        <w:t xml:space="preserve">ci-après, </w:t>
      </w:r>
      <w:r w:rsidR="0086185C" w:rsidRPr="000F7862">
        <w:rPr>
          <w:lang w:val="fr-FR"/>
        </w:rPr>
        <w:t>3</w:t>
      </w:r>
      <w:r w:rsidR="00A92F14" w:rsidRPr="000F7862">
        <w:rPr>
          <w:lang w:val="fr-FR"/>
        </w:rPr>
        <w:t> </w:t>
      </w:r>
      <w:r w:rsidR="0086185C" w:rsidRPr="000F7862">
        <w:rPr>
          <w:lang w:val="fr-FR"/>
        </w:rPr>
        <w:t>901</w:t>
      </w:r>
      <w:r w:rsidR="00A92F14" w:rsidRPr="000F7862">
        <w:rPr>
          <w:lang w:val="fr-FR"/>
        </w:rPr>
        <w:t> </w:t>
      </w:r>
      <w:r w:rsidR="0086185C" w:rsidRPr="000F7862">
        <w:rPr>
          <w:lang w:val="fr-FR"/>
        </w:rPr>
        <w:t xml:space="preserve">017 </w:t>
      </w:r>
      <w:r w:rsidR="009D25F7" w:rsidRPr="000F7862">
        <w:rPr>
          <w:lang w:val="fr-FR"/>
        </w:rPr>
        <w:t xml:space="preserve">ménages sont couverts par le programme </w:t>
      </w:r>
      <w:r w:rsidR="0086185C" w:rsidRPr="000F7862">
        <w:rPr>
          <w:lang w:val="fr-FR"/>
        </w:rPr>
        <w:t xml:space="preserve">Pantawid Pamilya </w:t>
      </w:r>
      <w:r w:rsidR="009D25F7" w:rsidRPr="000F7862">
        <w:rPr>
          <w:lang w:val="fr-FR"/>
        </w:rPr>
        <w:t xml:space="preserve">ordinaire, tandis que </w:t>
      </w:r>
      <w:r w:rsidR="0086185C" w:rsidRPr="000F7862">
        <w:rPr>
          <w:lang w:val="fr-FR"/>
        </w:rPr>
        <w:t>66</w:t>
      </w:r>
      <w:r w:rsidR="00542D9C" w:rsidRPr="000F7862">
        <w:rPr>
          <w:lang w:val="fr-FR"/>
        </w:rPr>
        <w:t> </w:t>
      </w:r>
      <w:r w:rsidR="0086185C" w:rsidRPr="000F7862">
        <w:rPr>
          <w:lang w:val="fr-FR"/>
        </w:rPr>
        <w:t xml:space="preserve">500 </w:t>
      </w:r>
      <w:r w:rsidR="009D25F7" w:rsidRPr="000F7862">
        <w:rPr>
          <w:lang w:val="fr-FR"/>
        </w:rPr>
        <w:t xml:space="preserve">le sont par le programme Pantawid de transfert monétaire assorti de conditions modifié </w:t>
      </w:r>
      <w:r w:rsidR="0086185C" w:rsidRPr="000F7862">
        <w:rPr>
          <w:lang w:val="fr-FR"/>
        </w:rPr>
        <w:t>(MCCT).</w:t>
      </w:r>
    </w:p>
    <w:p w:rsidR="0086185C" w:rsidRPr="000F7862" w:rsidRDefault="00A92F14" w:rsidP="00A92F14">
      <w:pPr>
        <w:pStyle w:val="H23G"/>
        <w:rPr>
          <w:lang w:val="fr-FR"/>
        </w:rPr>
      </w:pPr>
      <w:r w:rsidRPr="000F7862">
        <w:rPr>
          <w:lang w:val="fr-FR"/>
        </w:rPr>
        <w:tab/>
      </w:r>
      <w:r w:rsidRPr="000F7862">
        <w:rPr>
          <w:lang w:val="fr-FR"/>
        </w:rPr>
        <w:tab/>
      </w:r>
      <w:r w:rsidR="009D25F7" w:rsidRPr="000F7862">
        <w:rPr>
          <w:lang w:val="fr-FR"/>
        </w:rPr>
        <w:t xml:space="preserve">Statistiques de base </w:t>
      </w:r>
      <w:r w:rsidR="003C1898" w:rsidRPr="000F7862">
        <w:rPr>
          <w:lang w:val="fr-FR"/>
        </w:rPr>
        <w:t>concernant l</w:t>
      </w:r>
      <w:r w:rsidR="00120E2E" w:rsidRPr="000F7862">
        <w:rPr>
          <w:lang w:val="fr-FR"/>
        </w:rPr>
        <w:t>’</w:t>
      </w:r>
      <w:r w:rsidR="003C1898" w:rsidRPr="000F7862">
        <w:rPr>
          <w:lang w:val="fr-FR"/>
        </w:rPr>
        <w:t xml:space="preserve">exécution du programme </w:t>
      </w:r>
      <w:r w:rsidR="0086185C" w:rsidRPr="000F7862">
        <w:rPr>
          <w:lang w:val="fr-FR"/>
        </w:rPr>
        <w:t>Pantawid Pamilya</w:t>
      </w:r>
      <w:r w:rsidR="003C1898" w:rsidRPr="000F7862">
        <w:rPr>
          <w:lang w:val="fr-FR"/>
        </w:rPr>
        <w:t xml:space="preserve"> </w:t>
      </w:r>
    </w:p>
    <w:p w:rsidR="0086185C" w:rsidRPr="000F7862" w:rsidRDefault="003F7F57" w:rsidP="003F7F57">
      <w:pPr>
        <w:pStyle w:val="SingleTxtG"/>
        <w:rPr>
          <w:lang w:val="fr-FR"/>
        </w:rPr>
      </w:pPr>
      <w:r w:rsidRPr="000F7862">
        <w:rPr>
          <w:lang w:val="fr-FR"/>
        </w:rPr>
        <w:t>179.</w:t>
      </w:r>
      <w:r w:rsidRPr="000F7862">
        <w:rPr>
          <w:lang w:val="fr-FR"/>
        </w:rPr>
        <w:tab/>
      </w:r>
      <w:r w:rsidR="003C1898" w:rsidRPr="000F7862">
        <w:rPr>
          <w:lang w:val="fr-FR"/>
        </w:rPr>
        <w:t>Couverture géographique</w:t>
      </w:r>
      <w:r w:rsidR="0005004C" w:rsidRPr="000F7862">
        <w:rPr>
          <w:lang w:val="fr-FR"/>
        </w:rPr>
        <w:t>:</w:t>
      </w:r>
      <w:r w:rsidR="0086185C" w:rsidRPr="000F7862">
        <w:rPr>
          <w:lang w:val="fr-FR"/>
        </w:rPr>
        <w:t xml:space="preserve"> 1</w:t>
      </w:r>
      <w:r w:rsidR="00A92F14" w:rsidRPr="000F7862">
        <w:rPr>
          <w:lang w:val="fr-FR"/>
        </w:rPr>
        <w:t> </w:t>
      </w:r>
      <w:r w:rsidR="0086185C" w:rsidRPr="000F7862">
        <w:rPr>
          <w:lang w:val="fr-FR"/>
        </w:rPr>
        <w:t xml:space="preserve">627 </w:t>
      </w:r>
      <w:r w:rsidR="003C1898" w:rsidRPr="000F7862">
        <w:rPr>
          <w:lang w:val="fr-FR"/>
        </w:rPr>
        <w:t xml:space="preserve">villes et </w:t>
      </w:r>
      <w:r w:rsidR="0086185C" w:rsidRPr="000F7862">
        <w:rPr>
          <w:lang w:val="fr-FR"/>
        </w:rPr>
        <w:t>municipalit</w:t>
      </w:r>
      <w:r w:rsidR="003C1898" w:rsidRPr="000F7862">
        <w:rPr>
          <w:lang w:val="fr-FR"/>
        </w:rPr>
        <w:t>é</w:t>
      </w:r>
      <w:r w:rsidR="0086185C" w:rsidRPr="000F7862">
        <w:rPr>
          <w:lang w:val="fr-FR"/>
        </w:rPr>
        <w:t xml:space="preserve">s </w:t>
      </w:r>
      <w:r w:rsidR="003C1898" w:rsidRPr="000F7862">
        <w:rPr>
          <w:lang w:val="fr-FR"/>
        </w:rPr>
        <w:t>de</w:t>
      </w:r>
      <w:r w:rsidR="0086185C" w:rsidRPr="000F7862">
        <w:rPr>
          <w:lang w:val="fr-FR"/>
        </w:rPr>
        <w:t xml:space="preserve"> 79 provinces </w:t>
      </w:r>
      <w:r w:rsidR="003C1898" w:rsidRPr="000F7862">
        <w:rPr>
          <w:lang w:val="fr-FR"/>
        </w:rPr>
        <w:t xml:space="preserve">des </w:t>
      </w:r>
      <w:r w:rsidR="00A92F14" w:rsidRPr="000F7862">
        <w:rPr>
          <w:lang w:val="fr-FR"/>
        </w:rPr>
        <w:t>17 </w:t>
      </w:r>
      <w:r w:rsidR="0086185C" w:rsidRPr="000F7862">
        <w:rPr>
          <w:lang w:val="fr-FR"/>
        </w:rPr>
        <w:t>r</w:t>
      </w:r>
      <w:r w:rsidR="003C1898" w:rsidRPr="000F7862">
        <w:rPr>
          <w:lang w:val="fr-FR"/>
        </w:rPr>
        <w:t>é</w:t>
      </w:r>
      <w:r w:rsidR="0086185C" w:rsidRPr="000F7862">
        <w:rPr>
          <w:lang w:val="fr-FR"/>
        </w:rPr>
        <w:t xml:space="preserve">gions </w:t>
      </w:r>
    </w:p>
    <w:p w:rsidR="0086185C" w:rsidRPr="000F7862" w:rsidRDefault="007B2B6C" w:rsidP="001C088C">
      <w:pPr>
        <w:pStyle w:val="H23G"/>
        <w:rPr>
          <w:lang w:val="fr-FR"/>
        </w:rPr>
      </w:pPr>
      <w:r w:rsidRPr="000F7862">
        <w:rPr>
          <w:lang w:val="fr-FR"/>
        </w:rPr>
        <w:tab/>
      </w:r>
      <w:r w:rsidRPr="000F7862">
        <w:rPr>
          <w:lang w:val="fr-FR"/>
        </w:rPr>
        <w:tab/>
      </w:r>
      <w:r w:rsidR="0086185C" w:rsidRPr="000F7862">
        <w:rPr>
          <w:b w:val="0"/>
          <w:bCs/>
          <w:lang w:val="fr-FR"/>
        </w:rPr>
        <w:t>Figure 1</w:t>
      </w:r>
      <w:r w:rsidRPr="000F7862">
        <w:rPr>
          <w:b w:val="0"/>
          <w:bCs/>
          <w:lang w:val="fr-FR"/>
        </w:rPr>
        <w:br/>
      </w:r>
      <w:r w:rsidR="003C1898" w:rsidRPr="000F7862">
        <w:rPr>
          <w:lang w:val="fr-FR"/>
        </w:rPr>
        <w:t xml:space="preserve">Bénéficiaires du </w:t>
      </w:r>
      <w:r w:rsidR="0086185C" w:rsidRPr="000F7862">
        <w:rPr>
          <w:lang w:val="fr-FR"/>
        </w:rPr>
        <w:t xml:space="preserve">Pantawid Pamilya </w:t>
      </w:r>
      <w:r w:rsidR="003C1898" w:rsidRPr="000F7862">
        <w:rPr>
          <w:lang w:val="fr-FR"/>
        </w:rPr>
        <w:t xml:space="preserve">ordinaire et du </w:t>
      </w:r>
      <w:r w:rsidR="0086185C" w:rsidRPr="000F7862">
        <w:rPr>
          <w:lang w:val="fr-FR"/>
        </w:rPr>
        <w:t xml:space="preserve">Pantawid Pamilya </w:t>
      </w:r>
      <w:r w:rsidR="003C1898" w:rsidRPr="000F7862">
        <w:rPr>
          <w:lang w:val="fr-FR"/>
        </w:rPr>
        <w:t>modifié (</w:t>
      </w:r>
      <w:r w:rsidR="0086185C" w:rsidRPr="000F7862">
        <w:rPr>
          <w:lang w:val="fr-FR"/>
        </w:rPr>
        <w:t>MCCT</w:t>
      </w:r>
      <w:r w:rsidR="003C1898" w:rsidRPr="000F7862">
        <w:rPr>
          <w:lang w:val="fr-FR"/>
        </w:rPr>
        <w:t>)</w:t>
      </w:r>
    </w:p>
    <w:p w:rsidR="00F42A12" w:rsidRPr="000F7862" w:rsidRDefault="00EE23FE" w:rsidP="00F42A12">
      <w:pPr>
        <w:ind w:left="1134"/>
        <w:rPr>
          <w:lang w:val="fr-FR"/>
        </w:rPr>
      </w:pPr>
      <w:r w:rsidRPr="000F7862">
        <w:rPr>
          <w:lang w:val="fr-FR"/>
        </w:rPr>
        <w:pict>
          <v:shapetype id="_x0000_t202" coordsize="21600,21600" o:spt="202" path="m,l,21600r21600,l21600,xe">
            <v:stroke joinstyle="miter"/>
            <v:path gradientshapeok="t" o:connecttype="rect"/>
          </v:shapetype>
          <v:shape id="_x0000_s1032" type="#_x0000_t202" style="position:absolute;left:0;text-align:left;margin-left:248.85pt;margin-top:88.2pt;width:87.25pt;height:30.15pt;z-index:2" stroked="f">
            <v:textbox style="mso-next-textbox:#_x0000_s1032" inset="0,0,0,0">
              <w:txbxContent>
                <w:p w:rsidR="00BE781D" w:rsidRPr="00DF2FB9" w:rsidRDefault="00BE781D" w:rsidP="00EE23FE">
                  <w:pPr>
                    <w:spacing w:after="100" w:line="180" w:lineRule="exact"/>
                    <w:rPr>
                      <w:sz w:val="14"/>
                      <w:szCs w:val="14"/>
                      <w:lang w:val="fr-FR"/>
                    </w:rPr>
                  </w:pPr>
                  <w:r w:rsidRPr="00DF2FB9">
                    <w:rPr>
                      <w:sz w:val="14"/>
                      <w:szCs w:val="14"/>
                      <w:lang w:val="fr-FR"/>
                    </w:rPr>
                    <w:t>Pantawid Pamilya ordinaire</w:t>
                  </w:r>
                </w:p>
                <w:p w:rsidR="00BE781D" w:rsidRPr="00DF2FB9" w:rsidRDefault="00BE781D" w:rsidP="00C21147">
                  <w:pPr>
                    <w:spacing w:line="180" w:lineRule="exact"/>
                    <w:rPr>
                      <w:sz w:val="14"/>
                      <w:szCs w:val="14"/>
                      <w:lang w:val="fr-FR"/>
                    </w:rPr>
                  </w:pPr>
                  <w:r w:rsidRPr="00DF2FB9">
                    <w:rPr>
                      <w:sz w:val="14"/>
                      <w:szCs w:val="14"/>
                      <w:lang w:val="fr-FR"/>
                    </w:rPr>
                    <w:t>MCCT</w:t>
                  </w:r>
                </w:p>
              </w:txbxContent>
            </v:textbox>
          </v:shape>
        </w:pict>
      </w:r>
      <w:r w:rsidRPr="000F7862">
        <w:rPr>
          <w:lang w:val="fr-FR"/>
        </w:rPr>
        <w:pict>
          <v:shape id="_x0000_s1033" type="#_x0000_t202" style="position:absolute;left:0;text-align:left;margin-left:122.7pt;margin-top:4.6pt;width:38.35pt;height:20.6pt;z-index:3" stroked="f">
            <v:textbox style="mso-next-textbox:#_x0000_s1033" inset="0,0,0,0">
              <w:txbxContent>
                <w:p w:rsidR="00BE781D" w:rsidRDefault="00BE781D" w:rsidP="00C21147">
                  <w:pPr>
                    <w:spacing w:line="220" w:lineRule="exact"/>
                    <w:jc w:val="center"/>
                    <w:rPr>
                      <w:b/>
                      <w:sz w:val="16"/>
                      <w:szCs w:val="16"/>
                    </w:rPr>
                  </w:pPr>
                  <w:r>
                    <w:rPr>
                      <w:b/>
                      <w:sz w:val="16"/>
                      <w:szCs w:val="16"/>
                    </w:rPr>
                    <w:t>66 </w:t>
                  </w:r>
                  <w:r w:rsidRPr="0008068C">
                    <w:rPr>
                      <w:b/>
                      <w:sz w:val="16"/>
                      <w:szCs w:val="16"/>
                    </w:rPr>
                    <w:t>500</w:t>
                  </w:r>
                </w:p>
                <w:p w:rsidR="00BE781D" w:rsidRPr="0008068C" w:rsidRDefault="00BE781D" w:rsidP="00F42A12">
                  <w:pPr>
                    <w:spacing w:line="180" w:lineRule="exact"/>
                    <w:jc w:val="center"/>
                    <w:rPr>
                      <w:b/>
                      <w:sz w:val="16"/>
                      <w:szCs w:val="16"/>
                    </w:rPr>
                  </w:pPr>
                  <w:r w:rsidRPr="0008068C">
                    <w:rPr>
                      <w:b/>
                      <w:sz w:val="16"/>
                      <w:szCs w:val="16"/>
                    </w:rPr>
                    <w:t>(1,7</w:t>
                  </w:r>
                  <w:r>
                    <w:rPr>
                      <w:b/>
                      <w:sz w:val="16"/>
                      <w:szCs w:val="16"/>
                    </w:rPr>
                    <w:t> </w:t>
                  </w:r>
                  <w:r w:rsidRPr="0008068C">
                    <w:rPr>
                      <w:b/>
                      <w:sz w:val="16"/>
                      <w:szCs w:val="16"/>
                    </w:rPr>
                    <w:t>%)</w:t>
                  </w:r>
                </w:p>
              </w:txbxContent>
            </v:textbox>
          </v:shape>
        </w:pict>
      </w:r>
      <w:r w:rsidRPr="000F7862">
        <w:rPr>
          <w:lang w:val="fr-FR"/>
        </w:rPr>
        <w:pict>
          <v:shape id="_x0000_s1034" type="#_x0000_t202" style="position:absolute;left:0;text-align:left;margin-left:201.25pt;margin-top:149.7pt;width:40.2pt;height:23.55pt;z-index:4" stroked="f">
            <v:textbox style="mso-next-textbox:#_x0000_s1034" inset="0,0,0,0">
              <w:txbxContent>
                <w:p w:rsidR="00BE781D" w:rsidRDefault="00BE781D" w:rsidP="00E87176">
                  <w:pPr>
                    <w:spacing w:line="220" w:lineRule="exact"/>
                    <w:jc w:val="center"/>
                    <w:rPr>
                      <w:b/>
                      <w:sz w:val="16"/>
                      <w:szCs w:val="16"/>
                    </w:rPr>
                  </w:pPr>
                  <w:r>
                    <w:rPr>
                      <w:b/>
                      <w:sz w:val="16"/>
                      <w:szCs w:val="16"/>
                    </w:rPr>
                    <w:t>3 901 </w:t>
                  </w:r>
                  <w:r w:rsidRPr="0008068C">
                    <w:rPr>
                      <w:b/>
                      <w:sz w:val="16"/>
                      <w:szCs w:val="16"/>
                    </w:rPr>
                    <w:t>017</w:t>
                  </w:r>
                </w:p>
                <w:p w:rsidR="00BE781D" w:rsidRPr="0008068C" w:rsidRDefault="00BE781D" w:rsidP="00E87176">
                  <w:pPr>
                    <w:spacing w:line="220" w:lineRule="exact"/>
                    <w:jc w:val="center"/>
                    <w:rPr>
                      <w:b/>
                      <w:sz w:val="16"/>
                      <w:szCs w:val="16"/>
                    </w:rPr>
                  </w:pPr>
                  <w:r w:rsidRPr="0008068C">
                    <w:rPr>
                      <w:b/>
                      <w:sz w:val="16"/>
                      <w:szCs w:val="16"/>
                    </w:rPr>
                    <w:t>(98,3</w:t>
                  </w:r>
                  <w:r>
                    <w:rPr>
                      <w:b/>
                      <w:sz w:val="16"/>
                      <w:szCs w:val="16"/>
                    </w:rPr>
                    <w:t> </w:t>
                  </w:r>
                  <w:r w:rsidRPr="0008068C">
                    <w:rPr>
                      <w:b/>
                      <w:sz w:val="16"/>
                      <w:szCs w:val="16"/>
                    </w:rPr>
                    <w:t>%)</w:t>
                  </w:r>
                </w:p>
              </w:txbxContent>
            </v:textbox>
          </v:shape>
        </w:pict>
      </w:r>
      <w:r w:rsidRPr="000F7862">
        <w:rPr>
          <w:lang w:val="fr-FR" w:eastAsia="zh-CN"/>
        </w:rPr>
        <w:pict>
          <v:shape id="Picture 44" o:spid="_x0000_i1026" type="#_x0000_t75" style="width:283.5pt;height:200.25pt;visibility:visible" o:bordertopcolor="black" o:borderleftcolor="black" o:borderbottomcolor="black" o:borderrightcolor="black">
            <v:imagedata r:id="rId19" o:title=""/>
            <w10:bordertop type="single" width="4"/>
            <w10:borderleft type="single" width="4"/>
            <w10:borderbottom type="single" width="4"/>
            <w10:borderright type="single" width="4"/>
          </v:shape>
        </w:pict>
      </w:r>
    </w:p>
    <w:p w:rsidR="00E87176" w:rsidRPr="000F7862" w:rsidRDefault="00E87176" w:rsidP="00E87176">
      <w:pPr>
        <w:pStyle w:val="H23G"/>
        <w:rPr>
          <w:lang w:val="fr-FR" w:eastAsia="en-PH"/>
        </w:rPr>
      </w:pPr>
      <w:r w:rsidRPr="000F7862">
        <w:rPr>
          <w:lang w:val="fr-FR"/>
        </w:rPr>
        <w:tab/>
      </w:r>
      <w:r w:rsidRPr="000F7862">
        <w:rPr>
          <w:lang w:val="fr-FR"/>
        </w:rPr>
        <w:tab/>
      </w:r>
      <w:r w:rsidRPr="000F7862">
        <w:rPr>
          <w:b w:val="0"/>
          <w:bCs/>
          <w:lang w:val="fr-FR"/>
        </w:rPr>
        <w:t>Figure 2</w:t>
      </w:r>
      <w:r w:rsidRPr="000F7862">
        <w:rPr>
          <w:b w:val="0"/>
          <w:bCs/>
          <w:lang w:val="fr-FR"/>
        </w:rPr>
        <w:br/>
      </w:r>
      <w:r w:rsidRPr="000F7862">
        <w:rPr>
          <w:lang w:val="fr-FR"/>
        </w:rPr>
        <w:t>Ratio des femmes chefs de ménage/hommes c</w:t>
      </w:r>
      <w:r w:rsidR="00940DCC" w:rsidRPr="000F7862">
        <w:rPr>
          <w:lang w:val="fr-FR"/>
        </w:rPr>
        <w:t>hefs de ménage bénéficiaires du </w:t>
      </w:r>
      <w:r w:rsidRPr="000F7862">
        <w:rPr>
          <w:lang w:val="fr-FR"/>
        </w:rPr>
        <w:t xml:space="preserve">Pantawid Pamilya </w:t>
      </w:r>
    </w:p>
    <w:p w:rsidR="00F42A12" w:rsidRPr="000F7862" w:rsidRDefault="00F42A12" w:rsidP="00F42A12">
      <w:pPr>
        <w:ind w:left="1134"/>
        <w:rPr>
          <w:lang w:val="fr-FR"/>
        </w:rPr>
      </w:pPr>
      <w:r w:rsidRPr="000F7862">
        <w:rPr>
          <w:b/>
          <w:lang w:val="fr-FR"/>
        </w:rPr>
        <w:pict>
          <v:shape id="_x0000_s1037" type="#_x0000_t202" style="position:absolute;left:0;text-align:left;margin-left:221.7pt;margin-top:144.6pt;width:55pt;height:21.45pt;z-index:7" stroked="f">
            <v:textbox style="mso-next-textbox:#_x0000_s1037" inset="0,0,0,0">
              <w:txbxContent>
                <w:p w:rsidR="00BE781D" w:rsidRPr="0008068C" w:rsidRDefault="00BE781D" w:rsidP="00F42A12">
                  <w:pPr>
                    <w:spacing w:line="180" w:lineRule="exact"/>
                    <w:jc w:val="center"/>
                    <w:rPr>
                      <w:b/>
                      <w:sz w:val="16"/>
                      <w:szCs w:val="16"/>
                    </w:rPr>
                  </w:pPr>
                  <w:r>
                    <w:rPr>
                      <w:b/>
                      <w:sz w:val="16"/>
                      <w:szCs w:val="16"/>
                    </w:rPr>
                    <w:t>3 574 488</w:t>
                  </w:r>
                  <w:r w:rsidRPr="0008068C">
                    <w:rPr>
                      <w:b/>
                      <w:sz w:val="16"/>
                      <w:szCs w:val="16"/>
                    </w:rPr>
                    <w:br/>
                    <w:t>(</w:t>
                  </w:r>
                  <w:r>
                    <w:rPr>
                      <w:b/>
                      <w:sz w:val="16"/>
                      <w:szCs w:val="16"/>
                    </w:rPr>
                    <w:t>91,6 </w:t>
                  </w:r>
                  <w:r w:rsidRPr="0008068C">
                    <w:rPr>
                      <w:b/>
                      <w:sz w:val="16"/>
                      <w:szCs w:val="16"/>
                    </w:rPr>
                    <w:t>%)</w:t>
                  </w:r>
                </w:p>
              </w:txbxContent>
            </v:textbox>
          </v:shape>
        </w:pict>
      </w:r>
      <w:r w:rsidRPr="000F7862">
        <w:rPr>
          <w:lang w:val="fr-FR"/>
        </w:rPr>
        <w:pict>
          <v:shape id="_x0000_s1036" type="#_x0000_t202" style="position:absolute;left:0;text-align:left;margin-left:80pt;margin-top:13.05pt;width:53.3pt;height:20.4pt;z-index:6" stroked="f">
            <v:textbox style="mso-next-textbox:#_x0000_s1036" inset="0,0,0,0">
              <w:txbxContent>
                <w:p w:rsidR="00BE781D" w:rsidRPr="0008068C" w:rsidRDefault="00BE781D" w:rsidP="00F42A12">
                  <w:pPr>
                    <w:spacing w:line="180" w:lineRule="exact"/>
                    <w:jc w:val="center"/>
                    <w:rPr>
                      <w:b/>
                      <w:sz w:val="16"/>
                      <w:szCs w:val="16"/>
                    </w:rPr>
                  </w:pPr>
                  <w:r>
                    <w:rPr>
                      <w:b/>
                      <w:sz w:val="16"/>
                      <w:szCs w:val="16"/>
                    </w:rPr>
                    <w:t>326 529</w:t>
                  </w:r>
                  <w:r w:rsidRPr="0008068C">
                    <w:rPr>
                      <w:b/>
                      <w:sz w:val="16"/>
                      <w:szCs w:val="16"/>
                    </w:rPr>
                    <w:br/>
                    <w:t>(</w:t>
                  </w:r>
                  <w:r>
                    <w:rPr>
                      <w:b/>
                      <w:sz w:val="16"/>
                      <w:szCs w:val="16"/>
                    </w:rPr>
                    <w:t>8,4 </w:t>
                  </w:r>
                  <w:r w:rsidRPr="0008068C">
                    <w:rPr>
                      <w:b/>
                      <w:sz w:val="16"/>
                      <w:szCs w:val="16"/>
                    </w:rPr>
                    <w:t>%)</w:t>
                  </w:r>
                </w:p>
              </w:txbxContent>
            </v:textbox>
          </v:shape>
        </w:pict>
      </w:r>
      <w:r w:rsidRPr="000F7862">
        <w:rPr>
          <w:lang w:val="fr-FR"/>
        </w:rPr>
        <w:pict>
          <v:shape id="_x0000_s1035" type="#_x0000_t202" style="position:absolute;left:0;text-align:left;margin-left:285pt;margin-top:79.05pt;width:55pt;height:36pt;z-index:5" stroked="f">
            <v:textbox style="mso-next-textbox:#_x0000_s1035" inset="0,0,0,0">
              <w:txbxContent>
                <w:p w:rsidR="00BE781D" w:rsidRPr="00DF2FB9" w:rsidRDefault="00BE781D" w:rsidP="00F42A12">
                  <w:pPr>
                    <w:spacing w:after="120" w:line="220" w:lineRule="exact"/>
                    <w:rPr>
                      <w:sz w:val="18"/>
                      <w:szCs w:val="18"/>
                      <w:lang w:val="fr-FR"/>
                    </w:rPr>
                  </w:pPr>
                  <w:r>
                    <w:rPr>
                      <w:sz w:val="18"/>
                      <w:szCs w:val="18"/>
                    </w:rPr>
                    <w:t>Femmes</w:t>
                  </w:r>
                </w:p>
                <w:p w:rsidR="00BE781D" w:rsidRPr="00DF2FB9" w:rsidRDefault="00BE781D" w:rsidP="005A41EF">
                  <w:pPr>
                    <w:spacing w:line="240" w:lineRule="exact"/>
                    <w:rPr>
                      <w:sz w:val="18"/>
                      <w:szCs w:val="18"/>
                      <w:lang w:val="fr-FR"/>
                    </w:rPr>
                  </w:pPr>
                  <w:r w:rsidRPr="00DF2FB9">
                    <w:rPr>
                      <w:sz w:val="18"/>
                      <w:szCs w:val="18"/>
                      <w:lang w:val="fr-FR"/>
                    </w:rPr>
                    <w:t>Hommes</w:t>
                  </w:r>
                </w:p>
              </w:txbxContent>
            </v:textbox>
          </v:shape>
        </w:pict>
      </w:r>
      <w:r w:rsidRPr="000F7862">
        <w:rPr>
          <w:lang w:val="fr-FR" w:eastAsia="zh-CN"/>
        </w:rPr>
        <w:pict>
          <v:shape id="Picture 73" o:spid="_x0000_i1027" type="#_x0000_t75" style="width:283.5pt;height:192.75pt;visibility:visible" o:bordertopcolor="black" o:borderleftcolor="black" o:borderbottomcolor="black" o:borderrightcolor="black">
            <v:imagedata r:id="rId20" o:title=""/>
            <w10:bordertop type="single" width="4"/>
            <w10:borderleft type="single" width="4"/>
            <w10:borderbottom type="single" width="4"/>
            <w10:borderright type="single" width="4"/>
          </v:shape>
        </w:pict>
      </w:r>
    </w:p>
    <w:p w:rsidR="00F42A12" w:rsidRPr="000F7862" w:rsidRDefault="005A41EF" w:rsidP="005A41EF">
      <w:pPr>
        <w:pStyle w:val="H23G"/>
        <w:rPr>
          <w:lang w:val="fr-FR"/>
        </w:rPr>
      </w:pPr>
      <w:r w:rsidRPr="000F7862">
        <w:rPr>
          <w:b w:val="0"/>
          <w:lang w:val="fr-FR"/>
        </w:rPr>
        <w:tab/>
      </w:r>
      <w:r w:rsidRPr="000F7862">
        <w:rPr>
          <w:b w:val="0"/>
          <w:lang w:val="fr-FR"/>
        </w:rPr>
        <w:tab/>
        <w:t>Figure 3</w:t>
      </w:r>
      <w:r w:rsidRPr="000F7862">
        <w:rPr>
          <w:b w:val="0"/>
          <w:lang w:val="fr-FR"/>
        </w:rPr>
        <w:br/>
      </w:r>
      <w:r w:rsidRPr="000F7862">
        <w:rPr>
          <w:lang w:val="fr-FR"/>
        </w:rPr>
        <w:t>Enfants bénéficiaires du Pantawid Pamilya par groupe d</w:t>
      </w:r>
      <w:r w:rsidR="00120E2E" w:rsidRPr="000F7862">
        <w:rPr>
          <w:lang w:val="fr-FR"/>
        </w:rPr>
        <w:t>’</w:t>
      </w:r>
      <w:r w:rsidRPr="000F7862">
        <w:rPr>
          <w:lang w:val="fr-FR"/>
        </w:rPr>
        <w:t>âges</w:t>
      </w:r>
    </w:p>
    <w:p w:rsidR="00F42A12" w:rsidRPr="000F7862" w:rsidRDefault="00F42A12" w:rsidP="00F42A12">
      <w:pPr>
        <w:ind w:left="1134"/>
        <w:rPr>
          <w:lang w:val="fr-FR"/>
        </w:rPr>
      </w:pPr>
      <w:r w:rsidRPr="000F7862">
        <w:rPr>
          <w:b/>
          <w:lang w:val="fr-FR"/>
        </w:rPr>
        <w:pict>
          <v:shape id="_x0000_s1041" type="#_x0000_t202" style="position:absolute;left:0;text-align:left;margin-left:125pt;margin-top:51.5pt;width:55pt;height:15pt;z-index:11" fillcolor="#ca4946" stroked="f">
            <v:textbox style="mso-next-textbox:#_x0000_s1041" inset="0,0,0,0">
              <w:txbxContent>
                <w:p w:rsidR="00BE781D" w:rsidRPr="005A41EF" w:rsidRDefault="00BE781D" w:rsidP="00F42A12">
                  <w:pPr>
                    <w:spacing w:before="60" w:after="200" w:line="240" w:lineRule="exact"/>
                    <w:ind w:left="57"/>
                  </w:pPr>
                  <w:r>
                    <w:t>1 955 </w:t>
                  </w:r>
                  <w:r w:rsidRPr="005A41EF">
                    <w:t>926</w:t>
                  </w:r>
                </w:p>
              </w:txbxContent>
            </v:textbox>
          </v:shape>
        </w:pict>
      </w:r>
      <w:r w:rsidRPr="000F7862">
        <w:rPr>
          <w:b/>
          <w:lang w:val="fr-FR"/>
        </w:rPr>
        <w:pict>
          <v:shape id="_x0000_s1040" type="#_x0000_t202" style="position:absolute;left:0;text-align:left;margin-left:60pt;margin-top:39.5pt;width:50pt;height:15pt;z-index:10" stroked="f">
            <v:textbox style="mso-next-textbox:#_x0000_s1040" inset="0,0,0,0">
              <w:txbxContent>
                <w:p w:rsidR="00BE781D" w:rsidRPr="005A41EF" w:rsidRDefault="00BE781D" w:rsidP="00F42A12">
                  <w:pPr>
                    <w:spacing w:before="60" w:after="200" w:line="240" w:lineRule="exact"/>
                    <w:ind w:left="57"/>
                  </w:pPr>
                  <w:r>
                    <w:t>139 </w:t>
                  </w:r>
                  <w:r w:rsidRPr="005A41EF">
                    <w:t>745</w:t>
                  </w:r>
                </w:p>
              </w:txbxContent>
            </v:textbox>
          </v:shape>
        </w:pict>
      </w:r>
      <w:r w:rsidRPr="000F7862">
        <w:rPr>
          <w:b/>
          <w:lang w:val="fr-FR"/>
        </w:rPr>
        <w:pict>
          <v:shape id="_x0000_s1039" type="#_x0000_t202" style="position:absolute;left:0;text-align:left;margin-left:195pt;margin-top:87.5pt;width:75pt;height:24pt;z-index:9" fillcolor="#9abc64" stroked="f">
            <v:textbox style="mso-next-textbox:#_x0000_s1039" inset="0,0,0,0">
              <w:txbxContent>
                <w:p w:rsidR="00BE781D" w:rsidRPr="005A41EF" w:rsidRDefault="00BE781D" w:rsidP="00F42A12">
                  <w:pPr>
                    <w:spacing w:before="60" w:after="200" w:line="240" w:lineRule="exact"/>
                    <w:ind w:left="57"/>
                  </w:pPr>
                  <w:r>
                    <w:t>7 206 </w:t>
                  </w:r>
                  <w:r w:rsidRPr="005A41EF">
                    <w:t>313</w:t>
                  </w:r>
                </w:p>
              </w:txbxContent>
            </v:textbox>
          </v:shape>
        </w:pict>
      </w:r>
      <w:r w:rsidRPr="000F7862">
        <w:rPr>
          <w:lang w:val="fr-FR"/>
        </w:rPr>
        <w:pict>
          <v:shape id="_x0000_s1038" type="#_x0000_t202" style="position:absolute;left:0;text-align:left;margin-left:335pt;margin-top:66.5pt;width:85pt;height:63pt;z-index:8" stroked="f">
            <v:textbox style="mso-next-textbox:#_x0000_s1038" inset="0,0,0,0">
              <w:txbxContent>
                <w:p w:rsidR="00BE781D" w:rsidRPr="00DF2FB9" w:rsidRDefault="00BE781D" w:rsidP="005A41EF">
                  <w:pPr>
                    <w:spacing w:before="60" w:after="200" w:line="240" w:lineRule="exact"/>
                    <w:ind w:left="57"/>
                    <w:rPr>
                      <w:lang w:val="fr-FR"/>
                    </w:rPr>
                  </w:pPr>
                  <w:r w:rsidRPr="00DF2FB9">
                    <w:rPr>
                      <w:lang w:val="fr-FR"/>
                    </w:rPr>
                    <w:t>0-2 ans</w:t>
                  </w:r>
                </w:p>
                <w:p w:rsidR="00BE781D" w:rsidRPr="00DF2FB9" w:rsidRDefault="00BE781D" w:rsidP="005A41EF">
                  <w:pPr>
                    <w:spacing w:after="200" w:line="240" w:lineRule="exact"/>
                    <w:ind w:left="57"/>
                    <w:rPr>
                      <w:lang w:val="fr-FR"/>
                    </w:rPr>
                  </w:pPr>
                  <w:r w:rsidRPr="00DF2FB9">
                    <w:rPr>
                      <w:lang w:val="fr-FR"/>
                    </w:rPr>
                    <w:t>3-5 ans</w:t>
                  </w:r>
                </w:p>
                <w:p w:rsidR="00BE781D" w:rsidRPr="00DF2FB9" w:rsidRDefault="00BE781D" w:rsidP="005A41EF">
                  <w:pPr>
                    <w:spacing w:after="200" w:line="240" w:lineRule="exact"/>
                    <w:ind w:left="57"/>
                    <w:rPr>
                      <w:lang w:val="fr-FR"/>
                    </w:rPr>
                  </w:pPr>
                  <w:r w:rsidRPr="00DF2FB9">
                    <w:rPr>
                      <w:lang w:val="fr-FR"/>
                    </w:rPr>
                    <w:t>6-14 ans</w:t>
                  </w:r>
                </w:p>
              </w:txbxContent>
            </v:textbox>
          </v:shape>
        </w:pict>
      </w:r>
      <w:r w:rsidRPr="000F7862">
        <w:rPr>
          <w:lang w:val="fr-FR" w:eastAsia="zh-CN"/>
        </w:rPr>
        <w:pict>
          <v:shape id="Picture 11" o:spid="_x0000_i1028" type="#_x0000_t75" style="width:368.25pt;height:195.75pt;visibility:visible" o:bordertopcolor="black" o:borderleftcolor="black" o:borderbottomcolor="black" o:borderrightcolor="black">
            <v:imagedata r:id="rId21" o:title=""/>
            <w10:bordertop type="single" width="4"/>
            <w10:borderleft type="single" width="4"/>
            <w10:borderbottom type="single" width="4"/>
            <w10:borderright type="single" width="4"/>
          </v:shape>
        </w:pict>
      </w:r>
    </w:p>
    <w:p w:rsidR="00F42A12" w:rsidRPr="000F7862" w:rsidRDefault="003914FA" w:rsidP="003914FA">
      <w:pPr>
        <w:pStyle w:val="H23G"/>
        <w:rPr>
          <w:lang w:val="fr-FR"/>
        </w:rPr>
      </w:pPr>
      <w:r w:rsidRPr="000F7862">
        <w:rPr>
          <w:lang w:val="fr-FR"/>
        </w:rPr>
        <w:tab/>
      </w:r>
      <w:r w:rsidRPr="000F7862">
        <w:rPr>
          <w:lang w:val="fr-FR"/>
        </w:rPr>
        <w:tab/>
      </w:r>
      <w:r w:rsidRPr="000F7862">
        <w:rPr>
          <w:b w:val="0"/>
          <w:bCs/>
          <w:lang w:val="fr-FR"/>
        </w:rPr>
        <w:t>Figure 4</w:t>
      </w:r>
      <w:r w:rsidRPr="000F7862">
        <w:rPr>
          <w:b w:val="0"/>
          <w:bCs/>
          <w:lang w:val="fr-FR"/>
        </w:rPr>
        <w:br/>
      </w:r>
      <w:r w:rsidRPr="000F7862">
        <w:rPr>
          <w:lang w:val="fr-FR"/>
        </w:rPr>
        <w:t>Nombre de ménages bénéficiaires du Pantawid appartenant aux populations autochtones et nombre de ceux qui n</w:t>
      </w:r>
      <w:r w:rsidR="00120E2E" w:rsidRPr="000F7862">
        <w:rPr>
          <w:lang w:val="fr-FR"/>
        </w:rPr>
        <w:t>’</w:t>
      </w:r>
      <w:r w:rsidRPr="000F7862">
        <w:rPr>
          <w:lang w:val="fr-FR"/>
        </w:rPr>
        <w:t xml:space="preserve">appartiennent pas à ces populations </w:t>
      </w:r>
    </w:p>
    <w:p w:rsidR="00F42A12" w:rsidRPr="000F7862" w:rsidRDefault="00F42A12" w:rsidP="00F42A12">
      <w:pPr>
        <w:ind w:left="1134"/>
        <w:rPr>
          <w:lang w:val="fr-FR"/>
        </w:rPr>
      </w:pPr>
      <w:r w:rsidRPr="000F7862">
        <w:rPr>
          <w:b/>
          <w:lang w:val="fr-FR"/>
        </w:rPr>
        <w:pict>
          <v:shape id="_x0000_s1045" type="#_x0000_t202" style="position:absolute;left:0;text-align:left;margin-left:240pt;margin-top:152.05pt;width:49.05pt;height:29.75pt;z-index:15" stroked="f">
            <v:textbox style="mso-next-textbox:#_x0000_s1045" inset="0,0,0,0">
              <w:txbxContent>
                <w:p w:rsidR="00BE781D" w:rsidRPr="00940DCC" w:rsidRDefault="00BE781D" w:rsidP="000022A3">
                  <w:pPr>
                    <w:spacing w:after="60" w:line="240" w:lineRule="exact"/>
                    <w:jc w:val="right"/>
                    <w:rPr>
                      <w:b/>
                    </w:rPr>
                  </w:pPr>
                  <w:r w:rsidRPr="00940DCC">
                    <w:rPr>
                      <w:b/>
                    </w:rPr>
                    <w:t>3 520 282</w:t>
                  </w:r>
                </w:p>
                <w:p w:rsidR="00BE781D" w:rsidRPr="00940DCC" w:rsidRDefault="00BE781D" w:rsidP="000022A3">
                  <w:pPr>
                    <w:spacing w:line="200" w:lineRule="exact"/>
                    <w:jc w:val="right"/>
                    <w:rPr>
                      <w:b/>
                    </w:rPr>
                  </w:pPr>
                  <w:r w:rsidRPr="00940DCC">
                    <w:rPr>
                      <w:b/>
                    </w:rPr>
                    <w:t>(90,2 %)</w:t>
                  </w:r>
                </w:p>
              </w:txbxContent>
            </v:textbox>
          </v:shape>
        </w:pict>
      </w:r>
      <w:r w:rsidRPr="000F7862">
        <w:rPr>
          <w:b/>
          <w:lang w:val="fr-FR"/>
        </w:rPr>
        <w:pict>
          <v:shape id="_x0000_s1044" type="#_x0000_t202" style="position:absolute;left:0;text-align:left;margin-left:68.05pt;margin-top:35.05pt;width:58pt;height:12.2pt;z-index:14" stroked="f">
            <v:textbox style="mso-next-textbox:#_x0000_s1044" inset="0,0,0,0">
              <w:txbxContent>
                <w:p w:rsidR="00BE781D" w:rsidRPr="00940DCC" w:rsidRDefault="00BE781D" w:rsidP="00F42A12">
                  <w:pPr>
                    <w:spacing w:line="240" w:lineRule="exact"/>
                    <w:jc w:val="right"/>
                    <w:rPr>
                      <w:b/>
                    </w:rPr>
                  </w:pPr>
                  <w:r w:rsidRPr="00940DCC">
                    <w:rPr>
                      <w:b/>
                    </w:rPr>
                    <w:t>(9,8 %)</w:t>
                  </w:r>
                </w:p>
              </w:txbxContent>
            </v:textbox>
          </v:shape>
        </w:pict>
      </w:r>
      <w:r w:rsidRPr="000F7862">
        <w:rPr>
          <w:b/>
          <w:lang w:val="fr-FR"/>
        </w:rPr>
        <w:pict>
          <v:shape id="_x0000_s1043" type="#_x0000_t202" style="position:absolute;left:0;text-align:left;margin-left:1in;margin-top:17.05pt;width:58pt;height:15pt;z-index:13" stroked="f">
            <v:textbox style="mso-next-textbox:#_x0000_s1043" inset="0,0,0,0">
              <w:txbxContent>
                <w:p w:rsidR="00BE781D" w:rsidRPr="00940DCC" w:rsidRDefault="00BE781D" w:rsidP="00F42A12">
                  <w:pPr>
                    <w:spacing w:before="60" w:after="200" w:line="240" w:lineRule="exact"/>
                    <w:ind w:left="57"/>
                    <w:jc w:val="right"/>
                    <w:rPr>
                      <w:b/>
                    </w:rPr>
                  </w:pPr>
                  <w:r w:rsidRPr="00940DCC">
                    <w:rPr>
                      <w:b/>
                    </w:rPr>
                    <w:t>380 735</w:t>
                  </w:r>
                </w:p>
              </w:txbxContent>
            </v:textbox>
          </v:shape>
        </w:pict>
      </w:r>
      <w:r w:rsidRPr="000F7862">
        <w:rPr>
          <w:lang w:val="fr-FR"/>
        </w:rPr>
        <w:pict>
          <v:shape id="_x0000_s1042" type="#_x0000_t202" style="position:absolute;left:0;text-align:left;margin-left:325pt;margin-top:80.05pt;width:95pt;height:45pt;z-index:12" stroked="f">
            <v:textbox style="mso-next-textbox:#_x0000_s1042" inset="0,0,0,0">
              <w:txbxContent>
                <w:p w:rsidR="00BE781D" w:rsidRPr="00DF2FB9" w:rsidRDefault="00BE781D" w:rsidP="00F42A12">
                  <w:pPr>
                    <w:spacing w:after="140" w:line="160" w:lineRule="exact"/>
                    <w:ind w:left="57"/>
                    <w:rPr>
                      <w:sz w:val="14"/>
                      <w:szCs w:val="14"/>
                      <w:lang w:val="fr-FR"/>
                    </w:rPr>
                  </w:pPr>
                  <w:r w:rsidRPr="00DF2FB9">
                    <w:rPr>
                      <w:sz w:val="14"/>
                      <w:szCs w:val="14"/>
                      <w:lang w:val="fr-FR"/>
                    </w:rPr>
                    <w:t>Ménages n’appartenant pas aux populations autochtones</w:t>
                  </w:r>
                </w:p>
                <w:p w:rsidR="00BE781D" w:rsidRPr="00DF2FB9" w:rsidRDefault="00BE781D" w:rsidP="00F42A12">
                  <w:pPr>
                    <w:spacing w:after="200" w:line="160" w:lineRule="exact"/>
                    <w:ind w:left="57"/>
                    <w:rPr>
                      <w:sz w:val="14"/>
                      <w:szCs w:val="14"/>
                      <w:lang w:val="fr-FR"/>
                    </w:rPr>
                  </w:pPr>
                  <w:r w:rsidRPr="00DF2FB9">
                    <w:rPr>
                      <w:sz w:val="14"/>
                      <w:szCs w:val="14"/>
                      <w:lang w:val="fr-FR"/>
                    </w:rPr>
                    <w:t>Ménages appartenant aux populations autochtones</w:t>
                  </w:r>
                </w:p>
              </w:txbxContent>
            </v:textbox>
          </v:shape>
        </w:pict>
      </w:r>
      <w:r w:rsidRPr="000F7862">
        <w:rPr>
          <w:lang w:val="fr-FR" w:eastAsia="zh-CN"/>
        </w:rPr>
        <w:pict>
          <v:shape id="Picture 12" o:spid="_x0000_i1029" type="#_x0000_t75" style="width:368.25pt;height:195.75pt;visibility:visible" o:bordertopcolor="black" o:borderleftcolor="black" o:borderbottomcolor="black" o:borderrightcolor="black">
            <v:imagedata r:id="rId22" o:title="" croptop="-5143f" cropbottom="-5143f"/>
            <w10:bordertop type="single" width="4"/>
            <w10:borderleft type="single" width="4"/>
            <w10:borderbottom type="single" width="4"/>
            <w10:borderright type="single" width="4"/>
          </v:shape>
        </w:pict>
      </w:r>
    </w:p>
    <w:p w:rsidR="00F42A12" w:rsidRPr="000F7862" w:rsidRDefault="000022A3" w:rsidP="000022A3">
      <w:pPr>
        <w:pStyle w:val="H23G"/>
        <w:rPr>
          <w:lang w:val="fr-FR"/>
        </w:rPr>
      </w:pPr>
      <w:r w:rsidRPr="000F7862">
        <w:rPr>
          <w:lang w:val="fr-FR"/>
        </w:rPr>
        <w:tab/>
      </w:r>
      <w:r w:rsidRPr="000F7862">
        <w:rPr>
          <w:lang w:val="fr-FR"/>
        </w:rPr>
        <w:tab/>
      </w:r>
      <w:r w:rsidRPr="000F7862">
        <w:rPr>
          <w:b w:val="0"/>
          <w:bCs/>
          <w:lang w:val="fr-FR"/>
        </w:rPr>
        <w:t>Figure 5</w:t>
      </w:r>
      <w:r w:rsidRPr="000F7862">
        <w:rPr>
          <w:b w:val="0"/>
          <w:bCs/>
          <w:lang w:val="fr-FR"/>
        </w:rPr>
        <w:br/>
      </w:r>
      <w:r w:rsidRPr="000F7862">
        <w:rPr>
          <w:lang w:val="fr-FR"/>
        </w:rPr>
        <w:t xml:space="preserve">Nombre de ménages vivant avec des personnes handicapées par rapport au nombre total de bénéficiaires du programme Pantawid Pamilya </w:t>
      </w:r>
    </w:p>
    <w:p w:rsidR="00F42A12" w:rsidRPr="000F7862" w:rsidRDefault="00F42A12" w:rsidP="00F42A12">
      <w:pPr>
        <w:ind w:left="1134"/>
        <w:rPr>
          <w:lang w:val="fr-FR"/>
        </w:rPr>
      </w:pPr>
      <w:r w:rsidRPr="000F7862">
        <w:rPr>
          <w:b/>
          <w:lang w:val="fr-FR"/>
        </w:rPr>
        <w:pict>
          <v:shape id="_x0000_s1049" type="#_x0000_t202" style="position:absolute;left:0;text-align:left;margin-left:105pt;margin-top:5.65pt;width:58pt;height:31pt;z-index:19" stroked="f">
            <v:textbox style="mso-next-textbox:#_x0000_s1049" inset="0,0,0,0">
              <w:txbxContent>
                <w:p w:rsidR="00BE781D" w:rsidRPr="00940DCC" w:rsidRDefault="00BE781D" w:rsidP="000022A3">
                  <w:pPr>
                    <w:spacing w:after="60" w:line="240" w:lineRule="exact"/>
                    <w:jc w:val="right"/>
                    <w:rPr>
                      <w:b/>
                    </w:rPr>
                  </w:pPr>
                  <w:r w:rsidRPr="00940DCC">
                    <w:rPr>
                      <w:b/>
                    </w:rPr>
                    <w:t>201 857</w:t>
                  </w:r>
                </w:p>
                <w:p w:rsidR="00BE781D" w:rsidRPr="00940DCC" w:rsidRDefault="00BE781D" w:rsidP="00F42A12">
                  <w:pPr>
                    <w:spacing w:line="240" w:lineRule="exact"/>
                    <w:jc w:val="right"/>
                    <w:rPr>
                      <w:b/>
                    </w:rPr>
                  </w:pPr>
                  <w:r w:rsidRPr="00940DCC">
                    <w:rPr>
                      <w:b/>
                    </w:rPr>
                    <w:t>(5,2 %)</w:t>
                  </w:r>
                </w:p>
              </w:txbxContent>
            </v:textbox>
          </v:shape>
        </w:pict>
      </w:r>
      <w:r w:rsidRPr="000F7862">
        <w:rPr>
          <w:b/>
          <w:lang w:val="fr-FR"/>
        </w:rPr>
        <w:pict>
          <v:shape id="_x0000_s1047" type="#_x0000_t202" style="position:absolute;left:0;text-align:left;margin-left:222pt;margin-top:159.5pt;width:58pt;height:33pt;z-index:17" stroked="f">
            <v:textbox style="mso-next-textbox:#_x0000_s1047" inset="0,0,0,0">
              <w:txbxContent>
                <w:p w:rsidR="00BE781D" w:rsidRPr="00940DCC" w:rsidRDefault="00BE781D" w:rsidP="000022A3">
                  <w:pPr>
                    <w:spacing w:after="60" w:line="240" w:lineRule="exact"/>
                    <w:rPr>
                      <w:b/>
                    </w:rPr>
                  </w:pPr>
                  <w:r w:rsidRPr="00940DCC">
                    <w:rPr>
                      <w:b/>
                    </w:rPr>
                    <w:t>3 699 160</w:t>
                  </w:r>
                </w:p>
                <w:p w:rsidR="00BE781D" w:rsidRPr="00940DCC" w:rsidRDefault="00BE781D" w:rsidP="00F42A12">
                  <w:pPr>
                    <w:spacing w:line="240" w:lineRule="exact"/>
                    <w:rPr>
                      <w:b/>
                    </w:rPr>
                  </w:pPr>
                  <w:r w:rsidRPr="00940DCC">
                    <w:rPr>
                      <w:b/>
                    </w:rPr>
                    <w:t>(94,8 %)</w:t>
                  </w:r>
                </w:p>
              </w:txbxContent>
            </v:textbox>
          </v:shape>
        </w:pict>
      </w:r>
      <w:r w:rsidRPr="000F7862">
        <w:rPr>
          <w:lang w:val="fr-FR"/>
        </w:rPr>
        <w:pict>
          <v:shape id="_x0000_s1046" type="#_x0000_t202" style="position:absolute;left:0;text-align:left;margin-left:315pt;margin-top:66.5pt;width:110pt;height:1in;z-index:16" stroked="f">
            <v:textbox style="mso-next-textbox:#_x0000_s1046" inset="0,0,0,0">
              <w:txbxContent>
                <w:p w:rsidR="00BE781D" w:rsidRPr="00DF2FB9" w:rsidRDefault="00BE781D" w:rsidP="00F42A12">
                  <w:pPr>
                    <w:spacing w:after="400" w:line="200" w:lineRule="exact"/>
                    <w:rPr>
                      <w:sz w:val="18"/>
                      <w:szCs w:val="18"/>
                      <w:lang w:val="fr-FR"/>
                    </w:rPr>
                  </w:pPr>
                  <w:r w:rsidRPr="00DF2FB9">
                    <w:rPr>
                      <w:sz w:val="18"/>
                      <w:szCs w:val="18"/>
                      <w:lang w:val="fr-FR"/>
                    </w:rPr>
                    <w:t>Ménages ne vivant pas avec des personnes handicapées</w:t>
                  </w:r>
                </w:p>
                <w:p w:rsidR="00BE781D" w:rsidRPr="00DF2FB9" w:rsidRDefault="00BE781D" w:rsidP="00F42A12">
                  <w:pPr>
                    <w:spacing w:line="200" w:lineRule="exact"/>
                    <w:rPr>
                      <w:sz w:val="18"/>
                      <w:szCs w:val="18"/>
                      <w:lang w:val="fr-FR"/>
                    </w:rPr>
                  </w:pPr>
                  <w:r w:rsidRPr="00DF2FB9">
                    <w:rPr>
                      <w:sz w:val="18"/>
                      <w:szCs w:val="18"/>
                      <w:lang w:val="fr-FR"/>
                    </w:rPr>
                    <w:t>Ménages vivant avec des personnes handicapées</w:t>
                  </w:r>
                </w:p>
              </w:txbxContent>
            </v:textbox>
          </v:shape>
        </w:pict>
      </w:r>
      <w:r w:rsidRPr="000F7862">
        <w:rPr>
          <w:lang w:val="fr-FR" w:eastAsia="zh-CN"/>
        </w:rPr>
        <w:pict>
          <v:shape id="Picture 13" o:spid="_x0000_i1030" type="#_x0000_t75" style="width:368.25pt;height:196.5pt;visibility:visible" o:bordertopcolor="black" o:borderleftcolor="black" o:borderbottomcolor="black" o:borderrightcolor="black">
            <v:imagedata r:id="rId23" o:title="" croptop="-2725f" cropbottom="-2725f"/>
            <w10:bordertop type="single" width="4"/>
            <w10:borderleft type="single" width="4"/>
            <w10:borderbottom type="single" width="4"/>
            <w10:borderright type="single" width="4"/>
          </v:shape>
        </w:pict>
      </w:r>
    </w:p>
    <w:p w:rsidR="00F42A12" w:rsidRPr="000F7862" w:rsidRDefault="00407A57" w:rsidP="00407A57">
      <w:pPr>
        <w:pStyle w:val="H23G"/>
        <w:rPr>
          <w:lang w:val="fr-FR"/>
        </w:rPr>
      </w:pPr>
      <w:r w:rsidRPr="000F7862">
        <w:rPr>
          <w:lang w:val="fr-FR"/>
        </w:rPr>
        <w:tab/>
      </w:r>
      <w:r w:rsidRPr="000F7862">
        <w:rPr>
          <w:lang w:val="fr-FR"/>
        </w:rPr>
        <w:tab/>
      </w:r>
      <w:r w:rsidRPr="000F7862">
        <w:rPr>
          <w:b w:val="0"/>
          <w:bCs/>
          <w:lang w:val="fr-FR"/>
        </w:rPr>
        <w:t>Figure 6</w:t>
      </w:r>
      <w:r w:rsidRPr="000F7862">
        <w:rPr>
          <w:b w:val="0"/>
          <w:bCs/>
          <w:lang w:val="fr-FR"/>
        </w:rPr>
        <w:br/>
      </w:r>
      <w:r w:rsidRPr="000F7862">
        <w:rPr>
          <w:lang w:val="fr-FR"/>
        </w:rPr>
        <w:t xml:space="preserve">Nombre de ménages monoparentaux par rapport au nombre total de bénéficiaires du programme Pantawid Pamilya </w:t>
      </w:r>
    </w:p>
    <w:p w:rsidR="00F42A12" w:rsidRPr="000F7862" w:rsidRDefault="00F42A12" w:rsidP="00F42A12">
      <w:pPr>
        <w:ind w:left="1134"/>
        <w:rPr>
          <w:lang w:val="fr-FR"/>
        </w:rPr>
      </w:pPr>
      <w:r w:rsidRPr="000F7862">
        <w:rPr>
          <w:lang w:val="fr-FR"/>
        </w:rPr>
        <w:pict>
          <v:shape id="_x0000_s1051" type="#_x0000_t202" style="position:absolute;left:0;text-align:left;margin-left:332.9pt;margin-top:70.5pt;width:87.1pt;height:1in;z-index:21" stroked="f">
            <v:textbox style="mso-next-textbox:#_x0000_s1051" inset="0,0,0,0">
              <w:txbxContent>
                <w:p w:rsidR="00BE781D" w:rsidRPr="00DF2FB9" w:rsidRDefault="00BE781D" w:rsidP="00F42A12">
                  <w:pPr>
                    <w:spacing w:after="300" w:line="200" w:lineRule="exact"/>
                    <w:rPr>
                      <w:lang w:val="fr-FR"/>
                    </w:rPr>
                  </w:pPr>
                  <w:r w:rsidRPr="00DF2FB9">
                    <w:rPr>
                      <w:lang w:val="fr-FR"/>
                    </w:rPr>
                    <w:t>Ménages non monoparentaux</w:t>
                  </w:r>
                </w:p>
                <w:p w:rsidR="00BE781D" w:rsidRPr="00DF2FB9" w:rsidRDefault="00BE781D" w:rsidP="00F42A12">
                  <w:pPr>
                    <w:spacing w:line="200" w:lineRule="exact"/>
                    <w:rPr>
                      <w:lang w:val="fr-FR"/>
                    </w:rPr>
                  </w:pPr>
                  <w:r w:rsidRPr="00DF2FB9">
                    <w:rPr>
                      <w:lang w:val="fr-FR"/>
                    </w:rPr>
                    <w:t>Ménages monoparentaux</w:t>
                  </w:r>
                </w:p>
              </w:txbxContent>
            </v:textbox>
          </v:shape>
        </w:pict>
      </w:r>
      <w:r w:rsidRPr="000F7862">
        <w:rPr>
          <w:b/>
          <w:lang w:val="fr-FR"/>
        </w:rPr>
        <w:pict>
          <v:shape id="_x0000_s1050" type="#_x0000_t202" style="position:absolute;left:0;text-align:left;margin-left:245pt;margin-top:154.5pt;width:58pt;height:33pt;z-index:20" stroked="f">
            <v:textbox style="mso-next-textbox:#_x0000_s1050" inset="0,0,0,0">
              <w:txbxContent>
                <w:p w:rsidR="00BE781D" w:rsidRPr="00940DCC" w:rsidRDefault="00BE781D" w:rsidP="00A77036">
                  <w:pPr>
                    <w:spacing w:after="60" w:line="240" w:lineRule="exact"/>
                    <w:jc w:val="center"/>
                    <w:rPr>
                      <w:b/>
                    </w:rPr>
                  </w:pPr>
                  <w:r w:rsidRPr="00940DCC">
                    <w:rPr>
                      <w:b/>
                    </w:rPr>
                    <w:t>3 651 307</w:t>
                  </w:r>
                </w:p>
                <w:p w:rsidR="00BE781D" w:rsidRPr="00940DCC" w:rsidRDefault="00BE781D" w:rsidP="00F42A12">
                  <w:pPr>
                    <w:spacing w:line="240" w:lineRule="exact"/>
                    <w:jc w:val="center"/>
                    <w:rPr>
                      <w:b/>
                      <w:sz w:val="24"/>
                      <w:szCs w:val="24"/>
                    </w:rPr>
                  </w:pPr>
                  <w:r w:rsidRPr="00940DCC">
                    <w:rPr>
                      <w:b/>
                    </w:rPr>
                    <w:t>(93,6 %)</w:t>
                  </w:r>
                </w:p>
              </w:txbxContent>
            </v:textbox>
          </v:shape>
        </w:pict>
      </w:r>
      <w:r w:rsidRPr="000F7862">
        <w:rPr>
          <w:b/>
          <w:lang w:val="fr-FR"/>
        </w:rPr>
        <w:pict>
          <v:shape id="_x0000_s1048" type="#_x0000_t202" style="position:absolute;left:0;text-align:left;margin-left:132pt;margin-top:7.35pt;width:58pt;height:29.75pt;z-index:18" stroked="f">
            <v:textbox style="mso-next-textbox:#_x0000_s1048" inset="0,0,0,0">
              <w:txbxContent>
                <w:p w:rsidR="00BE781D" w:rsidRPr="00940DCC" w:rsidRDefault="00BE781D" w:rsidP="00A77036">
                  <w:pPr>
                    <w:spacing w:after="60" w:line="240" w:lineRule="exact"/>
                    <w:jc w:val="center"/>
                    <w:rPr>
                      <w:b/>
                    </w:rPr>
                  </w:pPr>
                  <w:r w:rsidRPr="00940DCC">
                    <w:rPr>
                      <w:b/>
                    </w:rPr>
                    <w:t>249 710</w:t>
                  </w:r>
                </w:p>
                <w:p w:rsidR="00BE781D" w:rsidRPr="00940DCC" w:rsidRDefault="00BE781D" w:rsidP="00F42A12">
                  <w:pPr>
                    <w:spacing w:line="240" w:lineRule="exact"/>
                    <w:jc w:val="center"/>
                    <w:rPr>
                      <w:b/>
                      <w:sz w:val="24"/>
                      <w:szCs w:val="24"/>
                    </w:rPr>
                  </w:pPr>
                  <w:r w:rsidRPr="00940DCC">
                    <w:rPr>
                      <w:b/>
                    </w:rPr>
                    <w:t>(6,4 %)</w:t>
                  </w:r>
                </w:p>
              </w:txbxContent>
            </v:textbox>
          </v:shape>
        </w:pict>
      </w:r>
      <w:r w:rsidRPr="000F7862">
        <w:rPr>
          <w:lang w:val="fr-FR" w:eastAsia="zh-CN"/>
        </w:rPr>
        <w:pict>
          <v:shape id="Picture 14" o:spid="_x0000_i1031" type="#_x0000_t75" style="width:368.25pt;height:198.75pt;visibility:visible" o:bordertopcolor="black" o:borderleftcolor="black" o:borderbottomcolor="black" o:borderrightcolor="black">
            <v:imagedata r:id="rId24" o:title="" croptop="2037f" cropbottom="3055f"/>
            <w10:bordertop type="single" width="4"/>
            <w10:borderleft type="single" width="4"/>
            <w10:borderbottom type="single" width="4"/>
            <w10:borderright type="single" width="4"/>
          </v:shape>
        </w:pict>
      </w:r>
    </w:p>
    <w:p w:rsidR="0086185C" w:rsidRPr="000F7862" w:rsidRDefault="00034450" w:rsidP="00034450">
      <w:pPr>
        <w:pStyle w:val="H23G"/>
        <w:rPr>
          <w:lang w:val="fr-FR"/>
        </w:rPr>
      </w:pPr>
      <w:r w:rsidRPr="000F7862">
        <w:rPr>
          <w:lang w:val="fr-FR"/>
        </w:rPr>
        <w:tab/>
      </w:r>
      <w:r w:rsidRPr="000F7862">
        <w:rPr>
          <w:lang w:val="fr-FR"/>
        </w:rPr>
        <w:tab/>
      </w:r>
      <w:r w:rsidR="00601859" w:rsidRPr="000F7862">
        <w:rPr>
          <w:lang w:val="fr-FR"/>
        </w:rPr>
        <w:t>Principales conclusions de l</w:t>
      </w:r>
      <w:r w:rsidR="00120E2E" w:rsidRPr="000F7862">
        <w:rPr>
          <w:lang w:val="fr-FR"/>
        </w:rPr>
        <w:t>’</w:t>
      </w:r>
      <w:r w:rsidR="00601859" w:rsidRPr="000F7862">
        <w:rPr>
          <w:lang w:val="fr-FR"/>
        </w:rPr>
        <w:t>évaluation de l</w:t>
      </w:r>
      <w:r w:rsidR="00120E2E" w:rsidRPr="000F7862">
        <w:rPr>
          <w:lang w:val="fr-FR"/>
        </w:rPr>
        <w:t>’</w:t>
      </w:r>
      <w:r w:rsidR="00601859" w:rsidRPr="000F7862">
        <w:rPr>
          <w:lang w:val="fr-FR"/>
        </w:rPr>
        <w:t xml:space="preserve">impact du programme de 2012 </w:t>
      </w:r>
    </w:p>
    <w:p w:rsidR="0086185C" w:rsidRPr="000F7862" w:rsidRDefault="003F7F57" w:rsidP="003F7F57">
      <w:pPr>
        <w:pStyle w:val="SingleTxtG"/>
        <w:rPr>
          <w:lang w:val="fr-FR"/>
        </w:rPr>
      </w:pPr>
      <w:r w:rsidRPr="000F7862">
        <w:rPr>
          <w:lang w:val="fr-FR"/>
        </w:rPr>
        <w:t>180.</w:t>
      </w:r>
      <w:r w:rsidRPr="000F7862">
        <w:rPr>
          <w:lang w:val="fr-FR"/>
        </w:rPr>
        <w:tab/>
      </w:r>
      <w:r w:rsidR="00D94063" w:rsidRPr="000F7862">
        <w:rPr>
          <w:lang w:val="fr-FR"/>
        </w:rPr>
        <w:t xml:space="preserve">Sur la base des résultats </w:t>
      </w:r>
      <w:r w:rsidR="00891BA9" w:rsidRPr="000F7862">
        <w:rPr>
          <w:lang w:val="fr-FR"/>
        </w:rPr>
        <w:t>de l</w:t>
      </w:r>
      <w:r w:rsidR="00120E2E" w:rsidRPr="000F7862">
        <w:rPr>
          <w:lang w:val="fr-FR"/>
        </w:rPr>
        <w:t>’</w:t>
      </w:r>
      <w:r w:rsidR="00891BA9" w:rsidRPr="000F7862">
        <w:rPr>
          <w:lang w:val="fr-FR"/>
        </w:rPr>
        <w:t>évaluation d</w:t>
      </w:r>
      <w:r w:rsidR="00120E2E" w:rsidRPr="000F7862">
        <w:rPr>
          <w:lang w:val="fr-FR"/>
        </w:rPr>
        <w:t>’</w:t>
      </w:r>
      <w:r w:rsidR="00891BA9" w:rsidRPr="000F7862">
        <w:rPr>
          <w:lang w:val="fr-FR"/>
        </w:rPr>
        <w:t>impact effect</w:t>
      </w:r>
      <w:r w:rsidR="00D94063" w:rsidRPr="000F7862">
        <w:rPr>
          <w:lang w:val="fr-FR"/>
        </w:rPr>
        <w:t xml:space="preserve">uée par la Banque mondiale et publiée le 22 janvier </w:t>
      </w:r>
      <w:r w:rsidR="0086185C" w:rsidRPr="000F7862">
        <w:rPr>
          <w:lang w:val="fr-FR"/>
        </w:rPr>
        <w:t xml:space="preserve">2013, </w:t>
      </w:r>
      <w:r w:rsidR="00D94063" w:rsidRPr="000F7862">
        <w:rPr>
          <w:lang w:val="fr-FR"/>
        </w:rPr>
        <w:t xml:space="preserve">le </w:t>
      </w:r>
      <w:r w:rsidR="00867E43" w:rsidRPr="000F7862">
        <w:rPr>
          <w:lang w:val="fr-FR"/>
        </w:rPr>
        <w:t>Programme</w:t>
      </w:r>
      <w:r w:rsidR="0086185C" w:rsidRPr="000F7862">
        <w:rPr>
          <w:lang w:val="fr-FR"/>
        </w:rPr>
        <w:t xml:space="preserve"> </w:t>
      </w:r>
      <w:r w:rsidR="00891BA9" w:rsidRPr="000F7862">
        <w:rPr>
          <w:lang w:val="fr-FR"/>
        </w:rPr>
        <w:t>est en bonne voie pour atteindre ses principaux objectifs, à savoir</w:t>
      </w:r>
      <w:r w:rsidR="0005004C" w:rsidRPr="000F7862">
        <w:rPr>
          <w:lang w:val="fr-FR"/>
        </w:rPr>
        <w:t>:</w:t>
      </w:r>
    </w:p>
    <w:p w:rsidR="0086185C" w:rsidRPr="000F7862" w:rsidRDefault="001D74D1" w:rsidP="001C088C">
      <w:pPr>
        <w:pStyle w:val="H4G"/>
        <w:rPr>
          <w:lang w:val="fr-FR"/>
        </w:rPr>
      </w:pPr>
      <w:r w:rsidRPr="000F7862">
        <w:rPr>
          <w:lang w:val="fr-FR"/>
        </w:rPr>
        <w:tab/>
        <w:t>a)</w:t>
      </w:r>
      <w:r w:rsidRPr="000F7862">
        <w:rPr>
          <w:lang w:val="fr-FR"/>
        </w:rPr>
        <w:tab/>
      </w:r>
      <w:r w:rsidR="00891BA9" w:rsidRPr="000F7862">
        <w:rPr>
          <w:lang w:val="fr-FR"/>
        </w:rPr>
        <w:t>É</w:t>
      </w:r>
      <w:r w:rsidR="0086185C" w:rsidRPr="000F7862">
        <w:rPr>
          <w:lang w:val="fr-FR"/>
        </w:rPr>
        <w:t>ducation</w:t>
      </w:r>
      <w:r w:rsidR="00446EA5" w:rsidRPr="000F7862">
        <w:rPr>
          <w:lang w:val="fr-FR"/>
        </w:rPr>
        <w:t xml:space="preserve"> </w:t>
      </w:r>
      <w:r w:rsidR="00891BA9" w:rsidRPr="000F7862">
        <w:rPr>
          <w:lang w:val="fr-FR"/>
        </w:rPr>
        <w:t>des enfants</w:t>
      </w:r>
    </w:p>
    <w:p w:rsidR="0086185C" w:rsidRPr="000F7862" w:rsidRDefault="00034450" w:rsidP="00B061DB">
      <w:pPr>
        <w:pStyle w:val="SingleTxtG"/>
        <w:ind w:firstLine="567"/>
        <w:rPr>
          <w:lang w:val="fr-FR"/>
        </w:rPr>
      </w:pPr>
      <w:r w:rsidRPr="000F7862">
        <w:rPr>
          <w:lang w:val="fr-FR"/>
        </w:rPr>
        <w:t>1.</w:t>
      </w:r>
      <w:r w:rsidRPr="000F7862">
        <w:rPr>
          <w:lang w:val="fr-FR"/>
        </w:rPr>
        <w:tab/>
      </w:r>
      <w:r w:rsidR="00891BA9" w:rsidRPr="000F7862">
        <w:rPr>
          <w:lang w:val="fr-FR"/>
        </w:rPr>
        <w:t xml:space="preserve">Amélioration </w:t>
      </w:r>
      <w:r w:rsidR="00DF473A" w:rsidRPr="000F7862">
        <w:rPr>
          <w:lang w:val="fr-FR"/>
        </w:rPr>
        <w:t>du taux d</w:t>
      </w:r>
      <w:r w:rsidR="00120E2E" w:rsidRPr="000F7862">
        <w:rPr>
          <w:lang w:val="fr-FR"/>
        </w:rPr>
        <w:t>’</w:t>
      </w:r>
      <w:r w:rsidR="00DF473A" w:rsidRPr="000F7862">
        <w:rPr>
          <w:lang w:val="fr-FR"/>
        </w:rPr>
        <w:t>inscription</w:t>
      </w:r>
      <w:r w:rsidR="00891BA9" w:rsidRPr="000F7862">
        <w:rPr>
          <w:lang w:val="fr-FR"/>
        </w:rPr>
        <w:t xml:space="preserve"> </w:t>
      </w:r>
      <w:r w:rsidR="00DF473A" w:rsidRPr="000F7862">
        <w:rPr>
          <w:lang w:val="fr-FR"/>
        </w:rPr>
        <w:t xml:space="preserve">scolaire </w:t>
      </w:r>
      <w:r w:rsidR="00891BA9" w:rsidRPr="000F7862">
        <w:rPr>
          <w:lang w:val="fr-FR"/>
        </w:rPr>
        <w:t xml:space="preserve">des enfants </w:t>
      </w:r>
      <w:r w:rsidR="00FD28CB" w:rsidRPr="000F7862">
        <w:rPr>
          <w:lang w:val="fr-FR"/>
        </w:rPr>
        <w:t>démunis</w:t>
      </w:r>
      <w:r w:rsidR="0005004C" w:rsidRPr="000F7862">
        <w:rPr>
          <w:lang w:val="fr-FR"/>
        </w:rPr>
        <w:t>:</w:t>
      </w:r>
    </w:p>
    <w:p w:rsidR="0086185C" w:rsidRPr="000F7862" w:rsidRDefault="00891BA9" w:rsidP="00B061DB">
      <w:pPr>
        <w:pStyle w:val="Bullet2G"/>
        <w:rPr>
          <w:lang w:val="fr-FR"/>
        </w:rPr>
      </w:pPr>
      <w:r w:rsidRPr="000F7862">
        <w:rPr>
          <w:lang w:val="fr-FR"/>
        </w:rPr>
        <w:t>Âge préscolaire</w:t>
      </w:r>
      <w:r w:rsidR="0086185C" w:rsidRPr="000F7862">
        <w:rPr>
          <w:lang w:val="fr-FR"/>
        </w:rPr>
        <w:t>/</w:t>
      </w:r>
      <w:r w:rsidRPr="000F7862">
        <w:rPr>
          <w:lang w:val="fr-FR"/>
        </w:rPr>
        <w:t>crèche</w:t>
      </w:r>
      <w:r w:rsidR="0086185C" w:rsidRPr="000F7862">
        <w:rPr>
          <w:lang w:val="fr-FR"/>
        </w:rPr>
        <w:t xml:space="preserve"> (3</w:t>
      </w:r>
      <w:r w:rsidRPr="000F7862">
        <w:rPr>
          <w:lang w:val="fr-FR"/>
        </w:rPr>
        <w:t>-</w:t>
      </w:r>
      <w:r w:rsidR="0086185C" w:rsidRPr="000F7862">
        <w:rPr>
          <w:lang w:val="fr-FR"/>
        </w:rPr>
        <w:t>5</w:t>
      </w:r>
      <w:r w:rsidR="00796D18" w:rsidRPr="000F7862">
        <w:rPr>
          <w:lang w:val="fr-FR"/>
        </w:rPr>
        <w:t> </w:t>
      </w:r>
      <w:r w:rsidRPr="000F7862">
        <w:rPr>
          <w:lang w:val="fr-FR"/>
        </w:rPr>
        <w:t>ans</w:t>
      </w:r>
      <w:r w:rsidR="0086185C" w:rsidRPr="000F7862">
        <w:rPr>
          <w:lang w:val="fr-FR"/>
        </w:rPr>
        <w:t xml:space="preserve">, </w:t>
      </w:r>
      <w:r w:rsidRPr="000F7862">
        <w:rPr>
          <w:lang w:val="fr-FR"/>
        </w:rPr>
        <w:t xml:space="preserve">de </w:t>
      </w:r>
      <w:r w:rsidR="0086185C" w:rsidRPr="000F7862">
        <w:rPr>
          <w:lang w:val="fr-FR"/>
        </w:rPr>
        <w:t>10</w:t>
      </w:r>
      <w:r w:rsidRPr="000F7862">
        <w:rPr>
          <w:lang w:val="fr-FR"/>
        </w:rPr>
        <w:t>,</w:t>
      </w:r>
      <w:r w:rsidR="0086185C" w:rsidRPr="000F7862">
        <w:rPr>
          <w:lang w:val="fr-FR"/>
        </w:rPr>
        <w:t>3</w:t>
      </w:r>
      <w:r w:rsidR="00DC1196" w:rsidRPr="000F7862">
        <w:rPr>
          <w:lang w:val="fr-FR"/>
        </w:rPr>
        <w:t> %</w:t>
      </w:r>
      <w:r w:rsidR="0086185C" w:rsidRPr="000F7862">
        <w:rPr>
          <w:lang w:val="fr-FR"/>
        </w:rPr>
        <w:t>)</w:t>
      </w:r>
      <w:r w:rsidR="00C46EC9" w:rsidRPr="000F7862">
        <w:rPr>
          <w:lang w:val="fr-FR"/>
        </w:rPr>
        <w:t>;</w:t>
      </w:r>
    </w:p>
    <w:p w:rsidR="0086185C" w:rsidRPr="000F7862" w:rsidRDefault="003F7F57" w:rsidP="003F7F57">
      <w:pPr>
        <w:pStyle w:val="Bullet2G"/>
        <w:numPr>
          <w:ilvl w:val="0"/>
          <w:numId w:val="0"/>
        </w:numPr>
        <w:tabs>
          <w:tab w:val="left" w:pos="2268"/>
        </w:tabs>
        <w:ind w:left="2268" w:hanging="170"/>
        <w:rPr>
          <w:lang w:val="fr-FR"/>
        </w:rPr>
      </w:pPr>
      <w:r w:rsidRPr="000F7862">
        <w:rPr>
          <w:lang w:val="fr-FR"/>
        </w:rPr>
        <w:t>•</w:t>
      </w:r>
      <w:r w:rsidRPr="000F7862">
        <w:rPr>
          <w:lang w:val="fr-FR"/>
        </w:rPr>
        <w:tab/>
      </w:r>
      <w:r w:rsidR="00DF473A" w:rsidRPr="000F7862">
        <w:rPr>
          <w:lang w:val="fr-FR"/>
        </w:rPr>
        <w:t>Âge d</w:t>
      </w:r>
      <w:r w:rsidR="00120E2E" w:rsidRPr="000F7862">
        <w:rPr>
          <w:lang w:val="fr-FR"/>
        </w:rPr>
        <w:t>’</w:t>
      </w:r>
      <w:r w:rsidR="00DF473A" w:rsidRPr="000F7862">
        <w:rPr>
          <w:lang w:val="fr-FR"/>
        </w:rPr>
        <w:t>enseignement</w:t>
      </w:r>
      <w:r w:rsidR="00891BA9" w:rsidRPr="000F7862">
        <w:rPr>
          <w:lang w:val="fr-FR"/>
        </w:rPr>
        <w:t xml:space="preserve"> primaire </w:t>
      </w:r>
      <w:r w:rsidR="0086185C" w:rsidRPr="000F7862">
        <w:rPr>
          <w:lang w:val="fr-FR"/>
        </w:rPr>
        <w:t>(6</w:t>
      </w:r>
      <w:r w:rsidR="00891BA9" w:rsidRPr="000F7862">
        <w:rPr>
          <w:lang w:val="fr-FR"/>
        </w:rPr>
        <w:t>-</w:t>
      </w:r>
      <w:r w:rsidR="0086185C" w:rsidRPr="000F7862">
        <w:rPr>
          <w:lang w:val="fr-FR"/>
        </w:rPr>
        <w:t>11</w:t>
      </w:r>
      <w:r w:rsidR="00796D18" w:rsidRPr="000F7862">
        <w:rPr>
          <w:lang w:val="fr-FR"/>
        </w:rPr>
        <w:t> </w:t>
      </w:r>
      <w:r w:rsidR="00891BA9" w:rsidRPr="000F7862">
        <w:rPr>
          <w:lang w:val="fr-FR"/>
        </w:rPr>
        <w:t>ans</w:t>
      </w:r>
      <w:r w:rsidR="0086185C" w:rsidRPr="000F7862">
        <w:rPr>
          <w:lang w:val="fr-FR"/>
        </w:rPr>
        <w:t xml:space="preserve">, </w:t>
      </w:r>
      <w:r w:rsidR="00891BA9" w:rsidRPr="000F7862">
        <w:rPr>
          <w:lang w:val="fr-FR"/>
        </w:rPr>
        <w:t>de</w:t>
      </w:r>
      <w:r w:rsidR="0086185C" w:rsidRPr="000F7862">
        <w:rPr>
          <w:lang w:val="fr-FR"/>
        </w:rPr>
        <w:t xml:space="preserve"> 4</w:t>
      </w:r>
      <w:r w:rsidR="00891BA9" w:rsidRPr="000F7862">
        <w:rPr>
          <w:lang w:val="fr-FR"/>
        </w:rPr>
        <w:t>,</w:t>
      </w:r>
      <w:r w:rsidR="0086185C" w:rsidRPr="000F7862">
        <w:rPr>
          <w:lang w:val="fr-FR"/>
        </w:rPr>
        <w:t>5</w:t>
      </w:r>
      <w:r w:rsidR="00DC1196" w:rsidRPr="000F7862">
        <w:rPr>
          <w:lang w:val="fr-FR"/>
        </w:rPr>
        <w:t> %</w:t>
      </w:r>
      <w:r w:rsidR="0086185C" w:rsidRPr="000F7862">
        <w:rPr>
          <w:lang w:val="fr-FR"/>
        </w:rPr>
        <w:t>)</w:t>
      </w:r>
      <w:r w:rsidR="00C46EC9" w:rsidRPr="000F7862">
        <w:rPr>
          <w:lang w:val="fr-FR"/>
        </w:rPr>
        <w:t>.</w:t>
      </w:r>
    </w:p>
    <w:p w:rsidR="0086185C" w:rsidRPr="000F7862" w:rsidRDefault="00034450" w:rsidP="007255DB">
      <w:pPr>
        <w:pStyle w:val="SingleTxtG"/>
        <w:ind w:firstLine="567"/>
        <w:rPr>
          <w:lang w:val="fr-FR"/>
        </w:rPr>
      </w:pPr>
      <w:r w:rsidRPr="000F7862">
        <w:rPr>
          <w:lang w:val="fr-FR"/>
        </w:rPr>
        <w:t>2.</w:t>
      </w:r>
      <w:r w:rsidRPr="000F7862">
        <w:rPr>
          <w:lang w:val="fr-FR"/>
        </w:rPr>
        <w:tab/>
      </w:r>
      <w:r w:rsidR="00891BA9" w:rsidRPr="000F7862">
        <w:rPr>
          <w:lang w:val="fr-FR"/>
        </w:rPr>
        <w:t xml:space="preserve">Amélioration </w:t>
      </w:r>
      <w:r w:rsidR="00DF473A" w:rsidRPr="000F7862">
        <w:rPr>
          <w:lang w:val="fr-FR"/>
        </w:rPr>
        <w:t>du taux de fréquentation scolaire</w:t>
      </w:r>
      <w:r w:rsidR="00891BA9" w:rsidRPr="000F7862">
        <w:rPr>
          <w:lang w:val="fr-FR"/>
        </w:rPr>
        <w:t xml:space="preserve"> des enfants </w:t>
      </w:r>
      <w:r w:rsidR="00FD28CB" w:rsidRPr="000F7862">
        <w:rPr>
          <w:lang w:val="fr-FR"/>
        </w:rPr>
        <w:t>démunis</w:t>
      </w:r>
      <w:r w:rsidR="0005004C" w:rsidRPr="000F7862">
        <w:rPr>
          <w:lang w:val="fr-FR"/>
        </w:rPr>
        <w:t>:</w:t>
      </w:r>
    </w:p>
    <w:p w:rsidR="0086185C" w:rsidRPr="000F7862" w:rsidRDefault="003F7F57" w:rsidP="003F7F57">
      <w:pPr>
        <w:pStyle w:val="Bullet2G"/>
        <w:numPr>
          <w:ilvl w:val="0"/>
          <w:numId w:val="0"/>
        </w:numPr>
        <w:tabs>
          <w:tab w:val="left" w:pos="2268"/>
        </w:tabs>
        <w:ind w:left="2268" w:hanging="170"/>
        <w:rPr>
          <w:lang w:val="fr-FR"/>
        </w:rPr>
      </w:pPr>
      <w:r w:rsidRPr="000F7862">
        <w:rPr>
          <w:lang w:val="fr-FR"/>
        </w:rPr>
        <w:t>•</w:t>
      </w:r>
      <w:r w:rsidRPr="000F7862">
        <w:rPr>
          <w:lang w:val="fr-FR"/>
        </w:rPr>
        <w:tab/>
      </w:r>
      <w:r w:rsidR="00DF473A" w:rsidRPr="000F7862">
        <w:rPr>
          <w:lang w:val="fr-FR"/>
        </w:rPr>
        <w:t>Âge d</w:t>
      </w:r>
      <w:r w:rsidR="00120E2E" w:rsidRPr="000F7862">
        <w:rPr>
          <w:lang w:val="fr-FR"/>
        </w:rPr>
        <w:t>’</w:t>
      </w:r>
      <w:r w:rsidR="00DF473A" w:rsidRPr="000F7862">
        <w:rPr>
          <w:lang w:val="fr-FR"/>
        </w:rPr>
        <w:t>enseignement</w:t>
      </w:r>
      <w:r w:rsidR="00891BA9" w:rsidRPr="000F7862">
        <w:rPr>
          <w:lang w:val="fr-FR"/>
        </w:rPr>
        <w:t xml:space="preserve"> primaire </w:t>
      </w:r>
      <w:r w:rsidR="0086185C" w:rsidRPr="000F7862">
        <w:rPr>
          <w:lang w:val="fr-FR"/>
        </w:rPr>
        <w:t>(</w:t>
      </w:r>
      <w:r w:rsidR="00891BA9" w:rsidRPr="000F7862">
        <w:rPr>
          <w:lang w:val="fr-FR"/>
        </w:rPr>
        <w:t xml:space="preserve">6-11 ans, de </w:t>
      </w:r>
      <w:r w:rsidR="0086185C" w:rsidRPr="000F7862">
        <w:rPr>
          <w:lang w:val="fr-FR"/>
        </w:rPr>
        <w:t>3</w:t>
      </w:r>
      <w:r w:rsidR="00DF473A" w:rsidRPr="000F7862">
        <w:rPr>
          <w:lang w:val="fr-FR"/>
        </w:rPr>
        <w:t>,</w:t>
      </w:r>
      <w:r w:rsidR="0086185C" w:rsidRPr="000F7862">
        <w:rPr>
          <w:lang w:val="fr-FR"/>
        </w:rPr>
        <w:t>8</w:t>
      </w:r>
      <w:r w:rsidR="00DC1196" w:rsidRPr="000F7862">
        <w:rPr>
          <w:lang w:val="fr-FR"/>
        </w:rPr>
        <w:t> %</w:t>
      </w:r>
      <w:r w:rsidR="0086185C" w:rsidRPr="000F7862">
        <w:rPr>
          <w:lang w:val="fr-FR"/>
        </w:rPr>
        <w:t>)</w:t>
      </w:r>
      <w:r w:rsidR="00C46EC9" w:rsidRPr="000F7862">
        <w:rPr>
          <w:lang w:val="fr-FR"/>
        </w:rPr>
        <w:t>;</w:t>
      </w:r>
    </w:p>
    <w:p w:rsidR="00C46EC9" w:rsidRPr="000F7862" w:rsidRDefault="003F7F57" w:rsidP="003F7F57">
      <w:pPr>
        <w:pStyle w:val="Bullet2G"/>
        <w:numPr>
          <w:ilvl w:val="0"/>
          <w:numId w:val="0"/>
        </w:numPr>
        <w:tabs>
          <w:tab w:val="left" w:pos="2268"/>
        </w:tabs>
        <w:ind w:left="2268" w:hanging="170"/>
        <w:rPr>
          <w:i/>
          <w:iCs/>
          <w:lang w:val="fr-FR"/>
        </w:rPr>
      </w:pPr>
      <w:r w:rsidRPr="000F7862">
        <w:rPr>
          <w:iCs/>
          <w:lang w:val="fr-FR"/>
        </w:rPr>
        <w:t>•</w:t>
      </w:r>
      <w:r w:rsidRPr="000F7862">
        <w:rPr>
          <w:iCs/>
          <w:lang w:val="fr-FR"/>
        </w:rPr>
        <w:tab/>
      </w:r>
      <w:r w:rsidR="00DF473A" w:rsidRPr="000F7862">
        <w:rPr>
          <w:lang w:val="fr-FR"/>
        </w:rPr>
        <w:t>Âge d</w:t>
      </w:r>
      <w:r w:rsidR="00120E2E" w:rsidRPr="000F7862">
        <w:rPr>
          <w:lang w:val="fr-FR"/>
        </w:rPr>
        <w:t>’</w:t>
      </w:r>
      <w:r w:rsidR="00DF473A" w:rsidRPr="000F7862">
        <w:rPr>
          <w:lang w:val="fr-FR"/>
        </w:rPr>
        <w:t xml:space="preserve">enseignement secondaire </w:t>
      </w:r>
      <w:r w:rsidR="0086185C" w:rsidRPr="000F7862">
        <w:rPr>
          <w:lang w:val="fr-FR"/>
        </w:rPr>
        <w:t>(12</w:t>
      </w:r>
      <w:r w:rsidR="00DF473A" w:rsidRPr="000F7862">
        <w:rPr>
          <w:lang w:val="fr-FR"/>
        </w:rPr>
        <w:t>-</w:t>
      </w:r>
      <w:r w:rsidR="0086185C" w:rsidRPr="000F7862">
        <w:rPr>
          <w:lang w:val="fr-FR"/>
        </w:rPr>
        <w:t>14</w:t>
      </w:r>
      <w:r w:rsidR="00796D18" w:rsidRPr="000F7862">
        <w:rPr>
          <w:lang w:val="fr-FR"/>
        </w:rPr>
        <w:t> </w:t>
      </w:r>
      <w:r w:rsidR="00DF473A" w:rsidRPr="000F7862">
        <w:rPr>
          <w:lang w:val="fr-FR"/>
        </w:rPr>
        <w:t>ans</w:t>
      </w:r>
      <w:r w:rsidR="0086185C" w:rsidRPr="000F7862">
        <w:rPr>
          <w:lang w:val="fr-FR"/>
        </w:rPr>
        <w:t xml:space="preserve">, </w:t>
      </w:r>
      <w:r w:rsidR="00DF473A" w:rsidRPr="000F7862">
        <w:rPr>
          <w:lang w:val="fr-FR"/>
        </w:rPr>
        <w:t>de</w:t>
      </w:r>
      <w:r w:rsidR="0086185C" w:rsidRPr="000F7862">
        <w:rPr>
          <w:lang w:val="fr-FR"/>
        </w:rPr>
        <w:t xml:space="preserve"> 4</w:t>
      </w:r>
      <w:r w:rsidR="00DF473A" w:rsidRPr="000F7862">
        <w:rPr>
          <w:lang w:val="fr-FR"/>
        </w:rPr>
        <w:t>,</w:t>
      </w:r>
      <w:r w:rsidR="0086185C" w:rsidRPr="000F7862">
        <w:rPr>
          <w:lang w:val="fr-FR"/>
        </w:rPr>
        <w:t>0</w:t>
      </w:r>
      <w:r w:rsidR="00DC1196" w:rsidRPr="000F7862">
        <w:rPr>
          <w:lang w:val="fr-FR"/>
        </w:rPr>
        <w:t> %</w:t>
      </w:r>
      <w:r w:rsidR="0086185C" w:rsidRPr="000F7862">
        <w:rPr>
          <w:lang w:val="fr-FR"/>
        </w:rPr>
        <w:t>)</w:t>
      </w:r>
      <w:r w:rsidR="00C46EC9" w:rsidRPr="000F7862">
        <w:rPr>
          <w:lang w:val="fr-FR"/>
        </w:rPr>
        <w:t>;</w:t>
      </w:r>
    </w:p>
    <w:p w:rsidR="0086185C" w:rsidRPr="000F7862" w:rsidRDefault="003F7F57" w:rsidP="003F7F57">
      <w:pPr>
        <w:pStyle w:val="Bullet2G"/>
        <w:numPr>
          <w:ilvl w:val="0"/>
          <w:numId w:val="0"/>
        </w:numPr>
        <w:tabs>
          <w:tab w:val="left" w:pos="2268"/>
        </w:tabs>
        <w:ind w:left="2268" w:hanging="170"/>
        <w:rPr>
          <w:lang w:val="fr-FR"/>
        </w:rPr>
      </w:pPr>
      <w:r w:rsidRPr="000F7862">
        <w:rPr>
          <w:lang w:val="fr-FR"/>
        </w:rPr>
        <w:t>•</w:t>
      </w:r>
      <w:r w:rsidRPr="000F7862">
        <w:rPr>
          <w:lang w:val="fr-FR"/>
        </w:rPr>
        <w:tab/>
      </w:r>
      <w:r w:rsidR="00DF473A" w:rsidRPr="000F7862">
        <w:rPr>
          <w:lang w:val="fr-FR"/>
        </w:rPr>
        <w:t>Âge d</w:t>
      </w:r>
      <w:r w:rsidR="00120E2E" w:rsidRPr="000F7862">
        <w:rPr>
          <w:lang w:val="fr-FR"/>
        </w:rPr>
        <w:t>’</w:t>
      </w:r>
      <w:r w:rsidR="00DF473A" w:rsidRPr="000F7862">
        <w:rPr>
          <w:lang w:val="fr-FR"/>
        </w:rPr>
        <w:t>enseignement tertiaire</w:t>
      </w:r>
      <w:r w:rsidR="0086185C" w:rsidRPr="000F7862">
        <w:rPr>
          <w:lang w:val="fr-FR"/>
        </w:rPr>
        <w:t xml:space="preserve"> (15</w:t>
      </w:r>
      <w:r w:rsidR="00DF473A" w:rsidRPr="000F7862">
        <w:rPr>
          <w:lang w:val="fr-FR"/>
        </w:rPr>
        <w:t>-</w:t>
      </w:r>
      <w:r w:rsidR="0086185C" w:rsidRPr="000F7862">
        <w:rPr>
          <w:lang w:val="fr-FR"/>
        </w:rPr>
        <w:t>17</w:t>
      </w:r>
      <w:r w:rsidR="00796D18" w:rsidRPr="000F7862">
        <w:rPr>
          <w:lang w:val="fr-FR"/>
        </w:rPr>
        <w:t> </w:t>
      </w:r>
      <w:r w:rsidR="00DF473A" w:rsidRPr="000F7862">
        <w:rPr>
          <w:lang w:val="fr-FR"/>
        </w:rPr>
        <w:t>ans</w:t>
      </w:r>
      <w:r w:rsidR="0086185C" w:rsidRPr="000F7862">
        <w:rPr>
          <w:lang w:val="fr-FR"/>
        </w:rPr>
        <w:t xml:space="preserve">, </w:t>
      </w:r>
      <w:r w:rsidR="00DF473A" w:rsidRPr="000F7862">
        <w:rPr>
          <w:lang w:val="fr-FR"/>
        </w:rPr>
        <w:t>de</w:t>
      </w:r>
      <w:r w:rsidR="0086185C" w:rsidRPr="000F7862">
        <w:rPr>
          <w:lang w:val="fr-FR"/>
        </w:rPr>
        <w:t xml:space="preserve"> 7</w:t>
      </w:r>
      <w:r w:rsidR="00DF473A" w:rsidRPr="000F7862">
        <w:rPr>
          <w:lang w:val="fr-FR"/>
        </w:rPr>
        <w:t>,</w:t>
      </w:r>
      <w:r w:rsidR="0086185C" w:rsidRPr="000F7862">
        <w:rPr>
          <w:lang w:val="fr-FR"/>
        </w:rPr>
        <w:t>6</w:t>
      </w:r>
      <w:r w:rsidR="00DC1196" w:rsidRPr="000F7862">
        <w:rPr>
          <w:lang w:val="fr-FR"/>
        </w:rPr>
        <w:t> %</w:t>
      </w:r>
      <w:r w:rsidR="0086185C" w:rsidRPr="000F7862">
        <w:rPr>
          <w:lang w:val="fr-FR"/>
        </w:rPr>
        <w:t>)</w:t>
      </w:r>
      <w:r w:rsidR="00C46EC9" w:rsidRPr="000F7862">
        <w:rPr>
          <w:lang w:val="fr-FR"/>
        </w:rPr>
        <w:t>.</w:t>
      </w:r>
    </w:p>
    <w:p w:rsidR="0086185C" w:rsidRPr="000F7862" w:rsidRDefault="00C46EC9" w:rsidP="001C088C">
      <w:pPr>
        <w:pStyle w:val="H4G"/>
        <w:rPr>
          <w:lang w:val="fr-FR"/>
        </w:rPr>
      </w:pPr>
      <w:r w:rsidRPr="000F7862">
        <w:rPr>
          <w:lang w:val="fr-FR"/>
        </w:rPr>
        <w:tab/>
        <w:t>b)</w:t>
      </w:r>
      <w:r w:rsidRPr="000F7862">
        <w:rPr>
          <w:lang w:val="fr-FR"/>
        </w:rPr>
        <w:tab/>
      </w:r>
      <w:r w:rsidR="00DF473A" w:rsidRPr="000F7862">
        <w:rPr>
          <w:lang w:val="fr-FR"/>
        </w:rPr>
        <w:t xml:space="preserve">Santé des enfants </w:t>
      </w:r>
    </w:p>
    <w:p w:rsidR="0086185C" w:rsidRPr="000F7862" w:rsidRDefault="00E12079" w:rsidP="00E12079">
      <w:pPr>
        <w:pStyle w:val="SingleTxtG"/>
        <w:ind w:firstLine="567"/>
        <w:rPr>
          <w:lang w:val="fr-FR"/>
        </w:rPr>
      </w:pPr>
      <w:r w:rsidRPr="000F7862">
        <w:rPr>
          <w:lang w:val="fr-FR"/>
        </w:rPr>
        <w:t>1.</w:t>
      </w:r>
      <w:r w:rsidRPr="000F7862">
        <w:rPr>
          <w:lang w:val="fr-FR"/>
        </w:rPr>
        <w:tab/>
      </w:r>
      <w:r w:rsidR="00DF473A" w:rsidRPr="000F7862">
        <w:rPr>
          <w:lang w:val="fr-FR"/>
        </w:rPr>
        <w:t>Amélioration de l</w:t>
      </w:r>
      <w:r w:rsidR="00120E2E" w:rsidRPr="000F7862">
        <w:rPr>
          <w:lang w:val="fr-FR"/>
        </w:rPr>
        <w:t>’</w:t>
      </w:r>
      <w:r w:rsidR="00DF473A" w:rsidRPr="000F7862">
        <w:rPr>
          <w:lang w:val="fr-FR"/>
        </w:rPr>
        <w:t xml:space="preserve">alimentation des enfants </w:t>
      </w:r>
      <w:r w:rsidR="00674F52" w:rsidRPr="000F7862">
        <w:rPr>
          <w:lang w:val="fr-FR"/>
        </w:rPr>
        <w:t>démuni</w:t>
      </w:r>
      <w:r w:rsidR="00FD28CB" w:rsidRPr="000F7862">
        <w:rPr>
          <w:lang w:val="fr-FR"/>
        </w:rPr>
        <w:t>s</w:t>
      </w:r>
      <w:r w:rsidR="00DF473A" w:rsidRPr="000F7862">
        <w:rPr>
          <w:lang w:val="fr-FR"/>
        </w:rPr>
        <w:t xml:space="preserve"> grâce</w:t>
      </w:r>
      <w:r w:rsidR="0005004C" w:rsidRPr="000F7862">
        <w:rPr>
          <w:lang w:val="fr-FR"/>
        </w:rPr>
        <w:t>:</w:t>
      </w:r>
    </w:p>
    <w:p w:rsidR="0086185C" w:rsidRPr="000F7862" w:rsidRDefault="003F7F57" w:rsidP="003F7F57">
      <w:pPr>
        <w:pStyle w:val="Bullet2G"/>
        <w:numPr>
          <w:ilvl w:val="0"/>
          <w:numId w:val="0"/>
        </w:numPr>
        <w:tabs>
          <w:tab w:val="left" w:pos="2268"/>
        </w:tabs>
        <w:ind w:left="2268" w:hanging="170"/>
        <w:rPr>
          <w:lang w:val="fr-FR"/>
        </w:rPr>
      </w:pPr>
      <w:r w:rsidRPr="000F7862">
        <w:rPr>
          <w:lang w:val="fr-FR"/>
        </w:rPr>
        <w:t>•</w:t>
      </w:r>
      <w:r w:rsidRPr="000F7862">
        <w:rPr>
          <w:lang w:val="fr-FR"/>
        </w:rPr>
        <w:tab/>
      </w:r>
      <w:r w:rsidR="00DF473A" w:rsidRPr="000F7862">
        <w:rPr>
          <w:lang w:val="fr-FR"/>
        </w:rPr>
        <w:t xml:space="preserve">À la réduction </w:t>
      </w:r>
      <w:r w:rsidR="00A17387" w:rsidRPr="000F7862">
        <w:rPr>
          <w:lang w:val="fr-FR"/>
        </w:rPr>
        <w:t xml:space="preserve">du retard de croissance sévère parmi les enfants âgés de </w:t>
      </w:r>
      <w:r w:rsidR="0086185C" w:rsidRPr="000F7862">
        <w:rPr>
          <w:lang w:val="fr-FR"/>
        </w:rPr>
        <w:t>6</w:t>
      </w:r>
      <w:r w:rsidR="00A17387" w:rsidRPr="000F7862">
        <w:rPr>
          <w:lang w:val="fr-FR"/>
        </w:rPr>
        <w:t xml:space="preserve"> à </w:t>
      </w:r>
      <w:r w:rsidR="00B061DB" w:rsidRPr="000F7862">
        <w:rPr>
          <w:lang w:val="fr-FR"/>
        </w:rPr>
        <w:t>36 </w:t>
      </w:r>
      <w:r w:rsidR="0086185C" w:rsidRPr="000F7862">
        <w:rPr>
          <w:lang w:val="fr-FR"/>
        </w:rPr>
        <w:t>mo</w:t>
      </w:r>
      <w:r w:rsidR="00A17387" w:rsidRPr="000F7862">
        <w:rPr>
          <w:lang w:val="fr-FR"/>
        </w:rPr>
        <w:t xml:space="preserve">is </w:t>
      </w:r>
      <w:r w:rsidR="0086185C" w:rsidRPr="000F7862">
        <w:rPr>
          <w:lang w:val="fr-FR"/>
        </w:rPr>
        <w:t>(</w:t>
      </w:r>
      <w:r w:rsidR="00A17387" w:rsidRPr="000F7862">
        <w:rPr>
          <w:lang w:val="fr-FR"/>
        </w:rPr>
        <w:t>de</w:t>
      </w:r>
      <w:r w:rsidR="0086185C" w:rsidRPr="000F7862">
        <w:rPr>
          <w:lang w:val="fr-FR"/>
        </w:rPr>
        <w:t xml:space="preserve"> 10</w:t>
      </w:r>
      <w:r w:rsidR="00A17387" w:rsidRPr="000F7862">
        <w:rPr>
          <w:lang w:val="fr-FR"/>
        </w:rPr>
        <w:t>,</w:t>
      </w:r>
      <w:r w:rsidR="0086185C" w:rsidRPr="000F7862">
        <w:rPr>
          <w:lang w:val="fr-FR"/>
        </w:rPr>
        <w:t>1</w:t>
      </w:r>
      <w:r w:rsidR="00DC1196" w:rsidRPr="000F7862">
        <w:rPr>
          <w:lang w:val="fr-FR"/>
        </w:rPr>
        <w:t> %</w:t>
      </w:r>
      <w:r w:rsidR="0086185C" w:rsidRPr="000F7862">
        <w:rPr>
          <w:lang w:val="fr-FR"/>
        </w:rPr>
        <w:t>)</w:t>
      </w:r>
      <w:r w:rsidR="00C46EC9" w:rsidRPr="000F7862">
        <w:rPr>
          <w:lang w:val="fr-FR"/>
        </w:rPr>
        <w:t>;</w:t>
      </w:r>
    </w:p>
    <w:p w:rsidR="0086185C" w:rsidRPr="000F7862" w:rsidRDefault="003F7F57" w:rsidP="003F7F57">
      <w:pPr>
        <w:pStyle w:val="Bullet2G"/>
        <w:numPr>
          <w:ilvl w:val="0"/>
          <w:numId w:val="0"/>
        </w:numPr>
        <w:tabs>
          <w:tab w:val="left" w:pos="2268"/>
        </w:tabs>
        <w:ind w:left="2268" w:hanging="170"/>
        <w:rPr>
          <w:lang w:val="fr-FR"/>
        </w:rPr>
      </w:pPr>
      <w:r w:rsidRPr="000F7862">
        <w:rPr>
          <w:lang w:val="fr-FR"/>
        </w:rPr>
        <w:t>•</w:t>
      </w:r>
      <w:r w:rsidRPr="000F7862">
        <w:rPr>
          <w:lang w:val="fr-FR"/>
        </w:rPr>
        <w:tab/>
      </w:r>
      <w:r w:rsidR="0086185C" w:rsidRPr="000F7862">
        <w:rPr>
          <w:lang w:val="fr-FR"/>
        </w:rPr>
        <w:t>(</w:t>
      </w:r>
      <w:r w:rsidR="00A17387" w:rsidRPr="000F7862">
        <w:rPr>
          <w:lang w:val="fr-FR"/>
        </w:rPr>
        <w:t xml:space="preserve">Réalisée </w:t>
      </w:r>
      <w:r w:rsidR="00ED7C02" w:rsidRPr="000F7862">
        <w:rPr>
          <w:lang w:val="fr-FR"/>
        </w:rPr>
        <w:t>grâce à l</w:t>
      </w:r>
      <w:r w:rsidR="00120E2E" w:rsidRPr="000F7862">
        <w:rPr>
          <w:lang w:val="fr-FR"/>
        </w:rPr>
        <w:t>’</w:t>
      </w:r>
      <w:r w:rsidR="00ED7C02" w:rsidRPr="000F7862">
        <w:rPr>
          <w:lang w:val="fr-FR"/>
        </w:rPr>
        <w:t>adoption d</w:t>
      </w:r>
      <w:r w:rsidR="00120E2E" w:rsidRPr="000F7862">
        <w:rPr>
          <w:lang w:val="fr-FR"/>
        </w:rPr>
        <w:t>’</w:t>
      </w:r>
      <w:r w:rsidR="00ED7C02" w:rsidRPr="000F7862">
        <w:rPr>
          <w:lang w:val="fr-FR"/>
        </w:rPr>
        <w:t>aliments riches en protéines, comme les œufs et le poisson</w:t>
      </w:r>
      <w:r w:rsidR="0086185C" w:rsidRPr="000F7862">
        <w:rPr>
          <w:lang w:val="fr-FR"/>
        </w:rPr>
        <w:t>)</w:t>
      </w:r>
      <w:r w:rsidR="00C46EC9" w:rsidRPr="000F7862">
        <w:rPr>
          <w:lang w:val="fr-FR"/>
        </w:rPr>
        <w:t>.</w:t>
      </w:r>
    </w:p>
    <w:p w:rsidR="0086185C" w:rsidRPr="000F7862" w:rsidRDefault="00E12079" w:rsidP="00B061DB">
      <w:pPr>
        <w:pStyle w:val="SingleTxtG"/>
        <w:ind w:left="1701"/>
        <w:rPr>
          <w:lang w:val="fr-FR"/>
        </w:rPr>
      </w:pPr>
      <w:r w:rsidRPr="000F7862">
        <w:rPr>
          <w:lang w:val="fr-FR"/>
        </w:rPr>
        <w:t>2.</w:t>
      </w:r>
      <w:r w:rsidRPr="000F7862">
        <w:rPr>
          <w:lang w:val="fr-FR"/>
        </w:rPr>
        <w:tab/>
      </w:r>
      <w:r w:rsidR="00ED7C02" w:rsidRPr="000F7862">
        <w:rPr>
          <w:lang w:val="fr-FR"/>
        </w:rPr>
        <w:t>Amélioration de l</w:t>
      </w:r>
      <w:r w:rsidR="00120E2E" w:rsidRPr="000F7862">
        <w:rPr>
          <w:lang w:val="fr-FR"/>
        </w:rPr>
        <w:t>’</w:t>
      </w:r>
      <w:r w:rsidR="00ED7C02" w:rsidRPr="000F7862">
        <w:rPr>
          <w:lang w:val="fr-FR"/>
        </w:rPr>
        <w:t xml:space="preserve">utilisation par les </w:t>
      </w:r>
      <w:r w:rsidR="00674F52" w:rsidRPr="000F7862">
        <w:rPr>
          <w:lang w:val="fr-FR"/>
        </w:rPr>
        <w:t>enfants démuni</w:t>
      </w:r>
      <w:r w:rsidR="00FD28CB" w:rsidRPr="000F7862">
        <w:rPr>
          <w:lang w:val="fr-FR"/>
        </w:rPr>
        <w:t>s</w:t>
      </w:r>
      <w:r w:rsidR="00ED7C02" w:rsidRPr="000F7862">
        <w:rPr>
          <w:lang w:val="fr-FR"/>
        </w:rPr>
        <w:t xml:space="preserve"> des services de santé infantile </w:t>
      </w:r>
      <w:r w:rsidR="00C8149B" w:rsidRPr="000F7862">
        <w:rPr>
          <w:lang w:val="fr-FR"/>
        </w:rPr>
        <w:t>grâce</w:t>
      </w:r>
      <w:r w:rsidR="0005004C" w:rsidRPr="000F7862">
        <w:rPr>
          <w:lang w:val="fr-FR"/>
        </w:rPr>
        <w:t>:</w:t>
      </w:r>
    </w:p>
    <w:p w:rsidR="0086185C" w:rsidRPr="000F7862" w:rsidRDefault="003F7F57" w:rsidP="00B061DB">
      <w:pPr>
        <w:pStyle w:val="Bullet2G"/>
        <w:numPr>
          <w:ilvl w:val="0"/>
          <w:numId w:val="0"/>
        </w:numPr>
        <w:tabs>
          <w:tab w:val="left" w:pos="2268"/>
        </w:tabs>
        <w:ind w:left="2268" w:hanging="170"/>
        <w:rPr>
          <w:lang w:val="fr-FR"/>
        </w:rPr>
      </w:pPr>
      <w:r w:rsidRPr="000F7862">
        <w:rPr>
          <w:lang w:val="fr-FR"/>
        </w:rPr>
        <w:t>•</w:t>
      </w:r>
      <w:r w:rsidRPr="000F7862">
        <w:rPr>
          <w:lang w:val="fr-FR"/>
        </w:rPr>
        <w:tab/>
      </w:r>
      <w:r w:rsidR="0086185C" w:rsidRPr="000F7862">
        <w:rPr>
          <w:lang w:val="fr-FR"/>
        </w:rPr>
        <w:t>A</w:t>
      </w:r>
      <w:r w:rsidR="00C8149B" w:rsidRPr="000F7862">
        <w:rPr>
          <w:lang w:val="fr-FR"/>
        </w:rPr>
        <w:t xml:space="preserve">u pesage régulier des enfants âgés de moins de </w:t>
      </w:r>
      <w:r w:rsidR="00B061DB" w:rsidRPr="000F7862">
        <w:rPr>
          <w:lang w:val="fr-FR"/>
        </w:rPr>
        <w:t>5</w:t>
      </w:r>
      <w:r w:rsidR="00C8149B" w:rsidRPr="000F7862">
        <w:rPr>
          <w:lang w:val="fr-FR"/>
        </w:rPr>
        <w:t xml:space="preserve"> ans </w:t>
      </w:r>
      <w:r w:rsidR="0086185C" w:rsidRPr="000F7862">
        <w:rPr>
          <w:lang w:val="fr-FR"/>
        </w:rPr>
        <w:t>(</w:t>
      </w:r>
      <w:r w:rsidR="00C8149B" w:rsidRPr="000F7862">
        <w:rPr>
          <w:lang w:val="fr-FR"/>
        </w:rPr>
        <w:t xml:space="preserve">de </w:t>
      </w:r>
      <w:r w:rsidR="0086185C" w:rsidRPr="000F7862">
        <w:rPr>
          <w:lang w:val="fr-FR"/>
        </w:rPr>
        <w:t>15</w:t>
      </w:r>
      <w:r w:rsidR="00DC1196" w:rsidRPr="000F7862">
        <w:rPr>
          <w:lang w:val="fr-FR"/>
        </w:rPr>
        <w:t> %</w:t>
      </w:r>
      <w:r w:rsidR="0086185C" w:rsidRPr="000F7862">
        <w:rPr>
          <w:lang w:val="fr-FR"/>
        </w:rPr>
        <w:t>)</w:t>
      </w:r>
      <w:r w:rsidR="00C46EC9" w:rsidRPr="000F7862">
        <w:rPr>
          <w:lang w:val="fr-FR"/>
        </w:rPr>
        <w:t>;</w:t>
      </w:r>
    </w:p>
    <w:p w:rsidR="0086185C" w:rsidRPr="000F7862" w:rsidRDefault="003F7F57" w:rsidP="00B061DB">
      <w:pPr>
        <w:pStyle w:val="Bullet2G"/>
        <w:numPr>
          <w:ilvl w:val="0"/>
          <w:numId w:val="0"/>
        </w:numPr>
        <w:tabs>
          <w:tab w:val="left" w:pos="2268"/>
        </w:tabs>
        <w:ind w:left="2268" w:hanging="170"/>
        <w:rPr>
          <w:lang w:val="fr-FR"/>
        </w:rPr>
      </w:pPr>
      <w:r w:rsidRPr="000F7862">
        <w:rPr>
          <w:lang w:val="fr-FR"/>
        </w:rPr>
        <w:t>•</w:t>
      </w:r>
      <w:r w:rsidRPr="000F7862">
        <w:rPr>
          <w:lang w:val="fr-FR"/>
        </w:rPr>
        <w:tab/>
      </w:r>
      <w:r w:rsidR="00C8149B" w:rsidRPr="000F7862">
        <w:rPr>
          <w:lang w:val="fr-FR"/>
        </w:rPr>
        <w:t>À l</w:t>
      </w:r>
      <w:r w:rsidR="00120E2E" w:rsidRPr="000F7862">
        <w:rPr>
          <w:lang w:val="fr-FR"/>
        </w:rPr>
        <w:t>’</w:t>
      </w:r>
      <w:r w:rsidR="00C8149B" w:rsidRPr="000F7862">
        <w:rPr>
          <w:lang w:val="fr-FR"/>
        </w:rPr>
        <w:t xml:space="preserve">administration de comprimés de déparasitage aux enfants âgés de moins de </w:t>
      </w:r>
      <w:r w:rsidR="00B061DB" w:rsidRPr="000F7862">
        <w:rPr>
          <w:lang w:val="fr-FR"/>
        </w:rPr>
        <w:t>5</w:t>
      </w:r>
      <w:r w:rsidR="00C8149B" w:rsidRPr="000F7862">
        <w:rPr>
          <w:lang w:val="fr-FR"/>
        </w:rPr>
        <w:t xml:space="preserve"> ans </w:t>
      </w:r>
      <w:r w:rsidR="0086185C" w:rsidRPr="000F7862">
        <w:rPr>
          <w:lang w:val="fr-FR"/>
        </w:rPr>
        <w:t>(</w:t>
      </w:r>
      <w:r w:rsidR="00C8149B" w:rsidRPr="000F7862">
        <w:rPr>
          <w:lang w:val="fr-FR"/>
        </w:rPr>
        <w:t>de</w:t>
      </w:r>
      <w:r w:rsidR="0086185C" w:rsidRPr="000F7862">
        <w:rPr>
          <w:lang w:val="fr-FR"/>
        </w:rPr>
        <w:t xml:space="preserve"> 6</w:t>
      </w:r>
      <w:r w:rsidR="00C8149B" w:rsidRPr="000F7862">
        <w:rPr>
          <w:lang w:val="fr-FR"/>
        </w:rPr>
        <w:t>,</w:t>
      </w:r>
      <w:r w:rsidR="0086185C" w:rsidRPr="000F7862">
        <w:rPr>
          <w:lang w:val="fr-FR"/>
        </w:rPr>
        <w:t>7</w:t>
      </w:r>
      <w:r w:rsidR="00DC1196" w:rsidRPr="000F7862">
        <w:rPr>
          <w:lang w:val="fr-FR"/>
        </w:rPr>
        <w:t> %</w:t>
      </w:r>
      <w:r w:rsidR="0086185C" w:rsidRPr="000F7862">
        <w:rPr>
          <w:lang w:val="fr-FR"/>
        </w:rPr>
        <w:t>)</w:t>
      </w:r>
      <w:r w:rsidR="00C46EC9" w:rsidRPr="000F7862">
        <w:rPr>
          <w:lang w:val="fr-FR"/>
        </w:rPr>
        <w:t>;</w:t>
      </w:r>
    </w:p>
    <w:p w:rsidR="0086185C" w:rsidRPr="000F7862" w:rsidRDefault="003F7F57" w:rsidP="00B061DB">
      <w:pPr>
        <w:pStyle w:val="Bullet2G"/>
        <w:numPr>
          <w:ilvl w:val="0"/>
          <w:numId w:val="0"/>
        </w:numPr>
        <w:tabs>
          <w:tab w:val="left" w:pos="2268"/>
        </w:tabs>
        <w:ind w:left="2268" w:hanging="170"/>
        <w:rPr>
          <w:lang w:val="fr-FR"/>
        </w:rPr>
      </w:pPr>
      <w:r w:rsidRPr="000F7862">
        <w:rPr>
          <w:lang w:val="fr-FR"/>
        </w:rPr>
        <w:t>•</w:t>
      </w:r>
      <w:r w:rsidRPr="000F7862">
        <w:rPr>
          <w:lang w:val="fr-FR"/>
        </w:rPr>
        <w:tab/>
      </w:r>
      <w:r w:rsidR="00C8149B" w:rsidRPr="000F7862">
        <w:rPr>
          <w:lang w:val="fr-FR"/>
        </w:rPr>
        <w:t>À l</w:t>
      </w:r>
      <w:r w:rsidR="00120E2E" w:rsidRPr="000F7862">
        <w:rPr>
          <w:lang w:val="fr-FR"/>
        </w:rPr>
        <w:t>’</w:t>
      </w:r>
      <w:r w:rsidR="00C8149B" w:rsidRPr="000F7862">
        <w:rPr>
          <w:lang w:val="fr-FR"/>
        </w:rPr>
        <w:t xml:space="preserve">administration de </w:t>
      </w:r>
      <w:r w:rsidR="00674F52" w:rsidRPr="000F7862">
        <w:rPr>
          <w:lang w:val="fr-FR"/>
        </w:rPr>
        <w:t>v</w:t>
      </w:r>
      <w:r w:rsidR="00C8149B" w:rsidRPr="000F7862">
        <w:rPr>
          <w:lang w:val="fr-FR"/>
        </w:rPr>
        <w:t>itamin</w:t>
      </w:r>
      <w:r w:rsidR="00674F52" w:rsidRPr="000F7862">
        <w:rPr>
          <w:lang w:val="fr-FR"/>
        </w:rPr>
        <w:t>e</w:t>
      </w:r>
      <w:r w:rsidR="00C8149B" w:rsidRPr="000F7862">
        <w:rPr>
          <w:lang w:val="fr-FR"/>
        </w:rPr>
        <w:t xml:space="preserve"> A aux enfants âgés de moins de </w:t>
      </w:r>
      <w:r w:rsidR="00B061DB" w:rsidRPr="000F7862">
        <w:rPr>
          <w:lang w:val="fr-FR"/>
        </w:rPr>
        <w:t>5</w:t>
      </w:r>
      <w:r w:rsidR="00C8149B" w:rsidRPr="000F7862">
        <w:rPr>
          <w:lang w:val="fr-FR"/>
        </w:rPr>
        <w:t xml:space="preserve"> ans </w:t>
      </w:r>
      <w:r w:rsidR="0086185C" w:rsidRPr="000F7862">
        <w:rPr>
          <w:lang w:val="fr-FR"/>
        </w:rPr>
        <w:t>(</w:t>
      </w:r>
      <w:r w:rsidR="00C8149B" w:rsidRPr="000F7862">
        <w:rPr>
          <w:lang w:val="fr-FR"/>
        </w:rPr>
        <w:t>de</w:t>
      </w:r>
      <w:r w:rsidR="0086185C" w:rsidRPr="000F7862">
        <w:rPr>
          <w:lang w:val="fr-FR"/>
        </w:rPr>
        <w:t xml:space="preserve"> 6</w:t>
      </w:r>
      <w:r w:rsidR="00C8149B" w:rsidRPr="000F7862">
        <w:rPr>
          <w:lang w:val="fr-FR"/>
        </w:rPr>
        <w:t>,</w:t>
      </w:r>
      <w:r w:rsidR="0086185C" w:rsidRPr="000F7862">
        <w:rPr>
          <w:lang w:val="fr-FR"/>
        </w:rPr>
        <w:t>2</w:t>
      </w:r>
      <w:r w:rsidR="00DC1196" w:rsidRPr="000F7862">
        <w:rPr>
          <w:lang w:val="fr-FR"/>
        </w:rPr>
        <w:t> %</w:t>
      </w:r>
      <w:r w:rsidR="0086185C" w:rsidRPr="000F7862">
        <w:rPr>
          <w:lang w:val="fr-FR"/>
        </w:rPr>
        <w:t>)</w:t>
      </w:r>
      <w:r w:rsidR="00C46EC9" w:rsidRPr="000F7862">
        <w:rPr>
          <w:lang w:val="fr-FR"/>
        </w:rPr>
        <w:t>;</w:t>
      </w:r>
    </w:p>
    <w:p w:rsidR="0086185C" w:rsidRPr="000F7862" w:rsidRDefault="003F7F57" w:rsidP="003F7F57">
      <w:pPr>
        <w:pStyle w:val="Bullet2G"/>
        <w:numPr>
          <w:ilvl w:val="0"/>
          <w:numId w:val="0"/>
        </w:numPr>
        <w:tabs>
          <w:tab w:val="left" w:pos="2268"/>
        </w:tabs>
        <w:ind w:left="2268" w:hanging="170"/>
        <w:rPr>
          <w:lang w:val="fr-FR"/>
        </w:rPr>
      </w:pPr>
      <w:r w:rsidRPr="000F7862">
        <w:rPr>
          <w:lang w:val="fr-FR"/>
        </w:rPr>
        <w:t>•</w:t>
      </w:r>
      <w:r w:rsidRPr="000F7862">
        <w:rPr>
          <w:lang w:val="fr-FR"/>
        </w:rPr>
        <w:tab/>
      </w:r>
      <w:r w:rsidR="00C8149B" w:rsidRPr="000F7862">
        <w:rPr>
          <w:lang w:val="fr-FR"/>
        </w:rPr>
        <w:t>À l</w:t>
      </w:r>
      <w:r w:rsidR="00120E2E" w:rsidRPr="000F7862">
        <w:rPr>
          <w:lang w:val="fr-FR"/>
        </w:rPr>
        <w:t>’</w:t>
      </w:r>
      <w:r w:rsidR="00C8149B" w:rsidRPr="000F7862">
        <w:rPr>
          <w:lang w:val="fr-FR"/>
        </w:rPr>
        <w:t xml:space="preserve">administration de comprimés de déparasitage aux enfants âgés de </w:t>
      </w:r>
      <w:r w:rsidR="0086185C" w:rsidRPr="000F7862">
        <w:rPr>
          <w:lang w:val="fr-FR"/>
        </w:rPr>
        <w:t>6</w:t>
      </w:r>
      <w:r w:rsidR="00C8149B" w:rsidRPr="000F7862">
        <w:rPr>
          <w:lang w:val="fr-FR"/>
        </w:rPr>
        <w:t xml:space="preserve"> à </w:t>
      </w:r>
      <w:r w:rsidR="0086185C" w:rsidRPr="000F7862">
        <w:rPr>
          <w:lang w:val="fr-FR"/>
        </w:rPr>
        <w:t>14</w:t>
      </w:r>
      <w:r w:rsidR="00796D18" w:rsidRPr="000F7862">
        <w:rPr>
          <w:lang w:val="fr-FR"/>
        </w:rPr>
        <w:t> </w:t>
      </w:r>
      <w:r w:rsidR="00C8149B" w:rsidRPr="000F7862">
        <w:rPr>
          <w:lang w:val="fr-FR"/>
        </w:rPr>
        <w:t xml:space="preserve">ans </w:t>
      </w:r>
      <w:r w:rsidR="0086185C" w:rsidRPr="000F7862">
        <w:rPr>
          <w:lang w:val="fr-FR"/>
        </w:rPr>
        <w:t>(</w:t>
      </w:r>
      <w:r w:rsidR="00C8149B" w:rsidRPr="000F7862">
        <w:rPr>
          <w:lang w:val="fr-FR"/>
        </w:rPr>
        <w:t xml:space="preserve">de </w:t>
      </w:r>
      <w:r w:rsidR="0086185C" w:rsidRPr="000F7862">
        <w:rPr>
          <w:lang w:val="fr-FR"/>
        </w:rPr>
        <w:t>4</w:t>
      </w:r>
      <w:r w:rsidR="00DC1196" w:rsidRPr="000F7862">
        <w:rPr>
          <w:lang w:val="fr-FR"/>
        </w:rPr>
        <w:t> %</w:t>
      </w:r>
      <w:r w:rsidR="0086185C" w:rsidRPr="000F7862">
        <w:rPr>
          <w:lang w:val="fr-FR"/>
        </w:rPr>
        <w:t>)</w:t>
      </w:r>
      <w:r w:rsidR="00C46EC9" w:rsidRPr="000F7862">
        <w:rPr>
          <w:lang w:val="fr-FR"/>
        </w:rPr>
        <w:t>.</w:t>
      </w:r>
    </w:p>
    <w:p w:rsidR="0086185C" w:rsidRPr="000F7862" w:rsidRDefault="00C46EC9" w:rsidP="001C088C">
      <w:pPr>
        <w:pStyle w:val="H4G"/>
        <w:rPr>
          <w:lang w:val="fr-FR"/>
        </w:rPr>
      </w:pPr>
      <w:r w:rsidRPr="000F7862">
        <w:rPr>
          <w:lang w:val="fr-FR"/>
        </w:rPr>
        <w:tab/>
        <w:t>c)</w:t>
      </w:r>
      <w:r w:rsidRPr="000F7862">
        <w:rPr>
          <w:lang w:val="fr-FR"/>
        </w:rPr>
        <w:tab/>
      </w:r>
      <w:r w:rsidR="00C8149B" w:rsidRPr="000F7862">
        <w:rPr>
          <w:lang w:val="fr-FR"/>
        </w:rPr>
        <w:t xml:space="preserve">Subventions </w:t>
      </w:r>
    </w:p>
    <w:p w:rsidR="0086185C" w:rsidRPr="000F7862" w:rsidRDefault="003F7F57" w:rsidP="003F7F57">
      <w:pPr>
        <w:pStyle w:val="SingleTxtG"/>
        <w:rPr>
          <w:lang w:val="fr-FR"/>
        </w:rPr>
      </w:pPr>
      <w:r w:rsidRPr="000F7862">
        <w:rPr>
          <w:lang w:val="fr-FR"/>
        </w:rPr>
        <w:t>181.</w:t>
      </w:r>
      <w:r w:rsidRPr="000F7862">
        <w:rPr>
          <w:lang w:val="fr-FR"/>
        </w:rPr>
        <w:tab/>
      </w:r>
      <w:r w:rsidR="00C8149B" w:rsidRPr="000F7862">
        <w:rPr>
          <w:lang w:val="fr-FR"/>
        </w:rPr>
        <w:t xml:space="preserve">Des subventions sont accordées aux ménages démunis bénéficiaires du Programme qui reçoivent environ </w:t>
      </w:r>
      <w:r w:rsidR="0086185C" w:rsidRPr="000F7862">
        <w:rPr>
          <w:lang w:val="fr-FR"/>
        </w:rPr>
        <w:t>11</w:t>
      </w:r>
      <w:r w:rsidR="00B061DB" w:rsidRPr="000F7862">
        <w:rPr>
          <w:lang w:val="fr-FR"/>
        </w:rPr>
        <w:t> </w:t>
      </w:r>
      <w:r w:rsidR="0086185C" w:rsidRPr="000F7862">
        <w:rPr>
          <w:lang w:val="fr-FR"/>
        </w:rPr>
        <w:t xml:space="preserve">% </w:t>
      </w:r>
      <w:r w:rsidR="00C8149B" w:rsidRPr="000F7862">
        <w:rPr>
          <w:lang w:val="fr-FR"/>
        </w:rPr>
        <w:t xml:space="preserve">de la consommation journalière par habitant </w:t>
      </w:r>
      <w:r w:rsidR="0086185C" w:rsidRPr="000F7862">
        <w:rPr>
          <w:lang w:val="fr-FR"/>
        </w:rPr>
        <w:t>(</w:t>
      </w:r>
      <w:r w:rsidR="00336AA7" w:rsidRPr="000F7862">
        <w:rPr>
          <w:lang w:val="fr-FR"/>
        </w:rPr>
        <w:t xml:space="preserve">elles devaient représenter initialement environ </w:t>
      </w:r>
      <w:r w:rsidR="0086185C" w:rsidRPr="000F7862">
        <w:rPr>
          <w:lang w:val="fr-FR"/>
        </w:rPr>
        <w:t>23</w:t>
      </w:r>
      <w:r w:rsidR="00DC1196" w:rsidRPr="000F7862">
        <w:rPr>
          <w:lang w:val="fr-FR"/>
        </w:rPr>
        <w:t> %</w:t>
      </w:r>
      <w:r w:rsidR="0086185C" w:rsidRPr="000F7862">
        <w:rPr>
          <w:lang w:val="fr-FR"/>
        </w:rPr>
        <w:t xml:space="preserve"> </w:t>
      </w:r>
      <w:r w:rsidR="00336AA7" w:rsidRPr="000F7862">
        <w:rPr>
          <w:lang w:val="fr-FR"/>
        </w:rPr>
        <w:t>du revenu par habitant des ménages démunis</w:t>
      </w:r>
      <w:r w:rsidR="0086185C" w:rsidRPr="000F7862">
        <w:rPr>
          <w:lang w:val="fr-FR"/>
        </w:rPr>
        <w:t>).</w:t>
      </w:r>
      <w:r w:rsidR="00446EA5" w:rsidRPr="000F7862">
        <w:rPr>
          <w:lang w:val="fr-FR"/>
        </w:rPr>
        <w:t xml:space="preserve"> </w:t>
      </w:r>
    </w:p>
    <w:p w:rsidR="0086185C" w:rsidRPr="000F7862" w:rsidRDefault="00C46EC9" w:rsidP="001C088C">
      <w:pPr>
        <w:pStyle w:val="SingleTxtG"/>
        <w:ind w:firstLine="567"/>
        <w:rPr>
          <w:lang w:val="fr-FR"/>
        </w:rPr>
      </w:pPr>
      <w:r w:rsidRPr="000F7862">
        <w:rPr>
          <w:lang w:val="fr-FR"/>
        </w:rPr>
        <w:t>1.</w:t>
      </w:r>
      <w:r w:rsidRPr="000F7862">
        <w:rPr>
          <w:lang w:val="fr-FR"/>
        </w:rPr>
        <w:tab/>
      </w:r>
      <w:r w:rsidR="00336AA7" w:rsidRPr="000F7862">
        <w:rPr>
          <w:lang w:val="fr-FR"/>
        </w:rPr>
        <w:t>Hausse de l</w:t>
      </w:r>
      <w:r w:rsidR="00120E2E" w:rsidRPr="000F7862">
        <w:rPr>
          <w:lang w:val="fr-FR"/>
        </w:rPr>
        <w:t>’</w:t>
      </w:r>
      <w:r w:rsidR="00336AA7" w:rsidRPr="000F7862">
        <w:rPr>
          <w:lang w:val="fr-FR"/>
        </w:rPr>
        <w:t>investissement des ménages dans les domaines suivants</w:t>
      </w:r>
      <w:r w:rsidR="0005004C" w:rsidRPr="000F7862">
        <w:rPr>
          <w:lang w:val="fr-FR"/>
        </w:rPr>
        <w:t>:</w:t>
      </w:r>
    </w:p>
    <w:p w:rsidR="0086185C" w:rsidRPr="000F7862" w:rsidRDefault="003F7F57" w:rsidP="003F7F57">
      <w:pPr>
        <w:pStyle w:val="Bullet2G"/>
        <w:numPr>
          <w:ilvl w:val="0"/>
          <w:numId w:val="0"/>
        </w:numPr>
        <w:tabs>
          <w:tab w:val="left" w:pos="2268"/>
        </w:tabs>
        <w:ind w:left="2268" w:hanging="170"/>
        <w:rPr>
          <w:lang w:val="fr-FR"/>
        </w:rPr>
      </w:pPr>
      <w:r w:rsidRPr="000F7862">
        <w:rPr>
          <w:lang w:val="fr-FR"/>
        </w:rPr>
        <w:t>•</w:t>
      </w:r>
      <w:r w:rsidRPr="000F7862">
        <w:rPr>
          <w:lang w:val="fr-FR"/>
        </w:rPr>
        <w:tab/>
      </w:r>
      <w:r w:rsidR="00336AA7" w:rsidRPr="000F7862">
        <w:rPr>
          <w:lang w:val="fr-FR"/>
        </w:rPr>
        <w:t xml:space="preserve">Éducation par habitant, de </w:t>
      </w:r>
      <w:r w:rsidR="0086185C" w:rsidRPr="000F7862">
        <w:rPr>
          <w:lang w:val="fr-FR"/>
        </w:rPr>
        <w:t>34</w:t>
      </w:r>
      <w:r w:rsidR="00DC1196" w:rsidRPr="000F7862">
        <w:rPr>
          <w:lang w:val="fr-FR"/>
        </w:rPr>
        <w:t> %</w:t>
      </w:r>
      <w:r w:rsidR="00C46EC9" w:rsidRPr="000F7862">
        <w:rPr>
          <w:lang w:val="fr-FR"/>
        </w:rPr>
        <w:t>;</w:t>
      </w:r>
    </w:p>
    <w:p w:rsidR="0086185C" w:rsidRPr="000F7862" w:rsidRDefault="003F7F57" w:rsidP="003F7F57">
      <w:pPr>
        <w:pStyle w:val="Bullet2G"/>
        <w:numPr>
          <w:ilvl w:val="0"/>
          <w:numId w:val="0"/>
        </w:numPr>
        <w:tabs>
          <w:tab w:val="left" w:pos="2268"/>
        </w:tabs>
        <w:ind w:left="2268" w:hanging="170"/>
        <w:rPr>
          <w:lang w:val="fr-FR"/>
        </w:rPr>
      </w:pPr>
      <w:r w:rsidRPr="000F7862">
        <w:rPr>
          <w:lang w:val="fr-FR"/>
        </w:rPr>
        <w:t>•</w:t>
      </w:r>
      <w:r w:rsidRPr="000F7862">
        <w:rPr>
          <w:lang w:val="fr-FR"/>
        </w:rPr>
        <w:tab/>
      </w:r>
      <w:r w:rsidR="00336AA7" w:rsidRPr="000F7862">
        <w:rPr>
          <w:lang w:val="fr-FR"/>
        </w:rPr>
        <w:t xml:space="preserve">Dépenses de santé, de </w:t>
      </w:r>
      <w:r w:rsidR="0086185C" w:rsidRPr="000F7862">
        <w:rPr>
          <w:lang w:val="fr-FR"/>
        </w:rPr>
        <w:t>38</w:t>
      </w:r>
      <w:r w:rsidR="00DC1196" w:rsidRPr="000F7862">
        <w:rPr>
          <w:lang w:val="fr-FR"/>
        </w:rPr>
        <w:t> %</w:t>
      </w:r>
      <w:r w:rsidR="00C46EC9" w:rsidRPr="000F7862">
        <w:rPr>
          <w:lang w:val="fr-FR"/>
        </w:rPr>
        <w:t>;</w:t>
      </w:r>
    </w:p>
    <w:p w:rsidR="0086185C" w:rsidRPr="000F7862" w:rsidRDefault="003F7F57" w:rsidP="003F7F57">
      <w:pPr>
        <w:pStyle w:val="Bullet2G"/>
        <w:numPr>
          <w:ilvl w:val="0"/>
          <w:numId w:val="0"/>
        </w:numPr>
        <w:tabs>
          <w:tab w:val="left" w:pos="2268"/>
        </w:tabs>
        <w:ind w:left="2268" w:hanging="170"/>
        <w:rPr>
          <w:lang w:val="fr-FR"/>
        </w:rPr>
      </w:pPr>
      <w:r w:rsidRPr="000F7862">
        <w:rPr>
          <w:lang w:val="fr-FR"/>
        </w:rPr>
        <w:t>•</w:t>
      </w:r>
      <w:r w:rsidRPr="000F7862">
        <w:rPr>
          <w:lang w:val="fr-FR"/>
        </w:rPr>
        <w:tab/>
      </w:r>
      <w:r w:rsidR="00336AA7" w:rsidRPr="000F7862">
        <w:rPr>
          <w:lang w:val="fr-FR"/>
        </w:rPr>
        <w:t>Affiliation à la Société philippine d</w:t>
      </w:r>
      <w:r w:rsidR="00120E2E" w:rsidRPr="000F7862">
        <w:rPr>
          <w:lang w:val="fr-FR"/>
        </w:rPr>
        <w:t>’</w:t>
      </w:r>
      <w:r w:rsidR="00336AA7" w:rsidRPr="000F7862">
        <w:rPr>
          <w:lang w:val="fr-FR"/>
        </w:rPr>
        <w:t xml:space="preserve">assurance maladie, de </w:t>
      </w:r>
      <w:r w:rsidR="0086185C" w:rsidRPr="000F7862">
        <w:rPr>
          <w:lang w:val="fr-FR"/>
        </w:rPr>
        <w:t>10</w:t>
      </w:r>
      <w:r w:rsidR="00336AA7" w:rsidRPr="000F7862">
        <w:rPr>
          <w:lang w:val="fr-FR"/>
        </w:rPr>
        <w:t>,</w:t>
      </w:r>
      <w:r w:rsidR="0086185C" w:rsidRPr="000F7862">
        <w:rPr>
          <w:lang w:val="fr-FR"/>
        </w:rPr>
        <w:t>8</w:t>
      </w:r>
      <w:r w:rsidR="00DC1196" w:rsidRPr="000F7862">
        <w:rPr>
          <w:lang w:val="fr-FR"/>
        </w:rPr>
        <w:t> %</w:t>
      </w:r>
      <w:r w:rsidR="00C46EC9" w:rsidRPr="000F7862">
        <w:rPr>
          <w:lang w:val="fr-FR"/>
        </w:rPr>
        <w:t>.</w:t>
      </w:r>
    </w:p>
    <w:p w:rsidR="0086185C" w:rsidRPr="000F7862" w:rsidRDefault="00C46EC9" w:rsidP="001C088C">
      <w:pPr>
        <w:pStyle w:val="SingleTxtG"/>
        <w:ind w:left="1701"/>
        <w:rPr>
          <w:lang w:val="fr-FR"/>
        </w:rPr>
      </w:pPr>
      <w:r w:rsidRPr="000F7862">
        <w:rPr>
          <w:lang w:val="fr-FR"/>
        </w:rPr>
        <w:t>2.</w:t>
      </w:r>
      <w:r w:rsidRPr="000F7862">
        <w:rPr>
          <w:lang w:val="fr-FR"/>
        </w:rPr>
        <w:tab/>
      </w:r>
      <w:r w:rsidR="00336AA7" w:rsidRPr="000F7862">
        <w:rPr>
          <w:lang w:val="fr-FR"/>
        </w:rPr>
        <w:t>Amélioration de l</w:t>
      </w:r>
      <w:r w:rsidR="00120E2E" w:rsidRPr="000F7862">
        <w:rPr>
          <w:lang w:val="fr-FR"/>
        </w:rPr>
        <w:t>’</w:t>
      </w:r>
      <w:r w:rsidR="00336AA7" w:rsidRPr="000F7862">
        <w:rPr>
          <w:lang w:val="fr-FR"/>
        </w:rPr>
        <w:t xml:space="preserve">utilisation par les </w:t>
      </w:r>
      <w:r w:rsidR="00A52A88" w:rsidRPr="000F7862">
        <w:rPr>
          <w:lang w:val="fr-FR"/>
        </w:rPr>
        <w:t xml:space="preserve">femmes </w:t>
      </w:r>
      <w:r w:rsidR="00FD28CB" w:rsidRPr="000F7862">
        <w:rPr>
          <w:lang w:val="fr-FR"/>
        </w:rPr>
        <w:t>démunies</w:t>
      </w:r>
      <w:r w:rsidR="00336AA7" w:rsidRPr="000F7862">
        <w:rPr>
          <w:lang w:val="fr-FR"/>
        </w:rPr>
        <w:t xml:space="preserve"> des services de santé maternelle grâce</w:t>
      </w:r>
      <w:r w:rsidR="0005004C" w:rsidRPr="000F7862">
        <w:rPr>
          <w:lang w:val="fr-FR"/>
        </w:rPr>
        <w:t>:</w:t>
      </w:r>
    </w:p>
    <w:p w:rsidR="0086185C" w:rsidRPr="000F7862" w:rsidRDefault="003F7F57" w:rsidP="003F7F57">
      <w:pPr>
        <w:pStyle w:val="Bullet2G"/>
        <w:numPr>
          <w:ilvl w:val="0"/>
          <w:numId w:val="0"/>
        </w:numPr>
        <w:tabs>
          <w:tab w:val="left" w:pos="2268"/>
        </w:tabs>
        <w:ind w:left="2268" w:hanging="170"/>
        <w:rPr>
          <w:lang w:val="fr-FR"/>
        </w:rPr>
      </w:pPr>
      <w:r w:rsidRPr="000F7862">
        <w:rPr>
          <w:lang w:val="fr-FR"/>
        </w:rPr>
        <w:t>•</w:t>
      </w:r>
      <w:r w:rsidRPr="000F7862">
        <w:rPr>
          <w:lang w:val="fr-FR"/>
        </w:rPr>
        <w:tab/>
      </w:r>
      <w:r w:rsidR="00336AA7" w:rsidRPr="000F7862">
        <w:rPr>
          <w:lang w:val="fr-FR"/>
        </w:rPr>
        <w:t>À l</w:t>
      </w:r>
      <w:r w:rsidR="00120E2E" w:rsidRPr="000F7862">
        <w:rPr>
          <w:lang w:val="fr-FR"/>
        </w:rPr>
        <w:t>’</w:t>
      </w:r>
      <w:r w:rsidR="00336AA7" w:rsidRPr="000F7862">
        <w:rPr>
          <w:lang w:val="fr-FR"/>
        </w:rPr>
        <w:t xml:space="preserve">utilisation des services de soins prénatals </w:t>
      </w:r>
      <w:r w:rsidR="0086185C" w:rsidRPr="000F7862">
        <w:rPr>
          <w:lang w:val="fr-FR"/>
        </w:rPr>
        <w:t>(</w:t>
      </w:r>
      <w:r w:rsidR="00336AA7" w:rsidRPr="000F7862">
        <w:rPr>
          <w:lang w:val="fr-FR"/>
        </w:rPr>
        <w:t>de 10,5</w:t>
      </w:r>
      <w:r w:rsidR="0086185C" w:rsidRPr="000F7862">
        <w:rPr>
          <w:lang w:val="fr-FR"/>
        </w:rPr>
        <w:t>)</w:t>
      </w:r>
      <w:r w:rsidR="00C46EC9" w:rsidRPr="000F7862">
        <w:rPr>
          <w:lang w:val="fr-FR"/>
        </w:rPr>
        <w:t>;</w:t>
      </w:r>
    </w:p>
    <w:p w:rsidR="0086185C" w:rsidRPr="000F7862" w:rsidRDefault="003F7F57" w:rsidP="003F7F57">
      <w:pPr>
        <w:pStyle w:val="Bullet2G"/>
        <w:numPr>
          <w:ilvl w:val="0"/>
          <w:numId w:val="0"/>
        </w:numPr>
        <w:tabs>
          <w:tab w:val="left" w:pos="2268"/>
        </w:tabs>
        <w:ind w:left="2268" w:hanging="170"/>
        <w:rPr>
          <w:lang w:val="fr-FR"/>
        </w:rPr>
      </w:pPr>
      <w:r w:rsidRPr="000F7862">
        <w:rPr>
          <w:lang w:val="fr-FR"/>
        </w:rPr>
        <w:t>•</w:t>
      </w:r>
      <w:r w:rsidRPr="000F7862">
        <w:rPr>
          <w:lang w:val="fr-FR"/>
        </w:rPr>
        <w:tab/>
      </w:r>
      <w:r w:rsidR="00336AA7" w:rsidRPr="000F7862">
        <w:rPr>
          <w:lang w:val="fr-FR"/>
        </w:rPr>
        <w:t>À la fré</w:t>
      </w:r>
      <w:r w:rsidR="0086185C" w:rsidRPr="000F7862">
        <w:rPr>
          <w:lang w:val="fr-FR"/>
        </w:rPr>
        <w:t>quenc</w:t>
      </w:r>
      <w:r w:rsidR="00336AA7" w:rsidRPr="000F7862">
        <w:rPr>
          <w:lang w:val="fr-FR"/>
        </w:rPr>
        <w:t xml:space="preserve">e des services de soins prénatals </w:t>
      </w:r>
      <w:r w:rsidR="0086185C" w:rsidRPr="000F7862">
        <w:rPr>
          <w:lang w:val="fr-FR"/>
        </w:rPr>
        <w:t>(</w:t>
      </w:r>
      <w:r w:rsidR="00336AA7" w:rsidRPr="000F7862">
        <w:rPr>
          <w:lang w:val="fr-FR"/>
        </w:rPr>
        <w:t>de</w:t>
      </w:r>
      <w:r w:rsidR="0086185C" w:rsidRPr="000F7862">
        <w:rPr>
          <w:lang w:val="fr-FR"/>
        </w:rPr>
        <w:t xml:space="preserve"> 0</w:t>
      </w:r>
      <w:r w:rsidR="00336AA7" w:rsidRPr="000F7862">
        <w:rPr>
          <w:lang w:val="fr-FR"/>
        </w:rPr>
        <w:t>,</w:t>
      </w:r>
      <w:r w:rsidR="0086185C" w:rsidRPr="000F7862">
        <w:rPr>
          <w:lang w:val="fr-FR"/>
        </w:rPr>
        <w:t xml:space="preserve">6 </w:t>
      </w:r>
      <w:r w:rsidR="00336AA7" w:rsidRPr="000F7862">
        <w:rPr>
          <w:lang w:val="fr-FR"/>
        </w:rPr>
        <w:t>fois</w:t>
      </w:r>
      <w:r w:rsidR="0086185C" w:rsidRPr="000F7862">
        <w:rPr>
          <w:lang w:val="fr-FR"/>
        </w:rPr>
        <w:t>)</w:t>
      </w:r>
      <w:r w:rsidR="00C46EC9" w:rsidRPr="000F7862">
        <w:rPr>
          <w:lang w:val="fr-FR"/>
        </w:rPr>
        <w:t>;</w:t>
      </w:r>
    </w:p>
    <w:p w:rsidR="0086185C" w:rsidRPr="000F7862" w:rsidRDefault="003F7F57" w:rsidP="003F7F57">
      <w:pPr>
        <w:pStyle w:val="Bullet2G"/>
        <w:numPr>
          <w:ilvl w:val="0"/>
          <w:numId w:val="0"/>
        </w:numPr>
        <w:tabs>
          <w:tab w:val="left" w:pos="2268"/>
        </w:tabs>
        <w:ind w:left="2268" w:hanging="170"/>
        <w:rPr>
          <w:lang w:val="fr-FR"/>
        </w:rPr>
      </w:pPr>
      <w:r w:rsidRPr="000F7862">
        <w:rPr>
          <w:lang w:val="fr-FR"/>
        </w:rPr>
        <w:t>•</w:t>
      </w:r>
      <w:r w:rsidRPr="000F7862">
        <w:rPr>
          <w:lang w:val="fr-FR"/>
        </w:rPr>
        <w:tab/>
      </w:r>
      <w:r w:rsidR="00336AA7" w:rsidRPr="000F7862">
        <w:rPr>
          <w:lang w:val="fr-FR"/>
        </w:rPr>
        <w:t>À l</w:t>
      </w:r>
      <w:r w:rsidR="00120E2E" w:rsidRPr="000F7862">
        <w:rPr>
          <w:lang w:val="fr-FR"/>
        </w:rPr>
        <w:t>’</w:t>
      </w:r>
      <w:r w:rsidR="00336AA7" w:rsidRPr="000F7862">
        <w:rPr>
          <w:lang w:val="fr-FR"/>
        </w:rPr>
        <w:t xml:space="preserve">utilisation des services de soins postnatals </w:t>
      </w:r>
      <w:r w:rsidR="0086185C" w:rsidRPr="000F7862">
        <w:rPr>
          <w:lang w:val="fr-FR"/>
        </w:rPr>
        <w:t>(10</w:t>
      </w:r>
      <w:r w:rsidR="00DC1196" w:rsidRPr="000F7862">
        <w:rPr>
          <w:lang w:val="fr-FR"/>
        </w:rPr>
        <w:t> %</w:t>
      </w:r>
      <w:r w:rsidR="0086185C" w:rsidRPr="000F7862">
        <w:rPr>
          <w:lang w:val="fr-FR"/>
        </w:rPr>
        <w:t>)</w:t>
      </w:r>
      <w:r w:rsidR="00C46EC9" w:rsidRPr="000F7862">
        <w:rPr>
          <w:lang w:val="fr-FR"/>
        </w:rPr>
        <w:t>.</w:t>
      </w:r>
    </w:p>
    <w:p w:rsidR="0086185C" w:rsidRPr="000F7862" w:rsidRDefault="00E12079" w:rsidP="00E12079">
      <w:pPr>
        <w:pStyle w:val="H23G"/>
        <w:rPr>
          <w:lang w:val="fr-FR"/>
        </w:rPr>
      </w:pPr>
      <w:r w:rsidRPr="000F7862">
        <w:rPr>
          <w:lang w:val="fr-FR"/>
        </w:rPr>
        <w:tab/>
      </w:r>
      <w:r w:rsidRPr="000F7862">
        <w:rPr>
          <w:lang w:val="fr-FR"/>
        </w:rPr>
        <w:tab/>
      </w:r>
      <w:r w:rsidR="0086185C" w:rsidRPr="000F7862">
        <w:rPr>
          <w:lang w:val="fr-FR"/>
        </w:rPr>
        <w:t xml:space="preserve">Kapit-Bisig Laban sa Kahirapan </w:t>
      </w:r>
      <w:r w:rsidR="00A52180" w:rsidRPr="000F7862">
        <w:rPr>
          <w:lang w:val="fr-FR"/>
        </w:rPr>
        <w:t>–</w:t>
      </w:r>
      <w:r w:rsidR="0086185C" w:rsidRPr="000F7862">
        <w:rPr>
          <w:lang w:val="fr-FR"/>
        </w:rPr>
        <w:t xml:space="preserve"> </w:t>
      </w:r>
      <w:r w:rsidR="008046D4" w:rsidRPr="000F7862">
        <w:rPr>
          <w:lang w:val="fr-FR"/>
        </w:rPr>
        <w:t xml:space="preserve">Programme global </w:t>
      </w:r>
      <w:r w:rsidR="00A52A88" w:rsidRPr="000F7862">
        <w:rPr>
          <w:lang w:val="fr-FR"/>
        </w:rPr>
        <w:t xml:space="preserve">et intégré </w:t>
      </w:r>
      <w:r w:rsidR="008046D4" w:rsidRPr="000F7862">
        <w:rPr>
          <w:lang w:val="fr-FR"/>
        </w:rPr>
        <w:t xml:space="preserve">de services sociaux </w:t>
      </w:r>
      <w:r w:rsidR="0086185C" w:rsidRPr="000F7862">
        <w:rPr>
          <w:lang w:val="fr-FR"/>
        </w:rPr>
        <w:t>(KALAHI-CIDSS)</w:t>
      </w:r>
    </w:p>
    <w:p w:rsidR="0086185C" w:rsidRPr="000F7862" w:rsidRDefault="003F7F57" w:rsidP="003F7F57">
      <w:pPr>
        <w:pStyle w:val="SingleTxtG"/>
        <w:rPr>
          <w:lang w:val="fr-FR"/>
        </w:rPr>
      </w:pPr>
      <w:r w:rsidRPr="000F7862">
        <w:rPr>
          <w:lang w:val="fr-FR"/>
        </w:rPr>
        <w:t>182.</w:t>
      </w:r>
      <w:r w:rsidRPr="000F7862">
        <w:rPr>
          <w:lang w:val="fr-FR"/>
        </w:rPr>
        <w:tab/>
      </w:r>
      <w:r w:rsidR="00784007" w:rsidRPr="000F7862">
        <w:rPr>
          <w:lang w:val="fr-FR"/>
        </w:rPr>
        <w:t xml:space="preserve">Le </w:t>
      </w:r>
      <w:r w:rsidR="0086185C" w:rsidRPr="000F7862">
        <w:rPr>
          <w:lang w:val="fr-FR"/>
        </w:rPr>
        <w:t xml:space="preserve">KALAHI-CIDSS </w:t>
      </w:r>
      <w:r w:rsidR="00784007" w:rsidRPr="000F7862">
        <w:rPr>
          <w:lang w:val="fr-FR"/>
        </w:rPr>
        <w:t>est un projet de développement communautaire axé sur la demande qui vise à améliorer la qual</w:t>
      </w:r>
      <w:r w:rsidR="007A0F10" w:rsidRPr="000F7862">
        <w:rPr>
          <w:lang w:val="fr-FR"/>
        </w:rPr>
        <w:t>it</w:t>
      </w:r>
      <w:r w:rsidR="00784007" w:rsidRPr="000F7862">
        <w:rPr>
          <w:lang w:val="fr-FR"/>
        </w:rPr>
        <w:t xml:space="preserve">é de la vie de ses </w:t>
      </w:r>
      <w:r w:rsidR="0086185C" w:rsidRPr="000F7862">
        <w:rPr>
          <w:lang w:val="fr-FR"/>
        </w:rPr>
        <w:t>b</w:t>
      </w:r>
      <w:r w:rsidR="00784007" w:rsidRPr="000F7862">
        <w:rPr>
          <w:lang w:val="fr-FR"/>
        </w:rPr>
        <w:t>é</w:t>
      </w:r>
      <w:r w:rsidR="0086185C" w:rsidRPr="000F7862">
        <w:rPr>
          <w:lang w:val="fr-FR"/>
        </w:rPr>
        <w:t>n</w:t>
      </w:r>
      <w:r w:rsidR="00784007" w:rsidRPr="000F7862">
        <w:rPr>
          <w:lang w:val="fr-FR"/>
        </w:rPr>
        <w:t>é</w:t>
      </w:r>
      <w:r w:rsidR="0086185C" w:rsidRPr="000F7862">
        <w:rPr>
          <w:lang w:val="fr-FR"/>
        </w:rPr>
        <w:t>ficia</w:t>
      </w:r>
      <w:r w:rsidR="00784007" w:rsidRPr="000F7862">
        <w:rPr>
          <w:lang w:val="fr-FR"/>
        </w:rPr>
        <w:t xml:space="preserve">ires en renforçant leur capacité de </w:t>
      </w:r>
      <w:r w:rsidR="007A0F10" w:rsidRPr="000F7862">
        <w:rPr>
          <w:lang w:val="fr-FR"/>
        </w:rPr>
        <w:t xml:space="preserve">concevoir, de mettre à exécution et de gérer des activités de développement local qui réduisent la pauvreté et renforcent leur </w:t>
      </w:r>
      <w:r w:rsidR="0086185C" w:rsidRPr="000F7862">
        <w:rPr>
          <w:lang w:val="fr-FR"/>
        </w:rPr>
        <w:t xml:space="preserve">participation </w:t>
      </w:r>
      <w:r w:rsidR="007A0F10" w:rsidRPr="000F7862">
        <w:rPr>
          <w:lang w:val="fr-FR"/>
        </w:rPr>
        <w:t xml:space="preserve">à la gouvernance </w:t>
      </w:r>
      <w:r w:rsidR="0086185C" w:rsidRPr="000F7862">
        <w:rPr>
          <w:lang w:val="fr-FR"/>
        </w:rPr>
        <w:t>local</w:t>
      </w:r>
      <w:r w:rsidR="007A0F10" w:rsidRPr="000F7862">
        <w:rPr>
          <w:lang w:val="fr-FR"/>
        </w:rPr>
        <w:t>e</w:t>
      </w:r>
      <w:r w:rsidR="0086185C" w:rsidRPr="000F7862">
        <w:rPr>
          <w:lang w:val="fr-FR"/>
        </w:rPr>
        <w:t>.</w:t>
      </w:r>
    </w:p>
    <w:p w:rsidR="0086185C" w:rsidRPr="000F7862" w:rsidRDefault="003F7F57" w:rsidP="003F7F57">
      <w:pPr>
        <w:pStyle w:val="SingleTxtG"/>
        <w:rPr>
          <w:lang w:val="fr-FR"/>
        </w:rPr>
      </w:pPr>
      <w:r w:rsidRPr="000F7862">
        <w:rPr>
          <w:lang w:val="fr-FR"/>
        </w:rPr>
        <w:t>183.</w:t>
      </w:r>
      <w:r w:rsidRPr="000F7862">
        <w:rPr>
          <w:lang w:val="fr-FR"/>
        </w:rPr>
        <w:tab/>
      </w:r>
      <w:r w:rsidR="0086185C" w:rsidRPr="000F7862">
        <w:rPr>
          <w:lang w:val="fr-FR"/>
        </w:rPr>
        <w:t>I</w:t>
      </w:r>
      <w:r w:rsidR="007A0F10" w:rsidRPr="000F7862">
        <w:rPr>
          <w:lang w:val="fr-FR"/>
        </w:rPr>
        <w:t xml:space="preserve">l permet aux communautés locales de choisir, proposer et planifier des projets au niveau de chaque </w:t>
      </w:r>
      <w:r w:rsidR="0086185C" w:rsidRPr="000F7862">
        <w:rPr>
          <w:lang w:val="fr-FR"/>
        </w:rPr>
        <w:t xml:space="preserve">barangay </w:t>
      </w:r>
      <w:r w:rsidR="007A0F10" w:rsidRPr="000F7862">
        <w:rPr>
          <w:lang w:val="fr-FR"/>
        </w:rPr>
        <w:t xml:space="preserve">ou </w:t>
      </w:r>
      <w:r w:rsidR="0086185C" w:rsidRPr="000F7862">
        <w:rPr>
          <w:lang w:val="fr-FR"/>
        </w:rPr>
        <w:t>inter-barangay</w:t>
      </w:r>
      <w:r w:rsidR="007A0F10" w:rsidRPr="000F7862">
        <w:rPr>
          <w:lang w:val="fr-FR"/>
        </w:rPr>
        <w:t>s</w:t>
      </w:r>
      <w:r w:rsidR="0086185C" w:rsidRPr="000F7862">
        <w:rPr>
          <w:lang w:val="fr-FR"/>
        </w:rPr>
        <w:t xml:space="preserve"> </w:t>
      </w:r>
      <w:r w:rsidR="007A0F10" w:rsidRPr="000F7862">
        <w:rPr>
          <w:lang w:val="fr-FR"/>
        </w:rPr>
        <w:t>dans le cadre d</w:t>
      </w:r>
      <w:r w:rsidR="00120E2E" w:rsidRPr="000F7862">
        <w:rPr>
          <w:lang w:val="fr-FR"/>
        </w:rPr>
        <w:t>’</w:t>
      </w:r>
      <w:r w:rsidR="007A0F10" w:rsidRPr="000F7862">
        <w:rPr>
          <w:lang w:val="fr-FR"/>
        </w:rPr>
        <w:t>une planification participative et d</w:t>
      </w:r>
      <w:r w:rsidR="00120E2E" w:rsidRPr="000F7862">
        <w:rPr>
          <w:lang w:val="fr-FR"/>
        </w:rPr>
        <w:t>’</w:t>
      </w:r>
      <w:r w:rsidR="007A0F10" w:rsidRPr="000F7862">
        <w:rPr>
          <w:lang w:val="fr-FR"/>
        </w:rPr>
        <w:t xml:space="preserve">une solide préparation </w:t>
      </w:r>
      <w:r w:rsidR="0086185C" w:rsidRPr="000F7862">
        <w:rPr>
          <w:lang w:val="fr-FR"/>
        </w:rPr>
        <w:t>social</w:t>
      </w:r>
      <w:r w:rsidR="007A0F10" w:rsidRPr="000F7862">
        <w:rPr>
          <w:lang w:val="fr-FR"/>
        </w:rPr>
        <w:t>e</w:t>
      </w:r>
      <w:r w:rsidR="0086185C" w:rsidRPr="000F7862">
        <w:rPr>
          <w:lang w:val="fr-FR"/>
        </w:rPr>
        <w:t>.</w:t>
      </w:r>
      <w:r w:rsidR="00446EA5" w:rsidRPr="000F7862">
        <w:rPr>
          <w:lang w:val="fr-FR"/>
        </w:rPr>
        <w:t xml:space="preserve"> </w:t>
      </w:r>
      <w:r w:rsidR="007B22A8" w:rsidRPr="000F7862">
        <w:rPr>
          <w:lang w:val="fr-FR"/>
        </w:rPr>
        <w:t xml:space="preserve">Ces projets portent sur des petites </w:t>
      </w:r>
      <w:r w:rsidR="0086185C" w:rsidRPr="000F7862">
        <w:rPr>
          <w:lang w:val="fr-FR"/>
        </w:rPr>
        <w:t>infrastructure</w:t>
      </w:r>
      <w:r w:rsidR="007B22A8" w:rsidRPr="000F7862">
        <w:rPr>
          <w:lang w:val="fr-FR"/>
        </w:rPr>
        <w:t xml:space="preserve">s et des activités </w:t>
      </w:r>
      <w:r w:rsidR="0086185C" w:rsidRPr="000F7862">
        <w:rPr>
          <w:lang w:val="fr-FR"/>
        </w:rPr>
        <w:t>social</w:t>
      </w:r>
      <w:r w:rsidR="007B22A8" w:rsidRPr="000F7862">
        <w:rPr>
          <w:lang w:val="fr-FR"/>
        </w:rPr>
        <w:t>es</w:t>
      </w:r>
      <w:r w:rsidR="0086185C" w:rsidRPr="000F7862">
        <w:rPr>
          <w:lang w:val="fr-FR"/>
        </w:rPr>
        <w:t xml:space="preserve"> </w:t>
      </w:r>
      <w:r w:rsidR="007B22A8" w:rsidRPr="000F7862">
        <w:rPr>
          <w:lang w:val="fr-FR"/>
        </w:rPr>
        <w:t>et</w:t>
      </w:r>
      <w:r w:rsidR="0086185C" w:rsidRPr="000F7862">
        <w:rPr>
          <w:lang w:val="fr-FR"/>
        </w:rPr>
        <w:t xml:space="preserve"> </w:t>
      </w:r>
      <w:r w:rsidR="007B22A8" w:rsidRPr="000F7862">
        <w:rPr>
          <w:lang w:val="fr-FR"/>
        </w:rPr>
        <w:t>économiques</w:t>
      </w:r>
      <w:r w:rsidR="0086185C" w:rsidRPr="000F7862">
        <w:rPr>
          <w:lang w:val="fr-FR"/>
        </w:rPr>
        <w:t xml:space="preserve">. </w:t>
      </w:r>
    </w:p>
    <w:p w:rsidR="0086185C" w:rsidRPr="000F7862" w:rsidRDefault="00B061DB" w:rsidP="00B061DB">
      <w:pPr>
        <w:pStyle w:val="H23G"/>
        <w:rPr>
          <w:lang w:val="fr-FR"/>
        </w:rPr>
      </w:pPr>
      <w:r w:rsidRPr="000F7862">
        <w:rPr>
          <w:lang w:val="fr-FR"/>
        </w:rPr>
        <w:tab/>
      </w:r>
      <w:r w:rsidRPr="000F7862">
        <w:rPr>
          <w:lang w:val="fr-FR"/>
        </w:rPr>
        <w:tab/>
      </w:r>
      <w:r w:rsidR="00F733B2" w:rsidRPr="000F7862">
        <w:rPr>
          <w:lang w:val="fr-FR"/>
        </w:rPr>
        <w:t>Projet de f</w:t>
      </w:r>
      <w:r w:rsidR="007B22A8" w:rsidRPr="000F7862">
        <w:rPr>
          <w:lang w:val="fr-FR"/>
        </w:rPr>
        <w:t xml:space="preserve">inancement </w:t>
      </w:r>
      <w:r w:rsidR="00F733B2" w:rsidRPr="000F7862">
        <w:rPr>
          <w:lang w:val="fr-FR"/>
        </w:rPr>
        <w:t>additionnel</w:t>
      </w:r>
    </w:p>
    <w:p w:rsidR="0086185C" w:rsidRPr="000F7862" w:rsidRDefault="003F7F57" w:rsidP="003F7F57">
      <w:pPr>
        <w:pStyle w:val="SingleTxtG"/>
        <w:rPr>
          <w:lang w:val="fr-FR"/>
        </w:rPr>
      </w:pPr>
      <w:r w:rsidRPr="000F7862">
        <w:rPr>
          <w:lang w:val="fr-FR"/>
        </w:rPr>
        <w:t>184.</w:t>
      </w:r>
      <w:r w:rsidRPr="000F7862">
        <w:rPr>
          <w:lang w:val="fr-FR"/>
        </w:rPr>
        <w:tab/>
      </w:r>
      <w:r w:rsidR="0086185C" w:rsidRPr="000F7862">
        <w:rPr>
          <w:lang w:val="fr-FR"/>
        </w:rPr>
        <w:t>A</w:t>
      </w:r>
      <w:r w:rsidR="007B22A8" w:rsidRPr="000F7862">
        <w:rPr>
          <w:lang w:val="fr-FR"/>
        </w:rPr>
        <w:t xml:space="preserve">u premier trimestre de </w:t>
      </w:r>
      <w:r w:rsidR="0086185C" w:rsidRPr="000F7862">
        <w:rPr>
          <w:lang w:val="fr-FR"/>
        </w:rPr>
        <w:t xml:space="preserve">2013, </w:t>
      </w:r>
      <w:r w:rsidR="007B22A8" w:rsidRPr="000F7862">
        <w:rPr>
          <w:lang w:val="fr-FR"/>
        </w:rPr>
        <w:t xml:space="preserve">depuis sa mise à exécution, le </w:t>
      </w:r>
      <w:r w:rsidR="004E039A" w:rsidRPr="000F7862">
        <w:rPr>
          <w:lang w:val="fr-FR"/>
        </w:rPr>
        <w:t>projet</w:t>
      </w:r>
      <w:r w:rsidR="0086185C" w:rsidRPr="000F7862">
        <w:rPr>
          <w:lang w:val="fr-FR"/>
        </w:rPr>
        <w:t xml:space="preserve"> </w:t>
      </w:r>
      <w:r w:rsidR="007B22A8" w:rsidRPr="000F7862">
        <w:rPr>
          <w:lang w:val="fr-FR"/>
        </w:rPr>
        <w:t xml:space="preserve">avait couvert </w:t>
      </w:r>
      <w:r w:rsidR="0086185C" w:rsidRPr="000F7862">
        <w:rPr>
          <w:lang w:val="fr-FR"/>
        </w:rPr>
        <w:t>4</w:t>
      </w:r>
      <w:r w:rsidR="004E039A" w:rsidRPr="000F7862">
        <w:rPr>
          <w:lang w:val="fr-FR"/>
        </w:rPr>
        <w:t> </w:t>
      </w:r>
      <w:r w:rsidR="0086185C" w:rsidRPr="000F7862">
        <w:rPr>
          <w:lang w:val="fr-FR"/>
        </w:rPr>
        <w:t xml:space="preserve">058 barangays </w:t>
      </w:r>
      <w:r w:rsidR="007B22A8" w:rsidRPr="000F7862">
        <w:rPr>
          <w:lang w:val="fr-FR"/>
        </w:rPr>
        <w:t>de 176 municipalité</w:t>
      </w:r>
      <w:r w:rsidR="0086185C" w:rsidRPr="000F7862">
        <w:rPr>
          <w:lang w:val="fr-FR"/>
        </w:rPr>
        <w:t xml:space="preserve">s </w:t>
      </w:r>
      <w:r w:rsidR="007B22A8" w:rsidRPr="000F7862">
        <w:rPr>
          <w:lang w:val="fr-FR"/>
        </w:rPr>
        <w:t xml:space="preserve">situées dans les </w:t>
      </w:r>
      <w:r w:rsidR="0086185C" w:rsidRPr="000F7862">
        <w:rPr>
          <w:lang w:val="fr-FR"/>
        </w:rPr>
        <w:t>27 provinces</w:t>
      </w:r>
      <w:r w:rsidR="007B22A8" w:rsidRPr="000F7862">
        <w:rPr>
          <w:lang w:val="fr-FR"/>
        </w:rPr>
        <w:t xml:space="preserve"> les plus </w:t>
      </w:r>
      <w:r w:rsidR="00A52A88" w:rsidRPr="000F7862">
        <w:rPr>
          <w:lang w:val="fr-FR"/>
        </w:rPr>
        <w:t>pauvres</w:t>
      </w:r>
      <w:r w:rsidR="007B22A8" w:rsidRPr="000F7862">
        <w:rPr>
          <w:lang w:val="fr-FR"/>
        </w:rPr>
        <w:t>.</w:t>
      </w:r>
    </w:p>
    <w:p w:rsidR="0086185C" w:rsidRPr="000F7862" w:rsidRDefault="00C46EC9" w:rsidP="001C088C">
      <w:pPr>
        <w:pStyle w:val="H4G"/>
        <w:rPr>
          <w:lang w:val="fr-FR"/>
        </w:rPr>
      </w:pPr>
      <w:r w:rsidRPr="000F7862">
        <w:rPr>
          <w:lang w:val="fr-FR"/>
        </w:rPr>
        <w:tab/>
        <w:t>a)</w:t>
      </w:r>
      <w:r w:rsidRPr="000F7862">
        <w:rPr>
          <w:lang w:val="fr-FR"/>
        </w:rPr>
        <w:tab/>
      </w:r>
      <w:r w:rsidR="007B22A8" w:rsidRPr="000F7862">
        <w:rPr>
          <w:lang w:val="fr-FR"/>
        </w:rPr>
        <w:t>Activités de p</w:t>
      </w:r>
      <w:r w:rsidR="0086185C" w:rsidRPr="000F7862">
        <w:rPr>
          <w:lang w:val="fr-FR"/>
        </w:rPr>
        <w:t>r</w:t>
      </w:r>
      <w:r w:rsidR="007B22A8" w:rsidRPr="000F7862">
        <w:rPr>
          <w:lang w:val="fr-FR"/>
        </w:rPr>
        <w:t>é</w:t>
      </w:r>
      <w:r w:rsidR="0086185C" w:rsidRPr="000F7862">
        <w:rPr>
          <w:lang w:val="fr-FR"/>
        </w:rPr>
        <w:t>paration</w:t>
      </w:r>
      <w:r w:rsidR="007B22A8" w:rsidRPr="000F7862">
        <w:rPr>
          <w:lang w:val="fr-FR"/>
        </w:rPr>
        <w:t xml:space="preserve"> sociale</w:t>
      </w:r>
      <w:r w:rsidR="0086185C" w:rsidRPr="000F7862">
        <w:rPr>
          <w:lang w:val="fr-FR"/>
        </w:rPr>
        <w:t xml:space="preserve">, </w:t>
      </w:r>
      <w:r w:rsidR="007B22A8" w:rsidRPr="000F7862">
        <w:rPr>
          <w:lang w:val="fr-FR"/>
        </w:rPr>
        <w:t>de renforcement des capacités et d</w:t>
      </w:r>
      <w:r w:rsidR="00120E2E" w:rsidRPr="000F7862">
        <w:rPr>
          <w:lang w:val="fr-FR"/>
        </w:rPr>
        <w:t>’</w:t>
      </w:r>
      <w:r w:rsidR="007B22A8" w:rsidRPr="000F7862">
        <w:rPr>
          <w:lang w:val="fr-FR"/>
        </w:rPr>
        <w:t>appui à l</w:t>
      </w:r>
      <w:r w:rsidR="00120E2E" w:rsidRPr="000F7862">
        <w:rPr>
          <w:lang w:val="fr-FR"/>
        </w:rPr>
        <w:t>’</w:t>
      </w:r>
      <w:r w:rsidR="007B22A8" w:rsidRPr="000F7862">
        <w:rPr>
          <w:lang w:val="fr-FR"/>
        </w:rPr>
        <w:t xml:space="preserve">exécution des projets </w:t>
      </w:r>
    </w:p>
    <w:p w:rsidR="0086185C" w:rsidRPr="000F7862" w:rsidRDefault="003F7F57" w:rsidP="004E039A">
      <w:pPr>
        <w:pStyle w:val="SingleTxtG"/>
        <w:ind w:left="1701"/>
        <w:rPr>
          <w:lang w:val="fr-FR"/>
        </w:rPr>
      </w:pPr>
      <w:r w:rsidRPr="000F7862">
        <w:rPr>
          <w:lang w:val="fr-FR"/>
        </w:rPr>
        <w:t>1.</w:t>
      </w:r>
      <w:r w:rsidRPr="000F7862">
        <w:rPr>
          <w:lang w:val="fr-FR"/>
        </w:rPr>
        <w:tab/>
      </w:r>
      <w:r w:rsidR="00AB3504" w:rsidRPr="000F7862">
        <w:rPr>
          <w:lang w:val="fr-FR"/>
        </w:rPr>
        <w:t>En cours d</w:t>
      </w:r>
      <w:r w:rsidR="00120E2E" w:rsidRPr="000F7862">
        <w:rPr>
          <w:lang w:val="fr-FR"/>
        </w:rPr>
        <w:t>’</w:t>
      </w:r>
      <w:r w:rsidR="00AB3504" w:rsidRPr="000F7862">
        <w:rPr>
          <w:lang w:val="fr-FR"/>
        </w:rPr>
        <w:t xml:space="preserve">exécution dans </w:t>
      </w:r>
      <w:r w:rsidR="0086185C" w:rsidRPr="000F7862">
        <w:rPr>
          <w:lang w:val="fr-FR"/>
        </w:rPr>
        <w:t>2</w:t>
      </w:r>
      <w:r w:rsidR="004E039A" w:rsidRPr="000F7862">
        <w:rPr>
          <w:lang w:val="fr-FR"/>
        </w:rPr>
        <w:t> </w:t>
      </w:r>
      <w:r w:rsidR="0086185C" w:rsidRPr="000F7862">
        <w:rPr>
          <w:lang w:val="fr-FR"/>
        </w:rPr>
        <w:t xml:space="preserve">414 barangays </w:t>
      </w:r>
      <w:r w:rsidR="00AB3504" w:rsidRPr="000F7862">
        <w:rPr>
          <w:lang w:val="fr-FR"/>
        </w:rPr>
        <w:t>de 99 municipalité</w:t>
      </w:r>
      <w:r w:rsidR="0086185C" w:rsidRPr="000F7862">
        <w:rPr>
          <w:lang w:val="fr-FR"/>
        </w:rPr>
        <w:t xml:space="preserve">s. </w:t>
      </w:r>
      <w:r w:rsidR="004E039A" w:rsidRPr="000F7862">
        <w:rPr>
          <w:lang w:val="fr-FR"/>
        </w:rPr>
        <w:t>Sur les 153 </w:t>
      </w:r>
      <w:r w:rsidR="00AB3504" w:rsidRPr="000F7862">
        <w:rPr>
          <w:lang w:val="fr-FR"/>
        </w:rPr>
        <w:t>municipalité</w:t>
      </w:r>
      <w:r w:rsidR="0086185C" w:rsidRPr="000F7862">
        <w:rPr>
          <w:lang w:val="fr-FR"/>
        </w:rPr>
        <w:t>s co</w:t>
      </w:r>
      <w:r w:rsidR="00AB3504" w:rsidRPr="000F7862">
        <w:rPr>
          <w:lang w:val="fr-FR"/>
        </w:rPr>
        <w:t xml:space="preserve">uvertes en </w:t>
      </w:r>
      <w:r w:rsidR="0086185C" w:rsidRPr="000F7862">
        <w:rPr>
          <w:lang w:val="fr-FR"/>
        </w:rPr>
        <w:t xml:space="preserve">2012, 53 </w:t>
      </w:r>
      <w:r w:rsidR="00AB3504" w:rsidRPr="000F7862">
        <w:rPr>
          <w:lang w:val="fr-FR"/>
        </w:rPr>
        <w:t>ont d</w:t>
      </w:r>
      <w:r w:rsidR="00120E2E" w:rsidRPr="000F7862">
        <w:rPr>
          <w:lang w:val="fr-FR"/>
        </w:rPr>
        <w:t>’</w:t>
      </w:r>
      <w:r w:rsidR="00AB3504" w:rsidRPr="000F7862">
        <w:rPr>
          <w:lang w:val="fr-FR"/>
        </w:rPr>
        <w:t xml:space="preserve">ores et déjà mené à bien les </w:t>
      </w:r>
      <w:r w:rsidR="0086185C" w:rsidRPr="000F7862">
        <w:rPr>
          <w:lang w:val="fr-FR"/>
        </w:rPr>
        <w:t>op</w:t>
      </w:r>
      <w:r w:rsidR="00AB3504" w:rsidRPr="000F7862">
        <w:rPr>
          <w:lang w:val="fr-FR"/>
        </w:rPr>
        <w:t>é</w:t>
      </w:r>
      <w:r w:rsidR="0086185C" w:rsidRPr="000F7862">
        <w:rPr>
          <w:lang w:val="fr-FR"/>
        </w:rPr>
        <w:t>ration</w:t>
      </w:r>
      <w:r w:rsidR="00AB3504" w:rsidRPr="000F7862">
        <w:rPr>
          <w:lang w:val="fr-FR"/>
        </w:rPr>
        <w:t>s sur le terrain</w:t>
      </w:r>
      <w:r w:rsidR="00C46EC9" w:rsidRPr="000F7862">
        <w:rPr>
          <w:lang w:val="fr-FR"/>
        </w:rPr>
        <w:t>;</w:t>
      </w:r>
    </w:p>
    <w:p w:rsidR="0086185C" w:rsidRPr="000F7862" w:rsidRDefault="003F7F57" w:rsidP="004E039A">
      <w:pPr>
        <w:pStyle w:val="SingleTxtG"/>
        <w:ind w:left="1701"/>
        <w:rPr>
          <w:lang w:val="fr-FR"/>
        </w:rPr>
      </w:pPr>
      <w:r w:rsidRPr="000F7862">
        <w:rPr>
          <w:lang w:val="fr-FR"/>
        </w:rPr>
        <w:t>2.</w:t>
      </w:r>
      <w:r w:rsidRPr="000F7862">
        <w:rPr>
          <w:lang w:val="fr-FR"/>
        </w:rPr>
        <w:tab/>
      </w:r>
      <w:r w:rsidR="00AB3504" w:rsidRPr="000F7862">
        <w:rPr>
          <w:lang w:val="fr-FR"/>
        </w:rPr>
        <w:t>La p</w:t>
      </w:r>
      <w:r w:rsidR="0086185C" w:rsidRPr="000F7862">
        <w:rPr>
          <w:lang w:val="fr-FR"/>
        </w:rPr>
        <w:t xml:space="preserve">articipation </w:t>
      </w:r>
      <w:r w:rsidR="00AB3504" w:rsidRPr="000F7862">
        <w:rPr>
          <w:lang w:val="fr-FR"/>
        </w:rPr>
        <w:t xml:space="preserve">aux assemblées de </w:t>
      </w:r>
      <w:r w:rsidR="0086185C" w:rsidRPr="000F7862">
        <w:rPr>
          <w:lang w:val="fr-FR"/>
        </w:rPr>
        <w:t xml:space="preserve">barangay </w:t>
      </w:r>
      <w:r w:rsidR="00AB3504" w:rsidRPr="000F7862">
        <w:rPr>
          <w:lang w:val="fr-FR"/>
        </w:rPr>
        <w:t xml:space="preserve">oscille entre </w:t>
      </w:r>
      <w:r w:rsidR="0086185C" w:rsidRPr="000F7862">
        <w:rPr>
          <w:lang w:val="fr-FR"/>
        </w:rPr>
        <w:t>69</w:t>
      </w:r>
      <w:r w:rsidR="00DC1196" w:rsidRPr="000F7862">
        <w:rPr>
          <w:lang w:val="fr-FR"/>
        </w:rPr>
        <w:t> %</w:t>
      </w:r>
      <w:r w:rsidR="0086185C" w:rsidRPr="000F7862">
        <w:rPr>
          <w:lang w:val="fr-FR"/>
        </w:rPr>
        <w:t xml:space="preserve"> </w:t>
      </w:r>
      <w:r w:rsidR="00AB3504" w:rsidRPr="000F7862">
        <w:rPr>
          <w:lang w:val="fr-FR"/>
        </w:rPr>
        <w:t>et</w:t>
      </w:r>
      <w:r w:rsidR="0086185C" w:rsidRPr="000F7862">
        <w:rPr>
          <w:lang w:val="fr-FR"/>
        </w:rPr>
        <w:t xml:space="preserve"> 75</w:t>
      </w:r>
      <w:r w:rsidR="00DC1196" w:rsidRPr="000F7862">
        <w:rPr>
          <w:lang w:val="fr-FR"/>
        </w:rPr>
        <w:t> %</w:t>
      </w:r>
      <w:r w:rsidR="0086185C" w:rsidRPr="000F7862">
        <w:rPr>
          <w:lang w:val="fr-FR"/>
        </w:rPr>
        <w:t xml:space="preserve">; </w:t>
      </w:r>
      <w:r w:rsidR="00AB3504" w:rsidRPr="000F7862">
        <w:rPr>
          <w:lang w:val="fr-FR"/>
        </w:rPr>
        <w:t xml:space="preserve">forte </w:t>
      </w:r>
      <w:r w:rsidR="0086185C" w:rsidRPr="000F7862">
        <w:rPr>
          <w:lang w:val="fr-FR"/>
        </w:rPr>
        <w:t xml:space="preserve">participation </w:t>
      </w:r>
      <w:r w:rsidR="00AB3504" w:rsidRPr="000F7862">
        <w:rPr>
          <w:lang w:val="fr-FR"/>
        </w:rPr>
        <w:t>des femmes</w:t>
      </w:r>
      <w:r w:rsidR="00C46EC9" w:rsidRPr="000F7862">
        <w:rPr>
          <w:lang w:val="fr-FR"/>
        </w:rPr>
        <w:t>.</w:t>
      </w:r>
    </w:p>
    <w:p w:rsidR="0086185C" w:rsidRPr="000F7862" w:rsidRDefault="00C46EC9" w:rsidP="001C088C">
      <w:pPr>
        <w:pStyle w:val="H4G"/>
        <w:rPr>
          <w:lang w:val="fr-FR"/>
        </w:rPr>
      </w:pPr>
      <w:r w:rsidRPr="000F7862">
        <w:rPr>
          <w:lang w:val="fr-FR"/>
        </w:rPr>
        <w:tab/>
        <w:t>b)</w:t>
      </w:r>
      <w:r w:rsidRPr="000F7862">
        <w:rPr>
          <w:lang w:val="fr-FR"/>
        </w:rPr>
        <w:tab/>
      </w:r>
      <w:r w:rsidR="00AB3504" w:rsidRPr="000F7862">
        <w:rPr>
          <w:lang w:val="fr-FR"/>
        </w:rPr>
        <w:t>Octroi de subventions/capitaux d</w:t>
      </w:r>
      <w:r w:rsidR="00120E2E" w:rsidRPr="000F7862">
        <w:rPr>
          <w:lang w:val="fr-FR"/>
        </w:rPr>
        <w:t>’</w:t>
      </w:r>
      <w:r w:rsidR="00AB3504" w:rsidRPr="000F7862">
        <w:rPr>
          <w:lang w:val="fr-FR"/>
        </w:rPr>
        <w:t>amorçage aux communautés pour l</w:t>
      </w:r>
      <w:r w:rsidR="00120E2E" w:rsidRPr="000F7862">
        <w:rPr>
          <w:lang w:val="fr-FR"/>
        </w:rPr>
        <w:t>’</w:t>
      </w:r>
      <w:r w:rsidR="00AB3504" w:rsidRPr="000F7862">
        <w:rPr>
          <w:lang w:val="fr-FR"/>
        </w:rPr>
        <w:t xml:space="preserve">exécution de leurs sous-projets </w:t>
      </w:r>
    </w:p>
    <w:p w:rsidR="0086185C" w:rsidRPr="000F7862" w:rsidRDefault="003F7F57" w:rsidP="003F7F57">
      <w:pPr>
        <w:pStyle w:val="SingleTxtG"/>
        <w:rPr>
          <w:lang w:val="fr-FR"/>
        </w:rPr>
      </w:pPr>
      <w:r w:rsidRPr="000F7862">
        <w:rPr>
          <w:lang w:val="fr-FR"/>
        </w:rPr>
        <w:t>185.</w:t>
      </w:r>
      <w:r w:rsidRPr="000F7862">
        <w:rPr>
          <w:lang w:val="fr-FR"/>
        </w:rPr>
        <w:tab/>
      </w:r>
      <w:r w:rsidR="00AB3504" w:rsidRPr="000F7862">
        <w:rPr>
          <w:lang w:val="fr-FR"/>
        </w:rPr>
        <w:t xml:space="preserve">À la fin mars </w:t>
      </w:r>
      <w:r w:rsidR="0086185C" w:rsidRPr="000F7862">
        <w:rPr>
          <w:lang w:val="fr-FR"/>
        </w:rPr>
        <w:t xml:space="preserve">2013, </w:t>
      </w:r>
      <w:r w:rsidR="00AB3504" w:rsidRPr="000F7862">
        <w:rPr>
          <w:lang w:val="fr-FR"/>
        </w:rPr>
        <w:t xml:space="preserve">le </w:t>
      </w:r>
      <w:r w:rsidR="0086185C" w:rsidRPr="000F7862">
        <w:rPr>
          <w:lang w:val="fr-FR"/>
        </w:rPr>
        <w:t xml:space="preserve">KCAF </w:t>
      </w:r>
      <w:r w:rsidR="00AB3504" w:rsidRPr="000F7862">
        <w:rPr>
          <w:lang w:val="fr-FR"/>
        </w:rPr>
        <w:t xml:space="preserve">avait financé au </w:t>
      </w:r>
      <w:r w:rsidR="0086185C" w:rsidRPr="000F7862">
        <w:rPr>
          <w:lang w:val="fr-FR"/>
        </w:rPr>
        <w:t>total 2</w:t>
      </w:r>
      <w:r w:rsidR="004E039A" w:rsidRPr="000F7862">
        <w:rPr>
          <w:lang w:val="fr-FR"/>
        </w:rPr>
        <w:t> </w:t>
      </w:r>
      <w:r w:rsidR="0086185C" w:rsidRPr="000F7862">
        <w:rPr>
          <w:lang w:val="fr-FR"/>
        </w:rPr>
        <w:t xml:space="preserve">209 </w:t>
      </w:r>
      <w:r w:rsidR="00AB3504" w:rsidRPr="000F7862">
        <w:rPr>
          <w:lang w:val="fr-FR"/>
        </w:rPr>
        <w:t xml:space="preserve">sous-projets communautaires, pour un coût </w:t>
      </w:r>
      <w:r w:rsidR="0086185C" w:rsidRPr="000F7862">
        <w:rPr>
          <w:lang w:val="fr-FR"/>
        </w:rPr>
        <w:t>total estim</w:t>
      </w:r>
      <w:r w:rsidR="00AB3504" w:rsidRPr="000F7862">
        <w:rPr>
          <w:lang w:val="fr-FR"/>
        </w:rPr>
        <w:t xml:space="preserve">é à </w:t>
      </w:r>
      <w:r w:rsidR="0086185C" w:rsidRPr="000F7862">
        <w:rPr>
          <w:lang w:val="fr-FR"/>
        </w:rPr>
        <w:t>2</w:t>
      </w:r>
      <w:r w:rsidR="00AB3504" w:rsidRPr="000F7862">
        <w:rPr>
          <w:lang w:val="fr-FR"/>
        </w:rPr>
        <w:t>,</w:t>
      </w:r>
      <w:r w:rsidR="0086185C" w:rsidRPr="000F7862">
        <w:rPr>
          <w:lang w:val="fr-FR"/>
        </w:rPr>
        <w:t>5</w:t>
      </w:r>
      <w:r w:rsidR="00796D18" w:rsidRPr="000F7862">
        <w:rPr>
          <w:lang w:val="fr-FR"/>
        </w:rPr>
        <w:t> </w:t>
      </w:r>
      <w:r w:rsidR="00AB3504" w:rsidRPr="000F7862">
        <w:rPr>
          <w:lang w:val="fr-FR"/>
        </w:rPr>
        <w:t>milliards de pesos</w:t>
      </w:r>
      <w:r w:rsidR="0086185C" w:rsidRPr="000F7862">
        <w:rPr>
          <w:lang w:val="fr-FR"/>
        </w:rPr>
        <w:t xml:space="preserve">. </w:t>
      </w:r>
      <w:r w:rsidR="00AB3504" w:rsidRPr="000F7862">
        <w:rPr>
          <w:lang w:val="fr-FR"/>
        </w:rPr>
        <w:t>Ces sous-projets profiteront à quelque</w:t>
      </w:r>
      <w:r w:rsidR="0086185C" w:rsidRPr="000F7862">
        <w:rPr>
          <w:lang w:val="fr-FR"/>
        </w:rPr>
        <w:t xml:space="preserve"> 503</w:t>
      </w:r>
      <w:r w:rsidR="004E039A" w:rsidRPr="000F7862">
        <w:rPr>
          <w:lang w:val="fr-FR"/>
        </w:rPr>
        <w:t> </w:t>
      </w:r>
      <w:r w:rsidR="0086185C" w:rsidRPr="000F7862">
        <w:rPr>
          <w:lang w:val="fr-FR"/>
        </w:rPr>
        <w:t xml:space="preserve">945 </w:t>
      </w:r>
      <w:r w:rsidR="00AB3504" w:rsidRPr="000F7862">
        <w:rPr>
          <w:lang w:val="fr-FR"/>
        </w:rPr>
        <w:t xml:space="preserve">ménages dans </w:t>
      </w:r>
      <w:r w:rsidR="0086185C" w:rsidRPr="000F7862">
        <w:rPr>
          <w:lang w:val="fr-FR"/>
        </w:rPr>
        <w:t>2</w:t>
      </w:r>
      <w:r w:rsidR="004E039A" w:rsidRPr="000F7862">
        <w:rPr>
          <w:lang w:val="fr-FR"/>
        </w:rPr>
        <w:t> </w:t>
      </w:r>
      <w:r w:rsidR="0086185C" w:rsidRPr="000F7862">
        <w:rPr>
          <w:lang w:val="fr-FR"/>
        </w:rPr>
        <w:t xml:space="preserve">283 barangays. </w:t>
      </w:r>
      <w:r w:rsidR="00364F91" w:rsidRPr="000F7862">
        <w:rPr>
          <w:lang w:val="fr-FR"/>
        </w:rPr>
        <w:t>Sur l</w:t>
      </w:r>
      <w:r w:rsidR="00120E2E" w:rsidRPr="000F7862">
        <w:rPr>
          <w:lang w:val="fr-FR"/>
        </w:rPr>
        <w:t>’</w:t>
      </w:r>
      <w:r w:rsidR="00364F91" w:rsidRPr="000F7862">
        <w:rPr>
          <w:lang w:val="fr-FR"/>
        </w:rPr>
        <w:t>ensemb</w:t>
      </w:r>
      <w:r w:rsidR="004E039A" w:rsidRPr="000F7862">
        <w:rPr>
          <w:lang w:val="fr-FR"/>
        </w:rPr>
        <w:t>le des sous-projets financés, 1 </w:t>
      </w:r>
      <w:r w:rsidR="0086185C" w:rsidRPr="000F7862">
        <w:rPr>
          <w:lang w:val="fr-FR"/>
        </w:rPr>
        <w:t>425 (65</w:t>
      </w:r>
      <w:r w:rsidR="00DC1196" w:rsidRPr="000F7862">
        <w:rPr>
          <w:lang w:val="fr-FR"/>
        </w:rPr>
        <w:t> %</w:t>
      </w:r>
      <w:r w:rsidR="0086185C" w:rsidRPr="000F7862">
        <w:rPr>
          <w:lang w:val="fr-FR"/>
        </w:rPr>
        <w:t xml:space="preserve">) </w:t>
      </w:r>
      <w:r w:rsidR="00364F91" w:rsidRPr="000F7862">
        <w:rPr>
          <w:lang w:val="fr-FR"/>
        </w:rPr>
        <w:t>avaient d</w:t>
      </w:r>
      <w:r w:rsidR="00120E2E" w:rsidRPr="000F7862">
        <w:rPr>
          <w:lang w:val="fr-FR"/>
        </w:rPr>
        <w:t>’</w:t>
      </w:r>
      <w:r w:rsidR="00364F91" w:rsidRPr="000F7862">
        <w:rPr>
          <w:lang w:val="fr-FR"/>
        </w:rPr>
        <w:t xml:space="preserve">ores et déjà été menés à bien, pour un coût de </w:t>
      </w:r>
      <w:r w:rsidR="0086185C" w:rsidRPr="000F7862">
        <w:rPr>
          <w:lang w:val="fr-FR"/>
        </w:rPr>
        <w:t>1</w:t>
      </w:r>
      <w:r w:rsidR="00364F91" w:rsidRPr="000F7862">
        <w:rPr>
          <w:lang w:val="fr-FR"/>
        </w:rPr>
        <w:t>,</w:t>
      </w:r>
      <w:r w:rsidR="0086185C" w:rsidRPr="000F7862">
        <w:rPr>
          <w:lang w:val="fr-FR"/>
        </w:rPr>
        <w:t>5</w:t>
      </w:r>
      <w:r w:rsidR="00796D18" w:rsidRPr="000F7862">
        <w:rPr>
          <w:lang w:val="fr-FR"/>
        </w:rPr>
        <w:t> </w:t>
      </w:r>
      <w:r w:rsidR="00364F91" w:rsidRPr="000F7862">
        <w:rPr>
          <w:lang w:val="fr-FR"/>
        </w:rPr>
        <w:t xml:space="preserve">milliard de pesos, en faveur de </w:t>
      </w:r>
      <w:r w:rsidR="0086185C" w:rsidRPr="000F7862">
        <w:rPr>
          <w:lang w:val="fr-FR"/>
        </w:rPr>
        <w:t>364</w:t>
      </w:r>
      <w:r w:rsidR="004E039A" w:rsidRPr="000F7862">
        <w:rPr>
          <w:lang w:val="fr-FR"/>
        </w:rPr>
        <w:t> </w:t>
      </w:r>
      <w:r w:rsidR="0086185C" w:rsidRPr="000F7862">
        <w:rPr>
          <w:lang w:val="fr-FR"/>
        </w:rPr>
        <w:t xml:space="preserve">999 </w:t>
      </w:r>
      <w:r w:rsidR="00364F91" w:rsidRPr="000F7862">
        <w:rPr>
          <w:lang w:val="fr-FR"/>
        </w:rPr>
        <w:t>ménages</w:t>
      </w:r>
      <w:r w:rsidR="0086185C" w:rsidRPr="000F7862">
        <w:rPr>
          <w:lang w:val="fr-FR"/>
        </w:rPr>
        <w:t>.</w:t>
      </w:r>
    </w:p>
    <w:p w:rsidR="0086185C" w:rsidRPr="000F7862" w:rsidRDefault="003F7F57" w:rsidP="003F7F57">
      <w:pPr>
        <w:pStyle w:val="SingleTxtG"/>
        <w:rPr>
          <w:lang w:val="fr-FR"/>
        </w:rPr>
      </w:pPr>
      <w:r w:rsidRPr="000F7862">
        <w:rPr>
          <w:lang w:val="fr-FR"/>
        </w:rPr>
        <w:t>186.</w:t>
      </w:r>
      <w:r w:rsidRPr="000F7862">
        <w:rPr>
          <w:lang w:val="fr-FR"/>
        </w:rPr>
        <w:tab/>
      </w:r>
      <w:r w:rsidR="00364F91" w:rsidRPr="000F7862">
        <w:rPr>
          <w:lang w:val="fr-FR"/>
        </w:rPr>
        <w:t>On énumère ci-après les principaux types de sous-projets financés et les</w:t>
      </w:r>
      <w:r w:rsidR="0086185C" w:rsidRPr="000F7862">
        <w:rPr>
          <w:lang w:val="fr-FR"/>
        </w:rPr>
        <w:t xml:space="preserve"> p</w:t>
      </w:r>
      <w:r w:rsidR="00364F91" w:rsidRPr="000F7862">
        <w:rPr>
          <w:lang w:val="fr-FR"/>
        </w:rPr>
        <w:t>ou</w:t>
      </w:r>
      <w:r w:rsidR="0086185C" w:rsidRPr="000F7862">
        <w:rPr>
          <w:lang w:val="fr-FR"/>
        </w:rPr>
        <w:t xml:space="preserve">rcentages </w:t>
      </w:r>
      <w:r w:rsidR="00364F91" w:rsidRPr="000F7862">
        <w:rPr>
          <w:lang w:val="fr-FR"/>
        </w:rPr>
        <w:t xml:space="preserve">de la subvention </w:t>
      </w:r>
      <w:r w:rsidR="0086185C" w:rsidRPr="000F7862">
        <w:rPr>
          <w:lang w:val="fr-FR"/>
        </w:rPr>
        <w:t>total</w:t>
      </w:r>
      <w:r w:rsidR="00364F91" w:rsidRPr="000F7862">
        <w:rPr>
          <w:lang w:val="fr-FR"/>
        </w:rPr>
        <w:t xml:space="preserve">e alloués à chacun de ces </w:t>
      </w:r>
      <w:r w:rsidR="0086185C" w:rsidRPr="000F7862">
        <w:rPr>
          <w:lang w:val="fr-FR"/>
        </w:rPr>
        <w:t>type</w:t>
      </w:r>
      <w:r w:rsidR="00364F91" w:rsidRPr="000F7862">
        <w:rPr>
          <w:lang w:val="fr-FR"/>
        </w:rPr>
        <w:t>s</w:t>
      </w:r>
      <w:r w:rsidR="0005004C" w:rsidRPr="000F7862">
        <w:rPr>
          <w:lang w:val="fr-FR"/>
        </w:rPr>
        <w:t>:</w:t>
      </w:r>
    </w:p>
    <w:p w:rsidR="0086185C" w:rsidRPr="000F7862" w:rsidRDefault="00C46EC9" w:rsidP="004E039A">
      <w:pPr>
        <w:pStyle w:val="SingleTxtG"/>
        <w:ind w:left="1701"/>
        <w:rPr>
          <w:lang w:val="fr-FR"/>
        </w:rPr>
      </w:pPr>
      <w:r w:rsidRPr="000F7862">
        <w:rPr>
          <w:lang w:val="fr-FR"/>
        </w:rPr>
        <w:t>1.</w:t>
      </w:r>
      <w:r w:rsidRPr="000F7862">
        <w:rPr>
          <w:lang w:val="fr-FR"/>
        </w:rPr>
        <w:tab/>
      </w:r>
      <w:r w:rsidR="00364F91" w:rsidRPr="000F7862">
        <w:rPr>
          <w:lang w:val="fr-FR"/>
        </w:rPr>
        <w:t>S</w:t>
      </w:r>
      <w:r w:rsidR="0086185C" w:rsidRPr="000F7862">
        <w:rPr>
          <w:lang w:val="fr-FR"/>
        </w:rPr>
        <w:t>ervices</w:t>
      </w:r>
      <w:r w:rsidR="00364F91" w:rsidRPr="000F7862">
        <w:rPr>
          <w:lang w:val="fr-FR"/>
        </w:rPr>
        <w:t xml:space="preserve"> sociaux de base</w:t>
      </w:r>
      <w:r w:rsidR="0005004C" w:rsidRPr="000F7862">
        <w:rPr>
          <w:lang w:val="fr-FR"/>
        </w:rPr>
        <w:t>:</w:t>
      </w:r>
      <w:r w:rsidR="0086185C" w:rsidRPr="000F7862">
        <w:rPr>
          <w:lang w:val="fr-FR"/>
        </w:rPr>
        <w:t xml:space="preserve"> </w:t>
      </w:r>
      <w:r w:rsidR="00E61DD5" w:rsidRPr="000F7862">
        <w:rPr>
          <w:lang w:val="fr-FR"/>
        </w:rPr>
        <w:t>rés</w:t>
      </w:r>
      <w:r w:rsidR="00C53861" w:rsidRPr="000F7862">
        <w:rPr>
          <w:lang w:val="fr-FR"/>
        </w:rPr>
        <w:t>eaux d</w:t>
      </w:r>
      <w:r w:rsidR="00120E2E" w:rsidRPr="000F7862">
        <w:rPr>
          <w:lang w:val="fr-FR"/>
        </w:rPr>
        <w:t>’</w:t>
      </w:r>
      <w:r w:rsidR="00C53861" w:rsidRPr="000F7862">
        <w:rPr>
          <w:lang w:val="fr-FR"/>
        </w:rPr>
        <w:t>eau communautaires</w:t>
      </w:r>
      <w:r w:rsidR="0086185C" w:rsidRPr="000F7862">
        <w:rPr>
          <w:lang w:val="fr-FR"/>
        </w:rPr>
        <w:t xml:space="preserve">, </w:t>
      </w:r>
      <w:r w:rsidR="00C53861" w:rsidRPr="000F7862">
        <w:rPr>
          <w:lang w:val="fr-FR"/>
        </w:rPr>
        <w:t>bâtiments scolaires</w:t>
      </w:r>
      <w:r w:rsidR="0086185C" w:rsidRPr="000F7862">
        <w:rPr>
          <w:lang w:val="fr-FR"/>
        </w:rPr>
        <w:t xml:space="preserve">, </w:t>
      </w:r>
      <w:r w:rsidR="00C53861" w:rsidRPr="000F7862">
        <w:rPr>
          <w:lang w:val="fr-FR"/>
        </w:rPr>
        <w:t>garderies</w:t>
      </w:r>
      <w:r w:rsidR="0086185C" w:rsidRPr="000F7862">
        <w:rPr>
          <w:lang w:val="fr-FR"/>
        </w:rPr>
        <w:t xml:space="preserve">, </w:t>
      </w:r>
      <w:r w:rsidR="00E61DD5" w:rsidRPr="000F7862">
        <w:rPr>
          <w:lang w:val="fr-FR"/>
        </w:rPr>
        <w:t xml:space="preserve">postes sanitaires de </w:t>
      </w:r>
      <w:r w:rsidR="0086185C" w:rsidRPr="000F7862">
        <w:rPr>
          <w:lang w:val="fr-FR"/>
        </w:rPr>
        <w:t xml:space="preserve">barangay, </w:t>
      </w:r>
      <w:r w:rsidR="00E61DD5" w:rsidRPr="000F7862">
        <w:rPr>
          <w:lang w:val="fr-FR"/>
        </w:rPr>
        <w:t>é</w:t>
      </w:r>
      <w:r w:rsidR="0086185C" w:rsidRPr="000F7862">
        <w:rPr>
          <w:lang w:val="fr-FR"/>
        </w:rPr>
        <w:t>lectrification</w:t>
      </w:r>
      <w:r w:rsidR="00E61DD5" w:rsidRPr="000F7862">
        <w:rPr>
          <w:lang w:val="fr-FR"/>
        </w:rPr>
        <w:t xml:space="preserve"> et logement </w:t>
      </w:r>
      <w:r w:rsidR="0086185C" w:rsidRPr="000F7862">
        <w:rPr>
          <w:lang w:val="fr-FR"/>
        </w:rPr>
        <w:t>tribal (48</w:t>
      </w:r>
      <w:r w:rsidR="00E61DD5" w:rsidRPr="000F7862">
        <w:rPr>
          <w:lang w:val="fr-FR"/>
        </w:rPr>
        <w:t>,</w:t>
      </w:r>
      <w:r w:rsidR="0086185C" w:rsidRPr="000F7862">
        <w:rPr>
          <w:lang w:val="fr-FR"/>
        </w:rPr>
        <w:t>59</w:t>
      </w:r>
      <w:r w:rsidR="00DC1196" w:rsidRPr="000F7862">
        <w:rPr>
          <w:lang w:val="fr-FR"/>
        </w:rPr>
        <w:t> %</w:t>
      </w:r>
      <w:r w:rsidR="0086185C" w:rsidRPr="000F7862">
        <w:rPr>
          <w:lang w:val="fr-FR"/>
        </w:rPr>
        <w:t>)</w:t>
      </w:r>
      <w:r w:rsidRPr="000F7862">
        <w:rPr>
          <w:lang w:val="fr-FR"/>
        </w:rPr>
        <w:t>;</w:t>
      </w:r>
    </w:p>
    <w:p w:rsidR="0086185C" w:rsidRPr="000F7862" w:rsidRDefault="00C46EC9" w:rsidP="004E039A">
      <w:pPr>
        <w:pStyle w:val="SingleTxtG"/>
        <w:ind w:left="1701"/>
        <w:rPr>
          <w:lang w:val="fr-FR"/>
        </w:rPr>
      </w:pPr>
      <w:r w:rsidRPr="000F7862">
        <w:rPr>
          <w:lang w:val="fr-FR"/>
        </w:rPr>
        <w:t>2.</w:t>
      </w:r>
      <w:r w:rsidRPr="000F7862">
        <w:rPr>
          <w:lang w:val="fr-FR"/>
        </w:rPr>
        <w:tab/>
      </w:r>
      <w:r w:rsidR="00E61DD5" w:rsidRPr="000F7862">
        <w:rPr>
          <w:lang w:val="fr-FR"/>
        </w:rPr>
        <w:t>Infrastructure d</w:t>
      </w:r>
      <w:r w:rsidR="00120E2E" w:rsidRPr="000F7862">
        <w:rPr>
          <w:lang w:val="fr-FR"/>
        </w:rPr>
        <w:t>’</w:t>
      </w:r>
      <w:r w:rsidR="00E61DD5" w:rsidRPr="000F7862">
        <w:rPr>
          <w:lang w:val="fr-FR"/>
        </w:rPr>
        <w:t>accès de base</w:t>
      </w:r>
      <w:r w:rsidR="0005004C" w:rsidRPr="000F7862">
        <w:rPr>
          <w:lang w:val="fr-FR"/>
        </w:rPr>
        <w:t>:</w:t>
      </w:r>
      <w:r w:rsidR="0086185C" w:rsidRPr="000F7862">
        <w:rPr>
          <w:lang w:val="fr-FR"/>
        </w:rPr>
        <w:t xml:space="preserve"> </w:t>
      </w:r>
      <w:r w:rsidR="00E61DD5" w:rsidRPr="000F7862">
        <w:rPr>
          <w:lang w:val="fr-FR"/>
        </w:rPr>
        <w:t>routes d</w:t>
      </w:r>
      <w:r w:rsidR="00120E2E" w:rsidRPr="000F7862">
        <w:rPr>
          <w:lang w:val="fr-FR"/>
        </w:rPr>
        <w:t>’</w:t>
      </w:r>
      <w:r w:rsidR="00E61DD5" w:rsidRPr="000F7862">
        <w:rPr>
          <w:lang w:val="fr-FR"/>
        </w:rPr>
        <w:t>accès</w:t>
      </w:r>
      <w:r w:rsidR="0086185C" w:rsidRPr="000F7862">
        <w:rPr>
          <w:lang w:val="fr-FR"/>
        </w:rPr>
        <w:t xml:space="preserve">, </w:t>
      </w:r>
      <w:r w:rsidR="00E61DD5" w:rsidRPr="000F7862">
        <w:rPr>
          <w:lang w:val="fr-FR"/>
        </w:rPr>
        <w:t>petits ponts/passerelles et pistes d</w:t>
      </w:r>
      <w:r w:rsidR="00120E2E" w:rsidRPr="000F7862">
        <w:rPr>
          <w:lang w:val="fr-FR"/>
        </w:rPr>
        <w:t>’</w:t>
      </w:r>
      <w:r w:rsidR="00E61DD5" w:rsidRPr="000F7862">
        <w:rPr>
          <w:lang w:val="fr-FR"/>
        </w:rPr>
        <w:t>accès</w:t>
      </w:r>
      <w:r w:rsidR="0086185C" w:rsidRPr="000F7862">
        <w:rPr>
          <w:lang w:val="fr-FR"/>
        </w:rPr>
        <w:t xml:space="preserve"> (34</w:t>
      </w:r>
      <w:r w:rsidR="00E61DD5" w:rsidRPr="000F7862">
        <w:rPr>
          <w:lang w:val="fr-FR"/>
        </w:rPr>
        <w:t>,</w:t>
      </w:r>
      <w:r w:rsidR="0086185C" w:rsidRPr="000F7862">
        <w:rPr>
          <w:lang w:val="fr-FR"/>
        </w:rPr>
        <w:t>08</w:t>
      </w:r>
      <w:r w:rsidR="00DC1196" w:rsidRPr="000F7862">
        <w:rPr>
          <w:lang w:val="fr-FR"/>
        </w:rPr>
        <w:t> %</w:t>
      </w:r>
      <w:r w:rsidR="0086185C" w:rsidRPr="000F7862">
        <w:rPr>
          <w:lang w:val="fr-FR"/>
        </w:rPr>
        <w:t>)</w:t>
      </w:r>
      <w:r w:rsidRPr="000F7862">
        <w:rPr>
          <w:lang w:val="fr-FR"/>
        </w:rPr>
        <w:t>;</w:t>
      </w:r>
    </w:p>
    <w:p w:rsidR="0086185C" w:rsidRPr="000F7862" w:rsidRDefault="00C46EC9" w:rsidP="004E039A">
      <w:pPr>
        <w:pStyle w:val="SingleTxtG"/>
        <w:ind w:left="1701"/>
        <w:rPr>
          <w:lang w:val="fr-FR"/>
        </w:rPr>
      </w:pPr>
      <w:r w:rsidRPr="000F7862">
        <w:rPr>
          <w:lang w:val="fr-FR"/>
        </w:rPr>
        <w:t>3.</w:t>
      </w:r>
      <w:r w:rsidRPr="000F7862">
        <w:rPr>
          <w:lang w:val="fr-FR"/>
        </w:rPr>
        <w:tab/>
      </w:r>
      <w:r w:rsidR="00520956" w:rsidRPr="000F7862">
        <w:rPr>
          <w:lang w:val="fr-FR"/>
        </w:rPr>
        <w:t xml:space="preserve">Infrastructure de production communautaire, de soutien économique et de </w:t>
      </w:r>
      <w:r w:rsidR="0086185C" w:rsidRPr="000F7862">
        <w:rPr>
          <w:lang w:val="fr-FR"/>
        </w:rPr>
        <w:t xml:space="preserve">services </w:t>
      </w:r>
      <w:r w:rsidR="00520956" w:rsidRPr="000F7862">
        <w:rPr>
          <w:lang w:val="fr-FR"/>
        </w:rPr>
        <w:t>communs</w:t>
      </w:r>
      <w:r w:rsidR="0005004C" w:rsidRPr="000F7862">
        <w:rPr>
          <w:lang w:val="fr-FR"/>
        </w:rPr>
        <w:t>:</w:t>
      </w:r>
      <w:r w:rsidR="0086185C" w:rsidRPr="000F7862">
        <w:rPr>
          <w:lang w:val="fr-FR"/>
        </w:rPr>
        <w:t xml:space="preserve"> </w:t>
      </w:r>
      <w:r w:rsidR="00805DE6" w:rsidRPr="000F7862">
        <w:rPr>
          <w:lang w:val="fr-FR"/>
        </w:rPr>
        <w:t>formation à l</w:t>
      </w:r>
      <w:r w:rsidR="00120E2E" w:rsidRPr="000F7862">
        <w:rPr>
          <w:lang w:val="fr-FR"/>
        </w:rPr>
        <w:t>’</w:t>
      </w:r>
      <w:r w:rsidR="00805DE6" w:rsidRPr="000F7862">
        <w:rPr>
          <w:lang w:val="fr-FR"/>
        </w:rPr>
        <w:t>entrepren</w:t>
      </w:r>
      <w:r w:rsidR="00DD0875" w:rsidRPr="000F7862">
        <w:rPr>
          <w:lang w:val="fr-FR"/>
        </w:rPr>
        <w:t>eu</w:t>
      </w:r>
      <w:r w:rsidR="00805DE6" w:rsidRPr="000F7862">
        <w:rPr>
          <w:lang w:val="fr-FR"/>
        </w:rPr>
        <w:t>riat communautaire</w:t>
      </w:r>
      <w:r w:rsidR="0086185C" w:rsidRPr="000F7862">
        <w:rPr>
          <w:lang w:val="fr-FR"/>
        </w:rPr>
        <w:t xml:space="preserve">, </w:t>
      </w:r>
      <w:r w:rsidR="00805DE6" w:rsidRPr="000F7862">
        <w:rPr>
          <w:lang w:val="fr-FR"/>
        </w:rPr>
        <w:t>sous-projets d</w:t>
      </w:r>
      <w:r w:rsidR="00120E2E" w:rsidRPr="000F7862">
        <w:rPr>
          <w:lang w:val="fr-FR"/>
        </w:rPr>
        <w:t>’</w:t>
      </w:r>
      <w:r w:rsidR="00805DE6" w:rsidRPr="000F7862">
        <w:rPr>
          <w:lang w:val="fr-FR"/>
        </w:rPr>
        <w:t>assistance en matière d</w:t>
      </w:r>
      <w:r w:rsidR="00120E2E" w:rsidRPr="000F7862">
        <w:rPr>
          <w:lang w:val="fr-FR"/>
        </w:rPr>
        <w:t>’</w:t>
      </w:r>
      <w:r w:rsidR="00805DE6" w:rsidRPr="000F7862">
        <w:rPr>
          <w:lang w:val="fr-FR"/>
        </w:rPr>
        <w:t>é</w:t>
      </w:r>
      <w:r w:rsidR="0086185C" w:rsidRPr="000F7862">
        <w:rPr>
          <w:lang w:val="fr-FR"/>
        </w:rPr>
        <w:t>quip</w:t>
      </w:r>
      <w:r w:rsidR="00DD0875" w:rsidRPr="000F7862">
        <w:rPr>
          <w:lang w:val="fr-FR"/>
        </w:rPr>
        <w:t>e</w:t>
      </w:r>
      <w:r w:rsidR="0086185C" w:rsidRPr="000F7862">
        <w:rPr>
          <w:lang w:val="fr-FR"/>
        </w:rPr>
        <w:t>ment</w:t>
      </w:r>
      <w:r w:rsidR="00805DE6" w:rsidRPr="000F7862">
        <w:rPr>
          <w:lang w:val="fr-FR"/>
        </w:rPr>
        <w:t>s et de matériels</w:t>
      </w:r>
      <w:r w:rsidR="0086185C" w:rsidRPr="000F7862">
        <w:rPr>
          <w:lang w:val="fr-FR"/>
        </w:rPr>
        <w:t xml:space="preserve">, </w:t>
      </w:r>
      <w:r w:rsidR="00805DE6" w:rsidRPr="000F7862">
        <w:rPr>
          <w:lang w:val="fr-FR"/>
        </w:rPr>
        <w:t>structures d</w:t>
      </w:r>
      <w:r w:rsidR="00120E2E" w:rsidRPr="000F7862">
        <w:rPr>
          <w:lang w:val="fr-FR"/>
        </w:rPr>
        <w:t>’</w:t>
      </w:r>
      <w:r w:rsidR="00805DE6" w:rsidRPr="000F7862">
        <w:rPr>
          <w:lang w:val="fr-FR"/>
        </w:rPr>
        <w:t>avant et d</w:t>
      </w:r>
      <w:r w:rsidR="00120E2E" w:rsidRPr="000F7862">
        <w:rPr>
          <w:lang w:val="fr-FR"/>
        </w:rPr>
        <w:t>’</w:t>
      </w:r>
      <w:r w:rsidR="00805DE6" w:rsidRPr="000F7862">
        <w:rPr>
          <w:lang w:val="fr-FR"/>
        </w:rPr>
        <w:t>après récolte et structures polyvalentes</w:t>
      </w:r>
      <w:r w:rsidR="0086185C" w:rsidRPr="000F7862">
        <w:rPr>
          <w:lang w:val="fr-FR"/>
        </w:rPr>
        <w:t xml:space="preserve">, </w:t>
      </w:r>
      <w:r w:rsidR="00805DE6" w:rsidRPr="000F7862">
        <w:rPr>
          <w:lang w:val="fr-FR"/>
        </w:rPr>
        <w:t xml:space="preserve">et </w:t>
      </w:r>
      <w:r w:rsidR="0086185C" w:rsidRPr="000F7862">
        <w:rPr>
          <w:lang w:val="fr-FR"/>
        </w:rPr>
        <w:t xml:space="preserve">irrigation </w:t>
      </w:r>
      <w:r w:rsidR="00805DE6" w:rsidRPr="000F7862">
        <w:rPr>
          <w:lang w:val="fr-FR"/>
        </w:rPr>
        <w:t xml:space="preserve">à petite échelle </w:t>
      </w:r>
      <w:r w:rsidR="0086185C" w:rsidRPr="000F7862">
        <w:rPr>
          <w:lang w:val="fr-FR"/>
        </w:rPr>
        <w:t>(4</w:t>
      </w:r>
      <w:r w:rsidR="00805DE6" w:rsidRPr="000F7862">
        <w:rPr>
          <w:lang w:val="fr-FR"/>
        </w:rPr>
        <w:t>,</w:t>
      </w:r>
      <w:r w:rsidR="0086185C" w:rsidRPr="000F7862">
        <w:rPr>
          <w:lang w:val="fr-FR"/>
        </w:rPr>
        <w:t>98</w:t>
      </w:r>
      <w:r w:rsidR="00DC1196" w:rsidRPr="000F7862">
        <w:rPr>
          <w:lang w:val="fr-FR"/>
        </w:rPr>
        <w:t> %</w:t>
      </w:r>
      <w:r w:rsidR="0086185C" w:rsidRPr="000F7862">
        <w:rPr>
          <w:lang w:val="fr-FR"/>
        </w:rPr>
        <w:t>)</w:t>
      </w:r>
      <w:r w:rsidRPr="000F7862">
        <w:rPr>
          <w:lang w:val="fr-FR"/>
        </w:rPr>
        <w:t>;</w:t>
      </w:r>
    </w:p>
    <w:p w:rsidR="0086185C" w:rsidRPr="000F7862" w:rsidRDefault="00C46EC9" w:rsidP="004E039A">
      <w:pPr>
        <w:pStyle w:val="SingleTxtG"/>
        <w:ind w:left="1701"/>
        <w:rPr>
          <w:lang w:val="fr-FR"/>
        </w:rPr>
      </w:pPr>
      <w:r w:rsidRPr="000F7862">
        <w:rPr>
          <w:lang w:val="fr-FR"/>
        </w:rPr>
        <w:t>4.</w:t>
      </w:r>
      <w:r w:rsidRPr="000F7862">
        <w:rPr>
          <w:lang w:val="fr-FR"/>
        </w:rPr>
        <w:tab/>
      </w:r>
      <w:r w:rsidR="00805DE6" w:rsidRPr="000F7862">
        <w:rPr>
          <w:lang w:val="fr-FR"/>
        </w:rPr>
        <w:t>Protection et sauvegarde de l</w:t>
      </w:r>
      <w:r w:rsidR="00120E2E" w:rsidRPr="000F7862">
        <w:rPr>
          <w:lang w:val="fr-FR"/>
        </w:rPr>
        <w:t>’</w:t>
      </w:r>
      <w:r w:rsidR="00805DE6" w:rsidRPr="000F7862">
        <w:rPr>
          <w:lang w:val="fr-FR"/>
        </w:rPr>
        <w:t>e</w:t>
      </w:r>
      <w:r w:rsidR="0086185C" w:rsidRPr="000F7862">
        <w:rPr>
          <w:lang w:val="fr-FR"/>
        </w:rPr>
        <w:t>nviron</w:t>
      </w:r>
      <w:r w:rsidR="00805DE6" w:rsidRPr="000F7862">
        <w:rPr>
          <w:lang w:val="fr-FR"/>
        </w:rPr>
        <w:t>ne</w:t>
      </w:r>
      <w:r w:rsidR="0086185C" w:rsidRPr="000F7862">
        <w:rPr>
          <w:lang w:val="fr-FR"/>
        </w:rPr>
        <w:t>ment</w:t>
      </w:r>
      <w:r w:rsidR="0005004C" w:rsidRPr="000F7862">
        <w:rPr>
          <w:lang w:val="fr-FR"/>
        </w:rPr>
        <w:t>:</w:t>
      </w:r>
      <w:r w:rsidR="0086185C" w:rsidRPr="000F7862">
        <w:rPr>
          <w:lang w:val="fr-FR"/>
        </w:rPr>
        <w:t xml:space="preserve"> drainage, r</w:t>
      </w:r>
      <w:r w:rsidR="00DE1B13" w:rsidRPr="000F7862">
        <w:rPr>
          <w:lang w:val="fr-FR"/>
        </w:rPr>
        <w:t>égularisation des cours d</w:t>
      </w:r>
      <w:r w:rsidR="00120E2E" w:rsidRPr="000F7862">
        <w:rPr>
          <w:lang w:val="fr-FR"/>
        </w:rPr>
        <w:t>’</w:t>
      </w:r>
      <w:r w:rsidR="00DE1B13" w:rsidRPr="000F7862">
        <w:rPr>
          <w:lang w:val="fr-FR"/>
        </w:rPr>
        <w:t xml:space="preserve">eau et </w:t>
      </w:r>
      <w:r w:rsidR="00805DE6" w:rsidRPr="000F7862">
        <w:rPr>
          <w:lang w:val="fr-FR"/>
        </w:rPr>
        <w:t>maîtrise des crues</w:t>
      </w:r>
      <w:r w:rsidR="0086185C" w:rsidRPr="000F7862">
        <w:rPr>
          <w:lang w:val="fr-FR"/>
        </w:rPr>
        <w:t xml:space="preserve">, </w:t>
      </w:r>
      <w:r w:rsidR="00DE1B13" w:rsidRPr="000F7862">
        <w:rPr>
          <w:lang w:val="fr-FR"/>
        </w:rPr>
        <w:t>rempart de cordon littoral</w:t>
      </w:r>
      <w:r w:rsidR="0086185C" w:rsidRPr="000F7862">
        <w:rPr>
          <w:lang w:val="fr-FR"/>
        </w:rPr>
        <w:t xml:space="preserve">, </w:t>
      </w:r>
      <w:r w:rsidR="00DE1B13" w:rsidRPr="000F7862">
        <w:rPr>
          <w:lang w:val="fr-FR"/>
        </w:rPr>
        <w:t xml:space="preserve">sanctuaires de récifs coralliens artificiels et </w:t>
      </w:r>
      <w:r w:rsidR="00F733B2" w:rsidRPr="000F7862">
        <w:rPr>
          <w:lang w:val="fr-FR"/>
        </w:rPr>
        <w:t>installations d</w:t>
      </w:r>
      <w:r w:rsidR="00120E2E" w:rsidRPr="000F7862">
        <w:rPr>
          <w:lang w:val="fr-FR"/>
        </w:rPr>
        <w:t>’</w:t>
      </w:r>
      <w:r w:rsidR="00F733B2" w:rsidRPr="000F7862">
        <w:rPr>
          <w:lang w:val="fr-FR"/>
        </w:rPr>
        <w:t>as</w:t>
      </w:r>
      <w:r w:rsidR="0086185C" w:rsidRPr="000F7862">
        <w:rPr>
          <w:lang w:val="fr-FR"/>
        </w:rPr>
        <w:t>sai</w:t>
      </w:r>
      <w:r w:rsidR="00F733B2" w:rsidRPr="000F7862">
        <w:rPr>
          <w:lang w:val="fr-FR"/>
        </w:rPr>
        <w:t xml:space="preserve">nissement </w:t>
      </w:r>
      <w:r w:rsidR="0086185C" w:rsidRPr="000F7862">
        <w:rPr>
          <w:lang w:val="fr-FR"/>
        </w:rPr>
        <w:t>(12</w:t>
      </w:r>
      <w:r w:rsidR="00F733B2" w:rsidRPr="000F7862">
        <w:rPr>
          <w:lang w:val="fr-FR"/>
        </w:rPr>
        <w:t>,</w:t>
      </w:r>
      <w:r w:rsidR="0086185C" w:rsidRPr="000F7862">
        <w:rPr>
          <w:lang w:val="fr-FR"/>
        </w:rPr>
        <w:t>30</w:t>
      </w:r>
      <w:r w:rsidR="00DC1196" w:rsidRPr="000F7862">
        <w:rPr>
          <w:lang w:val="fr-FR"/>
        </w:rPr>
        <w:t> %</w:t>
      </w:r>
      <w:r w:rsidR="0086185C" w:rsidRPr="000F7862">
        <w:rPr>
          <w:lang w:val="fr-FR"/>
        </w:rPr>
        <w:t xml:space="preserve">); </w:t>
      </w:r>
    </w:p>
    <w:p w:rsidR="0086185C" w:rsidRPr="000F7862" w:rsidRDefault="00C46EC9" w:rsidP="004E039A">
      <w:pPr>
        <w:pStyle w:val="SingleTxtG"/>
        <w:ind w:left="1701"/>
        <w:rPr>
          <w:lang w:val="fr-FR"/>
        </w:rPr>
      </w:pPr>
      <w:r w:rsidRPr="000F7862">
        <w:rPr>
          <w:lang w:val="fr-FR"/>
        </w:rPr>
        <w:t>5.</w:t>
      </w:r>
      <w:r w:rsidRPr="000F7862">
        <w:rPr>
          <w:lang w:val="fr-FR"/>
        </w:rPr>
        <w:tab/>
      </w:r>
      <w:r w:rsidR="00F733B2" w:rsidRPr="000F7862">
        <w:rPr>
          <w:lang w:val="fr-FR"/>
        </w:rPr>
        <w:t xml:space="preserve">Divers </w:t>
      </w:r>
      <w:r w:rsidR="0086185C" w:rsidRPr="000F7862">
        <w:rPr>
          <w:lang w:val="fr-FR"/>
        </w:rPr>
        <w:t>(0</w:t>
      </w:r>
      <w:r w:rsidR="00F733B2" w:rsidRPr="000F7862">
        <w:rPr>
          <w:lang w:val="fr-FR"/>
        </w:rPr>
        <w:t>,</w:t>
      </w:r>
      <w:r w:rsidR="0086185C" w:rsidRPr="000F7862">
        <w:rPr>
          <w:lang w:val="fr-FR"/>
        </w:rPr>
        <w:t>04</w:t>
      </w:r>
      <w:r w:rsidR="00DC1196" w:rsidRPr="000F7862">
        <w:rPr>
          <w:lang w:val="fr-FR"/>
        </w:rPr>
        <w:t> %</w:t>
      </w:r>
      <w:r w:rsidR="0086185C" w:rsidRPr="000F7862">
        <w:rPr>
          <w:lang w:val="fr-FR"/>
        </w:rPr>
        <w:t>)</w:t>
      </w:r>
      <w:r w:rsidRPr="000F7862">
        <w:rPr>
          <w:lang w:val="fr-FR"/>
        </w:rPr>
        <w:t>.</w:t>
      </w:r>
    </w:p>
    <w:p w:rsidR="0086185C" w:rsidRPr="000F7862" w:rsidRDefault="00AF05A3" w:rsidP="00AF05A3">
      <w:pPr>
        <w:pStyle w:val="H23G"/>
        <w:rPr>
          <w:lang w:val="fr-FR"/>
        </w:rPr>
      </w:pPr>
      <w:r w:rsidRPr="000F7862">
        <w:rPr>
          <w:lang w:val="fr-FR"/>
        </w:rPr>
        <w:tab/>
      </w:r>
      <w:r w:rsidRPr="000F7862">
        <w:rPr>
          <w:lang w:val="fr-FR"/>
        </w:rPr>
        <w:tab/>
      </w:r>
      <w:r w:rsidR="00F733B2" w:rsidRPr="000F7862">
        <w:rPr>
          <w:lang w:val="fr-FR"/>
        </w:rPr>
        <w:t xml:space="preserve">Projet </w:t>
      </w:r>
      <w:r w:rsidR="0086185C" w:rsidRPr="000F7862">
        <w:rPr>
          <w:i/>
          <w:lang w:val="fr-FR"/>
        </w:rPr>
        <w:t>Millennium Challenge Corporation</w:t>
      </w:r>
    </w:p>
    <w:p w:rsidR="0086185C" w:rsidRPr="000F7862" w:rsidRDefault="003F7F57" w:rsidP="003F7F57">
      <w:pPr>
        <w:pStyle w:val="SingleTxtG"/>
        <w:rPr>
          <w:lang w:val="fr-FR"/>
        </w:rPr>
      </w:pPr>
      <w:r w:rsidRPr="000F7862">
        <w:rPr>
          <w:lang w:val="fr-FR"/>
        </w:rPr>
        <w:t>187.</w:t>
      </w:r>
      <w:r w:rsidRPr="000F7862">
        <w:rPr>
          <w:lang w:val="fr-FR"/>
        </w:rPr>
        <w:tab/>
      </w:r>
      <w:r w:rsidR="0086185C" w:rsidRPr="000F7862">
        <w:rPr>
          <w:lang w:val="fr-FR"/>
        </w:rPr>
        <w:t>A</w:t>
      </w:r>
      <w:r w:rsidR="00F733B2" w:rsidRPr="000F7862">
        <w:rPr>
          <w:lang w:val="fr-FR"/>
        </w:rPr>
        <w:t xml:space="preserve">u premier trimestre de </w:t>
      </w:r>
      <w:r w:rsidR="0086185C" w:rsidRPr="000F7862">
        <w:rPr>
          <w:lang w:val="fr-FR"/>
        </w:rPr>
        <w:t xml:space="preserve">2013, </w:t>
      </w:r>
      <w:r w:rsidR="00F733B2" w:rsidRPr="000F7862">
        <w:rPr>
          <w:lang w:val="fr-FR"/>
        </w:rPr>
        <w:t>le projet était en cours d</w:t>
      </w:r>
      <w:r w:rsidR="00120E2E" w:rsidRPr="000F7862">
        <w:rPr>
          <w:lang w:val="fr-FR"/>
        </w:rPr>
        <w:t>’</w:t>
      </w:r>
      <w:r w:rsidR="00F733B2" w:rsidRPr="000F7862">
        <w:rPr>
          <w:lang w:val="fr-FR"/>
        </w:rPr>
        <w:t xml:space="preserve">exécution dans </w:t>
      </w:r>
      <w:r w:rsidR="004E039A" w:rsidRPr="000F7862">
        <w:rPr>
          <w:lang w:val="fr-FR"/>
        </w:rPr>
        <w:t>152 </w:t>
      </w:r>
      <w:r w:rsidR="0086185C" w:rsidRPr="000F7862">
        <w:rPr>
          <w:lang w:val="fr-FR"/>
        </w:rPr>
        <w:t>municipalit</w:t>
      </w:r>
      <w:r w:rsidR="00F733B2" w:rsidRPr="000F7862">
        <w:rPr>
          <w:lang w:val="fr-FR"/>
        </w:rPr>
        <w:t>é</w:t>
      </w:r>
      <w:r w:rsidR="0086185C" w:rsidRPr="000F7862">
        <w:rPr>
          <w:lang w:val="fr-FR"/>
        </w:rPr>
        <w:t xml:space="preserve">s </w:t>
      </w:r>
      <w:r w:rsidR="00F733B2" w:rsidRPr="000F7862">
        <w:rPr>
          <w:lang w:val="fr-FR"/>
        </w:rPr>
        <w:t xml:space="preserve">regroupant </w:t>
      </w:r>
      <w:r w:rsidR="0086185C" w:rsidRPr="000F7862">
        <w:rPr>
          <w:lang w:val="fr-FR"/>
        </w:rPr>
        <w:t>3</w:t>
      </w:r>
      <w:r w:rsidR="004E039A" w:rsidRPr="000F7862">
        <w:rPr>
          <w:lang w:val="fr-FR"/>
        </w:rPr>
        <w:t> </w:t>
      </w:r>
      <w:r w:rsidR="0086185C" w:rsidRPr="000F7862">
        <w:rPr>
          <w:lang w:val="fr-FR"/>
        </w:rPr>
        <w:t>535 barangays.</w:t>
      </w:r>
    </w:p>
    <w:p w:rsidR="0086185C" w:rsidRPr="000F7862" w:rsidRDefault="00F733B2" w:rsidP="001C088C">
      <w:pPr>
        <w:pStyle w:val="H4G"/>
        <w:rPr>
          <w:lang w:val="fr-FR"/>
        </w:rPr>
      </w:pPr>
      <w:r w:rsidRPr="000F7862">
        <w:rPr>
          <w:lang w:val="fr-FR"/>
        </w:rPr>
        <w:tab/>
      </w:r>
      <w:r w:rsidR="00C46EC9" w:rsidRPr="000F7862">
        <w:rPr>
          <w:lang w:val="fr-FR"/>
        </w:rPr>
        <w:t>a)</w:t>
      </w:r>
      <w:r w:rsidR="00C46EC9" w:rsidRPr="000F7862">
        <w:rPr>
          <w:lang w:val="fr-FR"/>
        </w:rPr>
        <w:tab/>
      </w:r>
      <w:r w:rsidRPr="000F7862">
        <w:rPr>
          <w:lang w:val="fr-FR"/>
        </w:rPr>
        <w:t>Activités de préparation sociale, de renforcement des capacités et d</w:t>
      </w:r>
      <w:r w:rsidR="00120E2E" w:rsidRPr="000F7862">
        <w:rPr>
          <w:lang w:val="fr-FR"/>
        </w:rPr>
        <w:t>’</w:t>
      </w:r>
      <w:r w:rsidRPr="000F7862">
        <w:rPr>
          <w:lang w:val="fr-FR"/>
        </w:rPr>
        <w:t>appui à l</w:t>
      </w:r>
      <w:r w:rsidR="00120E2E" w:rsidRPr="000F7862">
        <w:rPr>
          <w:lang w:val="fr-FR"/>
        </w:rPr>
        <w:t>’</w:t>
      </w:r>
      <w:r w:rsidRPr="000F7862">
        <w:rPr>
          <w:lang w:val="fr-FR"/>
        </w:rPr>
        <w:t xml:space="preserve">exécution des projets </w:t>
      </w:r>
    </w:p>
    <w:p w:rsidR="0086185C" w:rsidRPr="000F7862" w:rsidRDefault="003F7F57" w:rsidP="004E039A">
      <w:pPr>
        <w:pStyle w:val="SingleTxtG"/>
        <w:ind w:left="1701"/>
        <w:rPr>
          <w:lang w:val="fr-FR"/>
        </w:rPr>
      </w:pPr>
      <w:r w:rsidRPr="000F7862">
        <w:rPr>
          <w:lang w:val="fr-FR"/>
        </w:rPr>
        <w:t>1.</w:t>
      </w:r>
      <w:r w:rsidRPr="000F7862">
        <w:rPr>
          <w:lang w:val="fr-FR"/>
        </w:rPr>
        <w:tab/>
      </w:r>
      <w:r w:rsidR="0014123F" w:rsidRPr="000F7862">
        <w:rPr>
          <w:lang w:val="fr-FR"/>
        </w:rPr>
        <w:t xml:space="preserve">Le groupe </w:t>
      </w:r>
      <w:r w:rsidR="0086185C" w:rsidRPr="000F7862">
        <w:rPr>
          <w:lang w:val="fr-FR"/>
        </w:rPr>
        <w:t xml:space="preserve">2 </w:t>
      </w:r>
      <w:r w:rsidR="0014123F" w:rsidRPr="000F7862">
        <w:rPr>
          <w:lang w:val="fr-FR"/>
        </w:rPr>
        <w:t>des 70 municipalités nouvellement choisies au hasard a entrepris les activités initiales de la phase d</w:t>
      </w:r>
      <w:r w:rsidR="00120E2E" w:rsidRPr="000F7862">
        <w:rPr>
          <w:lang w:val="fr-FR"/>
        </w:rPr>
        <w:t>’</w:t>
      </w:r>
      <w:r w:rsidR="0014123F" w:rsidRPr="000F7862">
        <w:rPr>
          <w:lang w:val="fr-FR"/>
        </w:rPr>
        <w:t>exécution des sous-projets</w:t>
      </w:r>
      <w:r w:rsidR="00BE781D" w:rsidRPr="000F7862">
        <w:rPr>
          <w:lang w:val="fr-FR"/>
        </w:rPr>
        <w:t>;</w:t>
      </w:r>
    </w:p>
    <w:p w:rsidR="0086185C" w:rsidRPr="000F7862" w:rsidRDefault="003F7F57" w:rsidP="004E039A">
      <w:pPr>
        <w:pStyle w:val="SingleTxtG"/>
        <w:ind w:left="1701"/>
        <w:rPr>
          <w:lang w:val="fr-FR"/>
        </w:rPr>
      </w:pPr>
      <w:r w:rsidRPr="000F7862">
        <w:rPr>
          <w:lang w:val="fr-FR"/>
        </w:rPr>
        <w:t>2.</w:t>
      </w:r>
      <w:r w:rsidRPr="000F7862">
        <w:rPr>
          <w:lang w:val="fr-FR"/>
        </w:rPr>
        <w:tab/>
      </w:r>
      <w:r w:rsidR="0014123F" w:rsidRPr="000F7862">
        <w:rPr>
          <w:lang w:val="fr-FR"/>
        </w:rPr>
        <w:t>La p</w:t>
      </w:r>
      <w:r w:rsidR="0086185C" w:rsidRPr="000F7862">
        <w:rPr>
          <w:lang w:val="fr-FR"/>
        </w:rPr>
        <w:t xml:space="preserve">articipation </w:t>
      </w:r>
      <w:r w:rsidR="0014123F" w:rsidRPr="000F7862">
        <w:rPr>
          <w:lang w:val="fr-FR"/>
        </w:rPr>
        <w:t xml:space="preserve">aux assemblées de </w:t>
      </w:r>
      <w:r w:rsidR="0086185C" w:rsidRPr="000F7862">
        <w:rPr>
          <w:lang w:val="fr-FR"/>
        </w:rPr>
        <w:t xml:space="preserve">barangay </w:t>
      </w:r>
      <w:r w:rsidR="0014123F" w:rsidRPr="000F7862">
        <w:rPr>
          <w:lang w:val="fr-FR"/>
        </w:rPr>
        <w:t xml:space="preserve">dans tous les </w:t>
      </w:r>
      <w:r w:rsidR="0086185C" w:rsidRPr="000F7862">
        <w:rPr>
          <w:lang w:val="fr-FR"/>
        </w:rPr>
        <w:t xml:space="preserve">cycles </w:t>
      </w:r>
      <w:r w:rsidR="0014123F" w:rsidRPr="000F7862">
        <w:rPr>
          <w:lang w:val="fr-FR"/>
        </w:rPr>
        <w:t xml:space="preserve">oscille entre </w:t>
      </w:r>
      <w:r w:rsidR="0086185C" w:rsidRPr="000F7862">
        <w:rPr>
          <w:lang w:val="fr-FR"/>
        </w:rPr>
        <w:t>51</w:t>
      </w:r>
      <w:r w:rsidR="00DC1196" w:rsidRPr="000F7862">
        <w:rPr>
          <w:lang w:val="fr-FR"/>
        </w:rPr>
        <w:t> %</w:t>
      </w:r>
      <w:r w:rsidR="0086185C" w:rsidRPr="000F7862">
        <w:rPr>
          <w:lang w:val="fr-FR"/>
        </w:rPr>
        <w:t xml:space="preserve"> </w:t>
      </w:r>
      <w:r w:rsidR="0014123F" w:rsidRPr="000F7862">
        <w:rPr>
          <w:lang w:val="fr-FR"/>
        </w:rPr>
        <w:t>et</w:t>
      </w:r>
      <w:r w:rsidR="0086185C" w:rsidRPr="000F7862">
        <w:rPr>
          <w:lang w:val="fr-FR"/>
        </w:rPr>
        <w:t xml:space="preserve"> 89</w:t>
      </w:r>
      <w:r w:rsidR="00DC1196" w:rsidRPr="000F7862">
        <w:rPr>
          <w:lang w:val="fr-FR"/>
        </w:rPr>
        <w:t> %</w:t>
      </w:r>
      <w:r w:rsidR="0005004C" w:rsidRPr="000F7862">
        <w:rPr>
          <w:lang w:val="fr-FR"/>
        </w:rPr>
        <w:t>;</w:t>
      </w:r>
      <w:r w:rsidR="0014123F" w:rsidRPr="000F7862">
        <w:rPr>
          <w:lang w:val="fr-FR"/>
        </w:rPr>
        <w:t xml:space="preserve"> la participation des femmes est élevée </w:t>
      </w:r>
      <w:r w:rsidR="0086185C" w:rsidRPr="000F7862">
        <w:rPr>
          <w:lang w:val="fr-FR"/>
        </w:rPr>
        <w:t>(</w:t>
      </w:r>
      <w:r w:rsidR="0014123F" w:rsidRPr="000F7862">
        <w:rPr>
          <w:lang w:val="fr-FR"/>
        </w:rPr>
        <w:t xml:space="preserve">entre </w:t>
      </w:r>
      <w:r w:rsidR="0086185C" w:rsidRPr="000F7862">
        <w:rPr>
          <w:lang w:val="fr-FR"/>
        </w:rPr>
        <w:t>6</w:t>
      </w:r>
      <w:r w:rsidR="0014123F" w:rsidRPr="000F7862">
        <w:rPr>
          <w:lang w:val="fr-FR"/>
        </w:rPr>
        <w:t>0</w:t>
      </w:r>
      <w:r w:rsidR="00DC1196" w:rsidRPr="000F7862">
        <w:rPr>
          <w:lang w:val="fr-FR"/>
        </w:rPr>
        <w:t> %</w:t>
      </w:r>
      <w:r w:rsidR="0086185C" w:rsidRPr="000F7862">
        <w:rPr>
          <w:lang w:val="fr-FR"/>
        </w:rPr>
        <w:t xml:space="preserve"> </w:t>
      </w:r>
      <w:r w:rsidR="0014123F" w:rsidRPr="000F7862">
        <w:rPr>
          <w:lang w:val="fr-FR"/>
        </w:rPr>
        <w:t>et</w:t>
      </w:r>
      <w:r w:rsidR="0086185C" w:rsidRPr="000F7862">
        <w:rPr>
          <w:lang w:val="fr-FR"/>
        </w:rPr>
        <w:t xml:space="preserve"> 65</w:t>
      </w:r>
      <w:r w:rsidR="00DC1196" w:rsidRPr="000F7862">
        <w:rPr>
          <w:lang w:val="fr-FR"/>
        </w:rPr>
        <w:t> %</w:t>
      </w:r>
      <w:r w:rsidR="0086185C" w:rsidRPr="000F7862">
        <w:rPr>
          <w:lang w:val="fr-FR"/>
        </w:rPr>
        <w:t>).</w:t>
      </w:r>
      <w:r w:rsidR="00446EA5" w:rsidRPr="000F7862">
        <w:rPr>
          <w:lang w:val="fr-FR"/>
        </w:rPr>
        <w:t xml:space="preserve"> </w:t>
      </w:r>
      <w:r w:rsidR="0014123F" w:rsidRPr="000F7862">
        <w:rPr>
          <w:lang w:val="fr-FR"/>
        </w:rPr>
        <w:t>S</w:t>
      </w:r>
      <w:r w:rsidR="00120E2E" w:rsidRPr="000F7862">
        <w:rPr>
          <w:lang w:val="fr-FR"/>
        </w:rPr>
        <w:t>’</w:t>
      </w:r>
      <w:r w:rsidR="0014123F" w:rsidRPr="000F7862">
        <w:rPr>
          <w:lang w:val="fr-FR"/>
        </w:rPr>
        <w:t xml:space="preserve">agissant des volontaires communautaires, la fourchette des taux de participation est comprise entre </w:t>
      </w:r>
      <w:r w:rsidR="0086185C" w:rsidRPr="000F7862">
        <w:rPr>
          <w:lang w:val="fr-FR"/>
        </w:rPr>
        <w:t>47</w:t>
      </w:r>
      <w:r w:rsidR="00DC1196" w:rsidRPr="000F7862">
        <w:rPr>
          <w:lang w:val="fr-FR"/>
        </w:rPr>
        <w:t> %</w:t>
      </w:r>
      <w:r w:rsidR="0086185C" w:rsidRPr="000F7862">
        <w:rPr>
          <w:lang w:val="fr-FR"/>
        </w:rPr>
        <w:t xml:space="preserve"> </w:t>
      </w:r>
      <w:r w:rsidR="0014123F" w:rsidRPr="000F7862">
        <w:rPr>
          <w:lang w:val="fr-FR"/>
        </w:rPr>
        <w:t>et</w:t>
      </w:r>
      <w:r w:rsidR="0086185C" w:rsidRPr="000F7862">
        <w:rPr>
          <w:lang w:val="fr-FR"/>
        </w:rPr>
        <w:t xml:space="preserve"> 58</w:t>
      </w:r>
      <w:r w:rsidR="00DC1196" w:rsidRPr="000F7862">
        <w:rPr>
          <w:lang w:val="fr-FR"/>
        </w:rPr>
        <w:t> %</w:t>
      </w:r>
      <w:r w:rsidR="0086185C" w:rsidRPr="000F7862">
        <w:rPr>
          <w:lang w:val="fr-FR"/>
        </w:rPr>
        <w:t xml:space="preserve"> </w:t>
      </w:r>
      <w:r w:rsidR="0014123F" w:rsidRPr="000F7862">
        <w:rPr>
          <w:lang w:val="fr-FR"/>
        </w:rPr>
        <w:t xml:space="preserve">pour les femmes et entre </w:t>
      </w:r>
      <w:r w:rsidR="0086185C" w:rsidRPr="000F7862">
        <w:rPr>
          <w:lang w:val="fr-FR"/>
        </w:rPr>
        <w:t>42</w:t>
      </w:r>
      <w:r w:rsidR="00DC1196" w:rsidRPr="000F7862">
        <w:rPr>
          <w:lang w:val="fr-FR"/>
        </w:rPr>
        <w:t> %</w:t>
      </w:r>
      <w:r w:rsidR="0086185C" w:rsidRPr="000F7862">
        <w:rPr>
          <w:lang w:val="fr-FR"/>
        </w:rPr>
        <w:t xml:space="preserve"> </w:t>
      </w:r>
      <w:r w:rsidR="0014123F" w:rsidRPr="000F7862">
        <w:rPr>
          <w:lang w:val="fr-FR"/>
        </w:rPr>
        <w:t>et</w:t>
      </w:r>
      <w:r w:rsidR="0086185C" w:rsidRPr="000F7862">
        <w:rPr>
          <w:lang w:val="fr-FR"/>
        </w:rPr>
        <w:t xml:space="preserve"> 53</w:t>
      </w:r>
      <w:r w:rsidR="00DC1196" w:rsidRPr="000F7862">
        <w:rPr>
          <w:lang w:val="fr-FR"/>
        </w:rPr>
        <w:t> %</w:t>
      </w:r>
      <w:r w:rsidR="0086185C" w:rsidRPr="000F7862">
        <w:rPr>
          <w:lang w:val="fr-FR"/>
        </w:rPr>
        <w:t xml:space="preserve"> </w:t>
      </w:r>
      <w:r w:rsidR="0014123F" w:rsidRPr="000F7862">
        <w:rPr>
          <w:lang w:val="fr-FR"/>
        </w:rPr>
        <w:t>pour les hommes</w:t>
      </w:r>
      <w:r w:rsidR="0086185C" w:rsidRPr="000F7862">
        <w:rPr>
          <w:lang w:val="fr-FR"/>
        </w:rPr>
        <w:t>.</w:t>
      </w:r>
    </w:p>
    <w:p w:rsidR="0086185C" w:rsidRPr="000F7862" w:rsidRDefault="00C46EC9" w:rsidP="001C088C">
      <w:pPr>
        <w:pStyle w:val="H4G"/>
        <w:rPr>
          <w:lang w:val="fr-FR"/>
        </w:rPr>
      </w:pPr>
      <w:r w:rsidRPr="000F7862">
        <w:rPr>
          <w:lang w:val="fr-FR"/>
        </w:rPr>
        <w:tab/>
        <w:t>b)</w:t>
      </w:r>
      <w:r w:rsidRPr="000F7862">
        <w:rPr>
          <w:lang w:val="fr-FR"/>
        </w:rPr>
        <w:tab/>
      </w:r>
      <w:r w:rsidR="00F733B2" w:rsidRPr="000F7862">
        <w:rPr>
          <w:lang w:val="fr-FR"/>
        </w:rPr>
        <w:t>Octroi de subventions/capitaux d</w:t>
      </w:r>
      <w:r w:rsidR="00120E2E" w:rsidRPr="000F7862">
        <w:rPr>
          <w:lang w:val="fr-FR"/>
        </w:rPr>
        <w:t>’</w:t>
      </w:r>
      <w:r w:rsidR="00F733B2" w:rsidRPr="000F7862">
        <w:rPr>
          <w:lang w:val="fr-FR"/>
        </w:rPr>
        <w:t>amorçage aux communautés pour l</w:t>
      </w:r>
      <w:r w:rsidR="00120E2E" w:rsidRPr="000F7862">
        <w:rPr>
          <w:lang w:val="fr-FR"/>
        </w:rPr>
        <w:t>’</w:t>
      </w:r>
      <w:r w:rsidR="00F733B2" w:rsidRPr="000F7862">
        <w:rPr>
          <w:lang w:val="fr-FR"/>
        </w:rPr>
        <w:t>exécution de leurs sous-projets</w:t>
      </w:r>
    </w:p>
    <w:p w:rsidR="0086185C" w:rsidRPr="000F7862" w:rsidRDefault="003F7F57" w:rsidP="003F7F57">
      <w:pPr>
        <w:pStyle w:val="SingleTxtG"/>
        <w:rPr>
          <w:lang w:val="fr-FR"/>
        </w:rPr>
      </w:pPr>
      <w:r w:rsidRPr="000F7862">
        <w:rPr>
          <w:lang w:val="fr-FR"/>
        </w:rPr>
        <w:t>188.</w:t>
      </w:r>
      <w:r w:rsidRPr="000F7862">
        <w:rPr>
          <w:lang w:val="fr-FR"/>
        </w:rPr>
        <w:tab/>
      </w:r>
      <w:r w:rsidR="0014123F" w:rsidRPr="000F7862">
        <w:rPr>
          <w:lang w:val="fr-FR"/>
        </w:rPr>
        <w:t>Au trimestre en cours, les organes administratifs des municipalités</w:t>
      </w:r>
      <w:r w:rsidR="0086185C" w:rsidRPr="000F7862">
        <w:rPr>
          <w:lang w:val="fr-FR"/>
        </w:rPr>
        <w:t xml:space="preserve">/barangay </w:t>
      </w:r>
      <w:r w:rsidR="0014123F" w:rsidRPr="000F7862">
        <w:rPr>
          <w:lang w:val="fr-FR"/>
        </w:rPr>
        <w:t xml:space="preserve">avaient priorisé </w:t>
      </w:r>
      <w:r w:rsidR="0086185C" w:rsidRPr="000F7862">
        <w:rPr>
          <w:lang w:val="fr-FR"/>
        </w:rPr>
        <w:t>1</w:t>
      </w:r>
      <w:r w:rsidR="004E039A" w:rsidRPr="000F7862">
        <w:rPr>
          <w:lang w:val="fr-FR"/>
        </w:rPr>
        <w:t> </w:t>
      </w:r>
      <w:r w:rsidR="0086185C" w:rsidRPr="000F7862">
        <w:rPr>
          <w:lang w:val="fr-FR"/>
        </w:rPr>
        <w:t xml:space="preserve">587 </w:t>
      </w:r>
      <w:r w:rsidR="0014123F" w:rsidRPr="000F7862">
        <w:rPr>
          <w:lang w:val="fr-FR"/>
        </w:rPr>
        <w:t>sous</w:t>
      </w:r>
      <w:r w:rsidR="0086185C" w:rsidRPr="000F7862">
        <w:rPr>
          <w:lang w:val="fr-FR"/>
        </w:rPr>
        <w:t>-proje</w:t>
      </w:r>
      <w:r w:rsidR="0014123F" w:rsidRPr="000F7862">
        <w:rPr>
          <w:lang w:val="fr-FR"/>
        </w:rPr>
        <w:t>ts à financer à l</w:t>
      </w:r>
      <w:r w:rsidR="00120E2E" w:rsidRPr="000F7862">
        <w:rPr>
          <w:lang w:val="fr-FR"/>
        </w:rPr>
        <w:t>’</w:t>
      </w:r>
      <w:r w:rsidR="0014123F" w:rsidRPr="000F7862">
        <w:rPr>
          <w:lang w:val="fr-FR"/>
        </w:rPr>
        <w:t>aide d</w:t>
      </w:r>
      <w:r w:rsidR="00120E2E" w:rsidRPr="000F7862">
        <w:rPr>
          <w:lang w:val="fr-FR"/>
        </w:rPr>
        <w:t>’</w:t>
      </w:r>
      <w:r w:rsidR="0014123F" w:rsidRPr="000F7862">
        <w:rPr>
          <w:lang w:val="fr-FR"/>
        </w:rPr>
        <w:t xml:space="preserve">une subvention du </w:t>
      </w:r>
      <w:r w:rsidR="0086185C" w:rsidRPr="000F7862">
        <w:rPr>
          <w:lang w:val="fr-FR"/>
        </w:rPr>
        <w:t>KC-MCC.</w:t>
      </w:r>
      <w:r w:rsidR="00446EA5" w:rsidRPr="000F7862">
        <w:rPr>
          <w:lang w:val="fr-FR"/>
        </w:rPr>
        <w:t xml:space="preserve"> </w:t>
      </w:r>
      <w:r w:rsidR="0086185C" w:rsidRPr="000F7862">
        <w:rPr>
          <w:lang w:val="fr-FR"/>
        </w:rPr>
        <w:t>A</w:t>
      </w:r>
      <w:r w:rsidR="0014123F" w:rsidRPr="000F7862">
        <w:rPr>
          <w:lang w:val="fr-FR"/>
        </w:rPr>
        <w:t>u</w:t>
      </w:r>
      <w:r w:rsidR="0086185C" w:rsidRPr="000F7862">
        <w:rPr>
          <w:lang w:val="fr-FR"/>
        </w:rPr>
        <w:t xml:space="preserve"> total</w:t>
      </w:r>
      <w:r w:rsidR="0014123F" w:rsidRPr="000F7862">
        <w:rPr>
          <w:lang w:val="fr-FR"/>
        </w:rPr>
        <w:t>,</w:t>
      </w:r>
      <w:r w:rsidR="004E039A" w:rsidRPr="000F7862">
        <w:rPr>
          <w:lang w:val="fr-FR"/>
        </w:rPr>
        <w:t xml:space="preserve"> 809 </w:t>
      </w:r>
      <w:r w:rsidR="0086185C" w:rsidRPr="000F7862">
        <w:rPr>
          <w:lang w:val="fr-FR"/>
        </w:rPr>
        <w:t>s</w:t>
      </w:r>
      <w:r w:rsidR="0014123F" w:rsidRPr="000F7862">
        <w:rPr>
          <w:lang w:val="fr-FR"/>
        </w:rPr>
        <w:t>ous</w:t>
      </w:r>
      <w:r w:rsidR="0086185C" w:rsidRPr="000F7862">
        <w:rPr>
          <w:lang w:val="fr-FR"/>
        </w:rPr>
        <w:t xml:space="preserve">-projets </w:t>
      </w:r>
      <w:r w:rsidR="004E039A" w:rsidRPr="000F7862">
        <w:rPr>
          <w:lang w:val="fr-FR"/>
        </w:rPr>
        <w:t>étaient a</w:t>
      </w:r>
      <w:r w:rsidR="0014123F" w:rsidRPr="000F7862">
        <w:rPr>
          <w:lang w:val="fr-FR"/>
        </w:rPr>
        <w:t>chevés</w:t>
      </w:r>
      <w:r w:rsidR="0086185C" w:rsidRPr="000F7862">
        <w:rPr>
          <w:lang w:val="fr-FR"/>
        </w:rPr>
        <w:t xml:space="preserve">. </w:t>
      </w:r>
      <w:r w:rsidR="0014123F" w:rsidRPr="000F7862">
        <w:rPr>
          <w:lang w:val="fr-FR"/>
        </w:rPr>
        <w:t xml:space="preserve">Ils bénéficieront à quelque </w:t>
      </w:r>
      <w:r w:rsidR="0086185C" w:rsidRPr="000F7862">
        <w:rPr>
          <w:lang w:val="fr-FR"/>
        </w:rPr>
        <w:t>244</w:t>
      </w:r>
      <w:r w:rsidR="004E039A" w:rsidRPr="000F7862">
        <w:rPr>
          <w:lang w:val="fr-FR"/>
        </w:rPr>
        <w:t> </w:t>
      </w:r>
      <w:r w:rsidR="0086185C" w:rsidRPr="000F7862">
        <w:rPr>
          <w:lang w:val="fr-FR"/>
        </w:rPr>
        <w:t xml:space="preserve">444 </w:t>
      </w:r>
      <w:r w:rsidR="0014123F" w:rsidRPr="000F7862">
        <w:rPr>
          <w:lang w:val="fr-FR"/>
        </w:rPr>
        <w:t xml:space="preserve">ménages dans </w:t>
      </w:r>
      <w:r w:rsidR="0086185C" w:rsidRPr="000F7862">
        <w:rPr>
          <w:lang w:val="fr-FR"/>
        </w:rPr>
        <w:t>1</w:t>
      </w:r>
      <w:r w:rsidR="004E039A" w:rsidRPr="000F7862">
        <w:rPr>
          <w:lang w:val="fr-FR"/>
        </w:rPr>
        <w:t> 621 </w:t>
      </w:r>
      <w:r w:rsidR="0086185C" w:rsidRPr="000F7862">
        <w:rPr>
          <w:lang w:val="fr-FR"/>
        </w:rPr>
        <w:t>barangays.</w:t>
      </w:r>
    </w:p>
    <w:p w:rsidR="0086185C" w:rsidRPr="000F7862" w:rsidRDefault="004E039A" w:rsidP="001C088C">
      <w:pPr>
        <w:pStyle w:val="H4G"/>
        <w:rPr>
          <w:lang w:val="fr-FR"/>
        </w:rPr>
      </w:pPr>
      <w:r w:rsidRPr="000F7862">
        <w:rPr>
          <w:lang w:val="fr-FR"/>
        </w:rPr>
        <w:tab/>
      </w:r>
      <w:r w:rsidR="00C46EC9" w:rsidRPr="000F7862">
        <w:rPr>
          <w:lang w:val="fr-FR"/>
        </w:rPr>
        <w:t>c)</w:t>
      </w:r>
      <w:r w:rsidR="00C46EC9" w:rsidRPr="000F7862">
        <w:rPr>
          <w:lang w:val="fr-FR"/>
        </w:rPr>
        <w:tab/>
      </w:r>
      <w:r w:rsidR="0014123F" w:rsidRPr="000F7862">
        <w:rPr>
          <w:lang w:val="fr-FR"/>
        </w:rPr>
        <w:t xml:space="preserve">Principaux types de sous-projets financés et pourcentages de la subvention totale du KCAF alloués à chacun de ces types </w:t>
      </w:r>
    </w:p>
    <w:p w:rsidR="0086185C" w:rsidRPr="000F7862" w:rsidRDefault="00C46EC9" w:rsidP="004E039A">
      <w:pPr>
        <w:pStyle w:val="SingleTxtG"/>
        <w:ind w:left="1701"/>
        <w:rPr>
          <w:lang w:val="fr-FR"/>
        </w:rPr>
      </w:pPr>
      <w:r w:rsidRPr="000F7862">
        <w:rPr>
          <w:lang w:val="fr-FR"/>
        </w:rPr>
        <w:t>1.</w:t>
      </w:r>
      <w:r w:rsidRPr="000F7862">
        <w:rPr>
          <w:lang w:val="fr-FR"/>
        </w:rPr>
        <w:tab/>
      </w:r>
      <w:r w:rsidR="0014123F" w:rsidRPr="000F7862">
        <w:rPr>
          <w:lang w:val="fr-FR"/>
        </w:rPr>
        <w:t>Services sociaux de base</w:t>
      </w:r>
      <w:r w:rsidR="0005004C" w:rsidRPr="000F7862">
        <w:rPr>
          <w:lang w:val="fr-FR"/>
        </w:rPr>
        <w:t>:</w:t>
      </w:r>
      <w:r w:rsidR="0014123F" w:rsidRPr="000F7862">
        <w:rPr>
          <w:lang w:val="fr-FR"/>
        </w:rPr>
        <w:t xml:space="preserve"> réseaux d</w:t>
      </w:r>
      <w:r w:rsidR="00120E2E" w:rsidRPr="000F7862">
        <w:rPr>
          <w:lang w:val="fr-FR"/>
        </w:rPr>
        <w:t>’</w:t>
      </w:r>
      <w:r w:rsidR="0014123F" w:rsidRPr="000F7862">
        <w:rPr>
          <w:lang w:val="fr-FR"/>
        </w:rPr>
        <w:t xml:space="preserve">eau communautaires, bâtiments scolaires, garderies, postes sanitaires de barangay, électrification et logement tribal </w:t>
      </w:r>
      <w:r w:rsidR="0086185C" w:rsidRPr="000F7862">
        <w:rPr>
          <w:lang w:val="fr-FR"/>
        </w:rPr>
        <w:t>(42</w:t>
      </w:r>
      <w:r w:rsidR="00DC1196" w:rsidRPr="000F7862">
        <w:rPr>
          <w:lang w:val="fr-FR"/>
        </w:rPr>
        <w:t> %</w:t>
      </w:r>
      <w:r w:rsidR="0086185C" w:rsidRPr="000F7862">
        <w:rPr>
          <w:lang w:val="fr-FR"/>
        </w:rPr>
        <w:t xml:space="preserve">); </w:t>
      </w:r>
    </w:p>
    <w:p w:rsidR="0086185C" w:rsidRPr="000F7862" w:rsidRDefault="00C46EC9" w:rsidP="004E039A">
      <w:pPr>
        <w:pStyle w:val="SingleTxtG"/>
        <w:ind w:left="1701"/>
        <w:rPr>
          <w:lang w:val="fr-FR"/>
        </w:rPr>
      </w:pPr>
      <w:r w:rsidRPr="000F7862">
        <w:rPr>
          <w:lang w:val="fr-FR"/>
        </w:rPr>
        <w:t>2.</w:t>
      </w:r>
      <w:r w:rsidRPr="000F7862">
        <w:rPr>
          <w:lang w:val="fr-FR"/>
        </w:rPr>
        <w:tab/>
      </w:r>
      <w:r w:rsidR="00582B2A" w:rsidRPr="000F7862">
        <w:rPr>
          <w:lang w:val="fr-FR"/>
        </w:rPr>
        <w:t>Infrastructure d</w:t>
      </w:r>
      <w:r w:rsidR="00120E2E" w:rsidRPr="000F7862">
        <w:rPr>
          <w:lang w:val="fr-FR"/>
        </w:rPr>
        <w:t>’</w:t>
      </w:r>
      <w:r w:rsidR="00582B2A" w:rsidRPr="000F7862">
        <w:rPr>
          <w:lang w:val="fr-FR"/>
        </w:rPr>
        <w:t>accès de base</w:t>
      </w:r>
      <w:r w:rsidR="0005004C" w:rsidRPr="000F7862">
        <w:rPr>
          <w:lang w:val="fr-FR"/>
        </w:rPr>
        <w:t>:</w:t>
      </w:r>
      <w:r w:rsidR="00582B2A" w:rsidRPr="000F7862">
        <w:rPr>
          <w:lang w:val="fr-FR"/>
        </w:rPr>
        <w:t xml:space="preserve"> routes d</w:t>
      </w:r>
      <w:r w:rsidR="00120E2E" w:rsidRPr="000F7862">
        <w:rPr>
          <w:lang w:val="fr-FR"/>
        </w:rPr>
        <w:t>’</w:t>
      </w:r>
      <w:r w:rsidR="00582B2A" w:rsidRPr="000F7862">
        <w:rPr>
          <w:lang w:val="fr-FR"/>
        </w:rPr>
        <w:t>accès, petits ponts/passerelles et pistes d</w:t>
      </w:r>
      <w:r w:rsidR="00120E2E" w:rsidRPr="000F7862">
        <w:rPr>
          <w:lang w:val="fr-FR"/>
        </w:rPr>
        <w:t>’</w:t>
      </w:r>
      <w:r w:rsidR="00582B2A" w:rsidRPr="000F7862">
        <w:rPr>
          <w:lang w:val="fr-FR"/>
        </w:rPr>
        <w:t>accès</w:t>
      </w:r>
      <w:r w:rsidR="0086185C" w:rsidRPr="000F7862">
        <w:rPr>
          <w:lang w:val="fr-FR"/>
        </w:rPr>
        <w:t xml:space="preserve"> (37</w:t>
      </w:r>
      <w:r w:rsidR="00DC1196" w:rsidRPr="000F7862">
        <w:rPr>
          <w:lang w:val="fr-FR"/>
        </w:rPr>
        <w:t> %</w:t>
      </w:r>
      <w:r w:rsidR="0086185C" w:rsidRPr="000F7862">
        <w:rPr>
          <w:lang w:val="fr-FR"/>
        </w:rPr>
        <w:t>);</w:t>
      </w:r>
    </w:p>
    <w:p w:rsidR="0086185C" w:rsidRPr="000F7862" w:rsidRDefault="00C46EC9" w:rsidP="004E039A">
      <w:pPr>
        <w:pStyle w:val="SingleTxtG"/>
        <w:ind w:left="1701"/>
        <w:rPr>
          <w:lang w:val="fr-FR"/>
        </w:rPr>
      </w:pPr>
      <w:r w:rsidRPr="000F7862">
        <w:rPr>
          <w:lang w:val="fr-FR"/>
        </w:rPr>
        <w:t>3.</w:t>
      </w:r>
      <w:r w:rsidRPr="000F7862">
        <w:rPr>
          <w:lang w:val="fr-FR"/>
        </w:rPr>
        <w:tab/>
      </w:r>
      <w:r w:rsidR="00582B2A" w:rsidRPr="000F7862">
        <w:rPr>
          <w:lang w:val="fr-FR"/>
        </w:rPr>
        <w:t>Infrastructure de production communautaire, de soutien économique et de services communs</w:t>
      </w:r>
      <w:r w:rsidR="0005004C" w:rsidRPr="000F7862">
        <w:rPr>
          <w:lang w:val="fr-FR"/>
        </w:rPr>
        <w:t>:</w:t>
      </w:r>
      <w:r w:rsidR="00582B2A" w:rsidRPr="000F7862">
        <w:rPr>
          <w:lang w:val="fr-FR"/>
        </w:rPr>
        <w:t xml:space="preserve"> formation à l</w:t>
      </w:r>
      <w:r w:rsidR="00120E2E" w:rsidRPr="000F7862">
        <w:rPr>
          <w:lang w:val="fr-FR"/>
        </w:rPr>
        <w:t>’</w:t>
      </w:r>
      <w:r w:rsidR="00582B2A" w:rsidRPr="000F7862">
        <w:rPr>
          <w:lang w:val="fr-FR"/>
        </w:rPr>
        <w:t>entrepreneuriat communautaire, sous-projets d</w:t>
      </w:r>
      <w:r w:rsidR="00120E2E" w:rsidRPr="000F7862">
        <w:rPr>
          <w:lang w:val="fr-FR"/>
        </w:rPr>
        <w:t>’</w:t>
      </w:r>
      <w:r w:rsidR="00582B2A" w:rsidRPr="000F7862">
        <w:rPr>
          <w:lang w:val="fr-FR"/>
        </w:rPr>
        <w:t>assistance en matière d</w:t>
      </w:r>
      <w:r w:rsidR="00120E2E" w:rsidRPr="000F7862">
        <w:rPr>
          <w:lang w:val="fr-FR"/>
        </w:rPr>
        <w:t>’</w:t>
      </w:r>
      <w:r w:rsidR="00582B2A" w:rsidRPr="000F7862">
        <w:rPr>
          <w:lang w:val="fr-FR"/>
        </w:rPr>
        <w:t>équip</w:t>
      </w:r>
      <w:r w:rsidR="00DD0875" w:rsidRPr="000F7862">
        <w:rPr>
          <w:lang w:val="fr-FR"/>
        </w:rPr>
        <w:t>e</w:t>
      </w:r>
      <w:r w:rsidR="00582B2A" w:rsidRPr="000F7862">
        <w:rPr>
          <w:lang w:val="fr-FR"/>
        </w:rPr>
        <w:t>ments et de matériels, struct</w:t>
      </w:r>
      <w:r w:rsidR="00DD0875" w:rsidRPr="000F7862">
        <w:rPr>
          <w:lang w:val="fr-FR"/>
        </w:rPr>
        <w:t>ures d</w:t>
      </w:r>
      <w:r w:rsidR="00120E2E" w:rsidRPr="000F7862">
        <w:rPr>
          <w:lang w:val="fr-FR"/>
        </w:rPr>
        <w:t>’</w:t>
      </w:r>
      <w:r w:rsidR="00DD0875" w:rsidRPr="000F7862">
        <w:rPr>
          <w:lang w:val="fr-FR"/>
        </w:rPr>
        <w:t>avant et d</w:t>
      </w:r>
      <w:r w:rsidR="00120E2E" w:rsidRPr="000F7862">
        <w:rPr>
          <w:lang w:val="fr-FR"/>
        </w:rPr>
        <w:t>’</w:t>
      </w:r>
      <w:r w:rsidR="00DD0875" w:rsidRPr="000F7862">
        <w:rPr>
          <w:lang w:val="fr-FR"/>
        </w:rPr>
        <w:t>après récolte</w:t>
      </w:r>
      <w:r w:rsidR="00582B2A" w:rsidRPr="000F7862">
        <w:rPr>
          <w:lang w:val="fr-FR"/>
        </w:rPr>
        <w:t xml:space="preserve"> et structures polyvalentes, et irrigation à petite échelle </w:t>
      </w:r>
      <w:r w:rsidR="0086185C" w:rsidRPr="000F7862">
        <w:rPr>
          <w:lang w:val="fr-FR"/>
        </w:rPr>
        <w:t>(5</w:t>
      </w:r>
      <w:r w:rsidR="00DC1196" w:rsidRPr="000F7862">
        <w:rPr>
          <w:lang w:val="fr-FR"/>
        </w:rPr>
        <w:t> %</w:t>
      </w:r>
      <w:r w:rsidR="0086185C" w:rsidRPr="000F7862">
        <w:rPr>
          <w:lang w:val="fr-FR"/>
        </w:rPr>
        <w:t>);</w:t>
      </w:r>
    </w:p>
    <w:p w:rsidR="0086185C" w:rsidRPr="000F7862" w:rsidRDefault="00C46EC9" w:rsidP="004E039A">
      <w:pPr>
        <w:pStyle w:val="SingleTxtG"/>
        <w:ind w:left="1701"/>
        <w:rPr>
          <w:lang w:val="fr-FR"/>
        </w:rPr>
      </w:pPr>
      <w:r w:rsidRPr="000F7862">
        <w:rPr>
          <w:lang w:val="fr-FR"/>
        </w:rPr>
        <w:t>4.</w:t>
      </w:r>
      <w:r w:rsidRPr="000F7862">
        <w:rPr>
          <w:lang w:val="fr-FR"/>
        </w:rPr>
        <w:tab/>
      </w:r>
      <w:r w:rsidR="00582B2A" w:rsidRPr="000F7862">
        <w:rPr>
          <w:lang w:val="fr-FR"/>
        </w:rPr>
        <w:t>Protection et sauvegarde de l</w:t>
      </w:r>
      <w:r w:rsidR="00120E2E" w:rsidRPr="000F7862">
        <w:rPr>
          <w:lang w:val="fr-FR"/>
        </w:rPr>
        <w:t>’</w:t>
      </w:r>
      <w:r w:rsidR="00582B2A" w:rsidRPr="000F7862">
        <w:rPr>
          <w:lang w:val="fr-FR"/>
        </w:rPr>
        <w:t>environnement</w:t>
      </w:r>
      <w:r w:rsidR="0005004C" w:rsidRPr="000F7862">
        <w:rPr>
          <w:lang w:val="fr-FR"/>
        </w:rPr>
        <w:t>:</w:t>
      </w:r>
      <w:r w:rsidR="00582B2A" w:rsidRPr="000F7862">
        <w:rPr>
          <w:lang w:val="fr-FR"/>
        </w:rPr>
        <w:t xml:space="preserve"> drainage, régularisation des cours d</w:t>
      </w:r>
      <w:r w:rsidR="00120E2E" w:rsidRPr="000F7862">
        <w:rPr>
          <w:lang w:val="fr-FR"/>
        </w:rPr>
        <w:t>’</w:t>
      </w:r>
      <w:r w:rsidR="00582B2A" w:rsidRPr="000F7862">
        <w:rPr>
          <w:lang w:val="fr-FR"/>
        </w:rPr>
        <w:t>eau et maîtrise des crues, rempart de cordon littoral, sanctuaires de récifs coralliens artificiels et installations d</w:t>
      </w:r>
      <w:r w:rsidR="00120E2E" w:rsidRPr="000F7862">
        <w:rPr>
          <w:lang w:val="fr-FR"/>
        </w:rPr>
        <w:t>’</w:t>
      </w:r>
      <w:r w:rsidR="00582B2A" w:rsidRPr="000F7862">
        <w:rPr>
          <w:lang w:val="fr-FR"/>
        </w:rPr>
        <w:t xml:space="preserve">assainissement </w:t>
      </w:r>
      <w:r w:rsidR="0086185C" w:rsidRPr="000F7862">
        <w:rPr>
          <w:lang w:val="fr-FR"/>
        </w:rPr>
        <w:t>(16</w:t>
      </w:r>
      <w:r w:rsidR="00DC1196" w:rsidRPr="000F7862">
        <w:rPr>
          <w:lang w:val="fr-FR"/>
        </w:rPr>
        <w:t> %</w:t>
      </w:r>
      <w:r w:rsidR="0086185C" w:rsidRPr="000F7862">
        <w:rPr>
          <w:lang w:val="fr-FR"/>
        </w:rPr>
        <w:t>)</w:t>
      </w:r>
      <w:r w:rsidR="001A1CE8" w:rsidRPr="000F7862">
        <w:rPr>
          <w:lang w:val="fr-FR"/>
        </w:rPr>
        <w:t>.</w:t>
      </w:r>
    </w:p>
    <w:p w:rsidR="0086185C" w:rsidRPr="000F7862" w:rsidRDefault="00105FBE" w:rsidP="00105FBE">
      <w:pPr>
        <w:pStyle w:val="H23G"/>
        <w:rPr>
          <w:lang w:val="fr-FR"/>
        </w:rPr>
      </w:pPr>
      <w:r w:rsidRPr="000F7862">
        <w:rPr>
          <w:lang w:val="fr-FR"/>
        </w:rPr>
        <w:tab/>
      </w:r>
      <w:r w:rsidRPr="000F7862">
        <w:rPr>
          <w:lang w:val="fr-FR"/>
        </w:rPr>
        <w:tab/>
      </w:r>
      <w:r w:rsidR="00582B2A" w:rsidRPr="000F7862">
        <w:rPr>
          <w:lang w:val="fr-FR"/>
        </w:rPr>
        <w:t>Programme relatif aux moyens de subsistance durables</w:t>
      </w:r>
    </w:p>
    <w:p w:rsidR="0086185C" w:rsidRPr="000F7862" w:rsidRDefault="003F7F57" w:rsidP="003F7F57">
      <w:pPr>
        <w:pStyle w:val="SingleTxtG"/>
        <w:rPr>
          <w:lang w:val="fr-FR"/>
        </w:rPr>
      </w:pPr>
      <w:r w:rsidRPr="000F7862">
        <w:rPr>
          <w:lang w:val="fr-FR"/>
        </w:rPr>
        <w:t>189.</w:t>
      </w:r>
      <w:r w:rsidRPr="000F7862">
        <w:rPr>
          <w:lang w:val="fr-FR"/>
        </w:rPr>
        <w:tab/>
      </w:r>
      <w:r w:rsidR="00582B2A" w:rsidRPr="000F7862">
        <w:rPr>
          <w:lang w:val="fr-FR"/>
        </w:rPr>
        <w:t xml:space="preserve">Le </w:t>
      </w:r>
      <w:r w:rsidR="00582B2A" w:rsidRPr="000F7862">
        <w:rPr>
          <w:iCs/>
          <w:lang w:val="fr-FR"/>
        </w:rPr>
        <w:t>Programme relatif aux moyens de subsistance durables</w:t>
      </w:r>
      <w:r w:rsidR="00582B2A" w:rsidRPr="000F7862">
        <w:rPr>
          <w:lang w:val="fr-FR"/>
        </w:rPr>
        <w:t xml:space="preserve"> est un programme axé sur les collectivités qui vise à améliorer la situation socioéconomique des personnes démunies en renforçant leurs capacités de manière à développer les compétences </w:t>
      </w:r>
      <w:r w:rsidR="0086185C" w:rsidRPr="000F7862">
        <w:rPr>
          <w:lang w:val="fr-FR"/>
        </w:rPr>
        <w:t>entrepreneurial</w:t>
      </w:r>
      <w:r w:rsidR="00582B2A" w:rsidRPr="000F7862">
        <w:rPr>
          <w:lang w:val="fr-FR"/>
        </w:rPr>
        <w:t>es</w:t>
      </w:r>
      <w:r w:rsidR="0086185C" w:rsidRPr="000F7862">
        <w:rPr>
          <w:lang w:val="fr-FR"/>
        </w:rPr>
        <w:t xml:space="preserve"> </w:t>
      </w:r>
      <w:r w:rsidR="00582B2A" w:rsidRPr="000F7862">
        <w:rPr>
          <w:lang w:val="fr-FR"/>
        </w:rPr>
        <w:t>et techniques</w:t>
      </w:r>
      <w:r w:rsidR="0086185C" w:rsidRPr="000F7862">
        <w:rPr>
          <w:lang w:val="fr-FR"/>
        </w:rPr>
        <w:t xml:space="preserve"> </w:t>
      </w:r>
      <w:r w:rsidR="00582B2A" w:rsidRPr="000F7862">
        <w:rPr>
          <w:lang w:val="fr-FR"/>
        </w:rPr>
        <w:t>des ménages démunis inscrits sur la liste du Projet de lutte contre la pauvreté lié au Système national d</w:t>
      </w:r>
      <w:r w:rsidR="00120E2E" w:rsidRPr="000F7862">
        <w:rPr>
          <w:lang w:val="fr-FR"/>
        </w:rPr>
        <w:t>’</w:t>
      </w:r>
      <w:r w:rsidR="00582B2A" w:rsidRPr="000F7862">
        <w:rPr>
          <w:lang w:val="fr-FR"/>
        </w:rPr>
        <w:t>identification des ménages</w:t>
      </w:r>
      <w:r w:rsidR="00E309B3" w:rsidRPr="000F7862">
        <w:rPr>
          <w:lang w:val="fr-FR"/>
        </w:rPr>
        <w:t>, lesquels obtiennent ainsi les moyens de gérer des micro</w:t>
      </w:r>
      <w:r w:rsidR="004E039A" w:rsidRPr="000F7862">
        <w:rPr>
          <w:lang w:val="fr-FR"/>
        </w:rPr>
        <w:t>entre</w:t>
      </w:r>
      <w:r w:rsidR="0086185C" w:rsidRPr="000F7862">
        <w:rPr>
          <w:lang w:val="fr-FR"/>
        </w:rPr>
        <w:t xml:space="preserve">prises </w:t>
      </w:r>
      <w:r w:rsidR="00E309B3" w:rsidRPr="000F7862">
        <w:rPr>
          <w:lang w:val="fr-FR"/>
        </w:rPr>
        <w:t>viables et sont reliés aux emplois disponibles au niveau local afin de leur faciliter l</w:t>
      </w:r>
      <w:r w:rsidR="00120E2E" w:rsidRPr="000F7862">
        <w:rPr>
          <w:lang w:val="fr-FR"/>
        </w:rPr>
        <w:t>’</w:t>
      </w:r>
      <w:r w:rsidR="00E309B3" w:rsidRPr="000F7862">
        <w:rPr>
          <w:lang w:val="fr-FR"/>
        </w:rPr>
        <w:t>accès aux services sociaux de base et d</w:t>
      </w:r>
      <w:r w:rsidR="00120E2E" w:rsidRPr="000F7862">
        <w:rPr>
          <w:lang w:val="fr-FR"/>
        </w:rPr>
        <w:t>’</w:t>
      </w:r>
      <w:r w:rsidR="00E309B3" w:rsidRPr="000F7862">
        <w:rPr>
          <w:lang w:val="fr-FR"/>
        </w:rPr>
        <w:t>améliorer leur niveau de vie</w:t>
      </w:r>
      <w:r w:rsidR="0086185C" w:rsidRPr="000F7862">
        <w:rPr>
          <w:lang w:val="fr-FR"/>
        </w:rPr>
        <w:t xml:space="preserve">. </w:t>
      </w:r>
    </w:p>
    <w:p w:rsidR="0086185C" w:rsidRPr="000F7862" w:rsidRDefault="003F7F57" w:rsidP="00EE3110">
      <w:pPr>
        <w:pStyle w:val="SingleTxtG"/>
        <w:rPr>
          <w:lang w:val="fr-FR"/>
        </w:rPr>
      </w:pPr>
      <w:r w:rsidRPr="000F7862">
        <w:rPr>
          <w:lang w:val="fr-FR"/>
        </w:rPr>
        <w:t>190.</w:t>
      </w:r>
      <w:r w:rsidRPr="000F7862">
        <w:rPr>
          <w:lang w:val="fr-FR"/>
        </w:rPr>
        <w:tab/>
      </w:r>
      <w:r w:rsidR="00E309B3" w:rsidRPr="000F7862">
        <w:rPr>
          <w:lang w:val="fr-FR"/>
        </w:rPr>
        <w:t>Ce Programme permet d</w:t>
      </w:r>
      <w:r w:rsidR="00120E2E" w:rsidRPr="000F7862">
        <w:rPr>
          <w:lang w:val="fr-FR"/>
        </w:rPr>
        <w:t>’</w:t>
      </w:r>
      <w:r w:rsidR="00E309B3" w:rsidRPr="000F7862">
        <w:rPr>
          <w:lang w:val="fr-FR"/>
        </w:rPr>
        <w:t>accéder à des sources de revenus m</w:t>
      </w:r>
      <w:r w:rsidR="0086185C" w:rsidRPr="000F7862">
        <w:rPr>
          <w:lang w:val="fr-FR"/>
        </w:rPr>
        <w:t>ultiple</w:t>
      </w:r>
      <w:r w:rsidR="00E309B3" w:rsidRPr="000F7862">
        <w:rPr>
          <w:lang w:val="fr-FR"/>
        </w:rPr>
        <w:t>s</w:t>
      </w:r>
      <w:r w:rsidR="0086185C" w:rsidRPr="000F7862">
        <w:rPr>
          <w:lang w:val="fr-FR"/>
        </w:rPr>
        <w:t xml:space="preserve"> </w:t>
      </w:r>
      <w:r w:rsidR="00774EBD" w:rsidRPr="000F7862">
        <w:rPr>
          <w:lang w:val="fr-FR"/>
        </w:rPr>
        <w:t>en mettant en œuvre une stratégie à deux volets</w:t>
      </w:r>
      <w:r w:rsidR="0005004C" w:rsidRPr="000F7862">
        <w:rPr>
          <w:lang w:val="fr-FR"/>
        </w:rPr>
        <w:t>:</w:t>
      </w:r>
      <w:r w:rsidR="0086185C" w:rsidRPr="000F7862">
        <w:rPr>
          <w:lang w:val="fr-FR"/>
        </w:rPr>
        <w:t xml:space="preserve"> </w:t>
      </w:r>
      <w:r w:rsidR="00867E43" w:rsidRPr="000F7862">
        <w:rPr>
          <w:lang w:val="fr-FR"/>
        </w:rPr>
        <w:t>a</w:t>
      </w:r>
      <w:r w:rsidR="00EE3110" w:rsidRPr="000F7862">
        <w:rPr>
          <w:lang w:val="fr-FR"/>
        </w:rPr>
        <w:t>) </w:t>
      </w:r>
      <w:r w:rsidR="00774EBD" w:rsidRPr="000F7862">
        <w:rPr>
          <w:lang w:val="fr-FR"/>
        </w:rPr>
        <w:t xml:space="preserve">le volet </w:t>
      </w:r>
      <w:r w:rsidR="0005004C" w:rsidRPr="000F7862">
        <w:rPr>
          <w:lang w:val="fr-FR"/>
        </w:rPr>
        <w:t>«</w:t>
      </w:r>
      <w:r w:rsidR="00774EBD" w:rsidRPr="000F7862">
        <w:rPr>
          <w:lang w:val="fr-FR"/>
        </w:rPr>
        <w:t>création de m</w:t>
      </w:r>
      <w:r w:rsidR="0086185C" w:rsidRPr="000F7862">
        <w:rPr>
          <w:lang w:val="fr-FR"/>
        </w:rPr>
        <w:t>icroent</w:t>
      </w:r>
      <w:r w:rsidR="00774EBD" w:rsidRPr="000F7862">
        <w:rPr>
          <w:lang w:val="fr-FR"/>
        </w:rPr>
        <w:t>re</w:t>
      </w:r>
      <w:r w:rsidR="0086185C" w:rsidRPr="000F7862">
        <w:rPr>
          <w:lang w:val="fr-FR"/>
        </w:rPr>
        <w:t>prise</w:t>
      </w:r>
      <w:r w:rsidR="00774EBD" w:rsidRPr="000F7862">
        <w:rPr>
          <w:lang w:val="fr-FR"/>
        </w:rPr>
        <w:t>s</w:t>
      </w:r>
      <w:r w:rsidR="0005004C" w:rsidRPr="000F7862">
        <w:rPr>
          <w:lang w:val="fr-FR"/>
        </w:rPr>
        <w:t>»</w:t>
      </w:r>
      <w:r w:rsidR="0086185C" w:rsidRPr="000F7862">
        <w:rPr>
          <w:lang w:val="fr-FR"/>
        </w:rPr>
        <w:t xml:space="preserve"> </w:t>
      </w:r>
      <w:r w:rsidR="00774EBD" w:rsidRPr="000F7862">
        <w:rPr>
          <w:lang w:val="fr-FR"/>
        </w:rPr>
        <w:t xml:space="preserve">par le biais du programme </w:t>
      </w:r>
      <w:r w:rsidR="0086185C" w:rsidRPr="000F7862">
        <w:rPr>
          <w:lang w:val="fr-FR"/>
        </w:rPr>
        <w:t xml:space="preserve">SEA-K, </w:t>
      </w:r>
      <w:r w:rsidR="00774EBD" w:rsidRPr="000F7862">
        <w:rPr>
          <w:lang w:val="fr-FR"/>
        </w:rPr>
        <w:t>et</w:t>
      </w:r>
      <w:r w:rsidR="0086185C" w:rsidRPr="000F7862">
        <w:rPr>
          <w:lang w:val="fr-FR"/>
        </w:rPr>
        <w:t xml:space="preserve"> </w:t>
      </w:r>
      <w:r w:rsidR="00867E43" w:rsidRPr="000F7862">
        <w:rPr>
          <w:lang w:val="fr-FR"/>
        </w:rPr>
        <w:t>b</w:t>
      </w:r>
      <w:r w:rsidR="0086185C" w:rsidRPr="000F7862">
        <w:rPr>
          <w:lang w:val="fr-FR"/>
        </w:rPr>
        <w:t>)</w:t>
      </w:r>
      <w:r w:rsidR="00EE3110" w:rsidRPr="000F7862">
        <w:rPr>
          <w:lang w:val="fr-FR"/>
        </w:rPr>
        <w:t> </w:t>
      </w:r>
      <w:r w:rsidR="00774EBD" w:rsidRPr="000F7862">
        <w:rPr>
          <w:lang w:val="fr-FR"/>
        </w:rPr>
        <w:t xml:space="preserve">le volet </w:t>
      </w:r>
      <w:r w:rsidR="0005004C" w:rsidRPr="000F7862">
        <w:rPr>
          <w:lang w:val="fr-FR"/>
        </w:rPr>
        <w:t>«</w:t>
      </w:r>
      <w:r w:rsidR="00043011" w:rsidRPr="000F7862">
        <w:rPr>
          <w:lang w:val="fr-FR"/>
        </w:rPr>
        <w:t>facilitation de la recherche d</w:t>
      </w:r>
      <w:r w:rsidR="00120E2E" w:rsidRPr="000F7862">
        <w:rPr>
          <w:lang w:val="fr-FR"/>
        </w:rPr>
        <w:t>’</w:t>
      </w:r>
      <w:r w:rsidR="00043011" w:rsidRPr="000F7862">
        <w:rPr>
          <w:lang w:val="fr-FR"/>
        </w:rPr>
        <w:t>un emploi</w:t>
      </w:r>
      <w:r w:rsidR="0005004C" w:rsidRPr="000F7862">
        <w:rPr>
          <w:lang w:val="fr-FR"/>
        </w:rPr>
        <w:t>»</w:t>
      </w:r>
      <w:r w:rsidR="0086185C" w:rsidRPr="000F7862">
        <w:rPr>
          <w:lang w:val="fr-FR"/>
        </w:rPr>
        <w:t>.</w:t>
      </w:r>
    </w:p>
    <w:p w:rsidR="0086185C" w:rsidRPr="000F7862" w:rsidRDefault="003F7F57" w:rsidP="003F7F57">
      <w:pPr>
        <w:pStyle w:val="SingleTxtG"/>
        <w:rPr>
          <w:lang w:val="fr-FR"/>
        </w:rPr>
      </w:pPr>
      <w:r w:rsidRPr="000F7862">
        <w:rPr>
          <w:lang w:val="fr-FR"/>
        </w:rPr>
        <w:t>191.</w:t>
      </w:r>
      <w:r w:rsidRPr="000F7862">
        <w:rPr>
          <w:lang w:val="fr-FR"/>
        </w:rPr>
        <w:tab/>
      </w:r>
      <w:r w:rsidR="00043011" w:rsidRPr="000F7862">
        <w:rPr>
          <w:lang w:val="fr-FR"/>
        </w:rPr>
        <w:t xml:space="preserve">En mars </w:t>
      </w:r>
      <w:r w:rsidR="0086185C" w:rsidRPr="000F7862">
        <w:rPr>
          <w:lang w:val="fr-FR"/>
        </w:rPr>
        <w:t xml:space="preserve">2013, </w:t>
      </w:r>
      <w:r w:rsidR="00043011" w:rsidRPr="000F7862">
        <w:rPr>
          <w:lang w:val="fr-FR"/>
        </w:rPr>
        <w:t xml:space="preserve">le </w:t>
      </w:r>
      <w:r w:rsidR="00043011" w:rsidRPr="000F7862">
        <w:rPr>
          <w:iCs/>
          <w:lang w:val="fr-FR"/>
        </w:rPr>
        <w:t>Programme relatif aux moyens de subsistance durables</w:t>
      </w:r>
      <w:r w:rsidR="00043011" w:rsidRPr="000F7862">
        <w:rPr>
          <w:lang w:val="fr-FR"/>
        </w:rPr>
        <w:t xml:space="preserve"> profitait à </w:t>
      </w:r>
      <w:r w:rsidR="0086185C" w:rsidRPr="000F7862">
        <w:rPr>
          <w:lang w:val="fr-FR"/>
        </w:rPr>
        <w:t>203</w:t>
      </w:r>
      <w:r w:rsidR="00EE3110" w:rsidRPr="000F7862">
        <w:rPr>
          <w:lang w:val="fr-FR"/>
        </w:rPr>
        <w:t> </w:t>
      </w:r>
      <w:r w:rsidR="0086185C" w:rsidRPr="000F7862">
        <w:rPr>
          <w:lang w:val="fr-FR"/>
        </w:rPr>
        <w:t xml:space="preserve">026 </w:t>
      </w:r>
      <w:r w:rsidR="00043011" w:rsidRPr="000F7862">
        <w:rPr>
          <w:lang w:val="fr-FR"/>
        </w:rPr>
        <w:t>mé</w:t>
      </w:r>
      <w:r w:rsidR="00DF1D69" w:rsidRPr="000F7862">
        <w:rPr>
          <w:lang w:val="fr-FR"/>
        </w:rPr>
        <w:t>n</w:t>
      </w:r>
      <w:r w:rsidR="00043011" w:rsidRPr="000F7862">
        <w:rPr>
          <w:lang w:val="fr-FR"/>
        </w:rPr>
        <w:t>ages démunis</w:t>
      </w:r>
      <w:r w:rsidR="0086185C" w:rsidRPr="000F7862">
        <w:rPr>
          <w:lang w:val="fr-FR"/>
        </w:rPr>
        <w:t xml:space="preserve">. </w:t>
      </w:r>
      <w:r w:rsidR="00043011" w:rsidRPr="000F7862">
        <w:rPr>
          <w:lang w:val="fr-FR"/>
        </w:rPr>
        <w:t xml:space="preserve">On estime que </w:t>
      </w:r>
      <w:r w:rsidR="0086185C" w:rsidRPr="000F7862">
        <w:rPr>
          <w:lang w:val="fr-FR"/>
        </w:rPr>
        <w:t>82</w:t>
      </w:r>
      <w:r w:rsidR="00DC1196" w:rsidRPr="000F7862">
        <w:rPr>
          <w:lang w:val="fr-FR"/>
        </w:rPr>
        <w:t> %</w:t>
      </w:r>
      <w:r w:rsidR="0086185C" w:rsidRPr="000F7862">
        <w:rPr>
          <w:lang w:val="fr-FR"/>
        </w:rPr>
        <w:t xml:space="preserve"> </w:t>
      </w:r>
      <w:r w:rsidR="00043011" w:rsidRPr="000F7862">
        <w:rPr>
          <w:lang w:val="fr-FR"/>
        </w:rPr>
        <w:t>(165 </w:t>
      </w:r>
      <w:r w:rsidR="0086185C" w:rsidRPr="000F7862">
        <w:rPr>
          <w:lang w:val="fr-FR"/>
        </w:rPr>
        <w:t>583</w:t>
      </w:r>
      <w:r w:rsidR="00043011" w:rsidRPr="000F7862">
        <w:rPr>
          <w:lang w:val="fr-FR"/>
        </w:rPr>
        <w:t xml:space="preserve">) des ménages couverts sont également bénéficiaires du programme Pantawid Pamilya, tandis que les </w:t>
      </w:r>
      <w:r w:rsidR="0086185C" w:rsidRPr="000F7862">
        <w:rPr>
          <w:lang w:val="fr-FR"/>
        </w:rPr>
        <w:t>18</w:t>
      </w:r>
      <w:r w:rsidR="00DC1196" w:rsidRPr="000F7862">
        <w:rPr>
          <w:lang w:val="fr-FR"/>
        </w:rPr>
        <w:t> %</w:t>
      </w:r>
      <w:r w:rsidR="0086185C" w:rsidRPr="000F7862">
        <w:rPr>
          <w:lang w:val="fr-FR"/>
        </w:rPr>
        <w:t xml:space="preserve"> </w:t>
      </w:r>
      <w:r w:rsidR="00043011" w:rsidRPr="000F7862">
        <w:rPr>
          <w:lang w:val="fr-FR"/>
        </w:rPr>
        <w:t>restants (</w:t>
      </w:r>
      <w:r w:rsidR="0086185C" w:rsidRPr="000F7862">
        <w:rPr>
          <w:lang w:val="fr-FR"/>
        </w:rPr>
        <w:t>37</w:t>
      </w:r>
      <w:r w:rsidR="00043011" w:rsidRPr="000F7862">
        <w:rPr>
          <w:lang w:val="fr-FR"/>
        </w:rPr>
        <w:t> </w:t>
      </w:r>
      <w:r w:rsidR="0086185C" w:rsidRPr="000F7862">
        <w:rPr>
          <w:lang w:val="fr-FR"/>
        </w:rPr>
        <w:t>443</w:t>
      </w:r>
      <w:r w:rsidR="00043011" w:rsidRPr="000F7862">
        <w:rPr>
          <w:lang w:val="fr-FR"/>
        </w:rPr>
        <w:t>) ne bénéficient pas de ce dernier programme</w:t>
      </w:r>
      <w:r w:rsidR="0086185C" w:rsidRPr="000F7862">
        <w:rPr>
          <w:lang w:val="fr-FR"/>
        </w:rPr>
        <w:t xml:space="preserve">. </w:t>
      </w:r>
      <w:r w:rsidR="001470AF" w:rsidRPr="000F7862">
        <w:rPr>
          <w:lang w:val="fr-FR"/>
        </w:rPr>
        <w:t xml:space="preserve">Sur le nombre </w:t>
      </w:r>
      <w:r w:rsidR="0086185C" w:rsidRPr="000F7862">
        <w:rPr>
          <w:lang w:val="fr-FR"/>
        </w:rPr>
        <w:t xml:space="preserve">total </w:t>
      </w:r>
      <w:r w:rsidR="001470AF" w:rsidRPr="000F7862">
        <w:rPr>
          <w:lang w:val="fr-FR"/>
        </w:rPr>
        <w:t>des ménages couverts</w:t>
      </w:r>
      <w:r w:rsidR="0086185C" w:rsidRPr="000F7862">
        <w:rPr>
          <w:lang w:val="fr-FR"/>
        </w:rPr>
        <w:t>, 60</w:t>
      </w:r>
      <w:r w:rsidR="00EE3110" w:rsidRPr="000F7862">
        <w:rPr>
          <w:lang w:val="fr-FR"/>
        </w:rPr>
        <w:t> </w:t>
      </w:r>
      <w:r w:rsidR="0086185C" w:rsidRPr="000F7862">
        <w:rPr>
          <w:lang w:val="fr-FR"/>
        </w:rPr>
        <w:t xml:space="preserve">816 </w:t>
      </w:r>
      <w:r w:rsidR="001470AF" w:rsidRPr="000F7862">
        <w:rPr>
          <w:lang w:val="fr-FR"/>
        </w:rPr>
        <w:t>l</w:t>
      </w:r>
      <w:r w:rsidR="00120E2E" w:rsidRPr="000F7862">
        <w:rPr>
          <w:lang w:val="fr-FR"/>
        </w:rPr>
        <w:t>’</w:t>
      </w:r>
      <w:r w:rsidR="001470AF" w:rsidRPr="000F7862">
        <w:rPr>
          <w:lang w:val="fr-FR"/>
        </w:rPr>
        <w:t xml:space="preserve">avaient été au premier trimestre de </w:t>
      </w:r>
      <w:r w:rsidR="0086185C" w:rsidRPr="000F7862">
        <w:rPr>
          <w:lang w:val="fr-FR"/>
        </w:rPr>
        <w:t>2013.</w:t>
      </w:r>
      <w:r w:rsidR="00446EA5" w:rsidRPr="000F7862">
        <w:rPr>
          <w:lang w:val="fr-FR"/>
        </w:rPr>
        <w:t xml:space="preserve"> </w:t>
      </w:r>
      <w:r w:rsidR="004E0996" w:rsidRPr="000F7862">
        <w:rPr>
          <w:lang w:val="fr-FR"/>
        </w:rPr>
        <w:t>A</w:t>
      </w:r>
      <w:r w:rsidR="001470AF" w:rsidRPr="000F7862">
        <w:rPr>
          <w:lang w:val="fr-FR"/>
        </w:rPr>
        <w:t>u</w:t>
      </w:r>
      <w:r w:rsidR="004E0996" w:rsidRPr="000F7862">
        <w:rPr>
          <w:lang w:val="fr-FR"/>
        </w:rPr>
        <w:t xml:space="preserve"> total</w:t>
      </w:r>
      <w:r w:rsidR="001470AF" w:rsidRPr="000F7862">
        <w:rPr>
          <w:lang w:val="fr-FR"/>
        </w:rPr>
        <w:t>,</w:t>
      </w:r>
      <w:r w:rsidR="004E0996" w:rsidRPr="000F7862">
        <w:rPr>
          <w:lang w:val="fr-FR"/>
        </w:rPr>
        <w:t xml:space="preserve"> 98</w:t>
      </w:r>
      <w:r w:rsidR="00DC1196" w:rsidRPr="000F7862">
        <w:rPr>
          <w:lang w:val="fr-FR"/>
        </w:rPr>
        <w:t> %</w:t>
      </w:r>
      <w:r w:rsidR="001470AF" w:rsidRPr="000F7862">
        <w:rPr>
          <w:lang w:val="fr-FR"/>
        </w:rPr>
        <w:t xml:space="preserve"> des bénéficiaires avaient reçu une aide au titre du volet </w:t>
      </w:r>
      <w:r w:rsidR="0005004C" w:rsidRPr="000F7862">
        <w:rPr>
          <w:lang w:val="fr-FR"/>
        </w:rPr>
        <w:t>«</w:t>
      </w:r>
      <w:r w:rsidR="001470AF" w:rsidRPr="000F7862">
        <w:rPr>
          <w:lang w:val="fr-FR"/>
        </w:rPr>
        <w:t>création de microentreprises</w:t>
      </w:r>
      <w:r w:rsidR="0005004C" w:rsidRPr="000F7862">
        <w:rPr>
          <w:lang w:val="fr-FR"/>
        </w:rPr>
        <w:t>»</w:t>
      </w:r>
      <w:r w:rsidR="001470AF" w:rsidRPr="000F7862">
        <w:rPr>
          <w:lang w:val="fr-FR"/>
        </w:rPr>
        <w:t xml:space="preserve">, tandis que </w:t>
      </w:r>
      <w:r w:rsidR="0086185C" w:rsidRPr="000F7862">
        <w:rPr>
          <w:lang w:val="fr-FR"/>
        </w:rPr>
        <w:t>2</w:t>
      </w:r>
      <w:r w:rsidR="00EE3110" w:rsidRPr="000F7862">
        <w:rPr>
          <w:lang w:val="fr-FR"/>
        </w:rPr>
        <w:t> </w:t>
      </w:r>
      <w:r w:rsidR="0086185C" w:rsidRPr="000F7862">
        <w:rPr>
          <w:lang w:val="fr-FR"/>
        </w:rPr>
        <w:t xml:space="preserve">% </w:t>
      </w:r>
      <w:r w:rsidR="00DF1D69" w:rsidRPr="000F7862">
        <w:rPr>
          <w:lang w:val="fr-FR"/>
        </w:rPr>
        <w:t xml:space="preserve">avaient </w:t>
      </w:r>
      <w:r w:rsidR="001470AF" w:rsidRPr="000F7862">
        <w:rPr>
          <w:lang w:val="fr-FR"/>
        </w:rPr>
        <w:t xml:space="preserve">eu accès à un emploi au titre du volet </w:t>
      </w:r>
      <w:r w:rsidR="0005004C" w:rsidRPr="000F7862">
        <w:rPr>
          <w:lang w:val="fr-FR"/>
        </w:rPr>
        <w:t>«</w:t>
      </w:r>
      <w:r w:rsidR="001470AF" w:rsidRPr="000F7862">
        <w:rPr>
          <w:lang w:val="fr-FR"/>
        </w:rPr>
        <w:t>facilitation de la recherche d</w:t>
      </w:r>
      <w:r w:rsidR="00120E2E" w:rsidRPr="000F7862">
        <w:rPr>
          <w:lang w:val="fr-FR"/>
        </w:rPr>
        <w:t>’</w:t>
      </w:r>
      <w:r w:rsidR="001470AF" w:rsidRPr="000F7862">
        <w:rPr>
          <w:lang w:val="fr-FR"/>
        </w:rPr>
        <w:t>un emploi</w:t>
      </w:r>
      <w:r w:rsidR="0005004C" w:rsidRPr="000F7862">
        <w:rPr>
          <w:lang w:val="fr-FR"/>
        </w:rPr>
        <w:t>»</w:t>
      </w:r>
      <w:r w:rsidR="001470AF" w:rsidRPr="000F7862">
        <w:rPr>
          <w:lang w:val="fr-FR"/>
        </w:rPr>
        <w:t>.</w:t>
      </w:r>
      <w:r w:rsidR="0086185C" w:rsidRPr="000F7862">
        <w:rPr>
          <w:lang w:val="fr-FR"/>
        </w:rPr>
        <w:t xml:space="preserve"> </w:t>
      </w:r>
      <w:r w:rsidR="001470AF" w:rsidRPr="000F7862">
        <w:rPr>
          <w:lang w:val="fr-FR"/>
        </w:rPr>
        <w:t xml:space="preserve">Les </w:t>
      </w:r>
      <w:r w:rsidR="0086185C" w:rsidRPr="000F7862">
        <w:rPr>
          <w:lang w:val="fr-FR"/>
        </w:rPr>
        <w:t xml:space="preserve">participants </w:t>
      </w:r>
      <w:r w:rsidR="001470AF" w:rsidRPr="000F7862">
        <w:rPr>
          <w:lang w:val="fr-FR"/>
        </w:rPr>
        <w:t>o</w:t>
      </w:r>
      <w:r w:rsidR="00566C86" w:rsidRPr="000F7862">
        <w:rPr>
          <w:lang w:val="fr-FR"/>
        </w:rPr>
        <w:t>nt</w:t>
      </w:r>
      <w:r w:rsidR="001470AF" w:rsidRPr="000F7862">
        <w:rPr>
          <w:lang w:val="fr-FR"/>
        </w:rPr>
        <w:t xml:space="preserve"> bénéficié </w:t>
      </w:r>
      <w:r w:rsidR="00566C86" w:rsidRPr="000F7862">
        <w:rPr>
          <w:lang w:val="fr-FR"/>
        </w:rPr>
        <w:t>d</w:t>
      </w:r>
      <w:r w:rsidR="00120E2E" w:rsidRPr="000F7862">
        <w:rPr>
          <w:lang w:val="fr-FR"/>
        </w:rPr>
        <w:t>’</w:t>
      </w:r>
      <w:r w:rsidR="00566C86" w:rsidRPr="000F7862">
        <w:rPr>
          <w:lang w:val="fr-FR"/>
        </w:rPr>
        <w:t xml:space="preserve">une assistance financière pour créer et gérer une </w:t>
      </w:r>
      <w:r w:rsidR="0086185C" w:rsidRPr="000F7862">
        <w:rPr>
          <w:lang w:val="fr-FR"/>
        </w:rPr>
        <w:t>microent</w:t>
      </w:r>
      <w:r w:rsidR="00DF1D69" w:rsidRPr="000F7862">
        <w:rPr>
          <w:lang w:val="fr-FR"/>
        </w:rPr>
        <w:t>re</w:t>
      </w:r>
      <w:r w:rsidR="0086185C" w:rsidRPr="000F7862">
        <w:rPr>
          <w:lang w:val="fr-FR"/>
        </w:rPr>
        <w:t xml:space="preserve">prise </w:t>
      </w:r>
      <w:r w:rsidR="00566C86" w:rsidRPr="000F7862">
        <w:rPr>
          <w:lang w:val="fr-FR"/>
        </w:rPr>
        <w:t xml:space="preserve">viable et </w:t>
      </w:r>
      <w:r w:rsidR="00DF1D69" w:rsidRPr="000F7862">
        <w:rPr>
          <w:lang w:val="fr-FR"/>
        </w:rPr>
        <w:t>ont été aiguillés vers un emploi après avoir été mis en relation avec divers organismes et institutions partenaires</w:t>
      </w:r>
      <w:r w:rsidR="0086185C" w:rsidRPr="000F7862">
        <w:rPr>
          <w:lang w:val="fr-FR"/>
        </w:rPr>
        <w:t>.</w:t>
      </w:r>
    </w:p>
    <w:p w:rsidR="0086185C" w:rsidRPr="000F7862" w:rsidRDefault="00EE3110" w:rsidP="00EE3110">
      <w:pPr>
        <w:pStyle w:val="H23G"/>
        <w:rPr>
          <w:lang w:val="fr-FR"/>
        </w:rPr>
      </w:pPr>
      <w:r w:rsidRPr="000F7862">
        <w:rPr>
          <w:lang w:val="fr-FR"/>
        </w:rPr>
        <w:tab/>
      </w:r>
      <w:r w:rsidRPr="000F7862">
        <w:rPr>
          <w:lang w:val="fr-FR"/>
        </w:rPr>
        <w:tab/>
      </w:r>
      <w:r w:rsidR="00DF1D69" w:rsidRPr="000F7862">
        <w:rPr>
          <w:lang w:val="fr-FR"/>
        </w:rPr>
        <w:t>Création de m</w:t>
      </w:r>
      <w:r w:rsidR="0086185C" w:rsidRPr="000F7862">
        <w:rPr>
          <w:lang w:val="fr-FR"/>
        </w:rPr>
        <w:t>icro</w:t>
      </w:r>
      <w:r w:rsidR="00DF1D69" w:rsidRPr="000F7862">
        <w:rPr>
          <w:lang w:val="fr-FR"/>
        </w:rPr>
        <w:t>ent</w:t>
      </w:r>
      <w:r w:rsidR="0086185C" w:rsidRPr="000F7862">
        <w:rPr>
          <w:lang w:val="fr-FR"/>
        </w:rPr>
        <w:t>r</w:t>
      </w:r>
      <w:r w:rsidR="00DF1D69" w:rsidRPr="000F7862">
        <w:rPr>
          <w:lang w:val="fr-FR"/>
        </w:rPr>
        <w:t>e</w:t>
      </w:r>
      <w:r w:rsidR="0086185C" w:rsidRPr="000F7862">
        <w:rPr>
          <w:lang w:val="fr-FR"/>
        </w:rPr>
        <w:t>prise</w:t>
      </w:r>
      <w:r w:rsidR="00DF1D69" w:rsidRPr="000F7862">
        <w:rPr>
          <w:lang w:val="fr-FR"/>
        </w:rPr>
        <w:t>s</w:t>
      </w:r>
      <w:r w:rsidR="0086185C" w:rsidRPr="000F7862">
        <w:rPr>
          <w:lang w:val="fr-FR"/>
        </w:rPr>
        <w:t xml:space="preserve"> </w:t>
      </w:r>
    </w:p>
    <w:p w:rsidR="0086185C" w:rsidRPr="000F7862" w:rsidRDefault="003F7F57" w:rsidP="003F7F57">
      <w:pPr>
        <w:pStyle w:val="SingleTxtG"/>
        <w:rPr>
          <w:lang w:val="fr-FR"/>
        </w:rPr>
      </w:pPr>
      <w:r w:rsidRPr="000F7862">
        <w:rPr>
          <w:lang w:val="fr-FR"/>
        </w:rPr>
        <w:t>192.</w:t>
      </w:r>
      <w:r w:rsidRPr="000F7862">
        <w:rPr>
          <w:lang w:val="fr-FR"/>
        </w:rPr>
        <w:tab/>
      </w:r>
      <w:r w:rsidR="00DF1D69" w:rsidRPr="000F7862">
        <w:rPr>
          <w:lang w:val="fr-FR"/>
        </w:rPr>
        <w:t xml:space="preserve">À ce jour, </w:t>
      </w:r>
      <w:r w:rsidR="0086185C" w:rsidRPr="000F7862">
        <w:rPr>
          <w:lang w:val="fr-FR"/>
        </w:rPr>
        <w:t>198</w:t>
      </w:r>
      <w:r w:rsidR="00EE3110" w:rsidRPr="000F7862">
        <w:rPr>
          <w:lang w:val="fr-FR"/>
        </w:rPr>
        <w:t> </w:t>
      </w:r>
      <w:r w:rsidR="0086185C" w:rsidRPr="000F7862">
        <w:rPr>
          <w:lang w:val="fr-FR"/>
        </w:rPr>
        <w:t xml:space="preserve">392 </w:t>
      </w:r>
      <w:r w:rsidR="00DF1D69" w:rsidRPr="000F7862">
        <w:rPr>
          <w:lang w:val="fr-FR"/>
        </w:rPr>
        <w:t xml:space="preserve">ménages ont participé à diverses activités de création de </w:t>
      </w:r>
      <w:r w:rsidR="0086185C" w:rsidRPr="000F7862">
        <w:rPr>
          <w:lang w:val="fr-FR"/>
        </w:rPr>
        <w:t>microen</w:t>
      </w:r>
      <w:r w:rsidR="00DF1D69" w:rsidRPr="000F7862">
        <w:rPr>
          <w:lang w:val="fr-FR"/>
        </w:rPr>
        <w:t>tre</w:t>
      </w:r>
      <w:r w:rsidR="0086185C" w:rsidRPr="000F7862">
        <w:rPr>
          <w:lang w:val="fr-FR"/>
        </w:rPr>
        <w:t>prise</w:t>
      </w:r>
      <w:r w:rsidR="00DF1D69" w:rsidRPr="000F7862">
        <w:rPr>
          <w:lang w:val="fr-FR"/>
        </w:rPr>
        <w:t xml:space="preserve">s; </w:t>
      </w:r>
      <w:r w:rsidR="0086185C" w:rsidRPr="000F7862">
        <w:rPr>
          <w:lang w:val="fr-FR"/>
        </w:rPr>
        <w:t>160</w:t>
      </w:r>
      <w:r w:rsidR="00EE3110" w:rsidRPr="000F7862">
        <w:rPr>
          <w:lang w:val="fr-FR"/>
        </w:rPr>
        <w:t> </w:t>
      </w:r>
      <w:r w:rsidR="0086185C" w:rsidRPr="000F7862">
        <w:rPr>
          <w:lang w:val="fr-FR"/>
        </w:rPr>
        <w:t xml:space="preserve">949 </w:t>
      </w:r>
      <w:r w:rsidR="00DF1D69" w:rsidRPr="000F7862">
        <w:rPr>
          <w:lang w:val="fr-FR"/>
        </w:rPr>
        <w:t>d</w:t>
      </w:r>
      <w:r w:rsidR="00120E2E" w:rsidRPr="000F7862">
        <w:rPr>
          <w:lang w:val="fr-FR"/>
        </w:rPr>
        <w:t>’</w:t>
      </w:r>
      <w:r w:rsidR="00DF1D69" w:rsidRPr="000F7862">
        <w:rPr>
          <w:lang w:val="fr-FR"/>
        </w:rPr>
        <w:t xml:space="preserve">entre eux bénéficient du Programme </w:t>
      </w:r>
      <w:r w:rsidR="0086185C" w:rsidRPr="000F7862">
        <w:rPr>
          <w:lang w:val="fr-FR"/>
        </w:rPr>
        <w:t xml:space="preserve">Pantawid Pamilya </w:t>
      </w:r>
      <w:r w:rsidR="00DF1D69" w:rsidRPr="000F7862">
        <w:rPr>
          <w:lang w:val="fr-FR"/>
        </w:rPr>
        <w:t xml:space="preserve">et </w:t>
      </w:r>
      <w:r w:rsidR="0086185C" w:rsidRPr="000F7862">
        <w:rPr>
          <w:lang w:val="fr-FR"/>
        </w:rPr>
        <w:t>37</w:t>
      </w:r>
      <w:r w:rsidR="00EE3110" w:rsidRPr="000F7862">
        <w:rPr>
          <w:lang w:val="fr-FR"/>
        </w:rPr>
        <w:t> </w:t>
      </w:r>
      <w:r w:rsidR="0086185C" w:rsidRPr="000F7862">
        <w:rPr>
          <w:lang w:val="fr-FR"/>
        </w:rPr>
        <w:t xml:space="preserve">443 </w:t>
      </w:r>
      <w:r w:rsidR="00DF1D69" w:rsidRPr="000F7862">
        <w:rPr>
          <w:lang w:val="fr-FR"/>
        </w:rPr>
        <w:t>n</w:t>
      </w:r>
      <w:r w:rsidR="00120E2E" w:rsidRPr="000F7862">
        <w:rPr>
          <w:lang w:val="fr-FR"/>
        </w:rPr>
        <w:t>’</w:t>
      </w:r>
      <w:r w:rsidR="00DF1D69" w:rsidRPr="000F7862">
        <w:rPr>
          <w:lang w:val="fr-FR"/>
        </w:rPr>
        <w:t>en bénéficient pas</w:t>
      </w:r>
      <w:r w:rsidR="0086185C" w:rsidRPr="000F7862">
        <w:rPr>
          <w:lang w:val="fr-FR"/>
        </w:rPr>
        <w:t xml:space="preserve">. </w:t>
      </w:r>
      <w:r w:rsidR="004E0996" w:rsidRPr="000F7862">
        <w:rPr>
          <w:lang w:val="fr-FR"/>
        </w:rPr>
        <w:t>A</w:t>
      </w:r>
      <w:r w:rsidR="00DF1D69" w:rsidRPr="000F7862">
        <w:rPr>
          <w:lang w:val="fr-FR"/>
        </w:rPr>
        <w:t>u</w:t>
      </w:r>
      <w:r w:rsidR="004E0996" w:rsidRPr="000F7862">
        <w:rPr>
          <w:lang w:val="fr-FR"/>
        </w:rPr>
        <w:t xml:space="preserve"> total</w:t>
      </w:r>
      <w:r w:rsidR="00DF1D69" w:rsidRPr="000F7862">
        <w:rPr>
          <w:lang w:val="fr-FR"/>
        </w:rPr>
        <w:t>,</w:t>
      </w:r>
      <w:r w:rsidR="004E0996" w:rsidRPr="000F7862">
        <w:rPr>
          <w:lang w:val="fr-FR"/>
        </w:rPr>
        <w:t xml:space="preserve"> 78</w:t>
      </w:r>
      <w:r w:rsidR="00DC1196" w:rsidRPr="000F7862">
        <w:rPr>
          <w:lang w:val="fr-FR"/>
        </w:rPr>
        <w:t> %</w:t>
      </w:r>
      <w:r w:rsidR="00DF1D69" w:rsidRPr="000F7862">
        <w:rPr>
          <w:lang w:val="fr-FR"/>
        </w:rPr>
        <w:t xml:space="preserve"> des ménages (</w:t>
      </w:r>
      <w:r w:rsidR="0086185C" w:rsidRPr="000F7862">
        <w:rPr>
          <w:lang w:val="fr-FR"/>
        </w:rPr>
        <w:t>154</w:t>
      </w:r>
      <w:r w:rsidR="00DF1D69" w:rsidRPr="000F7862">
        <w:rPr>
          <w:lang w:val="fr-FR"/>
        </w:rPr>
        <w:t> </w:t>
      </w:r>
      <w:r w:rsidR="0086185C" w:rsidRPr="000F7862">
        <w:rPr>
          <w:lang w:val="fr-FR"/>
        </w:rPr>
        <w:t>831</w:t>
      </w:r>
      <w:r w:rsidR="00DF1D69" w:rsidRPr="000F7862">
        <w:rPr>
          <w:lang w:val="fr-FR"/>
        </w:rPr>
        <w:t>)</w:t>
      </w:r>
      <w:r w:rsidR="0086185C" w:rsidRPr="000F7862">
        <w:rPr>
          <w:lang w:val="fr-FR"/>
        </w:rPr>
        <w:t xml:space="preserve"> </w:t>
      </w:r>
      <w:r w:rsidR="00DF1D69" w:rsidRPr="000F7862">
        <w:rPr>
          <w:lang w:val="fr-FR"/>
        </w:rPr>
        <w:t xml:space="preserve">couverts au titre du volet </w:t>
      </w:r>
      <w:r w:rsidR="0005004C" w:rsidRPr="000F7862">
        <w:rPr>
          <w:lang w:val="fr-FR"/>
        </w:rPr>
        <w:t>«</w:t>
      </w:r>
      <w:r w:rsidR="00DF1D69" w:rsidRPr="000F7862">
        <w:rPr>
          <w:lang w:val="fr-FR"/>
        </w:rPr>
        <w:t>création de microentreprises</w:t>
      </w:r>
      <w:r w:rsidR="0005004C" w:rsidRPr="000F7862">
        <w:rPr>
          <w:lang w:val="fr-FR"/>
        </w:rPr>
        <w:t>»</w:t>
      </w:r>
      <w:r w:rsidR="00DF1D69" w:rsidRPr="000F7862">
        <w:rPr>
          <w:lang w:val="fr-FR"/>
        </w:rPr>
        <w:t xml:space="preserve"> ont reçu une assistance financière par l</w:t>
      </w:r>
      <w:r w:rsidR="00682D16" w:rsidRPr="000F7862">
        <w:rPr>
          <w:lang w:val="fr-FR"/>
        </w:rPr>
        <w:t>e</w:t>
      </w:r>
      <w:r w:rsidR="00DF1D69" w:rsidRPr="000F7862">
        <w:rPr>
          <w:lang w:val="fr-FR"/>
        </w:rPr>
        <w:t xml:space="preserve"> biais du programme </w:t>
      </w:r>
      <w:r w:rsidR="0086185C" w:rsidRPr="000F7862">
        <w:rPr>
          <w:lang w:val="fr-FR"/>
        </w:rPr>
        <w:t xml:space="preserve">SEA-K, </w:t>
      </w:r>
      <w:r w:rsidR="00682D16" w:rsidRPr="000F7862">
        <w:rPr>
          <w:lang w:val="fr-FR"/>
        </w:rPr>
        <w:t>15</w:t>
      </w:r>
      <w:r w:rsidR="00DC1196" w:rsidRPr="000F7862">
        <w:rPr>
          <w:lang w:val="fr-FR"/>
        </w:rPr>
        <w:t> %</w:t>
      </w:r>
      <w:r w:rsidR="00682D16" w:rsidRPr="000F7862">
        <w:rPr>
          <w:lang w:val="fr-FR"/>
        </w:rPr>
        <w:t xml:space="preserve"> (</w:t>
      </w:r>
      <w:r w:rsidR="0086185C" w:rsidRPr="000F7862">
        <w:rPr>
          <w:lang w:val="fr-FR"/>
        </w:rPr>
        <w:t>30</w:t>
      </w:r>
      <w:r w:rsidR="00682D16" w:rsidRPr="000F7862">
        <w:rPr>
          <w:lang w:val="fr-FR"/>
        </w:rPr>
        <w:t> </w:t>
      </w:r>
      <w:r w:rsidR="0086185C" w:rsidRPr="000F7862">
        <w:rPr>
          <w:lang w:val="fr-FR"/>
        </w:rPr>
        <w:t>114</w:t>
      </w:r>
      <w:r w:rsidR="00682D16" w:rsidRPr="000F7862">
        <w:rPr>
          <w:lang w:val="fr-FR"/>
        </w:rPr>
        <w:t xml:space="preserve">) ont été aiguillés vers des institutions de microfinancement et financés par elles, tandis que les </w:t>
      </w:r>
      <w:r w:rsidR="0086185C" w:rsidRPr="000F7862">
        <w:rPr>
          <w:lang w:val="fr-FR"/>
        </w:rPr>
        <w:t>7</w:t>
      </w:r>
      <w:r w:rsidR="00DC1196" w:rsidRPr="000F7862">
        <w:rPr>
          <w:lang w:val="fr-FR"/>
        </w:rPr>
        <w:t> %</w:t>
      </w:r>
      <w:r w:rsidR="0086185C" w:rsidRPr="000F7862">
        <w:rPr>
          <w:lang w:val="fr-FR"/>
        </w:rPr>
        <w:t xml:space="preserve"> </w:t>
      </w:r>
      <w:r w:rsidR="00682D16" w:rsidRPr="000F7862">
        <w:rPr>
          <w:lang w:val="fr-FR"/>
        </w:rPr>
        <w:t>restants (</w:t>
      </w:r>
      <w:r w:rsidR="0086185C" w:rsidRPr="000F7862">
        <w:rPr>
          <w:lang w:val="fr-FR"/>
        </w:rPr>
        <w:t>13</w:t>
      </w:r>
      <w:r w:rsidR="00682D16" w:rsidRPr="000F7862">
        <w:rPr>
          <w:lang w:val="fr-FR"/>
        </w:rPr>
        <w:t> </w:t>
      </w:r>
      <w:r w:rsidR="0086185C" w:rsidRPr="000F7862">
        <w:rPr>
          <w:lang w:val="fr-FR"/>
        </w:rPr>
        <w:t>447</w:t>
      </w:r>
      <w:r w:rsidR="00682D16" w:rsidRPr="000F7862">
        <w:rPr>
          <w:lang w:val="fr-FR"/>
        </w:rPr>
        <w:t>) se sont autofinancés</w:t>
      </w:r>
      <w:r w:rsidR="0086185C" w:rsidRPr="000F7862">
        <w:rPr>
          <w:lang w:val="fr-FR"/>
        </w:rPr>
        <w:t xml:space="preserve">. </w:t>
      </w:r>
    </w:p>
    <w:p w:rsidR="0086185C" w:rsidRPr="000F7862" w:rsidRDefault="00F138DA" w:rsidP="004D4B73">
      <w:pPr>
        <w:pStyle w:val="H4G"/>
        <w:rPr>
          <w:lang w:val="fr-FR"/>
        </w:rPr>
      </w:pPr>
      <w:r w:rsidRPr="000F7862">
        <w:rPr>
          <w:lang w:val="fr-FR"/>
        </w:rPr>
        <w:tab/>
      </w:r>
      <w:r w:rsidR="00DD43A1" w:rsidRPr="000F7862">
        <w:rPr>
          <w:lang w:val="fr-FR"/>
        </w:rPr>
        <w:t>a)</w:t>
      </w:r>
      <w:r w:rsidRPr="000F7862">
        <w:rPr>
          <w:lang w:val="fr-FR"/>
        </w:rPr>
        <w:tab/>
      </w:r>
      <w:r w:rsidR="0086185C" w:rsidRPr="000F7862">
        <w:rPr>
          <w:lang w:val="fr-FR"/>
        </w:rPr>
        <w:t>B</w:t>
      </w:r>
      <w:r w:rsidR="00682D16" w:rsidRPr="000F7862">
        <w:rPr>
          <w:lang w:val="fr-FR"/>
        </w:rPr>
        <w:t>é</w:t>
      </w:r>
      <w:r w:rsidR="0086185C" w:rsidRPr="000F7862">
        <w:rPr>
          <w:lang w:val="fr-FR"/>
        </w:rPr>
        <w:t>n</w:t>
      </w:r>
      <w:r w:rsidR="00682D16" w:rsidRPr="000F7862">
        <w:rPr>
          <w:lang w:val="fr-FR"/>
        </w:rPr>
        <w:t>é</w:t>
      </w:r>
      <w:r w:rsidR="0086185C" w:rsidRPr="000F7862">
        <w:rPr>
          <w:lang w:val="fr-FR"/>
        </w:rPr>
        <w:t>ficia</w:t>
      </w:r>
      <w:r w:rsidR="00682D16" w:rsidRPr="000F7862">
        <w:rPr>
          <w:lang w:val="fr-FR"/>
        </w:rPr>
        <w:t>ires</w:t>
      </w:r>
    </w:p>
    <w:p w:rsidR="0086185C" w:rsidRPr="000F7862" w:rsidRDefault="00DD43A1" w:rsidP="001C088C">
      <w:pPr>
        <w:pStyle w:val="H56G"/>
        <w:rPr>
          <w:lang w:val="fr-FR"/>
        </w:rPr>
      </w:pPr>
      <w:r w:rsidRPr="000F7862">
        <w:rPr>
          <w:lang w:val="fr-FR"/>
        </w:rPr>
        <w:tab/>
        <w:t>1.</w:t>
      </w:r>
      <w:r w:rsidRPr="000F7862">
        <w:rPr>
          <w:lang w:val="fr-FR"/>
        </w:rPr>
        <w:tab/>
      </w:r>
      <w:r w:rsidR="00682D16" w:rsidRPr="000F7862">
        <w:rPr>
          <w:lang w:val="fr-FR"/>
        </w:rPr>
        <w:t xml:space="preserve">Ménages bénéficiaires du Programme </w:t>
      </w:r>
      <w:r w:rsidR="0086185C" w:rsidRPr="000F7862">
        <w:rPr>
          <w:lang w:val="fr-FR"/>
        </w:rPr>
        <w:t>Pantawid</w:t>
      </w:r>
      <w:r w:rsidR="00446EA5" w:rsidRPr="000F7862">
        <w:rPr>
          <w:lang w:val="fr-FR"/>
        </w:rPr>
        <w:t xml:space="preserve"> </w:t>
      </w:r>
      <w:r w:rsidR="0086185C" w:rsidRPr="000F7862">
        <w:rPr>
          <w:lang w:val="fr-FR"/>
        </w:rPr>
        <w:t xml:space="preserve">Pamilya </w:t>
      </w:r>
    </w:p>
    <w:p w:rsidR="0086185C" w:rsidRPr="000F7862" w:rsidRDefault="003F7F57" w:rsidP="003F7F57">
      <w:pPr>
        <w:pStyle w:val="SingleTxtG"/>
        <w:rPr>
          <w:lang w:val="fr-FR"/>
        </w:rPr>
      </w:pPr>
      <w:r w:rsidRPr="000F7862">
        <w:rPr>
          <w:lang w:val="fr-FR"/>
        </w:rPr>
        <w:t>193.</w:t>
      </w:r>
      <w:r w:rsidRPr="000F7862">
        <w:rPr>
          <w:lang w:val="fr-FR"/>
        </w:rPr>
        <w:tab/>
      </w:r>
      <w:r w:rsidR="00B272C8" w:rsidRPr="000F7862">
        <w:rPr>
          <w:lang w:val="fr-FR"/>
        </w:rPr>
        <w:t xml:space="preserve">À ce jour, </w:t>
      </w:r>
      <w:r w:rsidR="0086185C" w:rsidRPr="000F7862">
        <w:rPr>
          <w:lang w:val="fr-FR"/>
        </w:rPr>
        <w:t>117</w:t>
      </w:r>
      <w:r w:rsidR="00EE3110" w:rsidRPr="000F7862">
        <w:rPr>
          <w:lang w:val="fr-FR"/>
        </w:rPr>
        <w:t> </w:t>
      </w:r>
      <w:r w:rsidR="0086185C" w:rsidRPr="000F7862">
        <w:rPr>
          <w:lang w:val="fr-FR"/>
        </w:rPr>
        <w:t xml:space="preserve">388 </w:t>
      </w:r>
      <w:r w:rsidR="00B272C8" w:rsidRPr="000F7862">
        <w:rPr>
          <w:lang w:val="fr-FR"/>
        </w:rPr>
        <w:t xml:space="preserve">ménages ont reçu une </w:t>
      </w:r>
      <w:r w:rsidR="0086185C" w:rsidRPr="000F7862">
        <w:rPr>
          <w:lang w:val="fr-FR"/>
        </w:rPr>
        <w:t xml:space="preserve">assistance </w:t>
      </w:r>
      <w:r w:rsidR="00B272C8" w:rsidRPr="000F7862">
        <w:rPr>
          <w:lang w:val="fr-FR"/>
        </w:rPr>
        <w:t>financière d</w:t>
      </w:r>
      <w:r w:rsidR="00120E2E" w:rsidRPr="000F7862">
        <w:rPr>
          <w:lang w:val="fr-FR"/>
        </w:rPr>
        <w:t>’</w:t>
      </w:r>
      <w:r w:rsidR="00B272C8" w:rsidRPr="000F7862">
        <w:rPr>
          <w:lang w:val="fr-FR"/>
        </w:rPr>
        <w:t xml:space="preserve">un montant global de </w:t>
      </w:r>
      <w:r w:rsidR="0086185C" w:rsidRPr="000F7862">
        <w:rPr>
          <w:lang w:val="fr-FR"/>
        </w:rPr>
        <w:t>912</w:t>
      </w:r>
      <w:r w:rsidR="00B272C8" w:rsidRPr="000F7862">
        <w:rPr>
          <w:lang w:val="fr-FR"/>
        </w:rPr>
        <w:t> 864 </w:t>
      </w:r>
      <w:r w:rsidR="0086185C" w:rsidRPr="000F7862">
        <w:rPr>
          <w:lang w:val="fr-FR"/>
        </w:rPr>
        <w:t>516</w:t>
      </w:r>
      <w:r w:rsidR="00B272C8" w:rsidRPr="000F7862">
        <w:rPr>
          <w:lang w:val="fr-FR"/>
        </w:rPr>
        <w:t xml:space="preserve"> pesos</w:t>
      </w:r>
      <w:r w:rsidR="0086185C" w:rsidRPr="000F7862">
        <w:rPr>
          <w:lang w:val="fr-FR"/>
        </w:rPr>
        <w:t xml:space="preserve">. </w:t>
      </w:r>
      <w:r w:rsidR="00B272C8" w:rsidRPr="000F7862">
        <w:rPr>
          <w:lang w:val="fr-FR"/>
        </w:rPr>
        <w:t xml:space="preserve">Sur ce nombre, </w:t>
      </w:r>
      <w:r w:rsidR="0086185C" w:rsidRPr="000F7862">
        <w:rPr>
          <w:lang w:val="fr-FR"/>
        </w:rPr>
        <w:t>19</w:t>
      </w:r>
      <w:r w:rsidR="00EE3110" w:rsidRPr="000F7862">
        <w:rPr>
          <w:lang w:val="fr-FR"/>
        </w:rPr>
        <w:t> </w:t>
      </w:r>
      <w:r w:rsidR="0086185C" w:rsidRPr="000F7862">
        <w:rPr>
          <w:lang w:val="fr-FR"/>
        </w:rPr>
        <w:t xml:space="preserve">064 </w:t>
      </w:r>
      <w:r w:rsidR="00B272C8" w:rsidRPr="000F7862">
        <w:rPr>
          <w:lang w:val="fr-FR"/>
        </w:rPr>
        <w:t xml:space="preserve">ménages avaient été couverts au premier trimestre de </w:t>
      </w:r>
      <w:r w:rsidR="0086185C" w:rsidRPr="000F7862">
        <w:rPr>
          <w:lang w:val="fr-FR"/>
        </w:rPr>
        <w:t>2013</w:t>
      </w:r>
      <w:r w:rsidR="00B272C8" w:rsidRPr="000F7862">
        <w:rPr>
          <w:lang w:val="fr-FR"/>
        </w:rPr>
        <w:t xml:space="preserve">, pour un montant </w:t>
      </w:r>
      <w:r w:rsidR="0086185C" w:rsidRPr="000F7862">
        <w:rPr>
          <w:lang w:val="fr-FR"/>
        </w:rPr>
        <w:t xml:space="preserve">total </w:t>
      </w:r>
      <w:r w:rsidR="00B272C8" w:rsidRPr="000F7862">
        <w:rPr>
          <w:lang w:val="fr-FR"/>
        </w:rPr>
        <w:t xml:space="preserve">de </w:t>
      </w:r>
      <w:r w:rsidR="0086185C" w:rsidRPr="000F7862">
        <w:rPr>
          <w:lang w:val="fr-FR"/>
        </w:rPr>
        <w:t>159</w:t>
      </w:r>
      <w:r w:rsidR="00B272C8" w:rsidRPr="000F7862">
        <w:rPr>
          <w:lang w:val="fr-FR"/>
        </w:rPr>
        <w:t> 611</w:t>
      </w:r>
      <w:r w:rsidR="00EE3110" w:rsidRPr="000F7862">
        <w:rPr>
          <w:lang w:val="fr-FR"/>
        </w:rPr>
        <w:t> </w:t>
      </w:r>
      <w:r w:rsidR="0086185C" w:rsidRPr="000F7862">
        <w:rPr>
          <w:lang w:val="fr-FR"/>
        </w:rPr>
        <w:t xml:space="preserve">527 </w:t>
      </w:r>
      <w:r w:rsidR="00B272C8" w:rsidRPr="000F7862">
        <w:rPr>
          <w:lang w:val="fr-FR"/>
        </w:rPr>
        <w:t>pesos</w:t>
      </w:r>
      <w:r w:rsidR="0086185C" w:rsidRPr="000F7862">
        <w:rPr>
          <w:lang w:val="fr-FR"/>
        </w:rPr>
        <w:t>.</w:t>
      </w:r>
    </w:p>
    <w:p w:rsidR="0086185C" w:rsidRPr="000F7862" w:rsidRDefault="00DD43A1" w:rsidP="001C088C">
      <w:pPr>
        <w:pStyle w:val="H56G"/>
        <w:rPr>
          <w:lang w:val="fr-FR"/>
        </w:rPr>
      </w:pPr>
      <w:r w:rsidRPr="000F7862">
        <w:rPr>
          <w:lang w:val="fr-FR"/>
        </w:rPr>
        <w:tab/>
        <w:t>2.</w:t>
      </w:r>
      <w:r w:rsidRPr="000F7862">
        <w:rPr>
          <w:lang w:val="fr-FR"/>
        </w:rPr>
        <w:tab/>
      </w:r>
      <w:r w:rsidR="00B272C8" w:rsidRPr="000F7862">
        <w:rPr>
          <w:lang w:val="fr-FR"/>
        </w:rPr>
        <w:t>Ménages non bénéficiaires du Programme Pantawid Pamilya</w:t>
      </w:r>
    </w:p>
    <w:p w:rsidR="0086185C" w:rsidRPr="000F7862" w:rsidRDefault="003F7F57" w:rsidP="003F7F57">
      <w:pPr>
        <w:pStyle w:val="SingleTxtG"/>
        <w:rPr>
          <w:lang w:val="fr-FR"/>
        </w:rPr>
      </w:pPr>
      <w:r w:rsidRPr="000F7862">
        <w:rPr>
          <w:lang w:val="fr-FR"/>
        </w:rPr>
        <w:t>194.</w:t>
      </w:r>
      <w:r w:rsidRPr="000F7862">
        <w:rPr>
          <w:lang w:val="fr-FR"/>
        </w:rPr>
        <w:tab/>
      </w:r>
      <w:r w:rsidR="00B272C8" w:rsidRPr="000F7862">
        <w:rPr>
          <w:lang w:val="fr-FR"/>
        </w:rPr>
        <w:t xml:space="preserve">À ce jour, </w:t>
      </w:r>
      <w:r w:rsidR="00094F0E" w:rsidRPr="000F7862">
        <w:rPr>
          <w:lang w:val="fr-FR"/>
        </w:rPr>
        <w:t>37</w:t>
      </w:r>
      <w:r w:rsidR="00EE3110" w:rsidRPr="000F7862">
        <w:rPr>
          <w:lang w:val="fr-FR"/>
        </w:rPr>
        <w:t> </w:t>
      </w:r>
      <w:r w:rsidR="00B272C8" w:rsidRPr="000F7862">
        <w:rPr>
          <w:lang w:val="fr-FR"/>
        </w:rPr>
        <w:t>443 ménages non bénéficiaires du Programme Pantawid Pamilya ont reçu une assistance financière d</w:t>
      </w:r>
      <w:r w:rsidR="00120E2E" w:rsidRPr="000F7862">
        <w:rPr>
          <w:lang w:val="fr-FR"/>
        </w:rPr>
        <w:t>’</w:t>
      </w:r>
      <w:r w:rsidR="00B272C8" w:rsidRPr="000F7862">
        <w:rPr>
          <w:lang w:val="fr-FR"/>
        </w:rPr>
        <w:t xml:space="preserve">un montant global de </w:t>
      </w:r>
      <w:r w:rsidR="00094F0E" w:rsidRPr="000F7862">
        <w:rPr>
          <w:lang w:val="fr-FR"/>
        </w:rPr>
        <w:t>298 824</w:t>
      </w:r>
      <w:r w:rsidR="00EE3110" w:rsidRPr="000F7862">
        <w:rPr>
          <w:lang w:val="fr-FR"/>
        </w:rPr>
        <w:t> </w:t>
      </w:r>
      <w:r w:rsidR="00B272C8" w:rsidRPr="000F7862">
        <w:rPr>
          <w:lang w:val="fr-FR"/>
        </w:rPr>
        <w:t>107 pesos. Sur ce nombre, 3</w:t>
      </w:r>
      <w:r w:rsidR="00EE3110" w:rsidRPr="000F7862">
        <w:rPr>
          <w:lang w:val="fr-FR"/>
        </w:rPr>
        <w:t> </w:t>
      </w:r>
      <w:r w:rsidR="00B272C8" w:rsidRPr="000F7862">
        <w:rPr>
          <w:lang w:val="fr-FR"/>
        </w:rPr>
        <w:t xml:space="preserve">674 ménages avaient été couverts au premier trimestre de 2013, pour un montant total de </w:t>
      </w:r>
      <w:r w:rsidR="00094F0E" w:rsidRPr="000F7862">
        <w:rPr>
          <w:lang w:val="fr-FR"/>
        </w:rPr>
        <w:t>21 273</w:t>
      </w:r>
      <w:r w:rsidR="00EE3110" w:rsidRPr="000F7862">
        <w:rPr>
          <w:lang w:val="fr-FR"/>
        </w:rPr>
        <w:t> </w:t>
      </w:r>
      <w:r w:rsidR="00094F0E" w:rsidRPr="000F7862">
        <w:rPr>
          <w:lang w:val="fr-FR"/>
        </w:rPr>
        <w:t xml:space="preserve">250 </w:t>
      </w:r>
      <w:r w:rsidR="00B272C8" w:rsidRPr="000F7862">
        <w:rPr>
          <w:lang w:val="fr-FR"/>
        </w:rPr>
        <w:t>pesos</w:t>
      </w:r>
      <w:r w:rsidR="00094F0E" w:rsidRPr="000F7862">
        <w:rPr>
          <w:lang w:val="fr-FR"/>
        </w:rPr>
        <w:t xml:space="preserve"> d</w:t>
      </w:r>
      <w:r w:rsidR="00120E2E" w:rsidRPr="000F7862">
        <w:rPr>
          <w:lang w:val="fr-FR"/>
        </w:rPr>
        <w:t>’</w:t>
      </w:r>
      <w:r w:rsidR="00094F0E" w:rsidRPr="000F7862">
        <w:rPr>
          <w:lang w:val="fr-FR"/>
        </w:rPr>
        <w:t>assistance financière</w:t>
      </w:r>
      <w:r w:rsidR="001B41FF" w:rsidRPr="000F7862">
        <w:rPr>
          <w:lang w:val="fr-FR"/>
        </w:rPr>
        <w:t>.</w:t>
      </w:r>
    </w:p>
    <w:p w:rsidR="0086185C" w:rsidRPr="000F7862" w:rsidRDefault="00F138DA" w:rsidP="004D4B73">
      <w:pPr>
        <w:pStyle w:val="H4G"/>
        <w:rPr>
          <w:lang w:val="fr-FR"/>
        </w:rPr>
      </w:pPr>
      <w:r w:rsidRPr="000F7862">
        <w:rPr>
          <w:lang w:val="fr-FR"/>
        </w:rPr>
        <w:tab/>
      </w:r>
      <w:r w:rsidR="00DD43A1" w:rsidRPr="000F7862">
        <w:rPr>
          <w:lang w:val="fr-FR"/>
        </w:rPr>
        <w:t>b)</w:t>
      </w:r>
      <w:r w:rsidRPr="000F7862">
        <w:rPr>
          <w:lang w:val="fr-FR"/>
        </w:rPr>
        <w:tab/>
      </w:r>
      <w:r w:rsidR="00094F0E" w:rsidRPr="000F7862">
        <w:rPr>
          <w:lang w:val="fr-FR"/>
        </w:rPr>
        <w:t>Ménages bénéficiant de l</w:t>
      </w:r>
      <w:r w:rsidR="00120E2E" w:rsidRPr="000F7862">
        <w:rPr>
          <w:lang w:val="fr-FR"/>
        </w:rPr>
        <w:t>’</w:t>
      </w:r>
      <w:r w:rsidR="00094F0E" w:rsidRPr="000F7862">
        <w:rPr>
          <w:lang w:val="fr-FR"/>
        </w:rPr>
        <w:t>aide financière d</w:t>
      </w:r>
      <w:r w:rsidR="00120E2E" w:rsidRPr="000F7862">
        <w:rPr>
          <w:lang w:val="fr-FR"/>
        </w:rPr>
        <w:t>’</w:t>
      </w:r>
      <w:r w:rsidR="00094F0E" w:rsidRPr="000F7862">
        <w:rPr>
          <w:lang w:val="fr-FR"/>
        </w:rPr>
        <w:t>institutions de microfinancement</w:t>
      </w:r>
      <w:r w:rsidR="0086185C" w:rsidRPr="000F7862">
        <w:rPr>
          <w:lang w:val="fr-FR"/>
        </w:rPr>
        <w:t xml:space="preserve"> </w:t>
      </w:r>
    </w:p>
    <w:p w:rsidR="0086185C" w:rsidRPr="000F7862" w:rsidRDefault="003F7F57" w:rsidP="003F7F57">
      <w:pPr>
        <w:pStyle w:val="SingleTxtG"/>
        <w:rPr>
          <w:lang w:val="fr-FR"/>
        </w:rPr>
      </w:pPr>
      <w:r w:rsidRPr="000F7862">
        <w:rPr>
          <w:lang w:val="fr-FR"/>
        </w:rPr>
        <w:t>195.</w:t>
      </w:r>
      <w:r w:rsidRPr="000F7862">
        <w:rPr>
          <w:lang w:val="fr-FR"/>
        </w:rPr>
        <w:tab/>
      </w:r>
      <w:r w:rsidR="00B272C8" w:rsidRPr="000F7862">
        <w:rPr>
          <w:lang w:val="fr-FR"/>
        </w:rPr>
        <w:t xml:space="preserve">À ce jour, </w:t>
      </w:r>
      <w:r w:rsidR="0086185C" w:rsidRPr="000F7862">
        <w:rPr>
          <w:lang w:val="fr-FR"/>
        </w:rPr>
        <w:t>30</w:t>
      </w:r>
      <w:r w:rsidR="00EE3110" w:rsidRPr="000F7862">
        <w:rPr>
          <w:lang w:val="fr-FR"/>
        </w:rPr>
        <w:t> </w:t>
      </w:r>
      <w:r w:rsidR="0086185C" w:rsidRPr="000F7862">
        <w:rPr>
          <w:lang w:val="fr-FR"/>
        </w:rPr>
        <w:t xml:space="preserve">114 </w:t>
      </w:r>
      <w:r w:rsidR="00094F0E" w:rsidRPr="000F7862">
        <w:rPr>
          <w:lang w:val="fr-FR"/>
        </w:rPr>
        <w:t>ménages ont été aiguillés vers des institutions de microfinancement et d</w:t>
      </w:r>
      <w:r w:rsidR="00120E2E" w:rsidRPr="000F7862">
        <w:rPr>
          <w:lang w:val="fr-FR"/>
        </w:rPr>
        <w:t>’</w:t>
      </w:r>
      <w:r w:rsidR="00094F0E" w:rsidRPr="000F7862">
        <w:rPr>
          <w:lang w:val="fr-FR"/>
        </w:rPr>
        <w:t>autres</w:t>
      </w:r>
      <w:r w:rsidR="000F506F" w:rsidRPr="000F7862">
        <w:rPr>
          <w:lang w:val="fr-FR"/>
        </w:rPr>
        <w:t xml:space="preserve"> établissements de crédit officiels</w:t>
      </w:r>
      <w:r w:rsidR="00094F0E" w:rsidRPr="000F7862">
        <w:rPr>
          <w:lang w:val="fr-FR"/>
        </w:rPr>
        <w:t xml:space="preserve"> et financés par e</w:t>
      </w:r>
      <w:r w:rsidR="000F506F" w:rsidRPr="000F7862">
        <w:rPr>
          <w:lang w:val="fr-FR"/>
        </w:rPr>
        <w:t>ux</w:t>
      </w:r>
      <w:r w:rsidR="0086185C" w:rsidRPr="000F7862">
        <w:rPr>
          <w:lang w:val="fr-FR"/>
        </w:rPr>
        <w:t>.</w:t>
      </w:r>
    </w:p>
    <w:p w:rsidR="0086185C" w:rsidRPr="000F7862" w:rsidRDefault="00F138DA" w:rsidP="004D4B73">
      <w:pPr>
        <w:pStyle w:val="H4G"/>
        <w:rPr>
          <w:lang w:val="fr-FR"/>
        </w:rPr>
      </w:pPr>
      <w:r w:rsidRPr="000F7862">
        <w:rPr>
          <w:lang w:val="fr-FR"/>
        </w:rPr>
        <w:tab/>
      </w:r>
      <w:r w:rsidR="00DD43A1" w:rsidRPr="000F7862">
        <w:rPr>
          <w:lang w:val="fr-FR"/>
        </w:rPr>
        <w:t>c)</w:t>
      </w:r>
      <w:r w:rsidRPr="000F7862">
        <w:rPr>
          <w:lang w:val="fr-FR"/>
        </w:rPr>
        <w:tab/>
      </w:r>
      <w:r w:rsidR="000F506F" w:rsidRPr="000F7862">
        <w:rPr>
          <w:lang w:val="fr-FR"/>
        </w:rPr>
        <w:t>Ménages bénéficiant de la formation au renforcement des compétences dispensée par le Ministère de la protection sociale et du développement</w:t>
      </w:r>
      <w:r w:rsidR="0005004C" w:rsidRPr="000F7862">
        <w:rPr>
          <w:lang w:val="fr-FR"/>
        </w:rPr>
        <w:t xml:space="preserve"> </w:t>
      </w:r>
    </w:p>
    <w:p w:rsidR="0086185C" w:rsidRPr="000F7862" w:rsidRDefault="003F7F57" w:rsidP="003F7F57">
      <w:pPr>
        <w:pStyle w:val="SingleTxtG"/>
        <w:rPr>
          <w:lang w:val="fr-FR"/>
        </w:rPr>
      </w:pPr>
      <w:r w:rsidRPr="000F7862">
        <w:rPr>
          <w:lang w:val="fr-FR"/>
        </w:rPr>
        <w:t>196.</w:t>
      </w:r>
      <w:r w:rsidRPr="000F7862">
        <w:rPr>
          <w:lang w:val="fr-FR"/>
        </w:rPr>
        <w:tab/>
      </w:r>
      <w:r w:rsidR="000F506F" w:rsidRPr="000F7862">
        <w:rPr>
          <w:lang w:val="fr-FR"/>
        </w:rPr>
        <w:t xml:space="preserve">Au Bureau local de la région de </w:t>
      </w:r>
      <w:r w:rsidR="0086185C" w:rsidRPr="000F7862">
        <w:rPr>
          <w:lang w:val="fr-FR"/>
        </w:rPr>
        <w:t>C</w:t>
      </w:r>
      <w:r w:rsidR="000F506F" w:rsidRPr="000F7862">
        <w:rPr>
          <w:lang w:val="fr-FR"/>
        </w:rPr>
        <w:t>araga</w:t>
      </w:r>
      <w:r w:rsidR="0086185C" w:rsidRPr="000F7862">
        <w:rPr>
          <w:lang w:val="fr-FR"/>
        </w:rPr>
        <w:t>, 13</w:t>
      </w:r>
      <w:r w:rsidR="00EE3110" w:rsidRPr="000F7862">
        <w:rPr>
          <w:lang w:val="fr-FR"/>
        </w:rPr>
        <w:t> </w:t>
      </w:r>
      <w:r w:rsidR="0086185C" w:rsidRPr="000F7862">
        <w:rPr>
          <w:lang w:val="fr-FR"/>
        </w:rPr>
        <w:t xml:space="preserve">447 </w:t>
      </w:r>
      <w:r w:rsidR="000F506F" w:rsidRPr="000F7862">
        <w:rPr>
          <w:lang w:val="fr-FR"/>
        </w:rPr>
        <w:t xml:space="preserve">ménages bénéficiaires du Programme </w:t>
      </w:r>
      <w:r w:rsidR="0086185C" w:rsidRPr="000F7862">
        <w:rPr>
          <w:lang w:val="fr-FR"/>
        </w:rPr>
        <w:t xml:space="preserve">Pantawid Pamilya </w:t>
      </w:r>
      <w:r w:rsidR="000F506F" w:rsidRPr="000F7862">
        <w:rPr>
          <w:lang w:val="fr-FR"/>
        </w:rPr>
        <w:t>ont</w:t>
      </w:r>
      <w:r w:rsidR="0086185C" w:rsidRPr="000F7862">
        <w:rPr>
          <w:lang w:val="fr-FR"/>
        </w:rPr>
        <w:t xml:space="preserve"> opt</w:t>
      </w:r>
      <w:r w:rsidR="000F506F" w:rsidRPr="000F7862">
        <w:rPr>
          <w:lang w:val="fr-FR"/>
        </w:rPr>
        <w:t>é pour une assistance non financière du Ministère, qui leur a dispensé une formation au renforcement des compétences dans les domaines de l</w:t>
      </w:r>
      <w:r w:rsidR="00120E2E" w:rsidRPr="000F7862">
        <w:rPr>
          <w:lang w:val="fr-FR"/>
        </w:rPr>
        <w:t>’</w:t>
      </w:r>
      <w:r w:rsidR="000F506F" w:rsidRPr="000F7862">
        <w:rPr>
          <w:lang w:val="fr-FR"/>
        </w:rPr>
        <w:t xml:space="preserve">agriculture et de la </w:t>
      </w:r>
      <w:r w:rsidR="0086185C" w:rsidRPr="000F7862">
        <w:rPr>
          <w:lang w:val="fr-FR"/>
        </w:rPr>
        <w:t>production.</w:t>
      </w:r>
    </w:p>
    <w:p w:rsidR="0086185C" w:rsidRPr="000F7862" w:rsidRDefault="00EE3110" w:rsidP="00EE3110">
      <w:pPr>
        <w:pStyle w:val="H23G"/>
        <w:rPr>
          <w:lang w:val="fr-FR"/>
        </w:rPr>
      </w:pPr>
      <w:r w:rsidRPr="000F7862">
        <w:rPr>
          <w:lang w:val="fr-FR"/>
        </w:rPr>
        <w:tab/>
      </w:r>
      <w:r w:rsidRPr="000F7862">
        <w:rPr>
          <w:lang w:val="fr-FR"/>
        </w:rPr>
        <w:tab/>
      </w:r>
      <w:r w:rsidR="0086185C" w:rsidRPr="000F7862">
        <w:rPr>
          <w:lang w:val="fr-FR"/>
        </w:rPr>
        <w:t>Facilitation</w:t>
      </w:r>
      <w:r w:rsidR="00DF1D69" w:rsidRPr="000F7862">
        <w:rPr>
          <w:lang w:val="fr-FR"/>
        </w:rPr>
        <w:t xml:space="preserve"> de la recherche d</w:t>
      </w:r>
      <w:r w:rsidR="00120E2E" w:rsidRPr="000F7862">
        <w:rPr>
          <w:lang w:val="fr-FR"/>
        </w:rPr>
        <w:t>’</w:t>
      </w:r>
      <w:r w:rsidR="00DF1D69" w:rsidRPr="000F7862">
        <w:rPr>
          <w:lang w:val="fr-FR"/>
        </w:rPr>
        <w:t>un emploi</w:t>
      </w:r>
    </w:p>
    <w:p w:rsidR="0086185C" w:rsidRPr="000F7862" w:rsidRDefault="003F7F57" w:rsidP="00EE3110">
      <w:pPr>
        <w:pStyle w:val="SingleTxtG"/>
        <w:rPr>
          <w:lang w:val="fr-FR"/>
        </w:rPr>
      </w:pPr>
      <w:r w:rsidRPr="000F7862">
        <w:rPr>
          <w:lang w:val="fr-FR"/>
        </w:rPr>
        <w:t>197.</w:t>
      </w:r>
      <w:r w:rsidRPr="000F7862">
        <w:rPr>
          <w:lang w:val="fr-FR"/>
        </w:rPr>
        <w:tab/>
      </w:r>
      <w:r w:rsidR="0086185C" w:rsidRPr="000F7862">
        <w:rPr>
          <w:lang w:val="fr-FR"/>
        </w:rPr>
        <w:t>A</w:t>
      </w:r>
      <w:r w:rsidR="000F506F" w:rsidRPr="000F7862">
        <w:rPr>
          <w:lang w:val="fr-FR"/>
        </w:rPr>
        <w:t xml:space="preserve">u total, </w:t>
      </w:r>
      <w:r w:rsidR="0086185C" w:rsidRPr="000F7862">
        <w:rPr>
          <w:lang w:val="fr-FR"/>
        </w:rPr>
        <w:t>4</w:t>
      </w:r>
      <w:r w:rsidR="00EE3110" w:rsidRPr="000F7862">
        <w:rPr>
          <w:lang w:val="fr-FR"/>
        </w:rPr>
        <w:t> </w:t>
      </w:r>
      <w:r w:rsidR="000F506F" w:rsidRPr="000F7862">
        <w:rPr>
          <w:lang w:val="fr-FR"/>
        </w:rPr>
        <w:t>634 bé</w:t>
      </w:r>
      <w:r w:rsidR="0086185C" w:rsidRPr="000F7862">
        <w:rPr>
          <w:lang w:val="fr-FR"/>
        </w:rPr>
        <w:t>n</w:t>
      </w:r>
      <w:r w:rsidR="000F506F" w:rsidRPr="000F7862">
        <w:rPr>
          <w:lang w:val="fr-FR"/>
        </w:rPr>
        <w:t>é</w:t>
      </w:r>
      <w:r w:rsidR="0086185C" w:rsidRPr="000F7862">
        <w:rPr>
          <w:lang w:val="fr-FR"/>
        </w:rPr>
        <w:t>ficia</w:t>
      </w:r>
      <w:r w:rsidR="000F506F" w:rsidRPr="000F7862">
        <w:rPr>
          <w:lang w:val="fr-FR"/>
        </w:rPr>
        <w:t xml:space="preserve">ires occupaient un emploi en mars </w:t>
      </w:r>
      <w:r w:rsidR="0086185C" w:rsidRPr="000F7862">
        <w:rPr>
          <w:lang w:val="fr-FR"/>
        </w:rPr>
        <w:t xml:space="preserve">2013. </w:t>
      </w:r>
      <w:r w:rsidR="000F506F" w:rsidRPr="000F7862">
        <w:rPr>
          <w:lang w:val="fr-FR"/>
        </w:rPr>
        <w:t xml:space="preserve">Les </w:t>
      </w:r>
      <w:r w:rsidR="0086185C" w:rsidRPr="000F7862">
        <w:rPr>
          <w:lang w:val="fr-FR"/>
        </w:rPr>
        <w:t>b</w:t>
      </w:r>
      <w:r w:rsidR="000F506F" w:rsidRPr="000F7862">
        <w:rPr>
          <w:lang w:val="fr-FR"/>
        </w:rPr>
        <w:t>é</w:t>
      </w:r>
      <w:r w:rsidR="0086185C" w:rsidRPr="000F7862">
        <w:rPr>
          <w:lang w:val="fr-FR"/>
        </w:rPr>
        <w:t>n</w:t>
      </w:r>
      <w:r w:rsidR="000F506F" w:rsidRPr="000F7862">
        <w:rPr>
          <w:lang w:val="fr-FR"/>
        </w:rPr>
        <w:t>é</w:t>
      </w:r>
      <w:r w:rsidR="0086185C" w:rsidRPr="000F7862">
        <w:rPr>
          <w:lang w:val="fr-FR"/>
        </w:rPr>
        <w:t>ficia</w:t>
      </w:r>
      <w:r w:rsidR="000F506F" w:rsidRPr="000F7862">
        <w:rPr>
          <w:lang w:val="fr-FR"/>
        </w:rPr>
        <w:t xml:space="preserve">ires </w:t>
      </w:r>
      <w:r w:rsidR="00E119B3" w:rsidRPr="000F7862">
        <w:rPr>
          <w:lang w:val="fr-FR"/>
        </w:rPr>
        <w:t>ont eu accès à un emploi garanti auprès de divers partenaires publics et privé du Ministère de la protection sociale et du développement</w:t>
      </w:r>
      <w:r w:rsidR="0086185C" w:rsidRPr="000F7862">
        <w:rPr>
          <w:lang w:val="fr-FR"/>
        </w:rPr>
        <w:t>.</w:t>
      </w:r>
    </w:p>
    <w:p w:rsidR="0086185C" w:rsidRPr="000F7862" w:rsidRDefault="003F7F57" w:rsidP="003F7F57">
      <w:pPr>
        <w:pStyle w:val="SingleTxtG"/>
        <w:rPr>
          <w:lang w:val="fr-FR"/>
        </w:rPr>
      </w:pPr>
      <w:r w:rsidRPr="000F7862">
        <w:rPr>
          <w:lang w:val="fr-FR"/>
        </w:rPr>
        <w:t>198.</w:t>
      </w:r>
      <w:r w:rsidRPr="000F7862">
        <w:rPr>
          <w:lang w:val="fr-FR"/>
        </w:rPr>
        <w:tab/>
      </w:r>
      <w:r w:rsidR="00E119B3" w:rsidRPr="000F7862">
        <w:rPr>
          <w:lang w:val="fr-FR"/>
        </w:rPr>
        <w:t xml:space="preserve">Les autres </w:t>
      </w:r>
      <w:r w:rsidR="0086185C" w:rsidRPr="000F7862">
        <w:rPr>
          <w:lang w:val="fr-FR"/>
        </w:rPr>
        <w:t>strat</w:t>
      </w:r>
      <w:r w:rsidR="00E119B3" w:rsidRPr="000F7862">
        <w:rPr>
          <w:lang w:val="fr-FR"/>
        </w:rPr>
        <w:t>é</w:t>
      </w:r>
      <w:r w:rsidR="0086185C" w:rsidRPr="000F7862">
        <w:rPr>
          <w:lang w:val="fr-FR"/>
        </w:rPr>
        <w:t xml:space="preserve">gies </w:t>
      </w:r>
      <w:r w:rsidR="00E119B3" w:rsidRPr="000F7862">
        <w:rPr>
          <w:lang w:val="fr-FR"/>
        </w:rPr>
        <w:t xml:space="preserve">mises en œuvre par le Ministère en matière de réduction de la pauvreté pour assurer la pleine </w:t>
      </w:r>
      <w:r w:rsidR="0086185C" w:rsidRPr="000F7862">
        <w:rPr>
          <w:lang w:val="fr-FR"/>
        </w:rPr>
        <w:t>int</w:t>
      </w:r>
      <w:r w:rsidR="00E119B3" w:rsidRPr="000F7862">
        <w:rPr>
          <w:lang w:val="fr-FR"/>
        </w:rPr>
        <w:t>é</w:t>
      </w:r>
      <w:r w:rsidR="0086185C" w:rsidRPr="000F7862">
        <w:rPr>
          <w:lang w:val="fr-FR"/>
        </w:rPr>
        <w:t xml:space="preserve">gration </w:t>
      </w:r>
      <w:r w:rsidR="00E119B3" w:rsidRPr="000F7862">
        <w:rPr>
          <w:lang w:val="fr-FR"/>
        </w:rPr>
        <w:t xml:space="preserve">des droits </w:t>
      </w:r>
      <w:r w:rsidR="0086185C" w:rsidRPr="000F7862">
        <w:rPr>
          <w:lang w:val="fr-FR"/>
        </w:rPr>
        <w:t>socio</w:t>
      </w:r>
      <w:r w:rsidR="00E119B3" w:rsidRPr="000F7862">
        <w:rPr>
          <w:lang w:val="fr-FR"/>
        </w:rPr>
        <w:t xml:space="preserve">économiques des secteurs </w:t>
      </w:r>
      <w:r w:rsidR="0086185C" w:rsidRPr="000F7862">
        <w:rPr>
          <w:lang w:val="fr-FR"/>
        </w:rPr>
        <w:t>vuln</w:t>
      </w:r>
      <w:r w:rsidR="00E119B3" w:rsidRPr="000F7862">
        <w:rPr>
          <w:lang w:val="fr-FR"/>
        </w:rPr>
        <w:t>é</w:t>
      </w:r>
      <w:r w:rsidR="0086185C" w:rsidRPr="000F7862">
        <w:rPr>
          <w:lang w:val="fr-FR"/>
        </w:rPr>
        <w:t>rable</w:t>
      </w:r>
      <w:r w:rsidR="00E119B3" w:rsidRPr="000F7862">
        <w:rPr>
          <w:lang w:val="fr-FR"/>
        </w:rPr>
        <w:t>s sont notamment les suivantes</w:t>
      </w:r>
      <w:r w:rsidR="0005004C" w:rsidRPr="000F7862">
        <w:rPr>
          <w:lang w:val="fr-FR"/>
        </w:rPr>
        <w:t>:</w:t>
      </w:r>
      <w:r w:rsidR="0086185C" w:rsidRPr="000F7862">
        <w:rPr>
          <w:lang w:val="fr-FR"/>
        </w:rPr>
        <w:t xml:space="preserve"> </w:t>
      </w:r>
    </w:p>
    <w:p w:rsidR="0086185C" w:rsidRPr="000F7862" w:rsidRDefault="00EE3110" w:rsidP="00EE3110">
      <w:pPr>
        <w:pStyle w:val="H23G"/>
        <w:rPr>
          <w:lang w:val="fr-FR"/>
        </w:rPr>
      </w:pPr>
      <w:r w:rsidRPr="000F7862">
        <w:rPr>
          <w:lang w:val="fr-FR"/>
        </w:rPr>
        <w:tab/>
      </w:r>
      <w:r w:rsidRPr="000F7862">
        <w:rPr>
          <w:lang w:val="fr-FR"/>
        </w:rPr>
        <w:tab/>
      </w:r>
      <w:r w:rsidR="00867E43" w:rsidRPr="000F7862">
        <w:rPr>
          <w:lang w:val="fr-FR"/>
        </w:rPr>
        <w:t>Programme</w:t>
      </w:r>
      <w:r w:rsidR="00243502" w:rsidRPr="000F7862">
        <w:rPr>
          <w:lang w:val="fr-FR"/>
        </w:rPr>
        <w:t xml:space="preserve"> de pension sociale</w:t>
      </w:r>
    </w:p>
    <w:p w:rsidR="0086185C" w:rsidRPr="000F7862" w:rsidRDefault="003F7F57" w:rsidP="003F7F57">
      <w:pPr>
        <w:pStyle w:val="SingleTxtG"/>
        <w:rPr>
          <w:lang w:val="fr-FR"/>
        </w:rPr>
      </w:pPr>
      <w:r w:rsidRPr="000F7862">
        <w:rPr>
          <w:lang w:val="fr-FR"/>
        </w:rPr>
        <w:t>199.</w:t>
      </w:r>
      <w:r w:rsidRPr="000F7862">
        <w:rPr>
          <w:lang w:val="fr-FR"/>
        </w:rPr>
        <w:tab/>
      </w:r>
      <w:r w:rsidR="00243502" w:rsidRPr="000F7862">
        <w:rPr>
          <w:lang w:val="fr-FR"/>
        </w:rPr>
        <w:t>La pension sociale est une assistance financière fournie aux personnes âgées indigentes sous la forme d</w:t>
      </w:r>
      <w:r w:rsidR="00120E2E" w:rsidRPr="000F7862">
        <w:rPr>
          <w:lang w:val="fr-FR"/>
        </w:rPr>
        <w:t>’</w:t>
      </w:r>
      <w:r w:rsidR="00243502" w:rsidRPr="000F7862">
        <w:rPr>
          <w:lang w:val="fr-FR"/>
        </w:rPr>
        <w:t>une allocation mensuelle d</w:t>
      </w:r>
      <w:r w:rsidR="00120E2E" w:rsidRPr="000F7862">
        <w:rPr>
          <w:lang w:val="fr-FR"/>
        </w:rPr>
        <w:t>’</w:t>
      </w:r>
      <w:r w:rsidR="00243502" w:rsidRPr="000F7862">
        <w:rPr>
          <w:lang w:val="fr-FR"/>
        </w:rPr>
        <w:t>un montant de 500 pesos</w:t>
      </w:r>
      <w:r w:rsidR="0086185C" w:rsidRPr="000F7862">
        <w:rPr>
          <w:lang w:val="fr-FR"/>
        </w:rPr>
        <w:t xml:space="preserve">. </w:t>
      </w:r>
      <w:r w:rsidR="00243502" w:rsidRPr="000F7862">
        <w:rPr>
          <w:lang w:val="fr-FR"/>
        </w:rPr>
        <w:t xml:space="preserve">Cette </w:t>
      </w:r>
      <w:r w:rsidR="0086185C" w:rsidRPr="000F7862">
        <w:rPr>
          <w:lang w:val="fr-FR"/>
        </w:rPr>
        <w:t xml:space="preserve">assistance </w:t>
      </w:r>
      <w:r w:rsidR="00243502" w:rsidRPr="000F7862">
        <w:rPr>
          <w:lang w:val="fr-FR"/>
        </w:rPr>
        <w:t>est destinée à les aider à assurer leur subsistance quotidienne et à faire face à leurs dépenses de santé</w:t>
      </w:r>
      <w:r w:rsidR="0086185C" w:rsidRPr="000F7862">
        <w:rPr>
          <w:lang w:val="fr-FR"/>
        </w:rPr>
        <w:t>.</w:t>
      </w:r>
    </w:p>
    <w:p w:rsidR="0086185C" w:rsidRPr="000F7862" w:rsidRDefault="003F7F57" w:rsidP="003F7F57">
      <w:pPr>
        <w:pStyle w:val="SingleTxtG"/>
        <w:rPr>
          <w:lang w:val="fr-FR"/>
        </w:rPr>
      </w:pPr>
      <w:r w:rsidRPr="000F7862">
        <w:rPr>
          <w:lang w:val="fr-FR"/>
        </w:rPr>
        <w:t>200.</w:t>
      </w:r>
      <w:r w:rsidRPr="000F7862">
        <w:rPr>
          <w:lang w:val="fr-FR"/>
        </w:rPr>
        <w:tab/>
      </w:r>
      <w:r w:rsidR="00243502" w:rsidRPr="000F7862">
        <w:rPr>
          <w:lang w:val="fr-FR"/>
        </w:rPr>
        <w:t>Au cours de l</w:t>
      </w:r>
      <w:r w:rsidR="00120E2E" w:rsidRPr="000F7862">
        <w:rPr>
          <w:lang w:val="fr-FR"/>
        </w:rPr>
        <w:t>’</w:t>
      </w:r>
      <w:r w:rsidR="00243502" w:rsidRPr="000F7862">
        <w:rPr>
          <w:lang w:val="fr-FR"/>
        </w:rPr>
        <w:t xml:space="preserve">année civile </w:t>
      </w:r>
      <w:r w:rsidR="0086185C" w:rsidRPr="000F7862">
        <w:rPr>
          <w:lang w:val="fr-FR"/>
        </w:rPr>
        <w:t xml:space="preserve">2012, </w:t>
      </w:r>
      <w:r w:rsidR="00243502" w:rsidRPr="000F7862">
        <w:rPr>
          <w:lang w:val="fr-FR"/>
        </w:rPr>
        <w:t xml:space="preserve">le Ministère de la protection sociale et du développement a versé au </w:t>
      </w:r>
      <w:r w:rsidR="00EE3110" w:rsidRPr="000F7862">
        <w:rPr>
          <w:lang w:val="fr-FR"/>
        </w:rPr>
        <w:t>total 90 </w:t>
      </w:r>
      <w:r w:rsidR="0086185C" w:rsidRPr="000F7862">
        <w:rPr>
          <w:lang w:val="fr-FR"/>
        </w:rPr>
        <w:t>500</w:t>
      </w:r>
      <w:r w:rsidR="00243502" w:rsidRPr="000F7862">
        <w:rPr>
          <w:lang w:val="fr-FR"/>
        </w:rPr>
        <w:t> </w:t>
      </w:r>
      <w:r w:rsidR="0086185C" w:rsidRPr="000F7862">
        <w:rPr>
          <w:lang w:val="fr-FR"/>
        </w:rPr>
        <w:t>500</w:t>
      </w:r>
      <w:r w:rsidR="00243502" w:rsidRPr="000F7862">
        <w:rPr>
          <w:lang w:val="fr-FR"/>
        </w:rPr>
        <w:t xml:space="preserve"> pesos à </w:t>
      </w:r>
      <w:r w:rsidR="0086185C" w:rsidRPr="000F7862">
        <w:rPr>
          <w:lang w:val="fr-FR"/>
        </w:rPr>
        <w:t>181</w:t>
      </w:r>
      <w:r w:rsidR="00EE3110" w:rsidRPr="000F7862">
        <w:rPr>
          <w:lang w:val="fr-FR"/>
        </w:rPr>
        <w:t> </w:t>
      </w:r>
      <w:r w:rsidR="0086185C" w:rsidRPr="000F7862">
        <w:rPr>
          <w:lang w:val="fr-FR"/>
        </w:rPr>
        <w:t xml:space="preserve">001 </w:t>
      </w:r>
      <w:r w:rsidR="00243502" w:rsidRPr="000F7862">
        <w:rPr>
          <w:lang w:val="fr-FR"/>
        </w:rPr>
        <w:t xml:space="preserve">personnes âgées indigentes âgées de </w:t>
      </w:r>
      <w:r w:rsidR="0086185C" w:rsidRPr="000F7862">
        <w:rPr>
          <w:lang w:val="fr-FR"/>
        </w:rPr>
        <w:t>77</w:t>
      </w:r>
      <w:r w:rsidR="00796D18" w:rsidRPr="000F7862">
        <w:rPr>
          <w:lang w:val="fr-FR"/>
        </w:rPr>
        <w:t> </w:t>
      </w:r>
      <w:r w:rsidR="00243502" w:rsidRPr="000F7862">
        <w:rPr>
          <w:lang w:val="fr-FR"/>
        </w:rPr>
        <w:t>ans et plus</w:t>
      </w:r>
      <w:r w:rsidR="0086185C" w:rsidRPr="000F7862">
        <w:rPr>
          <w:lang w:val="fr-FR"/>
        </w:rPr>
        <w:t>.</w:t>
      </w:r>
    </w:p>
    <w:p w:rsidR="0086185C" w:rsidRPr="000F7862" w:rsidRDefault="00DD43A1" w:rsidP="001C088C">
      <w:pPr>
        <w:pStyle w:val="H23G"/>
        <w:rPr>
          <w:lang w:val="fr-FR"/>
        </w:rPr>
      </w:pPr>
      <w:r w:rsidRPr="000F7862">
        <w:rPr>
          <w:lang w:val="fr-FR"/>
        </w:rPr>
        <w:tab/>
      </w:r>
      <w:r w:rsidRPr="000F7862">
        <w:rPr>
          <w:lang w:val="fr-FR"/>
        </w:rPr>
        <w:tab/>
      </w:r>
      <w:r w:rsidR="0086185C" w:rsidRPr="000F7862">
        <w:rPr>
          <w:b w:val="0"/>
          <w:bCs/>
          <w:lang w:val="fr-FR"/>
        </w:rPr>
        <w:t>Table</w:t>
      </w:r>
      <w:r w:rsidR="00243502" w:rsidRPr="000F7862">
        <w:rPr>
          <w:b w:val="0"/>
          <w:bCs/>
          <w:lang w:val="fr-FR"/>
        </w:rPr>
        <w:t>au</w:t>
      </w:r>
      <w:r w:rsidR="0086185C" w:rsidRPr="000F7862">
        <w:rPr>
          <w:b w:val="0"/>
          <w:bCs/>
          <w:lang w:val="fr-FR"/>
        </w:rPr>
        <w:t xml:space="preserve"> 14</w:t>
      </w:r>
      <w:r w:rsidRPr="000F7862">
        <w:rPr>
          <w:b w:val="0"/>
          <w:bCs/>
          <w:lang w:val="fr-FR"/>
        </w:rPr>
        <w:br/>
      </w:r>
      <w:r w:rsidR="0086185C" w:rsidRPr="000F7862">
        <w:rPr>
          <w:lang w:val="fr-FR"/>
        </w:rPr>
        <w:t>N</w:t>
      </w:r>
      <w:r w:rsidR="00243502" w:rsidRPr="000F7862">
        <w:rPr>
          <w:lang w:val="fr-FR"/>
        </w:rPr>
        <w:t xml:space="preserve">ombre de bénéficiaires ciblés </w:t>
      </w:r>
      <w:r w:rsidR="00931105" w:rsidRPr="000F7862">
        <w:rPr>
          <w:lang w:val="fr-FR"/>
        </w:rPr>
        <w:t>et effectifs d</w:t>
      </w:r>
      <w:r w:rsidR="00120E2E" w:rsidRPr="000F7862">
        <w:rPr>
          <w:lang w:val="fr-FR"/>
        </w:rPr>
        <w:t>’</w:t>
      </w:r>
      <w:r w:rsidR="00931105" w:rsidRPr="000F7862">
        <w:rPr>
          <w:lang w:val="fr-FR"/>
        </w:rPr>
        <w:t xml:space="preserve">une pension sociale </w:t>
      </w:r>
      <w:r w:rsidR="004168CC" w:rsidRPr="000F7862">
        <w:rPr>
          <w:lang w:val="fr-FR"/>
        </w:rPr>
        <w:t xml:space="preserve">en </w:t>
      </w:r>
      <w:r w:rsidR="0086185C" w:rsidRPr="000F7862">
        <w:rPr>
          <w:lang w:val="fr-FR"/>
        </w:rPr>
        <w:t xml:space="preserve">2011 </w:t>
      </w:r>
      <w:r w:rsidR="004168CC" w:rsidRPr="000F7862">
        <w:rPr>
          <w:lang w:val="fr-FR"/>
        </w:rPr>
        <w:t>et</w:t>
      </w:r>
      <w:r w:rsidR="0086185C" w:rsidRPr="000F7862">
        <w:rPr>
          <w:lang w:val="fr-FR"/>
        </w:rPr>
        <w:t xml:space="preserve"> 2012</w:t>
      </w:r>
    </w:p>
    <w:tbl>
      <w:tblPr>
        <w:tblW w:w="7371" w:type="dxa"/>
        <w:tblInd w:w="1134" w:type="dxa"/>
        <w:tblBorders>
          <w:top w:val="single" w:sz="4" w:space="0" w:color="auto"/>
          <w:bottom w:val="single" w:sz="12" w:space="0" w:color="auto"/>
        </w:tblBorders>
        <w:tblLayout w:type="fixed"/>
        <w:tblCellMar>
          <w:left w:w="0" w:type="dxa"/>
          <w:right w:w="0" w:type="dxa"/>
        </w:tblCellMar>
        <w:tblLook w:val="00A0"/>
      </w:tblPr>
      <w:tblGrid>
        <w:gridCol w:w="1278"/>
        <w:gridCol w:w="2976"/>
        <w:gridCol w:w="3117"/>
      </w:tblGrid>
      <w:tr w:rsidR="00DD43A1" w:rsidRPr="000F7862" w:rsidTr="001C088C">
        <w:trPr>
          <w:cantSplit/>
          <w:tblHeader/>
        </w:trPr>
        <w:tc>
          <w:tcPr>
            <w:tcW w:w="127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86185C" w:rsidRPr="000F7862" w:rsidRDefault="004168CC" w:rsidP="001C088C">
            <w:pPr>
              <w:keepNext/>
              <w:suppressAutoHyphens w:val="0"/>
              <w:spacing w:before="80" w:after="80" w:line="200" w:lineRule="exact"/>
              <w:rPr>
                <w:i/>
                <w:sz w:val="16"/>
                <w:lang w:val="fr-FR"/>
              </w:rPr>
            </w:pPr>
            <w:r w:rsidRPr="000F7862">
              <w:rPr>
                <w:i/>
                <w:sz w:val="16"/>
                <w:lang w:val="fr-FR"/>
              </w:rPr>
              <w:t>Année</w:t>
            </w:r>
          </w:p>
        </w:tc>
        <w:tc>
          <w:tcPr>
            <w:tcW w:w="2976"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86185C" w:rsidRPr="000F7862" w:rsidRDefault="004168CC" w:rsidP="004168CC">
            <w:pPr>
              <w:keepNext/>
              <w:suppressAutoHyphens w:val="0"/>
              <w:spacing w:before="80" w:after="80" w:line="200" w:lineRule="exact"/>
              <w:jc w:val="right"/>
              <w:rPr>
                <w:i/>
                <w:sz w:val="16"/>
                <w:lang w:val="fr-FR"/>
              </w:rPr>
            </w:pPr>
            <w:r w:rsidRPr="000F7862">
              <w:rPr>
                <w:i/>
                <w:sz w:val="16"/>
                <w:lang w:val="fr-FR"/>
              </w:rPr>
              <w:t xml:space="preserve">Bénéficiaires ciblés </w:t>
            </w:r>
          </w:p>
        </w:tc>
        <w:tc>
          <w:tcPr>
            <w:tcW w:w="311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86185C" w:rsidRPr="000F7862" w:rsidRDefault="004168CC" w:rsidP="004168CC">
            <w:pPr>
              <w:keepNext/>
              <w:suppressAutoHyphens w:val="0"/>
              <w:spacing w:before="80" w:after="80" w:line="200" w:lineRule="exact"/>
              <w:jc w:val="right"/>
              <w:rPr>
                <w:i/>
                <w:sz w:val="16"/>
                <w:lang w:val="fr-FR"/>
              </w:rPr>
            </w:pPr>
            <w:r w:rsidRPr="000F7862">
              <w:rPr>
                <w:i/>
                <w:sz w:val="16"/>
                <w:lang w:val="fr-FR"/>
              </w:rPr>
              <w:t xml:space="preserve">Bénéficiaires effectifs </w:t>
            </w:r>
          </w:p>
        </w:tc>
      </w:tr>
      <w:tr w:rsidR="00DD43A1" w:rsidRPr="000F7862" w:rsidTr="001C088C">
        <w:trPr>
          <w:cantSplit/>
        </w:trPr>
        <w:tc>
          <w:tcPr>
            <w:tcW w:w="1277" w:type="dxa"/>
            <w:tcBorders>
              <w:top w:val="single" w:sz="12" w:space="0" w:color="auto"/>
            </w:tcBorders>
            <w:shd w:val="clear" w:color="auto" w:fill="auto"/>
            <w:tcMar>
              <w:top w:w="0" w:type="dxa"/>
              <w:left w:w="0" w:type="dxa"/>
              <w:bottom w:w="0" w:type="dxa"/>
              <w:right w:w="0" w:type="dxa"/>
            </w:tcMar>
          </w:tcPr>
          <w:p w:rsidR="0086185C" w:rsidRPr="000F7862" w:rsidRDefault="0086185C" w:rsidP="001C088C">
            <w:pPr>
              <w:keepNext/>
              <w:suppressAutoHyphens w:val="0"/>
              <w:spacing w:before="40" w:after="40" w:line="220" w:lineRule="exact"/>
              <w:rPr>
                <w:sz w:val="18"/>
                <w:lang w:val="fr-FR"/>
              </w:rPr>
            </w:pPr>
            <w:r w:rsidRPr="000F7862">
              <w:rPr>
                <w:sz w:val="18"/>
                <w:lang w:val="fr-FR"/>
              </w:rPr>
              <w:t>2011</w:t>
            </w:r>
          </w:p>
        </w:tc>
        <w:tc>
          <w:tcPr>
            <w:tcW w:w="2976" w:type="dxa"/>
            <w:tcBorders>
              <w:top w:val="single" w:sz="12" w:space="0" w:color="auto"/>
            </w:tcBorders>
            <w:shd w:val="clear" w:color="auto" w:fill="auto"/>
            <w:tcMar>
              <w:top w:w="0" w:type="dxa"/>
              <w:left w:w="0" w:type="dxa"/>
              <w:bottom w:w="0" w:type="dxa"/>
              <w:right w:w="0" w:type="dxa"/>
            </w:tcMar>
          </w:tcPr>
          <w:p w:rsidR="0086185C" w:rsidRPr="000F7862" w:rsidRDefault="00EE3110" w:rsidP="001C088C">
            <w:pPr>
              <w:keepNext/>
              <w:suppressAutoHyphens w:val="0"/>
              <w:spacing w:before="40" w:after="40" w:line="220" w:lineRule="exact"/>
              <w:jc w:val="right"/>
              <w:rPr>
                <w:sz w:val="18"/>
                <w:lang w:val="fr-FR"/>
              </w:rPr>
            </w:pPr>
            <w:r w:rsidRPr="000F7862">
              <w:rPr>
                <w:sz w:val="18"/>
                <w:lang w:val="fr-FR"/>
              </w:rPr>
              <w:t>138 </w:t>
            </w:r>
            <w:r w:rsidR="0086185C" w:rsidRPr="000F7862">
              <w:rPr>
                <w:sz w:val="18"/>
                <w:lang w:val="fr-FR"/>
              </w:rPr>
              <w:t>960</w:t>
            </w:r>
          </w:p>
        </w:tc>
        <w:tc>
          <w:tcPr>
            <w:tcW w:w="3117" w:type="dxa"/>
            <w:tcBorders>
              <w:top w:val="single" w:sz="12" w:space="0" w:color="auto"/>
            </w:tcBorders>
            <w:shd w:val="clear" w:color="auto" w:fill="auto"/>
            <w:tcMar>
              <w:top w:w="0" w:type="dxa"/>
              <w:left w:w="0" w:type="dxa"/>
              <w:bottom w:w="0" w:type="dxa"/>
              <w:right w:w="0" w:type="dxa"/>
            </w:tcMar>
          </w:tcPr>
          <w:p w:rsidR="0086185C" w:rsidRPr="000F7862" w:rsidRDefault="00BE781D" w:rsidP="001C088C">
            <w:pPr>
              <w:keepNext/>
              <w:suppressAutoHyphens w:val="0"/>
              <w:spacing w:before="40" w:after="40" w:line="220" w:lineRule="exact"/>
              <w:jc w:val="right"/>
              <w:rPr>
                <w:sz w:val="18"/>
                <w:lang w:val="fr-FR"/>
              </w:rPr>
            </w:pPr>
            <w:r w:rsidRPr="000F7862">
              <w:rPr>
                <w:sz w:val="18"/>
                <w:lang w:val="fr-FR"/>
              </w:rPr>
              <w:t>134 </w:t>
            </w:r>
            <w:r w:rsidR="00EE3110" w:rsidRPr="000F7862">
              <w:rPr>
                <w:sz w:val="18"/>
                <w:lang w:val="fr-FR"/>
              </w:rPr>
              <w:t>417 (96,</w:t>
            </w:r>
            <w:r w:rsidR="0086185C" w:rsidRPr="000F7862">
              <w:rPr>
                <w:sz w:val="18"/>
                <w:lang w:val="fr-FR"/>
              </w:rPr>
              <w:t>74</w:t>
            </w:r>
            <w:r w:rsidR="00EE3110" w:rsidRPr="000F7862">
              <w:rPr>
                <w:sz w:val="18"/>
                <w:lang w:val="fr-FR"/>
              </w:rPr>
              <w:t> </w:t>
            </w:r>
            <w:r w:rsidR="0086185C" w:rsidRPr="000F7862">
              <w:rPr>
                <w:sz w:val="18"/>
                <w:lang w:val="fr-FR"/>
              </w:rPr>
              <w:t>%)</w:t>
            </w:r>
          </w:p>
        </w:tc>
      </w:tr>
      <w:tr w:rsidR="00DD43A1" w:rsidRPr="000F7862" w:rsidTr="001C088C">
        <w:trPr>
          <w:cantSplit/>
        </w:trPr>
        <w:tc>
          <w:tcPr>
            <w:tcW w:w="1277" w:type="dxa"/>
            <w:shd w:val="clear" w:color="auto" w:fill="auto"/>
            <w:tcMar>
              <w:top w:w="0" w:type="dxa"/>
              <w:left w:w="0" w:type="dxa"/>
              <w:bottom w:w="0" w:type="dxa"/>
              <w:right w:w="0" w:type="dxa"/>
            </w:tcMar>
          </w:tcPr>
          <w:p w:rsidR="0086185C" w:rsidRPr="000F7862" w:rsidRDefault="0086185C" w:rsidP="004D4B73">
            <w:pPr>
              <w:suppressAutoHyphens w:val="0"/>
              <w:spacing w:before="40" w:after="40" w:line="220" w:lineRule="exact"/>
              <w:rPr>
                <w:sz w:val="18"/>
                <w:lang w:val="fr-FR"/>
              </w:rPr>
            </w:pPr>
            <w:r w:rsidRPr="000F7862">
              <w:rPr>
                <w:sz w:val="18"/>
                <w:lang w:val="fr-FR"/>
              </w:rPr>
              <w:t>2012</w:t>
            </w:r>
          </w:p>
        </w:tc>
        <w:tc>
          <w:tcPr>
            <w:tcW w:w="2976" w:type="dxa"/>
            <w:shd w:val="clear" w:color="auto" w:fill="auto"/>
            <w:tcMar>
              <w:top w:w="0" w:type="dxa"/>
              <w:left w:w="0" w:type="dxa"/>
              <w:bottom w:w="0" w:type="dxa"/>
              <w:right w:w="0" w:type="dxa"/>
            </w:tcMar>
          </w:tcPr>
          <w:p w:rsidR="0086185C" w:rsidRPr="000F7862" w:rsidRDefault="00EE3110" w:rsidP="001C088C">
            <w:pPr>
              <w:suppressAutoHyphens w:val="0"/>
              <w:spacing w:before="40" w:after="40" w:line="220" w:lineRule="exact"/>
              <w:jc w:val="right"/>
              <w:rPr>
                <w:sz w:val="18"/>
                <w:lang w:val="fr-FR"/>
              </w:rPr>
            </w:pPr>
            <w:r w:rsidRPr="000F7862">
              <w:rPr>
                <w:sz w:val="18"/>
                <w:lang w:val="fr-FR"/>
              </w:rPr>
              <w:t>185 </w:t>
            </w:r>
            <w:r w:rsidR="0086185C" w:rsidRPr="000F7862">
              <w:rPr>
                <w:sz w:val="18"/>
                <w:lang w:val="fr-FR"/>
              </w:rPr>
              <w:t>914</w:t>
            </w:r>
          </w:p>
        </w:tc>
        <w:tc>
          <w:tcPr>
            <w:tcW w:w="3117" w:type="dxa"/>
            <w:shd w:val="clear" w:color="auto" w:fill="auto"/>
            <w:tcMar>
              <w:top w:w="0" w:type="dxa"/>
              <w:left w:w="0" w:type="dxa"/>
              <w:bottom w:w="0" w:type="dxa"/>
              <w:right w:w="0" w:type="dxa"/>
            </w:tcMar>
          </w:tcPr>
          <w:p w:rsidR="0086185C" w:rsidRPr="000F7862" w:rsidRDefault="00BE781D" w:rsidP="001C088C">
            <w:pPr>
              <w:suppressAutoHyphens w:val="0"/>
              <w:spacing w:before="40" w:after="40" w:line="220" w:lineRule="exact"/>
              <w:jc w:val="right"/>
              <w:rPr>
                <w:sz w:val="18"/>
                <w:lang w:val="fr-FR"/>
              </w:rPr>
            </w:pPr>
            <w:r w:rsidRPr="000F7862">
              <w:rPr>
                <w:sz w:val="18"/>
                <w:lang w:val="fr-FR"/>
              </w:rPr>
              <w:t>181 </w:t>
            </w:r>
            <w:r w:rsidR="00EE3110" w:rsidRPr="000F7862">
              <w:rPr>
                <w:sz w:val="18"/>
                <w:lang w:val="fr-FR"/>
              </w:rPr>
              <w:t>001 (97,</w:t>
            </w:r>
            <w:r w:rsidR="0086185C" w:rsidRPr="000F7862">
              <w:rPr>
                <w:sz w:val="18"/>
                <w:lang w:val="fr-FR"/>
              </w:rPr>
              <w:t>35</w:t>
            </w:r>
            <w:r w:rsidR="00EE3110" w:rsidRPr="000F7862">
              <w:rPr>
                <w:sz w:val="18"/>
                <w:lang w:val="fr-FR"/>
              </w:rPr>
              <w:t> </w:t>
            </w:r>
            <w:r w:rsidR="0086185C" w:rsidRPr="000F7862">
              <w:rPr>
                <w:sz w:val="18"/>
                <w:lang w:val="fr-FR"/>
              </w:rPr>
              <w:t>%)</w:t>
            </w:r>
          </w:p>
        </w:tc>
      </w:tr>
    </w:tbl>
    <w:p w:rsidR="0086185C" w:rsidRPr="000F7862" w:rsidRDefault="00905A45" w:rsidP="00905A45">
      <w:pPr>
        <w:pStyle w:val="H23G"/>
        <w:rPr>
          <w:lang w:val="fr-FR"/>
        </w:rPr>
      </w:pPr>
      <w:r w:rsidRPr="000F7862">
        <w:rPr>
          <w:lang w:val="fr-FR"/>
        </w:rPr>
        <w:tab/>
      </w:r>
      <w:r w:rsidRPr="000F7862">
        <w:rPr>
          <w:lang w:val="fr-FR"/>
        </w:rPr>
        <w:tab/>
      </w:r>
      <w:r w:rsidR="004168CC" w:rsidRPr="000F7862">
        <w:rPr>
          <w:lang w:val="fr-FR"/>
        </w:rPr>
        <w:t xml:space="preserve">Alimentation complémentaire </w:t>
      </w:r>
    </w:p>
    <w:p w:rsidR="0086185C" w:rsidRPr="000F7862" w:rsidRDefault="003F7F57" w:rsidP="00EE3110">
      <w:pPr>
        <w:pStyle w:val="SingleTxtG"/>
        <w:rPr>
          <w:lang w:val="fr-FR"/>
        </w:rPr>
      </w:pPr>
      <w:r w:rsidRPr="000F7862">
        <w:rPr>
          <w:lang w:val="fr-FR"/>
        </w:rPr>
        <w:t>201.</w:t>
      </w:r>
      <w:r w:rsidRPr="000F7862">
        <w:rPr>
          <w:lang w:val="fr-FR"/>
        </w:rPr>
        <w:tab/>
      </w:r>
      <w:r w:rsidR="004168CC" w:rsidRPr="000F7862">
        <w:rPr>
          <w:lang w:val="fr-FR"/>
        </w:rPr>
        <w:t>Le Ministère de la protection sociale et du développement exécute le Programme d</w:t>
      </w:r>
      <w:r w:rsidR="00120E2E" w:rsidRPr="000F7862">
        <w:rPr>
          <w:lang w:val="fr-FR"/>
        </w:rPr>
        <w:t>’</w:t>
      </w:r>
      <w:r w:rsidR="004168CC" w:rsidRPr="000F7862">
        <w:rPr>
          <w:lang w:val="fr-FR"/>
        </w:rPr>
        <w:t>alimentation complémentaire par le biais des services fournis par des centres spécialisés ou des services d</w:t>
      </w:r>
      <w:r w:rsidR="00120E2E" w:rsidRPr="000F7862">
        <w:rPr>
          <w:lang w:val="fr-FR"/>
        </w:rPr>
        <w:t>’</w:t>
      </w:r>
      <w:r w:rsidR="004168CC" w:rsidRPr="000F7862">
        <w:rPr>
          <w:lang w:val="fr-FR"/>
        </w:rPr>
        <w:t>implantation locale afin de compléter la ratio</w:t>
      </w:r>
      <w:r w:rsidR="006963C2" w:rsidRPr="000F7862">
        <w:rPr>
          <w:lang w:val="fr-FR"/>
        </w:rPr>
        <w:t>n</w:t>
      </w:r>
      <w:r w:rsidR="004168CC" w:rsidRPr="000F7862">
        <w:rPr>
          <w:lang w:val="fr-FR"/>
        </w:rPr>
        <w:t xml:space="preserve"> alimentaire des enfants âgés de </w:t>
      </w:r>
      <w:r w:rsidR="00EE3110" w:rsidRPr="000F7862">
        <w:rPr>
          <w:lang w:val="fr-FR"/>
        </w:rPr>
        <w:t>3</w:t>
      </w:r>
      <w:r w:rsidR="004168CC" w:rsidRPr="000F7862">
        <w:rPr>
          <w:lang w:val="fr-FR"/>
        </w:rPr>
        <w:t xml:space="preserve"> à 12 ans</w:t>
      </w:r>
      <w:r w:rsidR="0086185C" w:rsidRPr="000F7862">
        <w:rPr>
          <w:lang w:val="fr-FR"/>
        </w:rPr>
        <w:t>.</w:t>
      </w:r>
      <w:r w:rsidR="00446EA5" w:rsidRPr="000F7862">
        <w:rPr>
          <w:lang w:val="fr-FR"/>
        </w:rPr>
        <w:t xml:space="preserve"> </w:t>
      </w:r>
      <w:r w:rsidR="004168CC" w:rsidRPr="000F7862">
        <w:rPr>
          <w:lang w:val="fr-FR"/>
        </w:rPr>
        <w:t xml:space="preserve">Une alimentation complémentaire est fournie aux enfants </w:t>
      </w:r>
      <w:r w:rsidR="002443C9" w:rsidRPr="000F7862">
        <w:rPr>
          <w:lang w:val="fr-FR"/>
        </w:rPr>
        <w:t xml:space="preserve">fréquentant les crèches et </w:t>
      </w:r>
      <w:r w:rsidR="004168CC" w:rsidRPr="000F7862">
        <w:rPr>
          <w:lang w:val="fr-FR"/>
        </w:rPr>
        <w:t>l</w:t>
      </w:r>
      <w:r w:rsidR="002443C9" w:rsidRPr="000F7862">
        <w:rPr>
          <w:lang w:val="fr-FR"/>
        </w:rPr>
        <w:t>e</w:t>
      </w:r>
      <w:r w:rsidR="004168CC" w:rsidRPr="000F7862">
        <w:rPr>
          <w:lang w:val="fr-FR"/>
        </w:rPr>
        <w:t xml:space="preserve">s </w:t>
      </w:r>
      <w:r w:rsidR="002443C9" w:rsidRPr="000F7862">
        <w:rPr>
          <w:lang w:val="fr-FR"/>
        </w:rPr>
        <w:t>haltes-</w:t>
      </w:r>
      <w:r w:rsidR="004168CC" w:rsidRPr="000F7862">
        <w:rPr>
          <w:lang w:val="fr-FR"/>
        </w:rPr>
        <w:t xml:space="preserve">garderies </w:t>
      </w:r>
      <w:r w:rsidR="00B01810" w:rsidRPr="000F7862">
        <w:rPr>
          <w:lang w:val="fr-FR"/>
        </w:rPr>
        <w:t>en sus des repas ordinaires que leurs parents leur préparent</w:t>
      </w:r>
      <w:r w:rsidR="0086185C" w:rsidRPr="000F7862">
        <w:rPr>
          <w:lang w:val="fr-FR"/>
        </w:rPr>
        <w:t xml:space="preserve">. </w:t>
      </w:r>
      <w:r w:rsidR="00B01810" w:rsidRPr="000F7862">
        <w:rPr>
          <w:lang w:val="fr-FR"/>
        </w:rPr>
        <w:t>Les repas chauds complémentaires sont servis à l</w:t>
      </w:r>
      <w:r w:rsidR="00120E2E" w:rsidRPr="000F7862">
        <w:rPr>
          <w:lang w:val="fr-FR"/>
        </w:rPr>
        <w:t>’</w:t>
      </w:r>
      <w:r w:rsidR="00B01810" w:rsidRPr="000F7862">
        <w:rPr>
          <w:lang w:val="fr-FR"/>
        </w:rPr>
        <w:t xml:space="preserve">heure des repas ou des en-cas aux enfants bénéficiaires cinq jours par semaine pendant </w:t>
      </w:r>
      <w:r w:rsidR="0086185C" w:rsidRPr="000F7862">
        <w:rPr>
          <w:lang w:val="fr-FR"/>
        </w:rPr>
        <w:t>120</w:t>
      </w:r>
      <w:r w:rsidR="00DD43A1" w:rsidRPr="000F7862">
        <w:rPr>
          <w:lang w:val="fr-FR"/>
        </w:rPr>
        <w:t> </w:t>
      </w:r>
      <w:r w:rsidR="00B01810" w:rsidRPr="000F7862">
        <w:rPr>
          <w:lang w:val="fr-FR"/>
        </w:rPr>
        <w:t>jours</w:t>
      </w:r>
      <w:r w:rsidR="0086185C" w:rsidRPr="000F7862">
        <w:rPr>
          <w:lang w:val="fr-FR"/>
        </w:rPr>
        <w:t>.</w:t>
      </w:r>
    </w:p>
    <w:p w:rsidR="0086185C" w:rsidRPr="000F7862" w:rsidRDefault="003F7F57" w:rsidP="00A751E7">
      <w:pPr>
        <w:pStyle w:val="SingleTxtG"/>
        <w:rPr>
          <w:lang w:val="fr-FR"/>
        </w:rPr>
      </w:pPr>
      <w:r w:rsidRPr="000F7862">
        <w:rPr>
          <w:lang w:val="fr-FR"/>
        </w:rPr>
        <w:t>202.</w:t>
      </w:r>
      <w:r w:rsidRPr="000F7862">
        <w:rPr>
          <w:lang w:val="fr-FR"/>
        </w:rPr>
        <w:tab/>
      </w:r>
      <w:r w:rsidR="0060319B" w:rsidRPr="000F7862">
        <w:rPr>
          <w:lang w:val="fr-FR"/>
        </w:rPr>
        <w:t>Le Programme d</w:t>
      </w:r>
      <w:r w:rsidR="00120E2E" w:rsidRPr="000F7862">
        <w:rPr>
          <w:lang w:val="fr-FR"/>
        </w:rPr>
        <w:t>’</w:t>
      </w:r>
      <w:r w:rsidR="0060319B" w:rsidRPr="000F7862">
        <w:rPr>
          <w:lang w:val="fr-FR"/>
        </w:rPr>
        <w:t>alimentation complémentaire complète le programme d</w:t>
      </w:r>
      <w:r w:rsidR="00120E2E" w:rsidRPr="000F7862">
        <w:rPr>
          <w:lang w:val="fr-FR"/>
        </w:rPr>
        <w:t>’</w:t>
      </w:r>
      <w:r w:rsidR="0060319B" w:rsidRPr="000F7862">
        <w:rPr>
          <w:lang w:val="fr-FR"/>
        </w:rPr>
        <w:t xml:space="preserve">alimentation des enfants dans les secteurs et communautés relevant des </w:t>
      </w:r>
      <w:r w:rsidR="00B01810" w:rsidRPr="000F7862">
        <w:rPr>
          <w:lang w:val="fr-FR"/>
        </w:rPr>
        <w:t>Conseils de coordination de l</w:t>
      </w:r>
      <w:r w:rsidR="00120E2E" w:rsidRPr="000F7862">
        <w:rPr>
          <w:lang w:val="fr-FR"/>
        </w:rPr>
        <w:t>’</w:t>
      </w:r>
      <w:r w:rsidR="00B01810" w:rsidRPr="000F7862">
        <w:rPr>
          <w:lang w:val="fr-FR"/>
        </w:rPr>
        <w:t>aide aux sinistrés</w:t>
      </w:r>
      <w:r w:rsidR="0086185C" w:rsidRPr="000F7862">
        <w:rPr>
          <w:lang w:val="fr-FR"/>
        </w:rPr>
        <w:t>/</w:t>
      </w:r>
      <w:r w:rsidR="0060319B" w:rsidRPr="000F7862">
        <w:rPr>
          <w:lang w:val="fr-FR"/>
        </w:rPr>
        <w:t>programmes de protection sociale gérés par les organes administratifs locaux en utilisant des aliments autochtones</w:t>
      </w:r>
      <w:r w:rsidR="0086185C" w:rsidRPr="000F7862">
        <w:rPr>
          <w:lang w:val="fr-FR"/>
        </w:rPr>
        <w:t xml:space="preserve"> </w:t>
      </w:r>
      <w:r w:rsidR="0060319B" w:rsidRPr="000F7862">
        <w:rPr>
          <w:lang w:val="fr-FR"/>
        </w:rPr>
        <w:t>et/ou des produits alimentaires d</w:t>
      </w:r>
      <w:r w:rsidR="00120E2E" w:rsidRPr="000F7862">
        <w:rPr>
          <w:lang w:val="fr-FR"/>
        </w:rPr>
        <w:t>’</w:t>
      </w:r>
      <w:r w:rsidR="0060319B" w:rsidRPr="000F7862">
        <w:rPr>
          <w:lang w:val="fr-FR"/>
        </w:rPr>
        <w:t xml:space="preserve">origine locale équivalant à </w:t>
      </w:r>
      <w:r w:rsidR="00A751E7" w:rsidRPr="000F7862">
        <w:rPr>
          <w:lang w:val="fr-FR"/>
        </w:rPr>
        <w:t>un tiers</w:t>
      </w:r>
      <w:r w:rsidR="0086185C" w:rsidRPr="000F7862">
        <w:rPr>
          <w:lang w:val="fr-FR"/>
        </w:rPr>
        <w:t xml:space="preserve"> </w:t>
      </w:r>
      <w:r w:rsidR="0060319B" w:rsidRPr="000F7862">
        <w:rPr>
          <w:lang w:val="fr-FR"/>
        </w:rPr>
        <w:t>de l</w:t>
      </w:r>
      <w:r w:rsidR="00120E2E" w:rsidRPr="000F7862">
        <w:rPr>
          <w:lang w:val="fr-FR"/>
        </w:rPr>
        <w:t>’</w:t>
      </w:r>
      <w:r w:rsidR="0060319B" w:rsidRPr="000F7862">
        <w:rPr>
          <w:lang w:val="fr-FR"/>
        </w:rPr>
        <w:t>apport énergéti</w:t>
      </w:r>
      <w:r w:rsidR="006963C2" w:rsidRPr="000F7862">
        <w:rPr>
          <w:lang w:val="fr-FR"/>
        </w:rPr>
        <w:t>que et en nutriments recommandé</w:t>
      </w:r>
      <w:r w:rsidR="0086185C" w:rsidRPr="000F7862">
        <w:rPr>
          <w:lang w:val="fr-FR"/>
        </w:rPr>
        <w:t xml:space="preserve">; </w:t>
      </w:r>
      <w:r w:rsidR="006963C2" w:rsidRPr="000F7862">
        <w:rPr>
          <w:lang w:val="fr-FR"/>
        </w:rPr>
        <w:t>améliore</w:t>
      </w:r>
      <w:r w:rsidR="0060319B" w:rsidRPr="000F7862">
        <w:rPr>
          <w:lang w:val="fr-FR"/>
        </w:rPr>
        <w:t xml:space="preserve"> les connaissances, attitudes et pratiqu</w:t>
      </w:r>
      <w:r w:rsidR="0086185C" w:rsidRPr="000F7862">
        <w:rPr>
          <w:lang w:val="fr-FR"/>
        </w:rPr>
        <w:t xml:space="preserve">es </w:t>
      </w:r>
      <w:r w:rsidR="0060319B" w:rsidRPr="000F7862">
        <w:rPr>
          <w:lang w:val="fr-FR"/>
        </w:rPr>
        <w:t>des enfants</w:t>
      </w:r>
      <w:r w:rsidR="0086185C" w:rsidRPr="000F7862">
        <w:rPr>
          <w:lang w:val="fr-FR"/>
        </w:rPr>
        <w:t xml:space="preserve">, parents </w:t>
      </w:r>
      <w:r w:rsidR="0060319B" w:rsidRPr="000F7862">
        <w:rPr>
          <w:lang w:val="fr-FR"/>
        </w:rPr>
        <w:t>et dispensateurs de soins au moyen d</w:t>
      </w:r>
      <w:r w:rsidR="00120E2E" w:rsidRPr="000F7862">
        <w:rPr>
          <w:lang w:val="fr-FR"/>
        </w:rPr>
        <w:t>’</w:t>
      </w:r>
      <w:r w:rsidR="0060319B" w:rsidRPr="000F7862">
        <w:rPr>
          <w:lang w:val="fr-FR"/>
        </w:rPr>
        <w:t>une intensification de l</w:t>
      </w:r>
      <w:r w:rsidR="00120E2E" w:rsidRPr="000F7862">
        <w:rPr>
          <w:lang w:val="fr-FR"/>
        </w:rPr>
        <w:t>’</w:t>
      </w:r>
      <w:r w:rsidR="0060319B" w:rsidRPr="000F7862">
        <w:rPr>
          <w:lang w:val="fr-FR"/>
        </w:rPr>
        <w:t>éducation nutritionnelle et sanitaire</w:t>
      </w:r>
      <w:r w:rsidR="0086185C" w:rsidRPr="000F7862">
        <w:rPr>
          <w:lang w:val="fr-FR"/>
        </w:rPr>
        <w:t xml:space="preserve">; </w:t>
      </w:r>
      <w:r w:rsidR="00023417" w:rsidRPr="000F7862">
        <w:rPr>
          <w:lang w:val="fr-FR"/>
        </w:rPr>
        <w:t>et fortifie et soutient l</w:t>
      </w:r>
      <w:r w:rsidR="00120E2E" w:rsidRPr="000F7862">
        <w:rPr>
          <w:lang w:val="fr-FR"/>
        </w:rPr>
        <w:t>’</w:t>
      </w:r>
      <w:r w:rsidR="00023417" w:rsidRPr="000F7862">
        <w:rPr>
          <w:lang w:val="fr-FR"/>
        </w:rPr>
        <w:t>état nutritionnel de tous les enfants ciblés</w:t>
      </w:r>
      <w:r w:rsidR="0086185C" w:rsidRPr="000F7862">
        <w:rPr>
          <w:lang w:val="fr-FR"/>
        </w:rPr>
        <w:t>.</w:t>
      </w:r>
    </w:p>
    <w:p w:rsidR="0086185C" w:rsidRPr="000F7862" w:rsidRDefault="003F7F57" w:rsidP="003F7F57">
      <w:pPr>
        <w:pStyle w:val="SingleTxtG"/>
        <w:rPr>
          <w:lang w:val="fr-FR"/>
        </w:rPr>
      </w:pPr>
      <w:r w:rsidRPr="000F7862">
        <w:rPr>
          <w:lang w:val="fr-FR"/>
        </w:rPr>
        <w:t>203.</w:t>
      </w:r>
      <w:r w:rsidRPr="000F7862">
        <w:rPr>
          <w:lang w:val="fr-FR"/>
        </w:rPr>
        <w:tab/>
      </w:r>
      <w:r w:rsidR="0019243C" w:rsidRPr="000F7862">
        <w:rPr>
          <w:lang w:val="fr-FR"/>
        </w:rPr>
        <w:t>Pour l</w:t>
      </w:r>
      <w:r w:rsidR="00120E2E" w:rsidRPr="000F7862">
        <w:rPr>
          <w:lang w:val="fr-FR"/>
        </w:rPr>
        <w:t>’</w:t>
      </w:r>
      <w:r w:rsidR="0019243C" w:rsidRPr="000F7862">
        <w:rPr>
          <w:lang w:val="fr-FR"/>
        </w:rPr>
        <w:t xml:space="preserve">année civile </w:t>
      </w:r>
      <w:r w:rsidR="0086185C" w:rsidRPr="000F7862">
        <w:rPr>
          <w:lang w:val="fr-FR"/>
        </w:rPr>
        <w:t>2012, 1</w:t>
      </w:r>
      <w:r w:rsidR="00A751E7" w:rsidRPr="000F7862">
        <w:rPr>
          <w:lang w:val="fr-FR"/>
        </w:rPr>
        <w:t> </w:t>
      </w:r>
      <w:r w:rsidR="0086185C" w:rsidRPr="000F7862">
        <w:rPr>
          <w:lang w:val="fr-FR"/>
        </w:rPr>
        <w:t>552</w:t>
      </w:r>
      <w:r w:rsidR="00A751E7" w:rsidRPr="000F7862">
        <w:rPr>
          <w:lang w:val="fr-FR"/>
        </w:rPr>
        <w:t> </w:t>
      </w:r>
      <w:r w:rsidR="0086185C" w:rsidRPr="000F7862">
        <w:rPr>
          <w:lang w:val="fr-FR"/>
        </w:rPr>
        <w:t xml:space="preserve">258 </w:t>
      </w:r>
      <w:r w:rsidR="0019243C" w:rsidRPr="000F7862">
        <w:rPr>
          <w:lang w:val="fr-FR"/>
        </w:rPr>
        <w:t>enfants ont bénéficié d</w:t>
      </w:r>
      <w:r w:rsidR="00120E2E" w:rsidRPr="000F7862">
        <w:rPr>
          <w:lang w:val="fr-FR"/>
        </w:rPr>
        <w:t>’</w:t>
      </w:r>
      <w:r w:rsidR="0019243C" w:rsidRPr="000F7862">
        <w:rPr>
          <w:lang w:val="fr-FR"/>
        </w:rPr>
        <w:t xml:space="preserve">une alimentation complémentaire dans </w:t>
      </w:r>
      <w:r w:rsidR="0086185C" w:rsidRPr="000F7862">
        <w:rPr>
          <w:lang w:val="fr-FR"/>
        </w:rPr>
        <w:t>43</w:t>
      </w:r>
      <w:r w:rsidR="00A751E7" w:rsidRPr="000F7862">
        <w:rPr>
          <w:lang w:val="fr-FR"/>
        </w:rPr>
        <w:t> </w:t>
      </w:r>
      <w:r w:rsidR="0086185C" w:rsidRPr="000F7862">
        <w:rPr>
          <w:lang w:val="fr-FR"/>
        </w:rPr>
        <w:t xml:space="preserve">003 </w:t>
      </w:r>
      <w:r w:rsidR="0019243C" w:rsidRPr="000F7862">
        <w:rPr>
          <w:lang w:val="fr-FR"/>
        </w:rPr>
        <w:t xml:space="preserve">garderies de </w:t>
      </w:r>
      <w:r w:rsidR="0086185C" w:rsidRPr="000F7862">
        <w:rPr>
          <w:lang w:val="fr-FR"/>
        </w:rPr>
        <w:t>1</w:t>
      </w:r>
      <w:r w:rsidR="00A751E7" w:rsidRPr="000F7862">
        <w:rPr>
          <w:lang w:val="fr-FR"/>
        </w:rPr>
        <w:t> </w:t>
      </w:r>
      <w:r w:rsidR="0086185C" w:rsidRPr="000F7862">
        <w:rPr>
          <w:lang w:val="fr-FR"/>
        </w:rPr>
        <w:t xml:space="preserve">230 </w:t>
      </w:r>
      <w:r w:rsidR="0019243C" w:rsidRPr="000F7862">
        <w:rPr>
          <w:lang w:val="fr-FR"/>
        </w:rPr>
        <w:t>villes</w:t>
      </w:r>
      <w:r w:rsidR="0086185C" w:rsidRPr="000F7862">
        <w:rPr>
          <w:lang w:val="fr-FR"/>
        </w:rPr>
        <w:t>/municipalit</w:t>
      </w:r>
      <w:r w:rsidR="0019243C" w:rsidRPr="000F7862">
        <w:rPr>
          <w:lang w:val="fr-FR"/>
        </w:rPr>
        <w:t xml:space="preserve">és, pour un coût global de </w:t>
      </w:r>
      <w:r w:rsidR="0086185C" w:rsidRPr="000F7862">
        <w:rPr>
          <w:lang w:val="fr-FR"/>
        </w:rPr>
        <w:t>2</w:t>
      </w:r>
      <w:r w:rsidR="0019243C" w:rsidRPr="000F7862">
        <w:rPr>
          <w:lang w:val="fr-FR"/>
        </w:rPr>
        <w:t> </w:t>
      </w:r>
      <w:r w:rsidR="0086185C" w:rsidRPr="000F7862">
        <w:rPr>
          <w:lang w:val="fr-FR"/>
        </w:rPr>
        <w:t>378</w:t>
      </w:r>
      <w:r w:rsidR="0019243C" w:rsidRPr="000F7862">
        <w:rPr>
          <w:lang w:val="fr-FR"/>
        </w:rPr>
        <w:t xml:space="preserve"> milliards </w:t>
      </w:r>
      <w:r w:rsidR="0086185C" w:rsidRPr="000F7862">
        <w:rPr>
          <w:lang w:val="fr-FR"/>
        </w:rPr>
        <w:t>30</w:t>
      </w:r>
      <w:r w:rsidR="0019243C" w:rsidRPr="000F7862">
        <w:rPr>
          <w:lang w:val="fr-FR"/>
        </w:rPr>
        <w:t> 435 515,</w:t>
      </w:r>
      <w:r w:rsidR="0086185C" w:rsidRPr="000F7862">
        <w:rPr>
          <w:lang w:val="fr-FR"/>
        </w:rPr>
        <w:t>42</w:t>
      </w:r>
      <w:r w:rsidR="0019243C" w:rsidRPr="000F7862">
        <w:rPr>
          <w:lang w:val="fr-FR"/>
        </w:rPr>
        <w:t xml:space="preserve"> pesos</w:t>
      </w:r>
      <w:r w:rsidR="0086185C" w:rsidRPr="000F7862">
        <w:rPr>
          <w:lang w:val="fr-FR"/>
        </w:rPr>
        <w:t>.</w:t>
      </w:r>
    </w:p>
    <w:p w:rsidR="0086185C" w:rsidRPr="000F7862" w:rsidRDefault="00905A45" w:rsidP="00905A45">
      <w:pPr>
        <w:pStyle w:val="H23G"/>
        <w:rPr>
          <w:lang w:val="fr-FR"/>
        </w:rPr>
      </w:pPr>
      <w:r w:rsidRPr="000F7862">
        <w:rPr>
          <w:lang w:val="fr-FR"/>
        </w:rPr>
        <w:tab/>
      </w:r>
      <w:r w:rsidRPr="000F7862">
        <w:rPr>
          <w:lang w:val="fr-FR"/>
        </w:rPr>
        <w:tab/>
      </w:r>
      <w:r w:rsidR="0086185C" w:rsidRPr="000F7862">
        <w:rPr>
          <w:lang w:val="fr-FR"/>
        </w:rPr>
        <w:t xml:space="preserve">Initiatives </w:t>
      </w:r>
      <w:r w:rsidR="001E5AF4" w:rsidRPr="000F7862">
        <w:rPr>
          <w:lang w:val="fr-FR"/>
        </w:rPr>
        <w:t>de promotion</w:t>
      </w:r>
      <w:r w:rsidR="0019243C" w:rsidRPr="000F7862">
        <w:rPr>
          <w:lang w:val="fr-FR"/>
        </w:rPr>
        <w:t xml:space="preserve"> </w:t>
      </w:r>
      <w:r w:rsidR="001E5AF4" w:rsidRPr="000F7862">
        <w:rPr>
          <w:lang w:val="fr-FR"/>
        </w:rPr>
        <w:t>d</w:t>
      </w:r>
      <w:r w:rsidR="00120E2E" w:rsidRPr="000F7862">
        <w:rPr>
          <w:lang w:val="fr-FR"/>
        </w:rPr>
        <w:t>’</w:t>
      </w:r>
      <w:r w:rsidR="001E5AF4" w:rsidRPr="000F7862">
        <w:rPr>
          <w:lang w:val="fr-FR"/>
        </w:rPr>
        <w:t>un loge</w:t>
      </w:r>
      <w:r w:rsidR="0019243C" w:rsidRPr="000F7862">
        <w:rPr>
          <w:lang w:val="fr-FR"/>
        </w:rPr>
        <w:t xml:space="preserve">ment </w:t>
      </w:r>
      <w:r w:rsidR="001E5AF4" w:rsidRPr="000F7862">
        <w:rPr>
          <w:lang w:val="fr-FR"/>
        </w:rPr>
        <w:t>adé</w:t>
      </w:r>
      <w:r w:rsidR="0086185C" w:rsidRPr="000F7862">
        <w:rPr>
          <w:lang w:val="fr-FR"/>
        </w:rPr>
        <w:t>quat</w:t>
      </w:r>
      <w:r w:rsidR="001E5AF4" w:rsidRPr="000F7862">
        <w:rPr>
          <w:lang w:val="fr-FR"/>
        </w:rPr>
        <w:t xml:space="preserve"> </w:t>
      </w:r>
    </w:p>
    <w:p w:rsidR="0086185C" w:rsidRPr="000F7862" w:rsidRDefault="003F7F57" w:rsidP="003F7F57">
      <w:pPr>
        <w:pStyle w:val="SingleTxtG"/>
        <w:rPr>
          <w:lang w:val="fr-FR"/>
        </w:rPr>
      </w:pPr>
      <w:r w:rsidRPr="000F7862">
        <w:rPr>
          <w:lang w:val="fr-FR"/>
        </w:rPr>
        <w:t>204.</w:t>
      </w:r>
      <w:r w:rsidRPr="000F7862">
        <w:rPr>
          <w:lang w:val="fr-FR"/>
        </w:rPr>
        <w:tab/>
      </w:r>
      <w:r w:rsidR="001E5AF4" w:rsidRPr="000F7862">
        <w:rPr>
          <w:lang w:val="fr-FR"/>
        </w:rPr>
        <w:t>Le montant des ressources nécessaires pour faire face aux besoins en matière de logement est énorme et les crédits publics affectés au logement ont été limités</w:t>
      </w:r>
      <w:r w:rsidR="0086185C" w:rsidRPr="000F7862">
        <w:rPr>
          <w:lang w:val="fr-FR"/>
        </w:rPr>
        <w:t xml:space="preserve">. </w:t>
      </w:r>
      <w:r w:rsidR="001E5AF4" w:rsidRPr="000F7862">
        <w:rPr>
          <w:lang w:val="fr-FR"/>
        </w:rPr>
        <w:t>Cette année, l</w:t>
      </w:r>
      <w:r w:rsidR="00120E2E" w:rsidRPr="000F7862">
        <w:rPr>
          <w:lang w:val="fr-FR"/>
        </w:rPr>
        <w:t>’</w:t>
      </w:r>
      <w:r w:rsidR="001E5AF4" w:rsidRPr="000F7862">
        <w:rPr>
          <w:lang w:val="fr-FR"/>
        </w:rPr>
        <w:t>enveloppe du logement ne représente qu</w:t>
      </w:r>
      <w:r w:rsidR="00120E2E" w:rsidRPr="000F7862">
        <w:rPr>
          <w:lang w:val="fr-FR"/>
        </w:rPr>
        <w:t>’</w:t>
      </w:r>
      <w:r w:rsidR="001E5AF4" w:rsidRPr="000F7862">
        <w:rPr>
          <w:lang w:val="fr-FR"/>
        </w:rPr>
        <w:t xml:space="preserve">environ </w:t>
      </w:r>
      <w:r w:rsidR="0086185C" w:rsidRPr="000F7862">
        <w:rPr>
          <w:lang w:val="fr-FR"/>
        </w:rPr>
        <w:t>1</w:t>
      </w:r>
      <w:r w:rsidR="001E5AF4" w:rsidRPr="000F7862">
        <w:rPr>
          <w:lang w:val="fr-FR"/>
        </w:rPr>
        <w:t>,</w:t>
      </w:r>
      <w:r w:rsidR="0086185C" w:rsidRPr="000F7862">
        <w:rPr>
          <w:lang w:val="fr-FR"/>
        </w:rPr>
        <w:t>16</w:t>
      </w:r>
      <w:r w:rsidR="00DC1196" w:rsidRPr="000F7862">
        <w:rPr>
          <w:lang w:val="fr-FR"/>
        </w:rPr>
        <w:t> %</w:t>
      </w:r>
      <w:r w:rsidR="0086185C" w:rsidRPr="000F7862">
        <w:rPr>
          <w:lang w:val="fr-FR"/>
        </w:rPr>
        <w:t xml:space="preserve"> </w:t>
      </w:r>
      <w:r w:rsidR="001E5AF4" w:rsidRPr="000F7862">
        <w:rPr>
          <w:lang w:val="fr-FR"/>
        </w:rPr>
        <w:t xml:space="preserve">du budget national, soit seulement </w:t>
      </w:r>
      <w:r w:rsidR="0086185C" w:rsidRPr="000F7862">
        <w:rPr>
          <w:lang w:val="fr-FR"/>
        </w:rPr>
        <w:t>23</w:t>
      </w:r>
      <w:r w:rsidR="001E5AF4" w:rsidRPr="000F7862">
        <w:rPr>
          <w:lang w:val="fr-FR"/>
        </w:rPr>
        <w:t>,</w:t>
      </w:r>
      <w:r w:rsidR="0086185C" w:rsidRPr="000F7862">
        <w:rPr>
          <w:lang w:val="fr-FR"/>
        </w:rPr>
        <w:t>2</w:t>
      </w:r>
      <w:r w:rsidR="00796D18" w:rsidRPr="000F7862">
        <w:rPr>
          <w:lang w:val="fr-FR"/>
        </w:rPr>
        <w:t> </w:t>
      </w:r>
      <w:r w:rsidR="001E5AF4" w:rsidRPr="000F7862">
        <w:rPr>
          <w:lang w:val="fr-FR"/>
        </w:rPr>
        <w:t xml:space="preserve">milliards de </w:t>
      </w:r>
      <w:r w:rsidR="0086185C" w:rsidRPr="000F7862">
        <w:rPr>
          <w:lang w:val="fr-FR"/>
        </w:rPr>
        <w:t xml:space="preserve">pesos. </w:t>
      </w:r>
      <w:r w:rsidR="00256274" w:rsidRPr="000F7862">
        <w:rPr>
          <w:lang w:val="fr-FR"/>
        </w:rPr>
        <w:t>Ce budget reste faible par rapport aux besoins, mais c</w:t>
      </w:r>
      <w:r w:rsidR="00120E2E" w:rsidRPr="000F7862">
        <w:rPr>
          <w:lang w:val="fr-FR"/>
        </w:rPr>
        <w:t>’</w:t>
      </w:r>
      <w:r w:rsidR="00256274" w:rsidRPr="000F7862">
        <w:rPr>
          <w:lang w:val="fr-FR"/>
        </w:rPr>
        <w:t>est de loin le plus élevé qui ait été affecté à ce secteur</w:t>
      </w:r>
      <w:r w:rsidR="0086185C" w:rsidRPr="000F7862">
        <w:rPr>
          <w:lang w:val="fr-FR"/>
        </w:rPr>
        <w:t xml:space="preserve">. </w:t>
      </w:r>
      <w:r w:rsidR="00256274" w:rsidRPr="000F7862">
        <w:rPr>
          <w:lang w:val="fr-FR"/>
        </w:rPr>
        <w:t>Il comprend les crédits affectés à la réinstallation des familles d</w:t>
      </w:r>
      <w:r w:rsidR="00120E2E" w:rsidRPr="000F7862">
        <w:rPr>
          <w:lang w:val="fr-FR"/>
        </w:rPr>
        <w:t>’</w:t>
      </w:r>
      <w:r w:rsidR="00256274" w:rsidRPr="000F7862">
        <w:rPr>
          <w:lang w:val="fr-FR"/>
        </w:rPr>
        <w:t>occupants sans titre</w:t>
      </w:r>
      <w:r w:rsidR="0086185C" w:rsidRPr="000F7862">
        <w:rPr>
          <w:lang w:val="fr-FR"/>
        </w:rPr>
        <w:t xml:space="preserve"> </w:t>
      </w:r>
      <w:r w:rsidR="00256274" w:rsidRPr="000F7862">
        <w:rPr>
          <w:lang w:val="fr-FR"/>
        </w:rPr>
        <w:t>dans les zones dangereuses, en particulier celles du Grand Manille (10 milliards de pesos par an jusqu</w:t>
      </w:r>
      <w:r w:rsidR="00120E2E" w:rsidRPr="000F7862">
        <w:rPr>
          <w:lang w:val="fr-FR"/>
        </w:rPr>
        <w:t>’</w:t>
      </w:r>
      <w:r w:rsidR="00256274" w:rsidRPr="000F7862">
        <w:rPr>
          <w:lang w:val="fr-FR"/>
        </w:rPr>
        <w:t xml:space="preserve">en </w:t>
      </w:r>
      <w:r w:rsidR="0086185C" w:rsidRPr="000F7862">
        <w:rPr>
          <w:lang w:val="fr-FR"/>
        </w:rPr>
        <w:t xml:space="preserve">2016), </w:t>
      </w:r>
      <w:r w:rsidR="00256274" w:rsidRPr="000F7862">
        <w:rPr>
          <w:lang w:val="fr-FR"/>
        </w:rPr>
        <w:t>et au logement des membres à faibles revenus des Forces armées, de la police nationale et d</w:t>
      </w:r>
      <w:r w:rsidR="00120E2E" w:rsidRPr="000F7862">
        <w:rPr>
          <w:lang w:val="fr-FR"/>
        </w:rPr>
        <w:t>’</w:t>
      </w:r>
      <w:r w:rsidR="00256274" w:rsidRPr="000F7862">
        <w:rPr>
          <w:lang w:val="fr-FR"/>
        </w:rPr>
        <w:t>autres organismes publics</w:t>
      </w:r>
      <w:r w:rsidR="0086185C" w:rsidRPr="000F7862">
        <w:rPr>
          <w:lang w:val="fr-FR"/>
        </w:rPr>
        <w:t>.</w:t>
      </w:r>
    </w:p>
    <w:p w:rsidR="0086185C" w:rsidRPr="000F7862" w:rsidRDefault="003F7F57" w:rsidP="003F7F57">
      <w:pPr>
        <w:pStyle w:val="SingleTxtG"/>
        <w:rPr>
          <w:lang w:val="fr-FR"/>
        </w:rPr>
      </w:pPr>
      <w:r w:rsidRPr="000F7862">
        <w:rPr>
          <w:lang w:val="fr-FR"/>
        </w:rPr>
        <w:t>205.</w:t>
      </w:r>
      <w:r w:rsidRPr="000F7862">
        <w:rPr>
          <w:lang w:val="fr-FR"/>
        </w:rPr>
        <w:tab/>
      </w:r>
      <w:r w:rsidR="00256274" w:rsidRPr="000F7862">
        <w:rPr>
          <w:lang w:val="fr-FR"/>
        </w:rPr>
        <w:t xml:space="preserve">Le Gouvernement a exécuté les programmes de réforme des actifs ci-après afin de </w:t>
      </w:r>
      <w:r w:rsidR="00197782" w:rsidRPr="000F7862">
        <w:rPr>
          <w:lang w:val="fr-FR"/>
        </w:rPr>
        <w:t>répondre aux besoins des occupants sans titre en matière de logement</w:t>
      </w:r>
      <w:r w:rsidR="0005004C" w:rsidRPr="000F7862">
        <w:rPr>
          <w:lang w:val="fr-FR"/>
        </w:rPr>
        <w:t>:</w:t>
      </w:r>
    </w:p>
    <w:p w:rsidR="0086185C" w:rsidRPr="000F7862" w:rsidRDefault="00197782" w:rsidP="009111E1">
      <w:pPr>
        <w:pStyle w:val="Bullet1G"/>
      </w:pPr>
      <w:r w:rsidRPr="000F7862">
        <w:t xml:space="preserve">Le </w:t>
      </w:r>
      <w:r w:rsidRPr="000F7862">
        <w:rPr>
          <w:i/>
        </w:rPr>
        <w:t xml:space="preserve">Programme de </w:t>
      </w:r>
      <w:r w:rsidRPr="000F7862">
        <w:rPr>
          <w:i/>
          <w:lang w:eastAsia="fr-FR"/>
        </w:rPr>
        <w:t>prêts hypothécaires communautaires</w:t>
      </w:r>
      <w:r w:rsidRPr="000F7862">
        <w:rPr>
          <w:bCs/>
          <w:i/>
          <w:iCs/>
        </w:rPr>
        <w:t xml:space="preserve"> </w:t>
      </w:r>
      <w:r w:rsidRPr="000F7862">
        <w:t>est conçu pour faciliter l</w:t>
      </w:r>
      <w:r w:rsidR="00120E2E" w:rsidRPr="000F7862">
        <w:t>’</w:t>
      </w:r>
      <w:r w:rsidRPr="000F7862">
        <w:t>accès des groupes à faibles revenus à la terre et au crédit</w:t>
      </w:r>
      <w:r w:rsidR="0086185C" w:rsidRPr="000F7862">
        <w:t xml:space="preserve">. </w:t>
      </w:r>
      <w:r w:rsidRPr="000F7862">
        <w:t>Il s</w:t>
      </w:r>
      <w:r w:rsidR="00120E2E" w:rsidRPr="000F7862">
        <w:t>’</w:t>
      </w:r>
      <w:r w:rsidRPr="000F7862">
        <w:t>agit d</w:t>
      </w:r>
      <w:r w:rsidR="00120E2E" w:rsidRPr="000F7862">
        <w:t>’</w:t>
      </w:r>
      <w:r w:rsidRPr="000F7862">
        <w:t xml:space="preserve">un programme de financement hypothécaire géré par la </w:t>
      </w:r>
      <w:r w:rsidRPr="000F7862">
        <w:rPr>
          <w:lang w:eastAsia="fr-FR"/>
        </w:rPr>
        <w:t>Société de financement du logement social</w:t>
      </w:r>
      <w:r w:rsidRPr="000F7862">
        <w:t xml:space="preserve">, qui aide les </w:t>
      </w:r>
      <w:r w:rsidR="0086185C" w:rsidRPr="000F7862">
        <w:t xml:space="preserve">associations </w:t>
      </w:r>
      <w:r w:rsidRPr="000F7862">
        <w:t xml:space="preserve">légalement organisées de citoyens défavorisés et sans </w:t>
      </w:r>
      <w:r w:rsidR="006963C2" w:rsidRPr="000F7862">
        <w:t>logis</w:t>
      </w:r>
      <w:r w:rsidRPr="000F7862">
        <w:t xml:space="preserve"> à acheter </w:t>
      </w:r>
      <w:r w:rsidR="006947F9" w:rsidRPr="000F7862">
        <w:t>un terrain à bâtir dans le cadre de la propriété collective</w:t>
      </w:r>
      <w:r w:rsidR="0086185C" w:rsidRPr="000F7862">
        <w:t xml:space="preserve">. </w:t>
      </w:r>
      <w:r w:rsidR="006947F9" w:rsidRPr="000F7862">
        <w:t xml:space="preserve">Au cours de la </w:t>
      </w:r>
      <w:r w:rsidR="0086185C" w:rsidRPr="000F7862">
        <w:t>p</w:t>
      </w:r>
      <w:r w:rsidR="006947F9" w:rsidRPr="000F7862">
        <w:t>é</w:t>
      </w:r>
      <w:r w:rsidR="0086185C" w:rsidRPr="000F7862">
        <w:t>riod</w:t>
      </w:r>
      <w:r w:rsidR="006947F9" w:rsidRPr="000F7862">
        <w:t>e</w:t>
      </w:r>
      <w:r w:rsidR="0086185C" w:rsidRPr="000F7862">
        <w:t xml:space="preserve"> 2009</w:t>
      </w:r>
      <w:r w:rsidR="006947F9" w:rsidRPr="000F7862">
        <w:t>-</w:t>
      </w:r>
      <w:r w:rsidR="0086185C" w:rsidRPr="000F7862">
        <w:t xml:space="preserve">2012, </w:t>
      </w:r>
      <w:r w:rsidR="006947F9" w:rsidRPr="000F7862">
        <w:t xml:space="preserve">ce sont au </w:t>
      </w:r>
      <w:r w:rsidR="0086185C" w:rsidRPr="000F7862">
        <w:t>total 42</w:t>
      </w:r>
      <w:r w:rsidR="00A751E7" w:rsidRPr="000F7862">
        <w:t> </w:t>
      </w:r>
      <w:r w:rsidR="0086185C" w:rsidRPr="000F7862">
        <w:t xml:space="preserve">293 </w:t>
      </w:r>
      <w:r w:rsidR="006947F9" w:rsidRPr="000F7862">
        <w:t>familles sans terres qui ont reçu une aide financière d</w:t>
      </w:r>
      <w:r w:rsidR="00120E2E" w:rsidRPr="000F7862">
        <w:t>’</w:t>
      </w:r>
      <w:r w:rsidR="006947F9" w:rsidRPr="000F7862">
        <w:t xml:space="preserve">un montant global de </w:t>
      </w:r>
      <w:r w:rsidR="0086185C" w:rsidRPr="000F7862">
        <w:t>1</w:t>
      </w:r>
      <w:r w:rsidR="006947F9" w:rsidRPr="000F7862">
        <w:t>,</w:t>
      </w:r>
      <w:r w:rsidR="0086185C" w:rsidRPr="000F7862">
        <w:t>725</w:t>
      </w:r>
      <w:r w:rsidR="00796D18" w:rsidRPr="000F7862">
        <w:t> </w:t>
      </w:r>
      <w:r w:rsidR="006947F9" w:rsidRPr="000F7862">
        <w:t>milliard de pesos au titre de l</w:t>
      </w:r>
      <w:r w:rsidR="00120E2E" w:rsidRPr="000F7862">
        <w:t>’</w:t>
      </w:r>
      <w:r w:rsidR="006947F9" w:rsidRPr="000F7862">
        <w:t>acquisition de terrains dans le cadre du Programme susvisé</w:t>
      </w:r>
      <w:r w:rsidR="00DD43A1" w:rsidRPr="000F7862">
        <w:t>;</w:t>
      </w:r>
    </w:p>
    <w:p w:rsidR="0086185C" w:rsidRPr="000F7862" w:rsidRDefault="0086185C" w:rsidP="009111E1">
      <w:pPr>
        <w:pStyle w:val="Bullet1G"/>
      </w:pPr>
      <w:r w:rsidRPr="000F7862">
        <w:rPr>
          <w:bCs/>
          <w:i/>
          <w:iCs/>
        </w:rPr>
        <w:t>Proclamation</w:t>
      </w:r>
      <w:r w:rsidR="006947F9" w:rsidRPr="000F7862">
        <w:rPr>
          <w:bCs/>
          <w:i/>
          <w:iCs/>
        </w:rPr>
        <w:t xml:space="preserve">s présidentielles concernant le logement </w:t>
      </w:r>
      <w:r w:rsidRPr="000F7862">
        <w:t>–</w:t>
      </w:r>
      <w:r w:rsidR="006947F9" w:rsidRPr="000F7862">
        <w:t xml:space="preserve"> Il s</w:t>
      </w:r>
      <w:r w:rsidR="00120E2E" w:rsidRPr="000F7862">
        <w:t>’</w:t>
      </w:r>
      <w:r w:rsidR="006947F9" w:rsidRPr="000F7862">
        <w:t>agit de proclamation</w:t>
      </w:r>
      <w:r w:rsidR="007B19B7" w:rsidRPr="000F7862">
        <w:t>s</w:t>
      </w:r>
      <w:r w:rsidR="006947F9" w:rsidRPr="000F7862">
        <w:t xml:space="preserve"> par lesquelles le Président déclare des parcelles du domaine public</w:t>
      </w:r>
      <w:r w:rsidR="007B19B7" w:rsidRPr="000F7862">
        <w:t xml:space="preserve"> occupées par des personnes sans titre cessibles </w:t>
      </w:r>
      <w:r w:rsidR="007B19B7" w:rsidRPr="000F7862">
        <w:rPr>
          <w:lang w:eastAsia="fr-FR"/>
        </w:rPr>
        <w:t>aux bénéficiaires qui remplissent les conditions requises</w:t>
      </w:r>
      <w:r w:rsidR="007B19B7" w:rsidRPr="000F7862">
        <w:t xml:space="preserve"> en vue de leur transformation en sites réservés aux logements sociaux</w:t>
      </w:r>
      <w:r w:rsidRPr="000F7862">
        <w:t>.</w:t>
      </w:r>
    </w:p>
    <w:p w:rsidR="0086185C" w:rsidRPr="000F7862" w:rsidRDefault="003F7F57" w:rsidP="003F7F57">
      <w:pPr>
        <w:pStyle w:val="SingleTxtG"/>
        <w:rPr>
          <w:lang w:val="fr-FR"/>
        </w:rPr>
      </w:pPr>
      <w:r w:rsidRPr="000F7862">
        <w:rPr>
          <w:lang w:val="fr-FR"/>
        </w:rPr>
        <w:t>206.</w:t>
      </w:r>
      <w:r w:rsidRPr="000F7862">
        <w:rPr>
          <w:lang w:val="fr-FR"/>
        </w:rPr>
        <w:tab/>
      </w:r>
      <w:r w:rsidR="007B19B7" w:rsidRPr="000F7862">
        <w:rPr>
          <w:lang w:val="fr-FR"/>
        </w:rPr>
        <w:t xml:space="preserve">Depuis </w:t>
      </w:r>
      <w:r w:rsidR="0086185C" w:rsidRPr="000F7862">
        <w:rPr>
          <w:lang w:val="fr-FR"/>
        </w:rPr>
        <w:t xml:space="preserve">2001, </w:t>
      </w:r>
      <w:r w:rsidR="007B19B7" w:rsidRPr="000F7862">
        <w:rPr>
          <w:lang w:val="fr-FR"/>
        </w:rPr>
        <w:t xml:space="preserve">le </w:t>
      </w:r>
      <w:r w:rsidR="0086185C" w:rsidRPr="000F7862">
        <w:rPr>
          <w:lang w:val="fr-FR"/>
        </w:rPr>
        <w:t>Pr</w:t>
      </w:r>
      <w:r w:rsidR="007B19B7" w:rsidRPr="000F7862">
        <w:rPr>
          <w:lang w:val="fr-FR"/>
        </w:rPr>
        <w:t>é</w:t>
      </w:r>
      <w:r w:rsidR="0086185C" w:rsidRPr="000F7862">
        <w:rPr>
          <w:lang w:val="fr-FR"/>
        </w:rPr>
        <w:t xml:space="preserve">sident </w:t>
      </w:r>
      <w:r w:rsidR="007B19B7" w:rsidRPr="000F7862">
        <w:rPr>
          <w:lang w:val="fr-FR"/>
        </w:rPr>
        <w:t xml:space="preserve">a publié au </w:t>
      </w:r>
      <w:r w:rsidR="0086185C" w:rsidRPr="000F7862">
        <w:rPr>
          <w:lang w:val="fr-FR"/>
        </w:rPr>
        <w:t xml:space="preserve">total 116 </w:t>
      </w:r>
      <w:r w:rsidR="007B19B7" w:rsidRPr="000F7862">
        <w:rPr>
          <w:lang w:val="fr-FR"/>
        </w:rPr>
        <w:t>de ces p</w:t>
      </w:r>
      <w:r w:rsidR="0086185C" w:rsidRPr="000F7862">
        <w:rPr>
          <w:lang w:val="fr-FR"/>
        </w:rPr>
        <w:t>roclamations</w:t>
      </w:r>
      <w:r w:rsidR="007B19B7" w:rsidRPr="000F7862">
        <w:rPr>
          <w:lang w:val="fr-FR"/>
        </w:rPr>
        <w:t>, concernant une superficie totale de</w:t>
      </w:r>
      <w:r w:rsidR="0005004C" w:rsidRPr="000F7862">
        <w:rPr>
          <w:lang w:val="fr-FR"/>
        </w:rPr>
        <w:t xml:space="preserve"> </w:t>
      </w:r>
      <w:r w:rsidR="00A751E7" w:rsidRPr="000F7862">
        <w:rPr>
          <w:lang w:val="fr-FR"/>
        </w:rPr>
        <w:t>27 </w:t>
      </w:r>
      <w:r w:rsidR="0086185C" w:rsidRPr="000F7862">
        <w:rPr>
          <w:lang w:val="fr-FR"/>
        </w:rPr>
        <w:t xml:space="preserve">284 hectares, </w:t>
      </w:r>
      <w:r w:rsidR="00A751E7" w:rsidRPr="000F7862">
        <w:rPr>
          <w:lang w:val="fr-FR"/>
        </w:rPr>
        <w:t>au bénéfice de 271 </w:t>
      </w:r>
      <w:r w:rsidR="0086185C" w:rsidRPr="000F7862">
        <w:rPr>
          <w:lang w:val="fr-FR"/>
        </w:rPr>
        <w:t xml:space="preserve">505 </w:t>
      </w:r>
      <w:r w:rsidR="007B19B7" w:rsidRPr="000F7862">
        <w:rPr>
          <w:lang w:val="fr-FR"/>
        </w:rPr>
        <w:t>ménages</w:t>
      </w:r>
      <w:r w:rsidR="0086185C" w:rsidRPr="000F7862">
        <w:rPr>
          <w:lang w:val="fr-FR"/>
        </w:rPr>
        <w:t>.</w:t>
      </w:r>
    </w:p>
    <w:p w:rsidR="0086185C" w:rsidRPr="000F7862" w:rsidRDefault="003F7F57" w:rsidP="003F7F57">
      <w:pPr>
        <w:pStyle w:val="SingleTxtG"/>
        <w:rPr>
          <w:lang w:val="fr-FR"/>
        </w:rPr>
      </w:pPr>
      <w:r w:rsidRPr="000F7862">
        <w:rPr>
          <w:lang w:val="fr-FR"/>
        </w:rPr>
        <w:t>207.</w:t>
      </w:r>
      <w:r w:rsidRPr="000F7862">
        <w:rPr>
          <w:lang w:val="fr-FR"/>
        </w:rPr>
        <w:tab/>
      </w:r>
      <w:r w:rsidR="007B19B7" w:rsidRPr="000F7862">
        <w:rPr>
          <w:lang w:val="fr-FR"/>
        </w:rPr>
        <w:t>Le Programme de p</w:t>
      </w:r>
      <w:r w:rsidR="0086185C" w:rsidRPr="000F7862">
        <w:rPr>
          <w:lang w:val="fr-FR"/>
        </w:rPr>
        <w:t>roclamation</w:t>
      </w:r>
      <w:r w:rsidR="007B19B7" w:rsidRPr="000F7862">
        <w:rPr>
          <w:lang w:val="fr-FR"/>
        </w:rPr>
        <w:t>s présidentielles a pour objet de garantir une sécurité de jouissance aux occupants sans titre bénéficiaires</w:t>
      </w:r>
      <w:r w:rsidR="0086185C" w:rsidRPr="000F7862">
        <w:rPr>
          <w:lang w:val="fr-FR"/>
        </w:rPr>
        <w:t xml:space="preserve">. </w:t>
      </w:r>
      <w:r w:rsidR="009E7AA1" w:rsidRPr="000F7862">
        <w:rPr>
          <w:lang w:val="fr-FR"/>
        </w:rPr>
        <w:t>Le certificat d</w:t>
      </w:r>
      <w:r w:rsidR="00120E2E" w:rsidRPr="000F7862">
        <w:rPr>
          <w:lang w:val="fr-FR"/>
        </w:rPr>
        <w:t>’</w:t>
      </w:r>
      <w:r w:rsidR="009E7AA1" w:rsidRPr="000F7862">
        <w:rPr>
          <w:lang w:val="fr-FR"/>
        </w:rPr>
        <w:t>admission au bénéfice de l</w:t>
      </w:r>
      <w:r w:rsidR="00120E2E" w:rsidRPr="000F7862">
        <w:rPr>
          <w:lang w:val="fr-FR"/>
        </w:rPr>
        <w:t>’</w:t>
      </w:r>
      <w:r w:rsidR="009E7AA1" w:rsidRPr="000F7862">
        <w:rPr>
          <w:lang w:val="fr-FR"/>
        </w:rPr>
        <w:t>attribution</w:t>
      </w:r>
      <w:r w:rsidR="005C660E" w:rsidRPr="000F7862">
        <w:rPr>
          <w:lang w:val="fr-FR"/>
        </w:rPr>
        <w:t xml:space="preserve"> d</w:t>
      </w:r>
      <w:r w:rsidR="00120E2E" w:rsidRPr="000F7862">
        <w:rPr>
          <w:lang w:val="fr-FR"/>
        </w:rPr>
        <w:t>’</w:t>
      </w:r>
      <w:r w:rsidR="005C660E" w:rsidRPr="000F7862">
        <w:rPr>
          <w:lang w:val="fr-FR"/>
        </w:rPr>
        <w:t xml:space="preserve">une parcelle est un </w:t>
      </w:r>
      <w:r w:rsidR="0086185C" w:rsidRPr="000F7862">
        <w:rPr>
          <w:lang w:val="fr-FR"/>
        </w:rPr>
        <w:t xml:space="preserve">instrument </w:t>
      </w:r>
      <w:r w:rsidR="005C660E" w:rsidRPr="000F7862">
        <w:rPr>
          <w:lang w:val="fr-FR"/>
        </w:rPr>
        <w:t xml:space="preserve">que le </w:t>
      </w:r>
      <w:r w:rsidR="005C660E" w:rsidRPr="000F7862">
        <w:rPr>
          <w:lang w:val="fr-FR" w:eastAsia="fr-FR"/>
        </w:rPr>
        <w:t>Conseil de coordination pour le logement et le développement urbain</w:t>
      </w:r>
      <w:r w:rsidR="0086185C" w:rsidRPr="000F7862">
        <w:rPr>
          <w:lang w:val="fr-FR"/>
        </w:rPr>
        <w:t xml:space="preserve"> </w:t>
      </w:r>
      <w:r w:rsidR="005C660E" w:rsidRPr="000F7862">
        <w:rPr>
          <w:lang w:val="fr-FR"/>
        </w:rPr>
        <w:t>délivre aux familles d</w:t>
      </w:r>
      <w:r w:rsidR="00120E2E" w:rsidRPr="000F7862">
        <w:rPr>
          <w:lang w:val="fr-FR"/>
        </w:rPr>
        <w:t>’</w:t>
      </w:r>
      <w:r w:rsidR="005C660E" w:rsidRPr="000F7862">
        <w:rPr>
          <w:lang w:val="fr-FR"/>
        </w:rPr>
        <w:t>occupants sans titre remplissant les conditions requises et est considéré comme établissant la sécurité de jouissance en attendant la délivrance d</w:t>
      </w:r>
      <w:r w:rsidR="00120E2E" w:rsidRPr="000F7862">
        <w:rPr>
          <w:lang w:val="fr-FR"/>
        </w:rPr>
        <w:t>’</w:t>
      </w:r>
      <w:r w:rsidR="005C660E" w:rsidRPr="000F7862">
        <w:rPr>
          <w:lang w:val="fr-FR"/>
        </w:rPr>
        <w:t>un titre foncier que les bénéficiaires ne peuvent recevoir qu</w:t>
      </w:r>
      <w:r w:rsidR="00120E2E" w:rsidRPr="000F7862">
        <w:rPr>
          <w:lang w:val="fr-FR"/>
        </w:rPr>
        <w:t>’</w:t>
      </w:r>
      <w:r w:rsidR="005C660E" w:rsidRPr="000F7862">
        <w:rPr>
          <w:lang w:val="fr-FR"/>
        </w:rPr>
        <w:t>après avoir acquitté l</w:t>
      </w:r>
      <w:r w:rsidR="00120E2E" w:rsidRPr="000F7862">
        <w:rPr>
          <w:lang w:val="fr-FR"/>
        </w:rPr>
        <w:t>’</w:t>
      </w:r>
      <w:r w:rsidR="007B1500" w:rsidRPr="000F7862">
        <w:rPr>
          <w:lang w:val="fr-FR"/>
        </w:rPr>
        <w:t>intégralit</w:t>
      </w:r>
      <w:r w:rsidR="005C660E" w:rsidRPr="000F7862">
        <w:rPr>
          <w:lang w:val="fr-FR"/>
        </w:rPr>
        <w:t xml:space="preserve">é du prix de la parcelle attribuée, ce qui peut prendre des années, en fonction de </w:t>
      </w:r>
      <w:r w:rsidR="007B1500" w:rsidRPr="000F7862">
        <w:rPr>
          <w:lang w:val="fr-FR"/>
        </w:rPr>
        <w:t>leur capacité financière</w:t>
      </w:r>
      <w:r w:rsidR="0086185C" w:rsidRPr="000F7862">
        <w:rPr>
          <w:lang w:val="fr-FR"/>
        </w:rPr>
        <w:t>.</w:t>
      </w:r>
    </w:p>
    <w:p w:rsidR="0086185C" w:rsidRPr="000F7862" w:rsidRDefault="007B1500" w:rsidP="009111E1">
      <w:pPr>
        <w:pStyle w:val="Bullet1G"/>
      </w:pPr>
      <w:r w:rsidRPr="000F7862">
        <w:rPr>
          <w:bCs/>
          <w:iCs/>
        </w:rPr>
        <w:t xml:space="preserve">Le </w:t>
      </w:r>
      <w:r w:rsidR="00867E43" w:rsidRPr="000F7862">
        <w:rPr>
          <w:bCs/>
          <w:i/>
          <w:iCs/>
        </w:rPr>
        <w:t>Programme</w:t>
      </w:r>
      <w:r w:rsidRPr="000F7862">
        <w:rPr>
          <w:bCs/>
          <w:i/>
          <w:iCs/>
        </w:rPr>
        <w:t xml:space="preserve"> de réinstallation</w:t>
      </w:r>
      <w:r w:rsidR="0086185C" w:rsidRPr="000F7862">
        <w:t xml:space="preserve"> </w:t>
      </w:r>
      <w:r w:rsidR="001A4B07" w:rsidRPr="000F7862">
        <w:t>porte sur l</w:t>
      </w:r>
      <w:r w:rsidR="00120E2E" w:rsidRPr="000F7862">
        <w:t>’</w:t>
      </w:r>
      <w:r w:rsidR="0086185C" w:rsidRPr="000F7862">
        <w:t xml:space="preserve">acquisition </w:t>
      </w:r>
      <w:r w:rsidR="001A4B07" w:rsidRPr="000F7862">
        <w:t>de terrains et l</w:t>
      </w:r>
      <w:r w:rsidR="00120E2E" w:rsidRPr="000F7862">
        <w:t>’</w:t>
      </w:r>
      <w:r w:rsidR="001A4B07" w:rsidRPr="000F7862">
        <w:t xml:space="preserve">aménagement de sites par </w:t>
      </w:r>
      <w:r w:rsidR="001A4B07" w:rsidRPr="000F7862">
        <w:rPr>
          <w:lang w:eastAsia="fr-FR"/>
        </w:rPr>
        <w:t>l</w:t>
      </w:r>
      <w:r w:rsidR="00120E2E" w:rsidRPr="000F7862">
        <w:rPr>
          <w:lang w:eastAsia="fr-FR"/>
        </w:rPr>
        <w:t>’</w:t>
      </w:r>
      <w:r w:rsidR="001A4B07" w:rsidRPr="000F7862">
        <w:rPr>
          <w:lang w:eastAsia="fr-FR"/>
        </w:rPr>
        <w:t xml:space="preserve">Agence nationale du logement, afin de fournir des lots viabilisés </w:t>
      </w:r>
      <w:r w:rsidR="001A4B07" w:rsidRPr="000F7862">
        <w:t xml:space="preserve">aux familles déplacées de </w:t>
      </w:r>
      <w:r w:rsidR="0086185C" w:rsidRPr="000F7862">
        <w:t xml:space="preserve">sites </w:t>
      </w:r>
      <w:r w:rsidR="001A4B07" w:rsidRPr="000F7862">
        <w:t>réservés pour des projets d</w:t>
      </w:r>
      <w:r w:rsidR="00120E2E" w:rsidRPr="000F7862">
        <w:t>’</w:t>
      </w:r>
      <w:r w:rsidR="0086185C" w:rsidRPr="000F7862">
        <w:t xml:space="preserve">infrastructure </w:t>
      </w:r>
      <w:r w:rsidR="001A4B07" w:rsidRPr="000F7862">
        <w:t>publics</w:t>
      </w:r>
      <w:r w:rsidR="0086185C" w:rsidRPr="000F7862">
        <w:t xml:space="preserve">, </w:t>
      </w:r>
      <w:r w:rsidR="001A4B07" w:rsidRPr="000F7862">
        <w:t>à celles qui occupent des zones dangereuses, telles que des voies d</w:t>
      </w:r>
      <w:r w:rsidR="00120E2E" w:rsidRPr="000F7862">
        <w:t>’</w:t>
      </w:r>
      <w:r w:rsidR="001A4B07" w:rsidRPr="000F7862">
        <w:t xml:space="preserve">eau, des </w:t>
      </w:r>
      <w:r w:rsidR="001A4B07" w:rsidRPr="000F7862">
        <w:rPr>
          <w:i/>
        </w:rPr>
        <w:t>esteros</w:t>
      </w:r>
      <w:r w:rsidR="001A4B07" w:rsidRPr="000F7862">
        <w:t xml:space="preserve"> et</w:t>
      </w:r>
      <w:r w:rsidR="0086185C" w:rsidRPr="000F7862">
        <w:t xml:space="preserve"> </w:t>
      </w:r>
      <w:r w:rsidR="001A4B07" w:rsidRPr="000F7862">
        <w:t>des voies ferrées, et à celles qui présentent les conditions requises pour recevoir une aide au relogement et à la réinstallation en application de la L.</w:t>
      </w:r>
      <w:r w:rsidR="0086185C" w:rsidRPr="000F7862">
        <w:t>R.</w:t>
      </w:r>
      <w:r w:rsidR="001A4B07" w:rsidRPr="000F7862">
        <w:t xml:space="preserve"> </w:t>
      </w:r>
      <w:r w:rsidR="00730F8F" w:rsidRPr="000F7862">
        <w:t>n</w:t>
      </w:r>
      <w:r w:rsidR="00730F8F" w:rsidRPr="000F7862">
        <w:rPr>
          <w:vertAlign w:val="superscript"/>
        </w:rPr>
        <w:t>o</w:t>
      </w:r>
      <w:r w:rsidR="00730F8F" w:rsidRPr="000F7862">
        <w:t> </w:t>
      </w:r>
      <w:r w:rsidR="0086185C" w:rsidRPr="000F7862">
        <w:t>7279 o</w:t>
      </w:r>
      <w:r w:rsidR="001A4B07" w:rsidRPr="000F7862">
        <w:t xml:space="preserve">u de la loi de 1992 sur </w:t>
      </w:r>
      <w:r w:rsidR="00E21248" w:rsidRPr="000F7862">
        <w:t>le développement u</w:t>
      </w:r>
      <w:r w:rsidR="0086185C" w:rsidRPr="000F7862">
        <w:t>rba</w:t>
      </w:r>
      <w:r w:rsidR="00E21248" w:rsidRPr="000F7862">
        <w:t>i</w:t>
      </w:r>
      <w:r w:rsidR="0086185C" w:rsidRPr="000F7862">
        <w:t xml:space="preserve">n </w:t>
      </w:r>
      <w:r w:rsidR="00E21248" w:rsidRPr="000F7862">
        <w:t>et le logement</w:t>
      </w:r>
      <w:r w:rsidR="0086185C" w:rsidRPr="000F7862">
        <w:t>.</w:t>
      </w:r>
    </w:p>
    <w:p w:rsidR="0086185C" w:rsidRPr="000F7862" w:rsidRDefault="003F7F57" w:rsidP="003F7F57">
      <w:pPr>
        <w:pStyle w:val="SingleTxtG"/>
        <w:rPr>
          <w:lang w:val="fr-FR"/>
        </w:rPr>
      </w:pPr>
      <w:r w:rsidRPr="000F7862">
        <w:rPr>
          <w:lang w:val="fr-FR"/>
        </w:rPr>
        <w:t>208.</w:t>
      </w:r>
      <w:r w:rsidRPr="000F7862">
        <w:rPr>
          <w:lang w:val="fr-FR"/>
        </w:rPr>
        <w:tab/>
      </w:r>
      <w:r w:rsidR="00E21248" w:rsidRPr="000F7862">
        <w:rPr>
          <w:lang w:val="fr-FR"/>
        </w:rPr>
        <w:t xml:space="preserve">Entre </w:t>
      </w:r>
      <w:r w:rsidR="0086185C" w:rsidRPr="000F7862">
        <w:rPr>
          <w:lang w:val="fr-FR"/>
        </w:rPr>
        <w:t xml:space="preserve">2009 </w:t>
      </w:r>
      <w:r w:rsidR="00E21248" w:rsidRPr="000F7862">
        <w:rPr>
          <w:lang w:val="fr-FR"/>
        </w:rPr>
        <w:t>et</w:t>
      </w:r>
      <w:r w:rsidR="0086185C" w:rsidRPr="000F7862">
        <w:rPr>
          <w:lang w:val="fr-FR"/>
        </w:rPr>
        <w:t xml:space="preserve"> 2012, </w:t>
      </w:r>
      <w:r w:rsidR="00E21248" w:rsidRPr="000F7862">
        <w:rPr>
          <w:lang w:val="fr-FR"/>
        </w:rPr>
        <w:t xml:space="preserve">ce sont au </w:t>
      </w:r>
      <w:r w:rsidR="0086185C" w:rsidRPr="000F7862">
        <w:rPr>
          <w:lang w:val="fr-FR"/>
        </w:rPr>
        <w:t>total 100</w:t>
      </w:r>
      <w:r w:rsidR="00A751E7" w:rsidRPr="000F7862">
        <w:rPr>
          <w:lang w:val="fr-FR"/>
        </w:rPr>
        <w:t> </w:t>
      </w:r>
      <w:r w:rsidR="0086185C" w:rsidRPr="000F7862">
        <w:rPr>
          <w:lang w:val="fr-FR"/>
        </w:rPr>
        <w:t xml:space="preserve">285 </w:t>
      </w:r>
      <w:r w:rsidR="00E21248" w:rsidRPr="000F7862">
        <w:rPr>
          <w:lang w:val="fr-FR"/>
        </w:rPr>
        <w:t xml:space="preserve">ménages qui se sont vu fournir des </w:t>
      </w:r>
      <w:r w:rsidR="00D82828" w:rsidRPr="000F7862">
        <w:rPr>
          <w:lang w:val="fr-FR"/>
        </w:rPr>
        <w:t>lotissements</w:t>
      </w:r>
      <w:r w:rsidR="00E21248" w:rsidRPr="000F7862">
        <w:rPr>
          <w:lang w:val="fr-FR"/>
        </w:rPr>
        <w:t xml:space="preserve"> viabilisés </w:t>
      </w:r>
      <w:r w:rsidR="00D82828" w:rsidRPr="000F7862">
        <w:rPr>
          <w:lang w:val="fr-FR"/>
        </w:rPr>
        <w:t>avec trames d</w:t>
      </w:r>
      <w:r w:rsidR="00120E2E" w:rsidRPr="000F7862">
        <w:rPr>
          <w:lang w:val="fr-FR"/>
        </w:rPr>
        <w:t>’</w:t>
      </w:r>
      <w:r w:rsidR="00D82828" w:rsidRPr="000F7862">
        <w:rPr>
          <w:lang w:val="fr-FR"/>
        </w:rPr>
        <w:t xml:space="preserve">accueil </w:t>
      </w:r>
      <w:r w:rsidR="00E21248" w:rsidRPr="000F7862">
        <w:rPr>
          <w:lang w:val="fr-FR"/>
        </w:rPr>
        <w:t xml:space="preserve">dans le cadre du programme de réinstallation, pour un montant de </w:t>
      </w:r>
      <w:r w:rsidR="0086185C" w:rsidRPr="000F7862">
        <w:rPr>
          <w:lang w:val="fr-FR"/>
        </w:rPr>
        <w:t>24</w:t>
      </w:r>
      <w:r w:rsidR="00E21248" w:rsidRPr="000F7862">
        <w:rPr>
          <w:lang w:val="fr-FR"/>
        </w:rPr>
        <w:t>,</w:t>
      </w:r>
      <w:r w:rsidR="0086185C" w:rsidRPr="000F7862">
        <w:rPr>
          <w:lang w:val="fr-FR"/>
        </w:rPr>
        <w:t>513</w:t>
      </w:r>
      <w:r w:rsidR="00796D18" w:rsidRPr="000F7862">
        <w:rPr>
          <w:lang w:val="fr-FR"/>
        </w:rPr>
        <w:t> </w:t>
      </w:r>
      <w:r w:rsidR="00E21248" w:rsidRPr="000F7862">
        <w:rPr>
          <w:lang w:val="fr-FR"/>
        </w:rPr>
        <w:t>milliards de pesos</w:t>
      </w:r>
      <w:r w:rsidR="0086185C" w:rsidRPr="000F7862">
        <w:rPr>
          <w:lang w:val="fr-FR"/>
        </w:rPr>
        <w:t>.</w:t>
      </w:r>
    </w:p>
    <w:p w:rsidR="0086185C" w:rsidRPr="000F7862" w:rsidRDefault="003F7F57" w:rsidP="003F7F57">
      <w:pPr>
        <w:pStyle w:val="SingleTxtG"/>
        <w:rPr>
          <w:lang w:val="fr-FR"/>
        </w:rPr>
      </w:pPr>
      <w:r w:rsidRPr="000F7862">
        <w:rPr>
          <w:lang w:val="fr-FR"/>
        </w:rPr>
        <w:t>209.</w:t>
      </w:r>
      <w:r w:rsidRPr="000F7862">
        <w:rPr>
          <w:lang w:val="fr-FR"/>
        </w:rPr>
        <w:tab/>
      </w:r>
      <w:r w:rsidR="002E0FEF" w:rsidRPr="000F7862">
        <w:rPr>
          <w:lang w:val="fr-FR"/>
        </w:rPr>
        <w:t>Pour garantir l</w:t>
      </w:r>
      <w:r w:rsidR="00120E2E" w:rsidRPr="000F7862">
        <w:rPr>
          <w:lang w:val="fr-FR"/>
        </w:rPr>
        <w:t>’</w:t>
      </w:r>
      <w:r w:rsidR="002E0FEF" w:rsidRPr="000F7862">
        <w:rPr>
          <w:lang w:val="fr-FR"/>
        </w:rPr>
        <w:t>acceptabilité des zones de réinstallation</w:t>
      </w:r>
      <w:r w:rsidR="0086185C" w:rsidRPr="000F7862">
        <w:rPr>
          <w:lang w:val="fr-FR"/>
        </w:rPr>
        <w:t xml:space="preserve">, </w:t>
      </w:r>
      <w:r w:rsidR="002E0FEF" w:rsidRPr="000F7862">
        <w:rPr>
          <w:lang w:val="fr-FR"/>
        </w:rPr>
        <w:t>le secteur du logement a adopté les mesures ci-après</w:t>
      </w:r>
      <w:r w:rsidR="0005004C" w:rsidRPr="000F7862">
        <w:rPr>
          <w:lang w:val="fr-FR"/>
        </w:rPr>
        <w:t>:</w:t>
      </w:r>
    </w:p>
    <w:p w:rsidR="0086185C" w:rsidRPr="000F7862" w:rsidRDefault="00A751E7" w:rsidP="00A751E7">
      <w:pPr>
        <w:pStyle w:val="SingleTxtG"/>
        <w:rPr>
          <w:lang w:val="fr-FR"/>
        </w:rPr>
      </w:pPr>
      <w:r w:rsidRPr="000F7862">
        <w:rPr>
          <w:lang w:val="fr-FR"/>
        </w:rPr>
        <w:tab/>
      </w:r>
      <w:r w:rsidR="00DD43A1" w:rsidRPr="000F7862">
        <w:rPr>
          <w:lang w:val="fr-FR"/>
        </w:rPr>
        <w:t>a)</w:t>
      </w:r>
      <w:r w:rsidR="00DD43A1" w:rsidRPr="000F7862">
        <w:rPr>
          <w:lang w:val="fr-FR"/>
        </w:rPr>
        <w:tab/>
      </w:r>
      <w:r w:rsidR="0086185C" w:rsidRPr="000F7862">
        <w:rPr>
          <w:lang w:val="fr-FR"/>
        </w:rPr>
        <w:t xml:space="preserve">Adoption </w:t>
      </w:r>
      <w:r w:rsidR="002E0FEF" w:rsidRPr="000F7862">
        <w:rPr>
          <w:lang w:val="fr-FR"/>
        </w:rPr>
        <w:t>d</w:t>
      </w:r>
      <w:r w:rsidR="00120E2E" w:rsidRPr="000F7862">
        <w:rPr>
          <w:lang w:val="fr-FR"/>
        </w:rPr>
        <w:t>’</w:t>
      </w:r>
      <w:r w:rsidR="002E0FEF" w:rsidRPr="000F7862">
        <w:rPr>
          <w:lang w:val="fr-FR"/>
        </w:rPr>
        <w:t>une démarche axée sur les bénéficiaires en matière de sélection et d</w:t>
      </w:r>
      <w:r w:rsidR="00120E2E" w:rsidRPr="000F7862">
        <w:rPr>
          <w:lang w:val="fr-FR"/>
        </w:rPr>
        <w:t>’</w:t>
      </w:r>
      <w:r w:rsidR="002E0FEF" w:rsidRPr="000F7862">
        <w:rPr>
          <w:lang w:val="fr-FR"/>
        </w:rPr>
        <w:t>aménagement des sites de réinstallation</w:t>
      </w:r>
      <w:r w:rsidR="0086185C" w:rsidRPr="000F7862">
        <w:rPr>
          <w:lang w:val="fr-FR"/>
        </w:rPr>
        <w:t>;</w:t>
      </w:r>
    </w:p>
    <w:p w:rsidR="0086185C" w:rsidRPr="000F7862" w:rsidRDefault="00A751E7" w:rsidP="00A751E7">
      <w:pPr>
        <w:pStyle w:val="SingleTxtG"/>
        <w:rPr>
          <w:lang w:val="fr-FR"/>
        </w:rPr>
      </w:pPr>
      <w:r w:rsidRPr="000F7862">
        <w:rPr>
          <w:lang w:val="fr-FR"/>
        </w:rPr>
        <w:tab/>
      </w:r>
      <w:r w:rsidR="00DD43A1" w:rsidRPr="000F7862">
        <w:rPr>
          <w:lang w:val="fr-FR"/>
        </w:rPr>
        <w:t>b)</w:t>
      </w:r>
      <w:r w:rsidR="00DD43A1" w:rsidRPr="000F7862">
        <w:rPr>
          <w:lang w:val="fr-FR"/>
        </w:rPr>
        <w:tab/>
      </w:r>
      <w:r w:rsidR="0086185C" w:rsidRPr="000F7862">
        <w:rPr>
          <w:lang w:val="fr-FR"/>
        </w:rPr>
        <w:t>Adoption</w:t>
      </w:r>
      <w:r w:rsidR="002E0FEF" w:rsidRPr="000F7862">
        <w:rPr>
          <w:lang w:val="fr-FR"/>
        </w:rPr>
        <w:t xml:space="preserve"> d</w:t>
      </w:r>
      <w:r w:rsidR="00120E2E" w:rsidRPr="000F7862">
        <w:rPr>
          <w:lang w:val="fr-FR"/>
        </w:rPr>
        <w:t>’</w:t>
      </w:r>
      <w:r w:rsidR="002E0FEF" w:rsidRPr="000F7862">
        <w:rPr>
          <w:lang w:val="fr-FR"/>
        </w:rPr>
        <w:t>une démarche de relogement dans la même ville pour réduire l</w:t>
      </w:r>
      <w:r w:rsidR="00120E2E" w:rsidRPr="000F7862">
        <w:rPr>
          <w:lang w:val="fr-FR"/>
        </w:rPr>
        <w:t>’</w:t>
      </w:r>
      <w:r w:rsidR="002E0FEF" w:rsidRPr="000F7862">
        <w:rPr>
          <w:lang w:val="fr-FR"/>
        </w:rPr>
        <w:t>impression de déracinement, chaque fois que cela est possible</w:t>
      </w:r>
      <w:r w:rsidR="0086185C" w:rsidRPr="000F7862">
        <w:rPr>
          <w:lang w:val="fr-FR"/>
        </w:rPr>
        <w:t>;</w:t>
      </w:r>
    </w:p>
    <w:p w:rsidR="0086185C" w:rsidRPr="000F7862" w:rsidRDefault="00A751E7" w:rsidP="00A751E7">
      <w:pPr>
        <w:pStyle w:val="SingleTxtG"/>
        <w:rPr>
          <w:lang w:val="fr-FR"/>
        </w:rPr>
      </w:pPr>
      <w:r w:rsidRPr="000F7862">
        <w:rPr>
          <w:lang w:val="fr-FR"/>
        </w:rPr>
        <w:tab/>
      </w:r>
      <w:r w:rsidR="00DD43A1" w:rsidRPr="000F7862">
        <w:rPr>
          <w:lang w:val="fr-FR"/>
        </w:rPr>
        <w:t>c)</w:t>
      </w:r>
      <w:r w:rsidR="00DD43A1" w:rsidRPr="000F7862">
        <w:rPr>
          <w:lang w:val="fr-FR"/>
        </w:rPr>
        <w:tab/>
      </w:r>
      <w:r w:rsidR="002E0FEF" w:rsidRPr="000F7862">
        <w:rPr>
          <w:lang w:val="fr-FR"/>
        </w:rPr>
        <w:t xml:space="preserve">Fourniture des infrastructures de base (écoles, eau </w:t>
      </w:r>
      <w:r w:rsidR="0086185C" w:rsidRPr="000F7862">
        <w:rPr>
          <w:lang w:val="fr-FR"/>
        </w:rPr>
        <w:t xml:space="preserve">potable </w:t>
      </w:r>
      <w:r w:rsidR="002E0FEF" w:rsidRPr="000F7862">
        <w:rPr>
          <w:lang w:val="fr-FR"/>
        </w:rPr>
        <w:t>et é</w:t>
      </w:r>
      <w:r w:rsidR="0086185C" w:rsidRPr="000F7862">
        <w:rPr>
          <w:lang w:val="fr-FR"/>
        </w:rPr>
        <w:t>lectricit</w:t>
      </w:r>
      <w:r w:rsidR="002E0FEF" w:rsidRPr="000F7862">
        <w:rPr>
          <w:lang w:val="fr-FR"/>
        </w:rPr>
        <w:t>é, par exemple) sur le nouveau site</w:t>
      </w:r>
      <w:r w:rsidR="0086185C" w:rsidRPr="000F7862">
        <w:rPr>
          <w:lang w:val="fr-FR"/>
        </w:rPr>
        <w:t xml:space="preserve">; </w:t>
      </w:r>
      <w:r w:rsidR="002E0FEF" w:rsidRPr="000F7862">
        <w:rPr>
          <w:lang w:val="fr-FR"/>
        </w:rPr>
        <w:t>et</w:t>
      </w:r>
    </w:p>
    <w:p w:rsidR="0086185C" w:rsidRPr="000F7862" w:rsidRDefault="00A751E7" w:rsidP="00A751E7">
      <w:pPr>
        <w:pStyle w:val="SingleTxtG"/>
        <w:rPr>
          <w:lang w:val="fr-FR"/>
        </w:rPr>
      </w:pPr>
      <w:r w:rsidRPr="000F7862">
        <w:rPr>
          <w:lang w:val="fr-FR"/>
        </w:rPr>
        <w:tab/>
      </w:r>
      <w:r w:rsidR="00DD43A1" w:rsidRPr="000F7862">
        <w:rPr>
          <w:lang w:val="fr-FR"/>
        </w:rPr>
        <w:t>d)</w:t>
      </w:r>
      <w:r w:rsidR="00DD43A1" w:rsidRPr="000F7862">
        <w:rPr>
          <w:lang w:val="fr-FR"/>
        </w:rPr>
        <w:tab/>
      </w:r>
      <w:r w:rsidR="0086185C" w:rsidRPr="000F7862">
        <w:rPr>
          <w:lang w:val="fr-FR"/>
        </w:rPr>
        <w:t>Institution</w:t>
      </w:r>
      <w:r w:rsidR="002E0FEF" w:rsidRPr="000F7862">
        <w:rPr>
          <w:lang w:val="fr-FR"/>
        </w:rPr>
        <w:t>n</w:t>
      </w:r>
      <w:r w:rsidR="0086185C" w:rsidRPr="000F7862">
        <w:rPr>
          <w:lang w:val="fr-FR"/>
        </w:rPr>
        <w:t>ali</w:t>
      </w:r>
      <w:r w:rsidR="002E0FEF" w:rsidRPr="000F7862">
        <w:rPr>
          <w:lang w:val="fr-FR"/>
        </w:rPr>
        <w:t>s</w:t>
      </w:r>
      <w:r w:rsidR="0086185C" w:rsidRPr="000F7862">
        <w:rPr>
          <w:lang w:val="fr-FR"/>
        </w:rPr>
        <w:t xml:space="preserve">ation </w:t>
      </w:r>
      <w:r w:rsidR="002E0FEF" w:rsidRPr="000F7862">
        <w:rPr>
          <w:lang w:val="fr-FR"/>
        </w:rPr>
        <w:t xml:space="preserve">des comités interinstitutionnels de projet ou locaux, composés </w:t>
      </w:r>
      <w:r w:rsidR="00D3575F" w:rsidRPr="000F7862">
        <w:rPr>
          <w:lang w:val="fr-FR"/>
        </w:rPr>
        <w:t>de</w:t>
      </w:r>
      <w:r w:rsidR="002E0FEF" w:rsidRPr="000F7862">
        <w:rPr>
          <w:lang w:val="fr-FR"/>
        </w:rPr>
        <w:t xml:space="preserve"> responsables locaux</w:t>
      </w:r>
      <w:r w:rsidR="00D3575F" w:rsidRPr="000F7862">
        <w:rPr>
          <w:lang w:val="fr-FR"/>
        </w:rPr>
        <w:t xml:space="preserve"> et de représentants des organismes publics concernés</w:t>
      </w:r>
      <w:r w:rsidR="0086185C" w:rsidRPr="000F7862">
        <w:rPr>
          <w:lang w:val="fr-FR"/>
        </w:rPr>
        <w:t>,</w:t>
      </w:r>
      <w:r w:rsidR="00D3575F" w:rsidRPr="000F7862">
        <w:rPr>
          <w:lang w:val="fr-FR"/>
        </w:rPr>
        <w:t xml:space="preserve"> d</w:t>
      </w:r>
      <w:r w:rsidR="00120E2E" w:rsidRPr="000F7862">
        <w:rPr>
          <w:lang w:val="fr-FR"/>
        </w:rPr>
        <w:t>’</w:t>
      </w:r>
      <w:r w:rsidR="00D3575F" w:rsidRPr="000F7862">
        <w:rPr>
          <w:lang w:val="fr-FR"/>
        </w:rPr>
        <w:t xml:space="preserve">organisations non </w:t>
      </w:r>
      <w:r w:rsidR="0086185C" w:rsidRPr="000F7862">
        <w:rPr>
          <w:lang w:val="fr-FR"/>
        </w:rPr>
        <w:t>go</w:t>
      </w:r>
      <w:r w:rsidR="00D3575F" w:rsidRPr="000F7862">
        <w:rPr>
          <w:lang w:val="fr-FR"/>
        </w:rPr>
        <w:t>u</w:t>
      </w:r>
      <w:r w:rsidR="0086185C" w:rsidRPr="000F7862">
        <w:rPr>
          <w:lang w:val="fr-FR"/>
        </w:rPr>
        <w:t>vern</w:t>
      </w:r>
      <w:r w:rsidR="00D3575F" w:rsidRPr="000F7862">
        <w:rPr>
          <w:lang w:val="fr-FR"/>
        </w:rPr>
        <w:t>e</w:t>
      </w:r>
      <w:r w:rsidR="0086185C" w:rsidRPr="000F7862">
        <w:rPr>
          <w:lang w:val="fr-FR"/>
        </w:rPr>
        <w:t>ment</w:t>
      </w:r>
      <w:r w:rsidR="008F023B" w:rsidRPr="000F7862">
        <w:rPr>
          <w:lang w:val="fr-FR"/>
        </w:rPr>
        <w:t>al</w:t>
      </w:r>
      <w:r w:rsidR="00D3575F" w:rsidRPr="000F7862">
        <w:rPr>
          <w:lang w:val="fr-FR"/>
        </w:rPr>
        <w:t>es</w:t>
      </w:r>
      <w:r w:rsidR="0086185C" w:rsidRPr="000F7862">
        <w:rPr>
          <w:lang w:val="fr-FR"/>
        </w:rPr>
        <w:t xml:space="preserve">, </w:t>
      </w:r>
      <w:r w:rsidR="00D3575F" w:rsidRPr="000F7862">
        <w:rPr>
          <w:lang w:val="fr-FR"/>
        </w:rPr>
        <w:t>d</w:t>
      </w:r>
      <w:r w:rsidR="00120E2E" w:rsidRPr="000F7862">
        <w:rPr>
          <w:lang w:val="fr-FR"/>
        </w:rPr>
        <w:t>’</w:t>
      </w:r>
      <w:r w:rsidR="00D3575F" w:rsidRPr="000F7862">
        <w:rPr>
          <w:lang w:val="fr-FR"/>
        </w:rPr>
        <w:t>organisations populaires et d</w:t>
      </w:r>
      <w:r w:rsidR="00120E2E" w:rsidRPr="000F7862">
        <w:rPr>
          <w:lang w:val="fr-FR"/>
        </w:rPr>
        <w:t>’</w:t>
      </w:r>
      <w:r w:rsidR="0086185C" w:rsidRPr="000F7862">
        <w:rPr>
          <w:lang w:val="fr-FR"/>
        </w:rPr>
        <w:t>associations</w:t>
      </w:r>
      <w:r w:rsidR="00D3575F" w:rsidRPr="000F7862">
        <w:rPr>
          <w:lang w:val="fr-FR"/>
        </w:rPr>
        <w:t xml:space="preserve">, pour </w:t>
      </w:r>
      <w:r w:rsidR="0086185C" w:rsidRPr="000F7862">
        <w:rPr>
          <w:lang w:val="fr-FR"/>
        </w:rPr>
        <w:t>formul</w:t>
      </w:r>
      <w:r w:rsidR="00E34EBC" w:rsidRPr="000F7862">
        <w:rPr>
          <w:lang w:val="fr-FR"/>
        </w:rPr>
        <w:t>er les règles et le règlement d</w:t>
      </w:r>
      <w:r w:rsidR="00120E2E" w:rsidRPr="000F7862">
        <w:rPr>
          <w:lang w:val="fr-FR"/>
        </w:rPr>
        <w:t>’</w:t>
      </w:r>
      <w:r w:rsidR="00E34EBC" w:rsidRPr="000F7862">
        <w:rPr>
          <w:lang w:val="fr-FR"/>
        </w:rPr>
        <w:t xml:space="preserve">application qui régiront et superviseront </w:t>
      </w:r>
      <w:r w:rsidR="00D82828" w:rsidRPr="000F7862">
        <w:rPr>
          <w:lang w:val="fr-FR"/>
        </w:rPr>
        <w:t>les activités de reloge</w:t>
      </w:r>
      <w:r w:rsidR="00E34EBC" w:rsidRPr="000F7862">
        <w:rPr>
          <w:lang w:val="fr-FR"/>
        </w:rPr>
        <w:t>ment</w:t>
      </w:r>
      <w:r w:rsidR="0086185C" w:rsidRPr="000F7862">
        <w:rPr>
          <w:lang w:val="fr-FR"/>
        </w:rPr>
        <w:t>.</w:t>
      </w:r>
    </w:p>
    <w:p w:rsidR="0086185C" w:rsidRPr="000F7862" w:rsidRDefault="003F7F57" w:rsidP="003F7F57">
      <w:pPr>
        <w:pStyle w:val="SingleTxtG"/>
        <w:rPr>
          <w:lang w:val="fr-FR"/>
        </w:rPr>
      </w:pPr>
      <w:r w:rsidRPr="000F7862">
        <w:rPr>
          <w:lang w:val="fr-FR"/>
        </w:rPr>
        <w:t>210.</w:t>
      </w:r>
      <w:r w:rsidRPr="000F7862">
        <w:rPr>
          <w:lang w:val="fr-FR"/>
        </w:rPr>
        <w:tab/>
      </w:r>
      <w:r w:rsidR="00D82828" w:rsidRPr="000F7862">
        <w:rPr>
          <w:lang w:val="fr-FR"/>
        </w:rPr>
        <w:t>On a continué de mettre en œuvre l</w:t>
      </w:r>
      <w:r w:rsidR="00120E2E" w:rsidRPr="000F7862">
        <w:rPr>
          <w:lang w:val="fr-FR"/>
        </w:rPr>
        <w:t>’</w:t>
      </w:r>
      <w:r w:rsidR="00D82828" w:rsidRPr="000F7862">
        <w:rPr>
          <w:lang w:val="fr-FR"/>
        </w:rPr>
        <w:t xml:space="preserve">article </w:t>
      </w:r>
      <w:r w:rsidR="0086185C" w:rsidRPr="000F7862">
        <w:rPr>
          <w:lang w:val="fr-FR"/>
        </w:rPr>
        <w:t xml:space="preserve">18 </w:t>
      </w:r>
      <w:r w:rsidR="00D82828" w:rsidRPr="000F7862">
        <w:rPr>
          <w:lang w:val="fr-FR"/>
        </w:rPr>
        <w:t>de la L</w:t>
      </w:r>
      <w:r w:rsidR="0086185C" w:rsidRPr="000F7862">
        <w:rPr>
          <w:lang w:val="fr-FR"/>
        </w:rPr>
        <w:t>R 7279</w:t>
      </w:r>
      <w:r w:rsidR="00D82828" w:rsidRPr="000F7862">
        <w:rPr>
          <w:lang w:val="fr-FR"/>
        </w:rPr>
        <w:t xml:space="preserve">, qui dispose que les promoteurs de projets </w:t>
      </w:r>
      <w:r w:rsidR="00687F03" w:rsidRPr="000F7862">
        <w:rPr>
          <w:lang w:val="fr-FR"/>
        </w:rPr>
        <w:t xml:space="preserve">de lotissements doivent réserver </w:t>
      </w:r>
      <w:r w:rsidR="0086185C" w:rsidRPr="000F7862">
        <w:rPr>
          <w:lang w:val="fr-FR"/>
        </w:rPr>
        <w:t>20</w:t>
      </w:r>
      <w:r w:rsidR="00DC1196" w:rsidRPr="000F7862">
        <w:rPr>
          <w:lang w:val="fr-FR"/>
        </w:rPr>
        <w:t> %</w:t>
      </w:r>
      <w:r w:rsidR="0086185C" w:rsidRPr="000F7862">
        <w:rPr>
          <w:lang w:val="fr-FR"/>
        </w:rPr>
        <w:t xml:space="preserve"> </w:t>
      </w:r>
      <w:r w:rsidR="00687F03" w:rsidRPr="000F7862">
        <w:rPr>
          <w:lang w:val="fr-FR"/>
        </w:rPr>
        <w:t>d</w:t>
      </w:r>
      <w:r w:rsidR="00120E2E" w:rsidRPr="000F7862">
        <w:rPr>
          <w:lang w:val="fr-FR"/>
        </w:rPr>
        <w:t>’</w:t>
      </w:r>
      <w:r w:rsidR="00687F03" w:rsidRPr="000F7862">
        <w:rPr>
          <w:lang w:val="fr-FR"/>
        </w:rPr>
        <w:t>un terrain à lotir ou du coût du projet à des logements sociaux selon l</w:t>
      </w:r>
      <w:r w:rsidR="00120E2E" w:rsidRPr="000F7862">
        <w:rPr>
          <w:lang w:val="fr-FR"/>
        </w:rPr>
        <w:t>’</w:t>
      </w:r>
      <w:r w:rsidR="00687F03" w:rsidRPr="000F7862">
        <w:rPr>
          <w:lang w:val="fr-FR"/>
        </w:rPr>
        <w:t>une des modalités ci-après</w:t>
      </w:r>
      <w:r w:rsidR="0005004C" w:rsidRPr="000F7862">
        <w:rPr>
          <w:lang w:val="fr-FR"/>
        </w:rPr>
        <w:t>:</w:t>
      </w:r>
    </w:p>
    <w:p w:rsidR="0086185C" w:rsidRPr="000F7862" w:rsidRDefault="00A751E7" w:rsidP="00A751E7">
      <w:pPr>
        <w:pStyle w:val="SingleTxtG"/>
        <w:rPr>
          <w:lang w:val="fr-FR"/>
        </w:rPr>
      </w:pPr>
      <w:r w:rsidRPr="000F7862">
        <w:rPr>
          <w:lang w:val="fr-FR"/>
        </w:rPr>
        <w:tab/>
      </w:r>
      <w:r w:rsidR="00DD43A1" w:rsidRPr="000F7862">
        <w:rPr>
          <w:lang w:val="fr-FR"/>
        </w:rPr>
        <w:t>a)</w:t>
      </w:r>
      <w:r w:rsidR="00DD43A1" w:rsidRPr="000F7862">
        <w:rPr>
          <w:lang w:val="fr-FR"/>
        </w:rPr>
        <w:tab/>
      </w:r>
      <w:r w:rsidR="0086185C" w:rsidRPr="000F7862">
        <w:rPr>
          <w:i/>
          <w:iCs/>
          <w:lang w:val="fr-FR"/>
        </w:rPr>
        <w:t>N</w:t>
      </w:r>
      <w:r w:rsidR="00687F03" w:rsidRPr="000F7862">
        <w:rPr>
          <w:i/>
          <w:iCs/>
          <w:lang w:val="fr-FR"/>
        </w:rPr>
        <w:t>ouvel établissement par le biais</w:t>
      </w:r>
      <w:r w:rsidR="0005004C" w:rsidRPr="000F7862">
        <w:rPr>
          <w:lang w:val="fr-FR"/>
        </w:rPr>
        <w:t>:</w:t>
      </w:r>
      <w:r w:rsidRPr="000F7862">
        <w:rPr>
          <w:lang w:val="fr-FR"/>
        </w:rPr>
        <w:t xml:space="preserve"> i</w:t>
      </w:r>
      <w:r w:rsidR="0086185C" w:rsidRPr="000F7862">
        <w:rPr>
          <w:lang w:val="fr-FR"/>
        </w:rPr>
        <w:t>)</w:t>
      </w:r>
      <w:r w:rsidR="00DF17A8" w:rsidRPr="000F7862">
        <w:rPr>
          <w:lang w:val="fr-FR"/>
        </w:rPr>
        <w:t> </w:t>
      </w:r>
      <w:r w:rsidR="00687F03" w:rsidRPr="000F7862">
        <w:rPr>
          <w:lang w:val="fr-FR"/>
        </w:rPr>
        <w:t>d</w:t>
      </w:r>
      <w:r w:rsidR="00120E2E" w:rsidRPr="000F7862">
        <w:rPr>
          <w:lang w:val="fr-FR"/>
        </w:rPr>
        <w:t>’</w:t>
      </w:r>
      <w:r w:rsidR="00687F03" w:rsidRPr="000F7862">
        <w:rPr>
          <w:lang w:val="fr-FR"/>
        </w:rPr>
        <w:t xml:space="preserve">un projet </w:t>
      </w:r>
      <w:r w:rsidR="00633951" w:rsidRPr="000F7862">
        <w:rPr>
          <w:lang w:val="fr-FR"/>
        </w:rPr>
        <w:t>de coentreprise entre un promoteur et sa filiale ou d</w:t>
      </w:r>
      <w:r w:rsidR="00120E2E" w:rsidRPr="000F7862">
        <w:rPr>
          <w:lang w:val="fr-FR"/>
        </w:rPr>
        <w:t>’</w:t>
      </w:r>
      <w:r w:rsidR="00633951" w:rsidRPr="000F7862">
        <w:rPr>
          <w:lang w:val="fr-FR"/>
        </w:rPr>
        <w:t xml:space="preserve">autres promoteurs agréés par le </w:t>
      </w:r>
      <w:r w:rsidR="00633951" w:rsidRPr="000F7862">
        <w:rPr>
          <w:lang w:val="fr-FR" w:eastAsia="fr-FR"/>
        </w:rPr>
        <w:t>Conseil de réglementation de l</w:t>
      </w:r>
      <w:r w:rsidR="00120E2E" w:rsidRPr="000F7862">
        <w:rPr>
          <w:lang w:val="fr-FR" w:eastAsia="fr-FR"/>
        </w:rPr>
        <w:t>’</w:t>
      </w:r>
      <w:r w:rsidR="00633951" w:rsidRPr="000F7862">
        <w:rPr>
          <w:lang w:val="fr-FR" w:eastAsia="fr-FR"/>
        </w:rPr>
        <w:t xml:space="preserve">utilisation des terres et du logement </w:t>
      </w:r>
      <w:r w:rsidR="0086185C" w:rsidRPr="000F7862">
        <w:rPr>
          <w:lang w:val="fr-FR"/>
        </w:rPr>
        <w:t xml:space="preserve">(HLURB) </w:t>
      </w:r>
      <w:r w:rsidR="00633951" w:rsidRPr="000F7862">
        <w:rPr>
          <w:lang w:val="fr-FR"/>
        </w:rPr>
        <w:t xml:space="preserve">aux fins de la </w:t>
      </w:r>
      <w:r w:rsidR="0086185C" w:rsidRPr="000F7862">
        <w:rPr>
          <w:lang w:val="fr-FR"/>
        </w:rPr>
        <w:t xml:space="preserve">production </w:t>
      </w:r>
      <w:r w:rsidR="00633951" w:rsidRPr="000F7862">
        <w:rPr>
          <w:lang w:val="fr-FR"/>
        </w:rPr>
        <w:t>de nouveaux logements sociaux</w:t>
      </w:r>
      <w:r w:rsidRPr="000F7862">
        <w:rPr>
          <w:lang w:val="fr-FR"/>
        </w:rPr>
        <w:t>; ii</w:t>
      </w:r>
      <w:r w:rsidR="0086185C" w:rsidRPr="000F7862">
        <w:rPr>
          <w:lang w:val="fr-FR"/>
        </w:rPr>
        <w:t>)</w:t>
      </w:r>
      <w:r w:rsidR="00DF17A8" w:rsidRPr="000F7862">
        <w:rPr>
          <w:lang w:val="fr-FR"/>
        </w:rPr>
        <w:t> </w:t>
      </w:r>
      <w:r w:rsidR="00633951" w:rsidRPr="000F7862">
        <w:rPr>
          <w:lang w:val="fr-FR"/>
        </w:rPr>
        <w:t xml:space="preserve">de la </w:t>
      </w:r>
      <w:r w:rsidR="0086185C" w:rsidRPr="000F7862">
        <w:rPr>
          <w:lang w:val="fr-FR"/>
        </w:rPr>
        <w:t xml:space="preserve">contribution </w:t>
      </w:r>
      <w:r w:rsidR="00633951" w:rsidRPr="000F7862">
        <w:rPr>
          <w:lang w:val="fr-FR"/>
        </w:rPr>
        <w:t>du promoteur aux nouveaux projets de logements sociaux d</w:t>
      </w:r>
      <w:r w:rsidR="00120E2E" w:rsidRPr="000F7862">
        <w:rPr>
          <w:lang w:val="fr-FR"/>
        </w:rPr>
        <w:t>’</w:t>
      </w:r>
      <w:r w:rsidR="00633951" w:rsidRPr="000F7862">
        <w:rPr>
          <w:lang w:val="fr-FR"/>
        </w:rPr>
        <w:t>organisations non gouvernementales agréées par le HLURB</w:t>
      </w:r>
      <w:r w:rsidR="0086185C" w:rsidRPr="000F7862">
        <w:rPr>
          <w:lang w:val="fr-FR"/>
        </w:rPr>
        <w:t xml:space="preserve">; </w:t>
      </w:r>
      <w:r w:rsidR="00633951" w:rsidRPr="000F7862">
        <w:rPr>
          <w:lang w:val="fr-FR"/>
        </w:rPr>
        <w:t>et</w:t>
      </w:r>
      <w:r w:rsidRPr="000F7862">
        <w:rPr>
          <w:lang w:val="fr-FR"/>
        </w:rPr>
        <w:t xml:space="preserve"> iii</w:t>
      </w:r>
      <w:r w:rsidR="0086185C" w:rsidRPr="000F7862">
        <w:rPr>
          <w:lang w:val="fr-FR"/>
        </w:rPr>
        <w:t>)</w:t>
      </w:r>
      <w:r w:rsidR="00DF17A8" w:rsidRPr="000F7862">
        <w:rPr>
          <w:lang w:val="fr-FR"/>
        </w:rPr>
        <w:t> </w:t>
      </w:r>
      <w:r w:rsidR="00633951" w:rsidRPr="000F7862">
        <w:rPr>
          <w:lang w:val="fr-FR"/>
        </w:rPr>
        <w:t>de la fourniture de structures éducatives, de centres de santé, de centres de productivité</w:t>
      </w:r>
      <w:r w:rsidR="0086185C" w:rsidRPr="000F7862">
        <w:rPr>
          <w:lang w:val="fr-FR"/>
        </w:rPr>
        <w:t>/</w:t>
      </w:r>
      <w:r w:rsidR="00633951" w:rsidRPr="000F7862">
        <w:rPr>
          <w:lang w:val="fr-FR"/>
        </w:rPr>
        <w:t>moyens d</w:t>
      </w:r>
      <w:r w:rsidR="00120E2E" w:rsidRPr="000F7862">
        <w:rPr>
          <w:lang w:val="fr-FR"/>
        </w:rPr>
        <w:t>’</w:t>
      </w:r>
      <w:r w:rsidR="00633951" w:rsidRPr="000F7862">
        <w:rPr>
          <w:lang w:val="fr-FR"/>
        </w:rPr>
        <w:t>ex</w:t>
      </w:r>
      <w:r w:rsidR="00C243A4" w:rsidRPr="000F7862">
        <w:rPr>
          <w:lang w:val="fr-FR"/>
        </w:rPr>
        <w:t>is</w:t>
      </w:r>
      <w:r w:rsidR="00633951" w:rsidRPr="000F7862">
        <w:rPr>
          <w:lang w:val="fr-FR"/>
        </w:rPr>
        <w:t>tence</w:t>
      </w:r>
      <w:r w:rsidR="0086185C" w:rsidRPr="000F7862">
        <w:rPr>
          <w:lang w:val="fr-FR"/>
        </w:rPr>
        <w:t xml:space="preserve"> </w:t>
      </w:r>
      <w:r w:rsidR="00C243A4" w:rsidRPr="000F7862">
        <w:rPr>
          <w:lang w:val="fr-FR"/>
        </w:rPr>
        <w:t>et</w:t>
      </w:r>
      <w:r w:rsidR="00633951" w:rsidRPr="000F7862">
        <w:rPr>
          <w:lang w:val="fr-FR"/>
        </w:rPr>
        <w:t xml:space="preserve"> d</w:t>
      </w:r>
      <w:r w:rsidR="00120E2E" w:rsidRPr="000F7862">
        <w:rPr>
          <w:lang w:val="fr-FR"/>
        </w:rPr>
        <w:t>’</w:t>
      </w:r>
      <w:r w:rsidR="00633951" w:rsidRPr="000F7862">
        <w:rPr>
          <w:lang w:val="fr-FR"/>
        </w:rPr>
        <w:t xml:space="preserve">autres </w:t>
      </w:r>
      <w:r w:rsidR="00C243A4" w:rsidRPr="000F7862">
        <w:rPr>
          <w:lang w:val="fr-FR"/>
        </w:rPr>
        <w:t>services et infrastructures de base, comme le prévoient les articles</w:t>
      </w:r>
      <w:r w:rsidR="00DD43A1" w:rsidRPr="000F7862">
        <w:rPr>
          <w:lang w:val="fr-FR"/>
        </w:rPr>
        <w:t> </w:t>
      </w:r>
      <w:r w:rsidR="0086185C" w:rsidRPr="000F7862">
        <w:rPr>
          <w:lang w:val="fr-FR"/>
        </w:rPr>
        <w:t xml:space="preserve">21 </w:t>
      </w:r>
      <w:r w:rsidR="00C243A4" w:rsidRPr="000F7862">
        <w:rPr>
          <w:lang w:val="fr-FR"/>
        </w:rPr>
        <w:t>et</w:t>
      </w:r>
      <w:r w:rsidR="0086185C" w:rsidRPr="000F7862">
        <w:rPr>
          <w:lang w:val="fr-FR"/>
        </w:rPr>
        <w:t xml:space="preserve"> 22 </w:t>
      </w:r>
      <w:r w:rsidR="00C243A4" w:rsidRPr="000F7862">
        <w:rPr>
          <w:lang w:val="fr-FR"/>
        </w:rPr>
        <w:t>de la L</w:t>
      </w:r>
      <w:r w:rsidR="0086185C" w:rsidRPr="000F7862">
        <w:rPr>
          <w:lang w:val="fr-FR"/>
        </w:rPr>
        <w:t>R</w:t>
      </w:r>
      <w:r w:rsidR="00DD43A1" w:rsidRPr="000F7862">
        <w:rPr>
          <w:lang w:val="fr-FR"/>
        </w:rPr>
        <w:t> </w:t>
      </w:r>
      <w:r w:rsidR="0086185C" w:rsidRPr="000F7862">
        <w:rPr>
          <w:lang w:val="fr-FR"/>
        </w:rPr>
        <w:t xml:space="preserve">7279 </w:t>
      </w:r>
      <w:r w:rsidR="00C243A4" w:rsidRPr="000F7862">
        <w:rPr>
          <w:lang w:val="fr-FR"/>
        </w:rPr>
        <w:t>pour les projets de logements sociaux</w:t>
      </w:r>
      <w:r w:rsidR="0086185C" w:rsidRPr="000F7862">
        <w:rPr>
          <w:lang w:val="fr-FR"/>
        </w:rPr>
        <w:t>;</w:t>
      </w:r>
    </w:p>
    <w:p w:rsidR="0086185C" w:rsidRPr="000F7862" w:rsidRDefault="00A751E7" w:rsidP="00A751E7">
      <w:pPr>
        <w:pStyle w:val="SingleTxtG"/>
        <w:rPr>
          <w:lang w:val="fr-FR"/>
        </w:rPr>
      </w:pPr>
      <w:r w:rsidRPr="000F7862">
        <w:rPr>
          <w:lang w:val="fr-FR"/>
        </w:rPr>
        <w:tab/>
      </w:r>
      <w:r w:rsidR="00DD43A1" w:rsidRPr="000F7862">
        <w:rPr>
          <w:lang w:val="fr-FR"/>
        </w:rPr>
        <w:t>b)</w:t>
      </w:r>
      <w:r w:rsidR="00DD43A1" w:rsidRPr="000F7862">
        <w:rPr>
          <w:lang w:val="fr-FR"/>
        </w:rPr>
        <w:tab/>
      </w:r>
      <w:r w:rsidR="00C243A4" w:rsidRPr="000F7862">
        <w:rPr>
          <w:i/>
          <w:iCs/>
          <w:lang w:val="fr-FR"/>
        </w:rPr>
        <w:t xml:space="preserve">Assainissement des taudis </w:t>
      </w:r>
      <w:r w:rsidR="0086185C" w:rsidRPr="000F7862">
        <w:rPr>
          <w:lang w:val="fr-FR"/>
        </w:rPr>
        <w:t>o</w:t>
      </w:r>
      <w:r w:rsidR="00C243A4" w:rsidRPr="000F7862">
        <w:rPr>
          <w:lang w:val="fr-FR"/>
        </w:rPr>
        <w:t>u</w:t>
      </w:r>
      <w:r w:rsidR="0086185C" w:rsidRPr="000F7862">
        <w:rPr>
          <w:lang w:val="fr-FR"/>
        </w:rPr>
        <w:t xml:space="preserve"> </w:t>
      </w:r>
      <w:r w:rsidR="00C243A4" w:rsidRPr="000F7862">
        <w:rPr>
          <w:lang w:val="fr-FR"/>
        </w:rPr>
        <w:t>renouvellement des zones à développer en priorité soit par le biais de</w:t>
      </w:r>
      <w:r w:rsidR="00793D24" w:rsidRPr="000F7862">
        <w:rPr>
          <w:lang w:val="fr-FR"/>
        </w:rPr>
        <w:t>s</w:t>
      </w:r>
      <w:r w:rsidR="00C243A4" w:rsidRPr="000F7862">
        <w:rPr>
          <w:lang w:val="fr-FR"/>
        </w:rPr>
        <w:t xml:space="preserve"> programmes d</w:t>
      </w:r>
      <w:r w:rsidR="00120E2E" w:rsidRPr="000F7862">
        <w:rPr>
          <w:lang w:val="fr-FR"/>
        </w:rPr>
        <w:t>’</w:t>
      </w:r>
      <w:r w:rsidR="00C243A4" w:rsidRPr="000F7862">
        <w:rPr>
          <w:lang w:val="fr-FR"/>
        </w:rPr>
        <w:t>amélioration de l</w:t>
      </w:r>
      <w:r w:rsidR="00120E2E" w:rsidRPr="000F7862">
        <w:rPr>
          <w:lang w:val="fr-FR"/>
        </w:rPr>
        <w:t>’</w:t>
      </w:r>
      <w:r w:rsidR="00C243A4" w:rsidRPr="000F7862">
        <w:rPr>
          <w:lang w:val="fr-FR"/>
        </w:rPr>
        <w:t xml:space="preserve">occupation des terrains </w:t>
      </w:r>
      <w:r w:rsidR="00793D24" w:rsidRPr="000F7862">
        <w:rPr>
          <w:lang w:val="fr-FR"/>
        </w:rPr>
        <w:t>ou des programmes d</w:t>
      </w:r>
      <w:r w:rsidR="00120E2E" w:rsidRPr="000F7862">
        <w:rPr>
          <w:lang w:val="fr-FR"/>
        </w:rPr>
        <w:t>’</w:t>
      </w:r>
      <w:r w:rsidR="00793D24" w:rsidRPr="000F7862">
        <w:rPr>
          <w:lang w:val="fr-FR"/>
        </w:rPr>
        <w:t>assainissement des taudis et de réinstallation de l</w:t>
      </w:r>
      <w:r w:rsidR="00120E2E" w:rsidRPr="000F7862">
        <w:rPr>
          <w:lang w:val="fr-FR"/>
        </w:rPr>
        <w:t>’</w:t>
      </w:r>
      <w:r w:rsidR="00793D24" w:rsidRPr="000F7862">
        <w:rPr>
          <w:lang w:val="fr-FR"/>
        </w:rPr>
        <w:t>Agence nationale du logement</w:t>
      </w:r>
      <w:r w:rsidR="0086185C" w:rsidRPr="000F7862">
        <w:rPr>
          <w:lang w:val="fr-FR"/>
        </w:rPr>
        <w:t>;</w:t>
      </w:r>
    </w:p>
    <w:p w:rsidR="0086185C" w:rsidRPr="000F7862" w:rsidRDefault="00A751E7" w:rsidP="00A751E7">
      <w:pPr>
        <w:pStyle w:val="SingleTxtG"/>
        <w:rPr>
          <w:lang w:val="fr-FR"/>
        </w:rPr>
      </w:pPr>
      <w:r w:rsidRPr="000F7862">
        <w:rPr>
          <w:lang w:val="fr-FR"/>
        </w:rPr>
        <w:tab/>
      </w:r>
      <w:r w:rsidR="00DD43A1" w:rsidRPr="000F7862">
        <w:rPr>
          <w:lang w:val="fr-FR"/>
        </w:rPr>
        <w:t>c)</w:t>
      </w:r>
      <w:r w:rsidR="00DD43A1" w:rsidRPr="000F7862">
        <w:rPr>
          <w:lang w:val="fr-FR"/>
        </w:rPr>
        <w:tab/>
      </w:r>
      <w:r w:rsidR="00793D24" w:rsidRPr="000F7862">
        <w:rPr>
          <w:i/>
          <w:lang w:val="fr-FR"/>
        </w:rPr>
        <w:t xml:space="preserve">Programme de </w:t>
      </w:r>
      <w:r w:rsidR="00793D24" w:rsidRPr="000F7862">
        <w:rPr>
          <w:i/>
          <w:lang w:val="fr-FR" w:eastAsia="fr-FR"/>
        </w:rPr>
        <w:t>prêts hypothécaires communautaires</w:t>
      </w:r>
      <w:r w:rsidR="00793D24" w:rsidRPr="000F7862">
        <w:rPr>
          <w:bCs/>
          <w:i/>
          <w:iCs/>
          <w:lang w:val="fr-FR"/>
        </w:rPr>
        <w:t xml:space="preserve"> </w:t>
      </w:r>
      <w:r w:rsidR="0086185C" w:rsidRPr="000F7862">
        <w:rPr>
          <w:lang w:val="fr-FR"/>
        </w:rPr>
        <w:t xml:space="preserve">– </w:t>
      </w:r>
      <w:r w:rsidR="00793D24" w:rsidRPr="000F7862">
        <w:rPr>
          <w:lang w:val="fr-FR"/>
        </w:rPr>
        <w:t xml:space="preserve">le promoteur peut fournir une parcelle à un projet relevant de ce Programme, fournir ou réaliser une emprise ou un accès routier ainsi que des lignes de </w:t>
      </w:r>
      <w:r w:rsidR="0086185C" w:rsidRPr="000F7862">
        <w:rPr>
          <w:lang w:val="fr-FR"/>
        </w:rPr>
        <w:t xml:space="preserve">transport, </w:t>
      </w:r>
      <w:r w:rsidR="00793D24" w:rsidRPr="000F7862">
        <w:rPr>
          <w:lang w:val="fr-FR"/>
        </w:rPr>
        <w:t xml:space="preserve">fournir ou améliorer des services ou infrastructures </w:t>
      </w:r>
      <w:r w:rsidR="00E000E7" w:rsidRPr="000F7862">
        <w:rPr>
          <w:lang w:val="fr-FR"/>
        </w:rPr>
        <w:t>sur les sites des projets relevant de ce Programme</w:t>
      </w:r>
      <w:r w:rsidR="0086185C" w:rsidRPr="000F7862">
        <w:rPr>
          <w:lang w:val="fr-FR"/>
        </w:rPr>
        <w:t>;</w:t>
      </w:r>
    </w:p>
    <w:p w:rsidR="0086185C" w:rsidRPr="000F7862" w:rsidRDefault="00A751E7" w:rsidP="00A751E7">
      <w:pPr>
        <w:pStyle w:val="SingleTxtG"/>
        <w:rPr>
          <w:lang w:val="fr-FR"/>
        </w:rPr>
      </w:pPr>
      <w:r w:rsidRPr="000F7862">
        <w:rPr>
          <w:lang w:val="fr-FR"/>
        </w:rPr>
        <w:tab/>
      </w:r>
      <w:r w:rsidR="00DD43A1" w:rsidRPr="000F7862">
        <w:rPr>
          <w:lang w:val="fr-FR"/>
        </w:rPr>
        <w:t>d)</w:t>
      </w:r>
      <w:r w:rsidR="00DD43A1" w:rsidRPr="000F7862">
        <w:rPr>
          <w:lang w:val="fr-FR"/>
        </w:rPr>
        <w:tab/>
      </w:r>
      <w:r w:rsidR="0086185C" w:rsidRPr="000F7862">
        <w:rPr>
          <w:i/>
          <w:iCs/>
          <w:lang w:val="fr-FR"/>
        </w:rPr>
        <w:t>Projets</w:t>
      </w:r>
      <w:r w:rsidR="00E000E7" w:rsidRPr="000F7862">
        <w:rPr>
          <w:i/>
          <w:iCs/>
          <w:lang w:val="fr-FR"/>
        </w:rPr>
        <w:t xml:space="preserve"> de coentreprise</w:t>
      </w:r>
      <w:r w:rsidR="0086185C" w:rsidRPr="000F7862">
        <w:rPr>
          <w:lang w:val="fr-FR"/>
        </w:rPr>
        <w:t xml:space="preserve"> </w:t>
      </w:r>
      <w:r w:rsidR="00E000E7" w:rsidRPr="000F7862">
        <w:rPr>
          <w:lang w:val="fr-FR"/>
        </w:rPr>
        <w:t>réalisés avec les organes administratifs locaux ou l</w:t>
      </w:r>
      <w:r w:rsidR="00120E2E" w:rsidRPr="000F7862">
        <w:rPr>
          <w:lang w:val="fr-FR"/>
        </w:rPr>
        <w:t>’</w:t>
      </w:r>
      <w:r w:rsidR="00E000E7" w:rsidRPr="000F7862">
        <w:rPr>
          <w:lang w:val="fr-FR"/>
        </w:rPr>
        <w:t>une quelconque des agences de logement par l</w:t>
      </w:r>
      <w:r w:rsidR="00120E2E" w:rsidRPr="000F7862">
        <w:rPr>
          <w:lang w:val="fr-FR"/>
        </w:rPr>
        <w:t>’</w:t>
      </w:r>
      <w:r w:rsidR="00E000E7" w:rsidRPr="000F7862">
        <w:rPr>
          <w:lang w:val="fr-FR"/>
        </w:rPr>
        <w:t>un des moyens ci-après</w:t>
      </w:r>
      <w:r w:rsidR="0005004C" w:rsidRPr="000F7862">
        <w:rPr>
          <w:lang w:val="fr-FR"/>
        </w:rPr>
        <w:t>:</w:t>
      </w:r>
      <w:r w:rsidR="00E000E7" w:rsidRPr="000F7862">
        <w:rPr>
          <w:lang w:val="fr-FR"/>
        </w:rPr>
        <w:t xml:space="preserve"> </w:t>
      </w:r>
      <w:r w:rsidR="002765CE" w:rsidRPr="000F7862">
        <w:rPr>
          <w:lang w:val="fr-FR"/>
        </w:rPr>
        <w:t>i</w:t>
      </w:r>
      <w:r w:rsidR="0086185C" w:rsidRPr="000F7862">
        <w:rPr>
          <w:lang w:val="fr-FR"/>
        </w:rPr>
        <w:t>)</w:t>
      </w:r>
      <w:r w:rsidR="00DF17A8" w:rsidRPr="000F7862">
        <w:rPr>
          <w:lang w:val="fr-FR"/>
        </w:rPr>
        <w:t> </w:t>
      </w:r>
      <w:r w:rsidR="00E000E7" w:rsidRPr="000F7862">
        <w:rPr>
          <w:lang w:val="fr-FR"/>
        </w:rPr>
        <w:t>mise en valeur d</w:t>
      </w:r>
      <w:r w:rsidR="00120E2E" w:rsidRPr="000F7862">
        <w:rPr>
          <w:lang w:val="fr-FR"/>
        </w:rPr>
        <w:t>’</w:t>
      </w:r>
      <w:r w:rsidR="00E000E7" w:rsidRPr="000F7862">
        <w:rPr>
          <w:lang w:val="fr-FR"/>
        </w:rPr>
        <w:t xml:space="preserve">un projet de logement social ou de réinstallation ou reprise par le </w:t>
      </w:r>
      <w:r w:rsidR="00E000E7" w:rsidRPr="000F7862">
        <w:rPr>
          <w:lang w:val="fr-FR" w:eastAsia="fr-FR"/>
        </w:rPr>
        <w:t>Conseil de réglementation de l</w:t>
      </w:r>
      <w:r w:rsidR="00120E2E" w:rsidRPr="000F7862">
        <w:rPr>
          <w:lang w:val="fr-FR" w:eastAsia="fr-FR"/>
        </w:rPr>
        <w:t>’</w:t>
      </w:r>
      <w:r w:rsidR="00E000E7" w:rsidRPr="000F7862">
        <w:rPr>
          <w:lang w:val="fr-FR" w:eastAsia="fr-FR"/>
        </w:rPr>
        <w:t>utilisation des terres et du logement</w:t>
      </w:r>
      <w:r w:rsidR="0086185C" w:rsidRPr="000F7862">
        <w:rPr>
          <w:lang w:val="fr-FR"/>
        </w:rPr>
        <w:t xml:space="preserve"> </w:t>
      </w:r>
      <w:r w:rsidR="00E000E7" w:rsidRPr="000F7862">
        <w:rPr>
          <w:lang w:val="fr-FR"/>
        </w:rPr>
        <w:t>de la mise en valeur de projets de logement</w:t>
      </w:r>
      <w:r w:rsidR="002765CE" w:rsidRPr="000F7862">
        <w:rPr>
          <w:lang w:val="fr-FR"/>
        </w:rPr>
        <w:t>; ii</w:t>
      </w:r>
      <w:r w:rsidR="0086185C" w:rsidRPr="000F7862">
        <w:rPr>
          <w:lang w:val="fr-FR"/>
        </w:rPr>
        <w:t>)</w:t>
      </w:r>
      <w:r w:rsidR="00DF17A8" w:rsidRPr="000F7862">
        <w:rPr>
          <w:lang w:val="fr-FR"/>
        </w:rPr>
        <w:t> </w:t>
      </w:r>
      <w:r w:rsidR="00E000E7" w:rsidRPr="000F7862">
        <w:rPr>
          <w:lang w:val="fr-FR"/>
        </w:rPr>
        <w:t xml:space="preserve">achat </w:t>
      </w:r>
      <w:r w:rsidR="000219F5" w:rsidRPr="000F7862">
        <w:rPr>
          <w:lang w:val="fr-FR"/>
        </w:rPr>
        <w:t>d</w:t>
      </w:r>
      <w:r w:rsidR="00120E2E" w:rsidRPr="000F7862">
        <w:rPr>
          <w:lang w:val="fr-FR"/>
        </w:rPr>
        <w:t>’</w:t>
      </w:r>
      <w:r w:rsidR="000219F5" w:rsidRPr="000F7862">
        <w:rPr>
          <w:lang w:val="fr-FR"/>
        </w:rPr>
        <w:t>obligations approuvées par le Conseil pour la construction de logements sociaux</w:t>
      </w:r>
      <w:r w:rsidR="002765CE" w:rsidRPr="000F7862">
        <w:rPr>
          <w:lang w:val="fr-FR"/>
        </w:rPr>
        <w:t>; iii</w:t>
      </w:r>
      <w:r w:rsidR="0086185C" w:rsidRPr="000F7862">
        <w:rPr>
          <w:lang w:val="fr-FR"/>
        </w:rPr>
        <w:t>)</w:t>
      </w:r>
      <w:r w:rsidR="00DF17A8" w:rsidRPr="000F7862">
        <w:rPr>
          <w:lang w:val="fr-FR"/>
        </w:rPr>
        <w:t> </w:t>
      </w:r>
      <w:r w:rsidR="0086185C" w:rsidRPr="000F7862">
        <w:rPr>
          <w:lang w:val="fr-FR"/>
        </w:rPr>
        <w:t>r</w:t>
      </w:r>
      <w:r w:rsidR="00271468" w:rsidRPr="000F7862">
        <w:rPr>
          <w:lang w:val="fr-FR"/>
        </w:rPr>
        <w:t>énovation d</w:t>
      </w:r>
      <w:r w:rsidR="00120E2E" w:rsidRPr="000F7862">
        <w:rPr>
          <w:lang w:val="fr-FR"/>
        </w:rPr>
        <w:t>’</w:t>
      </w:r>
      <w:r w:rsidR="00271468" w:rsidRPr="000F7862">
        <w:rPr>
          <w:lang w:val="fr-FR"/>
        </w:rPr>
        <w:t>actifs de logements sociaux non performants</w:t>
      </w:r>
      <w:r w:rsidR="002765CE" w:rsidRPr="000F7862">
        <w:rPr>
          <w:lang w:val="fr-FR"/>
        </w:rPr>
        <w:t>; iv</w:t>
      </w:r>
      <w:r w:rsidR="0086185C" w:rsidRPr="000F7862">
        <w:rPr>
          <w:lang w:val="fr-FR"/>
        </w:rPr>
        <w:t>)</w:t>
      </w:r>
      <w:r w:rsidR="00DF17A8" w:rsidRPr="000F7862">
        <w:rPr>
          <w:lang w:val="fr-FR"/>
        </w:rPr>
        <w:t> </w:t>
      </w:r>
      <w:r w:rsidR="00271468" w:rsidRPr="000F7862">
        <w:rPr>
          <w:lang w:val="fr-FR"/>
        </w:rPr>
        <w:t>fourniture de structures éducatives, de centres de santé, de centres de productivité/moyens d</w:t>
      </w:r>
      <w:r w:rsidR="00120E2E" w:rsidRPr="000F7862">
        <w:rPr>
          <w:lang w:val="fr-FR"/>
        </w:rPr>
        <w:t>’</w:t>
      </w:r>
      <w:r w:rsidR="00271468" w:rsidRPr="000F7862">
        <w:rPr>
          <w:lang w:val="fr-FR"/>
        </w:rPr>
        <w:t>existence et d</w:t>
      </w:r>
      <w:r w:rsidR="00120E2E" w:rsidRPr="000F7862">
        <w:rPr>
          <w:lang w:val="fr-FR"/>
        </w:rPr>
        <w:t>’</w:t>
      </w:r>
      <w:r w:rsidR="00271468" w:rsidRPr="000F7862">
        <w:rPr>
          <w:lang w:val="fr-FR"/>
        </w:rPr>
        <w:t xml:space="preserve">autres services et infrastructures de base, </w:t>
      </w:r>
      <w:r w:rsidR="002765CE" w:rsidRPr="000F7862">
        <w:rPr>
          <w:lang w:val="fr-FR"/>
        </w:rPr>
        <w:t xml:space="preserve">comme le prévoient les articles </w:t>
      </w:r>
      <w:r w:rsidR="00271468" w:rsidRPr="000F7862">
        <w:rPr>
          <w:lang w:val="fr-FR"/>
        </w:rPr>
        <w:t>21 et 22 de la LR 7279 pour les projets de logements sociaux</w:t>
      </w:r>
      <w:r w:rsidR="0086185C" w:rsidRPr="000F7862">
        <w:rPr>
          <w:lang w:val="fr-FR"/>
        </w:rPr>
        <w:t>.</w:t>
      </w:r>
    </w:p>
    <w:p w:rsidR="0086185C" w:rsidRPr="000F7862" w:rsidRDefault="003F7F57" w:rsidP="003F7F57">
      <w:pPr>
        <w:pStyle w:val="SingleTxtG"/>
        <w:rPr>
          <w:lang w:val="fr-FR"/>
        </w:rPr>
      </w:pPr>
      <w:r w:rsidRPr="000F7862">
        <w:rPr>
          <w:lang w:val="fr-FR"/>
        </w:rPr>
        <w:t>211.</w:t>
      </w:r>
      <w:r w:rsidRPr="000F7862">
        <w:rPr>
          <w:lang w:val="fr-FR"/>
        </w:rPr>
        <w:tab/>
      </w:r>
      <w:r w:rsidR="00271468" w:rsidRPr="000F7862">
        <w:rPr>
          <w:lang w:val="fr-FR"/>
        </w:rPr>
        <w:t xml:space="preserve">Entre </w:t>
      </w:r>
      <w:r w:rsidR="0086185C" w:rsidRPr="000F7862">
        <w:rPr>
          <w:lang w:val="fr-FR"/>
        </w:rPr>
        <w:t>2009</w:t>
      </w:r>
      <w:r w:rsidR="00271468" w:rsidRPr="000F7862">
        <w:rPr>
          <w:lang w:val="fr-FR"/>
        </w:rPr>
        <w:t xml:space="preserve"> et </w:t>
      </w:r>
      <w:r w:rsidR="0086185C" w:rsidRPr="000F7862">
        <w:rPr>
          <w:lang w:val="fr-FR"/>
        </w:rPr>
        <w:t xml:space="preserve">2012, </w:t>
      </w:r>
      <w:r w:rsidR="00271468" w:rsidRPr="000F7862">
        <w:rPr>
          <w:lang w:val="fr-FR"/>
        </w:rPr>
        <w:t xml:space="preserve">le </w:t>
      </w:r>
      <w:r w:rsidR="00271468" w:rsidRPr="000F7862">
        <w:rPr>
          <w:lang w:val="fr-FR" w:eastAsia="fr-FR"/>
        </w:rPr>
        <w:t>Conseil de réglementation de l</w:t>
      </w:r>
      <w:r w:rsidR="00120E2E" w:rsidRPr="000F7862">
        <w:rPr>
          <w:lang w:val="fr-FR" w:eastAsia="fr-FR"/>
        </w:rPr>
        <w:t>’</w:t>
      </w:r>
      <w:r w:rsidR="00271468" w:rsidRPr="000F7862">
        <w:rPr>
          <w:lang w:val="fr-FR" w:eastAsia="fr-FR"/>
        </w:rPr>
        <w:t>utilisation des terres et du logement</w:t>
      </w:r>
      <w:r w:rsidR="00271468" w:rsidRPr="000F7862">
        <w:rPr>
          <w:lang w:val="fr-FR"/>
        </w:rPr>
        <w:t xml:space="preserve"> a délivré </w:t>
      </w:r>
      <w:r w:rsidR="0086185C" w:rsidRPr="000F7862">
        <w:rPr>
          <w:lang w:val="fr-FR"/>
        </w:rPr>
        <w:t>830</w:t>
      </w:r>
      <w:r w:rsidR="002765CE" w:rsidRPr="000F7862">
        <w:rPr>
          <w:lang w:val="fr-FR"/>
        </w:rPr>
        <w:t> </w:t>
      </w:r>
      <w:r w:rsidR="0086185C" w:rsidRPr="000F7862">
        <w:rPr>
          <w:lang w:val="fr-FR"/>
        </w:rPr>
        <w:t xml:space="preserve">547 </w:t>
      </w:r>
      <w:r w:rsidR="00271468" w:rsidRPr="000F7862">
        <w:rPr>
          <w:lang w:val="fr-FR"/>
        </w:rPr>
        <w:t>autorisations de vente de projets de logement social conformément à l</w:t>
      </w:r>
      <w:r w:rsidR="00120E2E" w:rsidRPr="000F7862">
        <w:rPr>
          <w:lang w:val="fr-FR"/>
        </w:rPr>
        <w:t>’</w:t>
      </w:r>
      <w:r w:rsidR="00271468" w:rsidRPr="000F7862">
        <w:rPr>
          <w:lang w:val="fr-FR"/>
        </w:rPr>
        <w:t xml:space="preserve">article </w:t>
      </w:r>
      <w:r w:rsidR="0086185C" w:rsidRPr="000F7862">
        <w:rPr>
          <w:lang w:val="fr-FR"/>
        </w:rPr>
        <w:t xml:space="preserve">18 </w:t>
      </w:r>
      <w:r w:rsidR="00EC7EB5" w:rsidRPr="000F7862">
        <w:rPr>
          <w:lang w:val="fr-FR"/>
        </w:rPr>
        <w:t>de la L</w:t>
      </w:r>
      <w:r w:rsidR="0086185C" w:rsidRPr="000F7862">
        <w:rPr>
          <w:lang w:val="fr-FR"/>
        </w:rPr>
        <w:t>R</w:t>
      </w:r>
      <w:r w:rsidR="00DD43A1" w:rsidRPr="000F7862">
        <w:rPr>
          <w:lang w:val="fr-FR"/>
        </w:rPr>
        <w:t> </w:t>
      </w:r>
      <w:r w:rsidR="0086185C" w:rsidRPr="000F7862">
        <w:rPr>
          <w:lang w:val="fr-FR"/>
        </w:rPr>
        <w:t xml:space="preserve">7279. </w:t>
      </w:r>
      <w:r w:rsidR="00EC7EB5" w:rsidRPr="000F7862">
        <w:rPr>
          <w:lang w:val="fr-FR"/>
        </w:rPr>
        <w:t>Il a également fourni une assistance technique aux organes administratifs locaux pour la préparation des Plans exhaustifs d</w:t>
      </w:r>
      <w:r w:rsidR="00120E2E" w:rsidRPr="000F7862">
        <w:rPr>
          <w:lang w:val="fr-FR"/>
        </w:rPr>
        <w:t>’</w:t>
      </w:r>
      <w:r w:rsidR="00EC7EB5" w:rsidRPr="000F7862">
        <w:rPr>
          <w:lang w:val="fr-FR"/>
        </w:rPr>
        <w:t xml:space="preserve">occupation des sols et, en mars </w:t>
      </w:r>
      <w:r w:rsidR="0086185C" w:rsidRPr="000F7862">
        <w:rPr>
          <w:lang w:val="fr-FR"/>
        </w:rPr>
        <w:t>2013, 1</w:t>
      </w:r>
      <w:r w:rsidR="002765CE" w:rsidRPr="000F7862">
        <w:rPr>
          <w:lang w:val="fr-FR"/>
        </w:rPr>
        <w:t> </w:t>
      </w:r>
      <w:r w:rsidR="0086185C" w:rsidRPr="000F7862">
        <w:rPr>
          <w:lang w:val="fr-FR"/>
        </w:rPr>
        <w:t xml:space="preserve">448 </w:t>
      </w:r>
      <w:r w:rsidR="00EC7EB5" w:rsidRPr="000F7862">
        <w:rPr>
          <w:lang w:val="fr-FR"/>
        </w:rPr>
        <w:t xml:space="preserve">de ces organes sur </w:t>
      </w:r>
      <w:r w:rsidR="0086185C" w:rsidRPr="000F7862">
        <w:rPr>
          <w:lang w:val="fr-FR"/>
        </w:rPr>
        <w:t>1</w:t>
      </w:r>
      <w:r w:rsidR="002765CE" w:rsidRPr="000F7862">
        <w:rPr>
          <w:lang w:val="fr-FR"/>
        </w:rPr>
        <w:t> </w:t>
      </w:r>
      <w:r w:rsidR="0086185C" w:rsidRPr="000F7862">
        <w:rPr>
          <w:lang w:val="fr-FR"/>
        </w:rPr>
        <w:t xml:space="preserve">635 </w:t>
      </w:r>
      <w:r w:rsidR="00C82A9B" w:rsidRPr="000F7862">
        <w:rPr>
          <w:lang w:val="fr-FR"/>
        </w:rPr>
        <w:t>s</w:t>
      </w:r>
      <w:r w:rsidR="00120E2E" w:rsidRPr="000F7862">
        <w:rPr>
          <w:lang w:val="fr-FR"/>
        </w:rPr>
        <w:t>’</w:t>
      </w:r>
      <w:r w:rsidR="00327DD1" w:rsidRPr="000F7862">
        <w:rPr>
          <w:lang w:val="fr-FR"/>
        </w:rPr>
        <w:t xml:space="preserve">étaient </w:t>
      </w:r>
      <w:r w:rsidR="00C82A9B" w:rsidRPr="000F7862">
        <w:rPr>
          <w:lang w:val="fr-FR"/>
        </w:rPr>
        <w:t>dotés de tels plans approuvés</w:t>
      </w:r>
      <w:r w:rsidR="0086185C" w:rsidRPr="000F7862">
        <w:rPr>
          <w:lang w:val="fr-FR"/>
        </w:rPr>
        <w:t xml:space="preserve">. </w:t>
      </w:r>
      <w:r w:rsidR="00C82A9B" w:rsidRPr="000F7862">
        <w:rPr>
          <w:lang w:val="fr-FR"/>
        </w:rPr>
        <w:t>Il a par ailleurs intégré la réduction des risques de catastrophe et l</w:t>
      </w:r>
      <w:r w:rsidR="00120E2E" w:rsidRPr="000F7862">
        <w:rPr>
          <w:lang w:val="fr-FR"/>
        </w:rPr>
        <w:t>’</w:t>
      </w:r>
      <w:r w:rsidR="00C82A9B" w:rsidRPr="000F7862">
        <w:rPr>
          <w:lang w:val="fr-FR"/>
        </w:rPr>
        <w:t>adaptation aux changements climatiques à ces plans et aux plans locaux de création d</w:t>
      </w:r>
      <w:r w:rsidR="006963C2" w:rsidRPr="000F7862">
        <w:rPr>
          <w:lang w:val="fr-FR"/>
        </w:rPr>
        <w:t>e logements</w:t>
      </w:r>
      <w:r w:rsidR="0086185C" w:rsidRPr="000F7862">
        <w:rPr>
          <w:lang w:val="fr-FR"/>
        </w:rPr>
        <w:t>.</w:t>
      </w:r>
    </w:p>
    <w:p w:rsidR="0086185C" w:rsidRPr="000F7862" w:rsidRDefault="003F7F57" w:rsidP="002765CE">
      <w:pPr>
        <w:pStyle w:val="SingleTxtG"/>
        <w:rPr>
          <w:lang w:val="fr-FR"/>
        </w:rPr>
      </w:pPr>
      <w:r w:rsidRPr="000F7862">
        <w:rPr>
          <w:lang w:val="fr-FR"/>
        </w:rPr>
        <w:t>212.</w:t>
      </w:r>
      <w:r w:rsidRPr="000F7862">
        <w:rPr>
          <w:lang w:val="fr-FR"/>
        </w:rPr>
        <w:tab/>
      </w:r>
      <w:r w:rsidR="00327DD1" w:rsidRPr="000F7862">
        <w:rPr>
          <w:lang w:val="fr-FR"/>
        </w:rPr>
        <w:t>Au titre de la bonne application de la loi de la République</w:t>
      </w:r>
      <w:r w:rsidR="003D3A45" w:rsidRPr="000F7862">
        <w:rPr>
          <w:lang w:val="fr-FR"/>
        </w:rPr>
        <w:t xml:space="preserve"> </w:t>
      </w:r>
      <w:r w:rsidR="002765CE" w:rsidRPr="000F7862">
        <w:rPr>
          <w:lang w:val="fr-FR"/>
        </w:rPr>
        <w:t>n</w:t>
      </w:r>
      <w:r w:rsidR="002765CE" w:rsidRPr="000F7862">
        <w:rPr>
          <w:vertAlign w:val="superscript"/>
          <w:lang w:val="fr-FR"/>
        </w:rPr>
        <w:t>o</w:t>
      </w:r>
      <w:r w:rsidR="002765CE" w:rsidRPr="000F7862">
        <w:rPr>
          <w:lang w:val="fr-FR"/>
        </w:rPr>
        <w:t> </w:t>
      </w:r>
      <w:r w:rsidR="0086185C" w:rsidRPr="000F7862">
        <w:rPr>
          <w:lang w:val="fr-FR"/>
        </w:rPr>
        <w:t>7279</w:t>
      </w:r>
      <w:r w:rsidR="00327DD1" w:rsidRPr="000F7862">
        <w:rPr>
          <w:lang w:val="fr-FR"/>
        </w:rPr>
        <w:t>, également appelée</w:t>
      </w:r>
      <w:r w:rsidR="0005004C" w:rsidRPr="000F7862">
        <w:rPr>
          <w:lang w:val="fr-FR"/>
        </w:rPr>
        <w:t xml:space="preserve"> </w:t>
      </w:r>
      <w:r w:rsidR="002765CE" w:rsidRPr="000F7862">
        <w:rPr>
          <w:shd w:val="clear" w:color="auto" w:fill="FFFFFF"/>
          <w:lang w:val="fr-FR"/>
        </w:rPr>
        <w:t xml:space="preserve">loi de 1992 </w:t>
      </w:r>
      <w:r w:rsidR="00327DD1" w:rsidRPr="000F7862">
        <w:rPr>
          <w:shd w:val="clear" w:color="auto" w:fill="FFFFFF"/>
          <w:lang w:val="fr-FR"/>
        </w:rPr>
        <w:t>sur le développement urbain et le logement</w:t>
      </w:r>
      <w:r w:rsidR="0086185C" w:rsidRPr="000F7862">
        <w:rPr>
          <w:lang w:val="fr-FR"/>
        </w:rPr>
        <w:t xml:space="preserve">, </w:t>
      </w:r>
      <w:r w:rsidR="00327DD1" w:rsidRPr="000F7862">
        <w:rPr>
          <w:lang w:val="fr-FR"/>
        </w:rPr>
        <w:t xml:space="preserve">tous les organismes publics mandatés par cette loi ont mis en place un </w:t>
      </w:r>
      <w:r w:rsidR="0086185C" w:rsidRPr="000F7862">
        <w:rPr>
          <w:lang w:val="fr-FR"/>
        </w:rPr>
        <w:t>m</w:t>
      </w:r>
      <w:r w:rsidR="00327DD1" w:rsidRPr="000F7862">
        <w:rPr>
          <w:lang w:val="fr-FR"/>
        </w:rPr>
        <w:t>é</w:t>
      </w:r>
      <w:r w:rsidR="0086185C" w:rsidRPr="000F7862">
        <w:rPr>
          <w:lang w:val="fr-FR"/>
        </w:rPr>
        <w:t>canism</w:t>
      </w:r>
      <w:r w:rsidR="00327DD1" w:rsidRPr="000F7862">
        <w:rPr>
          <w:lang w:val="fr-FR"/>
        </w:rPr>
        <w:t>e</w:t>
      </w:r>
      <w:r w:rsidR="0086185C" w:rsidRPr="000F7862">
        <w:rPr>
          <w:lang w:val="fr-FR"/>
        </w:rPr>
        <w:t xml:space="preserve"> </w:t>
      </w:r>
      <w:r w:rsidR="00327DD1" w:rsidRPr="000F7862">
        <w:rPr>
          <w:lang w:val="fr-FR"/>
        </w:rPr>
        <w:t>interdisant toute démolition et expulsion illégales ou forcées de familles défavorisées et sans logis</w:t>
      </w:r>
      <w:r w:rsidR="0086185C" w:rsidRPr="000F7862">
        <w:rPr>
          <w:lang w:val="fr-FR"/>
        </w:rPr>
        <w:t xml:space="preserve">. </w:t>
      </w:r>
      <w:r w:rsidR="00327DD1" w:rsidRPr="000F7862">
        <w:rPr>
          <w:lang w:val="fr-FR"/>
        </w:rPr>
        <w:t xml:space="preserve">De plus, </w:t>
      </w:r>
      <w:r w:rsidR="00490575" w:rsidRPr="000F7862">
        <w:rPr>
          <w:lang w:val="fr-FR"/>
        </w:rPr>
        <w:t>le Ministère de l</w:t>
      </w:r>
      <w:r w:rsidR="00120E2E" w:rsidRPr="000F7862">
        <w:rPr>
          <w:lang w:val="fr-FR"/>
        </w:rPr>
        <w:t>’</w:t>
      </w:r>
      <w:r w:rsidR="00490575" w:rsidRPr="000F7862">
        <w:rPr>
          <w:lang w:val="fr-FR"/>
        </w:rPr>
        <w:t>intérieur et des collectivités locales a adressé à la police nationale des directives prescrivant une conférence préalable à toute démolition avant que la police ne fournisse son assistance en vertu de l</w:t>
      </w:r>
      <w:r w:rsidR="00120E2E" w:rsidRPr="000F7862">
        <w:rPr>
          <w:lang w:val="fr-FR"/>
        </w:rPr>
        <w:t>’</w:t>
      </w:r>
      <w:r w:rsidR="00490575" w:rsidRPr="000F7862">
        <w:rPr>
          <w:lang w:val="fr-FR"/>
        </w:rPr>
        <w:t xml:space="preserve">article 28 de la LR </w:t>
      </w:r>
      <w:r w:rsidR="0086185C" w:rsidRPr="000F7862">
        <w:rPr>
          <w:lang w:val="fr-FR"/>
        </w:rPr>
        <w:t>7279</w:t>
      </w:r>
      <w:r w:rsidR="00490575" w:rsidRPr="000F7862">
        <w:rPr>
          <w:lang w:val="fr-FR"/>
        </w:rPr>
        <w:t>,</w:t>
      </w:r>
      <w:r w:rsidR="0086185C" w:rsidRPr="000F7862">
        <w:rPr>
          <w:lang w:val="fr-FR"/>
        </w:rPr>
        <w:t xml:space="preserve"> </w:t>
      </w:r>
      <w:r w:rsidR="00490575" w:rsidRPr="000F7862">
        <w:rPr>
          <w:lang w:val="fr-FR"/>
        </w:rPr>
        <w:t xml:space="preserve">et a demandé à la </w:t>
      </w:r>
      <w:r w:rsidR="00327DD1" w:rsidRPr="000F7862">
        <w:rPr>
          <w:shd w:val="clear" w:color="auto" w:fill="FFFFFF"/>
          <w:lang w:val="fr-FR"/>
        </w:rPr>
        <w:t xml:space="preserve">Commission présidentielle en faveur des </w:t>
      </w:r>
      <w:r w:rsidR="00490575" w:rsidRPr="000F7862">
        <w:rPr>
          <w:shd w:val="clear" w:color="auto" w:fill="FFFFFF"/>
          <w:lang w:val="fr-FR"/>
        </w:rPr>
        <w:t xml:space="preserve">citadins </w:t>
      </w:r>
      <w:r w:rsidR="002214EC" w:rsidRPr="000F7862">
        <w:rPr>
          <w:shd w:val="clear" w:color="auto" w:fill="FFFFFF"/>
          <w:lang w:val="fr-FR"/>
        </w:rPr>
        <w:t>démuni</w:t>
      </w:r>
      <w:r w:rsidR="00FD28CB" w:rsidRPr="000F7862">
        <w:rPr>
          <w:shd w:val="clear" w:color="auto" w:fill="FFFFFF"/>
          <w:lang w:val="fr-FR"/>
        </w:rPr>
        <w:t>s</w:t>
      </w:r>
      <w:r w:rsidR="006963C2" w:rsidRPr="000F7862">
        <w:rPr>
          <w:shd w:val="clear" w:color="auto" w:fill="FFFFFF"/>
          <w:lang w:val="fr-FR"/>
        </w:rPr>
        <w:t xml:space="preserve"> </w:t>
      </w:r>
      <w:r w:rsidR="00490575" w:rsidRPr="000F7862">
        <w:rPr>
          <w:shd w:val="clear" w:color="auto" w:fill="FFFFFF"/>
          <w:lang w:val="fr-FR"/>
        </w:rPr>
        <w:t xml:space="preserve">de présider cette </w:t>
      </w:r>
      <w:r w:rsidR="0086185C" w:rsidRPr="000F7862">
        <w:rPr>
          <w:lang w:val="fr-FR"/>
        </w:rPr>
        <w:t>con</w:t>
      </w:r>
      <w:r w:rsidR="00490575" w:rsidRPr="000F7862">
        <w:rPr>
          <w:lang w:val="fr-FR"/>
        </w:rPr>
        <w:t>fé</w:t>
      </w:r>
      <w:r w:rsidR="0086185C" w:rsidRPr="000F7862">
        <w:rPr>
          <w:lang w:val="fr-FR"/>
        </w:rPr>
        <w:t>rence.</w:t>
      </w:r>
    </w:p>
    <w:p w:rsidR="0086185C" w:rsidRPr="000F7862" w:rsidRDefault="003F7F57" w:rsidP="00CC5D4F">
      <w:pPr>
        <w:pStyle w:val="SingleTxtG"/>
        <w:rPr>
          <w:lang w:val="fr-FR"/>
        </w:rPr>
      </w:pPr>
      <w:r w:rsidRPr="000F7862">
        <w:rPr>
          <w:lang w:val="fr-FR"/>
        </w:rPr>
        <w:t>213.</w:t>
      </w:r>
      <w:r w:rsidRPr="000F7862">
        <w:rPr>
          <w:lang w:val="fr-FR"/>
        </w:rPr>
        <w:tab/>
      </w:r>
      <w:r w:rsidR="00500ADB" w:rsidRPr="000F7862">
        <w:rPr>
          <w:lang w:val="fr-FR"/>
        </w:rPr>
        <w:t>S</w:t>
      </w:r>
      <w:r w:rsidR="00120E2E" w:rsidRPr="000F7862">
        <w:rPr>
          <w:lang w:val="fr-FR"/>
        </w:rPr>
        <w:t>’</w:t>
      </w:r>
      <w:r w:rsidR="00500ADB" w:rsidRPr="000F7862">
        <w:rPr>
          <w:lang w:val="fr-FR"/>
        </w:rPr>
        <w:t xml:space="preserve">agissant du renforcement du mandat de la </w:t>
      </w:r>
      <w:r w:rsidR="002214EC" w:rsidRPr="000F7862">
        <w:rPr>
          <w:shd w:val="clear" w:color="auto" w:fill="FFFFFF"/>
          <w:lang w:val="fr-FR"/>
        </w:rPr>
        <w:t>Commission présidentielle</w:t>
      </w:r>
      <w:r w:rsidR="00500ADB" w:rsidRPr="000F7862">
        <w:rPr>
          <w:lang w:val="fr-FR"/>
        </w:rPr>
        <w:t xml:space="preserve"> en tant que seule instance autorisée à conduire des activités de démolition et d</w:t>
      </w:r>
      <w:r w:rsidR="00120E2E" w:rsidRPr="000F7862">
        <w:rPr>
          <w:lang w:val="fr-FR"/>
        </w:rPr>
        <w:t>’</w:t>
      </w:r>
      <w:r w:rsidR="00500ADB" w:rsidRPr="000F7862">
        <w:rPr>
          <w:lang w:val="fr-FR"/>
        </w:rPr>
        <w:t xml:space="preserve">expulsion concernant les citoyens sans logis et défavorisés en vertu du décret-loi </w:t>
      </w:r>
      <w:r w:rsidR="00730F8F" w:rsidRPr="000F7862">
        <w:rPr>
          <w:lang w:val="fr-FR"/>
        </w:rPr>
        <w:t>n</w:t>
      </w:r>
      <w:r w:rsidR="00730F8F" w:rsidRPr="000F7862">
        <w:rPr>
          <w:vertAlign w:val="superscript"/>
          <w:lang w:val="fr-FR"/>
        </w:rPr>
        <w:t>o</w:t>
      </w:r>
      <w:r w:rsidR="00730F8F" w:rsidRPr="000F7862">
        <w:rPr>
          <w:lang w:val="fr-FR"/>
        </w:rPr>
        <w:t> </w:t>
      </w:r>
      <w:r w:rsidR="0086185C" w:rsidRPr="000F7862">
        <w:rPr>
          <w:lang w:val="fr-FR"/>
        </w:rPr>
        <w:t xml:space="preserve">152 (1992), </w:t>
      </w:r>
      <w:r w:rsidR="00500ADB" w:rsidRPr="000F7862">
        <w:rPr>
          <w:lang w:val="fr-FR"/>
        </w:rPr>
        <w:t xml:space="preserve">ce décret a été modifié par le décret-loi </w:t>
      </w:r>
      <w:r w:rsidR="00730F8F" w:rsidRPr="000F7862">
        <w:rPr>
          <w:lang w:val="fr-FR"/>
        </w:rPr>
        <w:t>n</w:t>
      </w:r>
      <w:r w:rsidR="00730F8F" w:rsidRPr="000F7862">
        <w:rPr>
          <w:vertAlign w:val="superscript"/>
          <w:lang w:val="fr-FR"/>
        </w:rPr>
        <w:t>o</w:t>
      </w:r>
      <w:r w:rsidR="00730F8F" w:rsidRPr="000F7862">
        <w:rPr>
          <w:lang w:val="fr-FR"/>
        </w:rPr>
        <w:t> </w:t>
      </w:r>
      <w:r w:rsidR="0086185C" w:rsidRPr="000F7862">
        <w:rPr>
          <w:lang w:val="fr-FR"/>
        </w:rPr>
        <w:t xml:space="preserve">708 (2008) </w:t>
      </w:r>
      <w:r w:rsidR="00500ADB" w:rsidRPr="000F7862">
        <w:rPr>
          <w:lang w:val="fr-FR"/>
        </w:rPr>
        <w:t xml:space="preserve">qui a transféré cette </w:t>
      </w:r>
      <w:r w:rsidR="004D2C9F" w:rsidRPr="000F7862">
        <w:rPr>
          <w:lang w:val="fr-FR"/>
        </w:rPr>
        <w:t xml:space="preserve">fonction </w:t>
      </w:r>
      <w:r w:rsidR="00500ADB" w:rsidRPr="000F7862">
        <w:rPr>
          <w:lang w:val="fr-FR"/>
        </w:rPr>
        <w:t xml:space="preserve">de la Commission aux organes administratifs locaux </w:t>
      </w:r>
      <w:r w:rsidR="0086185C" w:rsidRPr="000F7862">
        <w:rPr>
          <w:lang w:val="fr-FR"/>
        </w:rPr>
        <w:t>territorial</w:t>
      </w:r>
      <w:r w:rsidR="004D2C9F" w:rsidRPr="000F7862">
        <w:rPr>
          <w:lang w:val="fr-FR"/>
        </w:rPr>
        <w:t>ement compétents en ce qui concerne les activités de démolition et d</w:t>
      </w:r>
      <w:r w:rsidR="00120E2E" w:rsidRPr="000F7862">
        <w:rPr>
          <w:lang w:val="fr-FR"/>
        </w:rPr>
        <w:t>’</w:t>
      </w:r>
      <w:r w:rsidR="004D2C9F" w:rsidRPr="000F7862">
        <w:rPr>
          <w:lang w:val="fr-FR"/>
        </w:rPr>
        <w:t>expulsion des organismes publics</w:t>
      </w:r>
      <w:r w:rsidR="0086185C" w:rsidRPr="000F7862">
        <w:rPr>
          <w:lang w:val="fr-FR"/>
        </w:rPr>
        <w:t xml:space="preserve">. </w:t>
      </w:r>
      <w:r w:rsidR="004D2C9F" w:rsidRPr="000F7862">
        <w:rPr>
          <w:lang w:val="fr-FR"/>
        </w:rPr>
        <w:t xml:space="preserve">Toutefois, la </w:t>
      </w:r>
      <w:r w:rsidR="002214EC" w:rsidRPr="000F7862">
        <w:rPr>
          <w:lang w:val="fr-FR"/>
        </w:rPr>
        <w:t>Commission</w:t>
      </w:r>
      <w:r w:rsidR="0086185C" w:rsidRPr="000F7862">
        <w:rPr>
          <w:lang w:val="fr-FR"/>
        </w:rPr>
        <w:t xml:space="preserve"> </w:t>
      </w:r>
      <w:r w:rsidR="004D2C9F" w:rsidRPr="000F7862">
        <w:rPr>
          <w:lang w:val="fr-FR"/>
        </w:rPr>
        <w:t>a conservé ses fonctions de surveillance et de communication d</w:t>
      </w:r>
      <w:r w:rsidR="00120E2E" w:rsidRPr="000F7862">
        <w:rPr>
          <w:lang w:val="fr-FR"/>
        </w:rPr>
        <w:t>’</w:t>
      </w:r>
      <w:r w:rsidR="004D2C9F" w:rsidRPr="000F7862">
        <w:rPr>
          <w:lang w:val="fr-FR"/>
        </w:rPr>
        <w:t>informations, ainsi que les attributions et fonctions énumérées dans l</w:t>
      </w:r>
      <w:r w:rsidR="00120E2E" w:rsidRPr="000F7862">
        <w:rPr>
          <w:lang w:val="fr-FR"/>
        </w:rPr>
        <w:t>’</w:t>
      </w:r>
      <w:r w:rsidR="004D2C9F" w:rsidRPr="000F7862">
        <w:rPr>
          <w:lang w:val="fr-FR"/>
        </w:rPr>
        <w:t xml:space="preserve">article </w:t>
      </w:r>
      <w:r w:rsidR="00CC5D4F" w:rsidRPr="000F7862">
        <w:rPr>
          <w:lang w:val="fr-FR"/>
        </w:rPr>
        <w:t>1</w:t>
      </w:r>
      <w:r w:rsidR="00CC5D4F" w:rsidRPr="000F7862">
        <w:rPr>
          <w:vertAlign w:val="superscript"/>
          <w:lang w:val="fr-FR"/>
        </w:rPr>
        <w:t>er</w:t>
      </w:r>
      <w:r w:rsidR="00CC5D4F" w:rsidRPr="000F7862">
        <w:rPr>
          <w:lang w:val="fr-FR"/>
        </w:rPr>
        <w:t xml:space="preserve"> </w:t>
      </w:r>
      <w:r w:rsidR="004D2C9F" w:rsidRPr="000F7862">
        <w:rPr>
          <w:lang w:val="fr-FR"/>
        </w:rPr>
        <w:t xml:space="preserve">du décret-loi </w:t>
      </w:r>
      <w:r w:rsidR="00730F8F" w:rsidRPr="000F7862">
        <w:rPr>
          <w:lang w:val="fr-FR"/>
        </w:rPr>
        <w:t>n</w:t>
      </w:r>
      <w:r w:rsidR="00730F8F" w:rsidRPr="000F7862">
        <w:rPr>
          <w:vertAlign w:val="superscript"/>
          <w:lang w:val="fr-FR"/>
        </w:rPr>
        <w:t>o</w:t>
      </w:r>
      <w:r w:rsidR="00730F8F" w:rsidRPr="000F7862">
        <w:rPr>
          <w:lang w:val="fr-FR"/>
        </w:rPr>
        <w:t> </w:t>
      </w:r>
      <w:r w:rsidR="0086185C" w:rsidRPr="000F7862">
        <w:rPr>
          <w:lang w:val="fr-FR"/>
        </w:rPr>
        <w:t>152 (2002).</w:t>
      </w:r>
    </w:p>
    <w:p w:rsidR="0086185C" w:rsidRPr="000F7862" w:rsidRDefault="003F7F57" w:rsidP="003F7F57">
      <w:pPr>
        <w:pStyle w:val="SingleTxtG"/>
        <w:rPr>
          <w:lang w:val="fr-FR"/>
        </w:rPr>
      </w:pPr>
      <w:r w:rsidRPr="000F7862">
        <w:rPr>
          <w:lang w:val="fr-FR"/>
        </w:rPr>
        <w:t>214.</w:t>
      </w:r>
      <w:r w:rsidRPr="000F7862">
        <w:rPr>
          <w:lang w:val="fr-FR"/>
        </w:rPr>
        <w:tab/>
      </w:r>
      <w:r w:rsidR="004D2C9F" w:rsidRPr="000F7862">
        <w:rPr>
          <w:lang w:val="fr-FR"/>
        </w:rPr>
        <w:t>Quant à l</w:t>
      </w:r>
      <w:r w:rsidR="00120E2E" w:rsidRPr="000F7862">
        <w:rPr>
          <w:lang w:val="fr-FR"/>
        </w:rPr>
        <w:t>’</w:t>
      </w:r>
      <w:r w:rsidR="004D2C9F" w:rsidRPr="000F7862">
        <w:rPr>
          <w:lang w:val="fr-FR"/>
        </w:rPr>
        <w:t xml:space="preserve">observation finale selon laquelle les Philippines devraient </w:t>
      </w:r>
      <w:r w:rsidR="002E7607" w:rsidRPr="000F7862">
        <w:rPr>
          <w:lang w:val="fr-FR"/>
        </w:rPr>
        <w:t>«</w:t>
      </w:r>
      <w:r w:rsidR="004D2C9F" w:rsidRPr="000F7862">
        <w:rPr>
          <w:lang w:val="fr-FR"/>
        </w:rPr>
        <w:t>s</w:t>
      </w:r>
      <w:r w:rsidR="00120E2E" w:rsidRPr="000F7862">
        <w:rPr>
          <w:lang w:val="fr-FR"/>
        </w:rPr>
        <w:t>’</w:t>
      </w:r>
      <w:r w:rsidR="004D2C9F" w:rsidRPr="000F7862">
        <w:rPr>
          <w:lang w:val="fr-FR"/>
        </w:rPr>
        <w:t>engager à entreprendre des consultations ouvertes, participatives et constructives avec les résidents et les communautés touchés avant de mettre en œuvre des projets de développement et de rénovation urbaine</w:t>
      </w:r>
      <w:r w:rsidR="002E7607" w:rsidRPr="000F7862">
        <w:rPr>
          <w:lang w:val="fr-FR"/>
        </w:rPr>
        <w:t>»</w:t>
      </w:r>
      <w:r w:rsidR="004D2C9F" w:rsidRPr="000F7862">
        <w:rPr>
          <w:lang w:val="fr-FR"/>
        </w:rPr>
        <w:t>,</w:t>
      </w:r>
      <w:r w:rsidR="0086185C" w:rsidRPr="000F7862">
        <w:rPr>
          <w:lang w:val="fr-FR"/>
        </w:rPr>
        <w:t xml:space="preserve"> </w:t>
      </w:r>
      <w:r w:rsidR="004D2C9F" w:rsidRPr="000F7862">
        <w:rPr>
          <w:lang w:val="fr-FR"/>
        </w:rPr>
        <w:t xml:space="preserve">le </w:t>
      </w:r>
      <w:r w:rsidR="0086185C" w:rsidRPr="000F7862">
        <w:rPr>
          <w:lang w:val="fr-FR"/>
        </w:rPr>
        <w:t>Pr</w:t>
      </w:r>
      <w:r w:rsidR="004D2C9F" w:rsidRPr="000F7862">
        <w:rPr>
          <w:lang w:val="fr-FR"/>
        </w:rPr>
        <w:t>é</w:t>
      </w:r>
      <w:r w:rsidR="0086185C" w:rsidRPr="000F7862">
        <w:rPr>
          <w:lang w:val="fr-FR"/>
        </w:rPr>
        <w:t xml:space="preserve">sident </w:t>
      </w:r>
      <w:r w:rsidR="004D2C9F" w:rsidRPr="000F7862">
        <w:rPr>
          <w:lang w:val="fr-FR"/>
        </w:rPr>
        <w:t xml:space="preserve">a </w:t>
      </w:r>
      <w:r w:rsidR="0086185C" w:rsidRPr="000F7862">
        <w:rPr>
          <w:lang w:val="fr-FR"/>
        </w:rPr>
        <w:t>sign</w:t>
      </w:r>
      <w:r w:rsidR="004D2C9F" w:rsidRPr="000F7862">
        <w:rPr>
          <w:lang w:val="fr-FR"/>
        </w:rPr>
        <w:t xml:space="preserve">é le 29 mars </w:t>
      </w:r>
      <w:r w:rsidR="0086185C" w:rsidRPr="000F7862">
        <w:rPr>
          <w:lang w:val="fr-FR"/>
        </w:rPr>
        <w:t xml:space="preserve">2012 </w:t>
      </w:r>
      <w:r w:rsidR="004D2C9F" w:rsidRPr="000F7862">
        <w:rPr>
          <w:lang w:val="fr-FR"/>
        </w:rPr>
        <w:t xml:space="preserve">le décret-loi </w:t>
      </w:r>
      <w:r w:rsidR="00730F8F" w:rsidRPr="000F7862">
        <w:rPr>
          <w:lang w:val="fr-FR"/>
        </w:rPr>
        <w:t>n</w:t>
      </w:r>
      <w:r w:rsidR="00730F8F" w:rsidRPr="000F7862">
        <w:rPr>
          <w:vertAlign w:val="superscript"/>
          <w:lang w:val="fr-FR"/>
        </w:rPr>
        <w:t>o</w:t>
      </w:r>
      <w:r w:rsidR="00730F8F" w:rsidRPr="000F7862">
        <w:rPr>
          <w:lang w:val="fr-FR"/>
        </w:rPr>
        <w:t> </w:t>
      </w:r>
      <w:r w:rsidR="0086185C" w:rsidRPr="000F7862">
        <w:rPr>
          <w:lang w:val="fr-FR"/>
        </w:rPr>
        <w:t xml:space="preserve">69 </w:t>
      </w:r>
      <w:r w:rsidR="00863CA5" w:rsidRPr="000F7862">
        <w:rPr>
          <w:lang w:val="fr-FR"/>
        </w:rPr>
        <w:t xml:space="preserve">concernant le </w:t>
      </w:r>
      <w:r w:rsidR="002E7607" w:rsidRPr="000F7862">
        <w:rPr>
          <w:lang w:val="fr-FR"/>
        </w:rPr>
        <w:t>«</w:t>
      </w:r>
      <w:r w:rsidR="00863CA5" w:rsidRPr="000F7862">
        <w:rPr>
          <w:lang w:val="fr-FR"/>
        </w:rPr>
        <w:t xml:space="preserve">Renforcement de la </w:t>
      </w:r>
      <w:r w:rsidR="00863CA5" w:rsidRPr="000F7862">
        <w:rPr>
          <w:shd w:val="clear" w:color="auto" w:fill="FFFFFF"/>
          <w:lang w:val="fr-FR"/>
        </w:rPr>
        <w:t xml:space="preserve">Commission présidentielle en faveur des citadins </w:t>
      </w:r>
      <w:r w:rsidR="00FD28CB" w:rsidRPr="000F7862">
        <w:rPr>
          <w:shd w:val="clear" w:color="auto" w:fill="FFFFFF"/>
          <w:lang w:val="fr-FR"/>
        </w:rPr>
        <w:t>démunis</w:t>
      </w:r>
      <w:r w:rsidR="002E7607" w:rsidRPr="000F7862">
        <w:rPr>
          <w:lang w:val="fr-FR"/>
        </w:rPr>
        <w:t>»</w:t>
      </w:r>
      <w:r w:rsidR="00863CA5" w:rsidRPr="000F7862">
        <w:rPr>
          <w:lang w:val="fr-FR"/>
        </w:rPr>
        <w:t xml:space="preserve">, aux termes duquel la </w:t>
      </w:r>
      <w:r w:rsidR="0086185C" w:rsidRPr="000F7862">
        <w:rPr>
          <w:lang w:val="fr-FR"/>
        </w:rPr>
        <w:t>Commission</w:t>
      </w:r>
      <w:r w:rsidR="00863CA5" w:rsidRPr="000F7862">
        <w:rPr>
          <w:lang w:val="fr-FR"/>
        </w:rPr>
        <w:t xml:space="preserve"> formule, de concert avec d</w:t>
      </w:r>
      <w:r w:rsidR="00120E2E" w:rsidRPr="000F7862">
        <w:rPr>
          <w:lang w:val="fr-FR"/>
        </w:rPr>
        <w:t>’</w:t>
      </w:r>
      <w:r w:rsidR="00863CA5" w:rsidRPr="000F7862">
        <w:rPr>
          <w:lang w:val="fr-FR"/>
        </w:rPr>
        <w:t>autres organismes (</w:t>
      </w:r>
      <w:r w:rsidR="00863CA5" w:rsidRPr="000F7862">
        <w:rPr>
          <w:lang w:val="fr-FR" w:eastAsia="fr-FR"/>
        </w:rPr>
        <w:t>Conseil de coordination pour le logement et le développement urbain</w:t>
      </w:r>
      <w:r w:rsidR="0086185C" w:rsidRPr="000F7862">
        <w:rPr>
          <w:lang w:val="fr-FR"/>
        </w:rPr>
        <w:t xml:space="preserve">, </w:t>
      </w:r>
      <w:r w:rsidR="00863CA5" w:rsidRPr="000F7862">
        <w:rPr>
          <w:lang w:val="fr-FR"/>
        </w:rPr>
        <w:t>Ministère de la protection sociale et du développement, Ministère de la justice, Ministère de l</w:t>
      </w:r>
      <w:r w:rsidR="00120E2E" w:rsidRPr="000F7862">
        <w:rPr>
          <w:lang w:val="fr-FR"/>
        </w:rPr>
        <w:t>’</w:t>
      </w:r>
      <w:r w:rsidR="00863CA5" w:rsidRPr="000F7862">
        <w:rPr>
          <w:lang w:val="fr-FR"/>
        </w:rPr>
        <w:t>intérieur et des collectivités locales</w:t>
      </w:r>
      <w:r w:rsidR="0086185C" w:rsidRPr="000F7862">
        <w:rPr>
          <w:lang w:val="fr-FR"/>
        </w:rPr>
        <w:t xml:space="preserve">, </w:t>
      </w:r>
      <w:r w:rsidR="00863CA5" w:rsidRPr="000F7862">
        <w:rPr>
          <w:w w:val="102"/>
          <w:lang w:val="fr-FR"/>
        </w:rPr>
        <w:t>Commission nationale de la lutte contre la pauvreté et</w:t>
      </w:r>
      <w:r w:rsidR="0086185C" w:rsidRPr="000F7862">
        <w:rPr>
          <w:lang w:val="fr-FR"/>
        </w:rPr>
        <w:t xml:space="preserve"> </w:t>
      </w:r>
      <w:r w:rsidR="00863CA5" w:rsidRPr="000F7862">
        <w:rPr>
          <w:lang w:val="fr-FR"/>
        </w:rPr>
        <w:t>la Commission des droits de l</w:t>
      </w:r>
      <w:r w:rsidR="00120E2E" w:rsidRPr="000F7862">
        <w:rPr>
          <w:lang w:val="fr-FR"/>
        </w:rPr>
        <w:t>’</w:t>
      </w:r>
      <w:r w:rsidR="00863CA5" w:rsidRPr="000F7862">
        <w:rPr>
          <w:lang w:val="fr-FR"/>
        </w:rPr>
        <w:t>homme</w:t>
      </w:r>
      <w:r w:rsidR="0086185C" w:rsidRPr="000F7862">
        <w:rPr>
          <w:lang w:val="fr-FR"/>
        </w:rPr>
        <w:t>)</w:t>
      </w:r>
      <w:r w:rsidR="00863CA5" w:rsidRPr="000F7862">
        <w:rPr>
          <w:lang w:val="fr-FR"/>
        </w:rPr>
        <w:t xml:space="preserve">, les règles devant assurer le strict respect des dispositions de </w:t>
      </w:r>
      <w:r w:rsidR="002214EC" w:rsidRPr="000F7862">
        <w:rPr>
          <w:lang w:val="fr-FR"/>
        </w:rPr>
        <w:t>l</w:t>
      </w:r>
      <w:r w:rsidR="00120E2E" w:rsidRPr="000F7862">
        <w:rPr>
          <w:lang w:val="fr-FR"/>
        </w:rPr>
        <w:t>’</w:t>
      </w:r>
      <w:r w:rsidR="002214EC" w:rsidRPr="000F7862">
        <w:rPr>
          <w:lang w:val="fr-FR"/>
        </w:rPr>
        <w:t xml:space="preserve">article </w:t>
      </w:r>
      <w:r w:rsidR="0086185C" w:rsidRPr="000F7862">
        <w:rPr>
          <w:lang w:val="fr-FR"/>
        </w:rPr>
        <w:t xml:space="preserve">28 </w:t>
      </w:r>
      <w:r w:rsidR="00863CA5" w:rsidRPr="000F7862">
        <w:rPr>
          <w:lang w:val="fr-FR"/>
        </w:rPr>
        <w:t>de la L</w:t>
      </w:r>
      <w:r w:rsidR="0086185C" w:rsidRPr="000F7862">
        <w:rPr>
          <w:lang w:val="fr-FR"/>
        </w:rPr>
        <w:t>R</w:t>
      </w:r>
      <w:r w:rsidR="00AB3AD7" w:rsidRPr="000F7862">
        <w:rPr>
          <w:lang w:val="fr-FR"/>
        </w:rPr>
        <w:t> </w:t>
      </w:r>
      <w:r w:rsidR="0086185C" w:rsidRPr="000F7862">
        <w:rPr>
          <w:lang w:val="fr-FR"/>
        </w:rPr>
        <w:t>7279.</w:t>
      </w:r>
    </w:p>
    <w:p w:rsidR="0086185C" w:rsidRPr="000F7862" w:rsidRDefault="003F7F57" w:rsidP="003F7F57">
      <w:pPr>
        <w:pStyle w:val="SingleTxtG"/>
        <w:rPr>
          <w:lang w:val="fr-FR"/>
        </w:rPr>
      </w:pPr>
      <w:r w:rsidRPr="000F7862">
        <w:rPr>
          <w:lang w:val="fr-FR"/>
        </w:rPr>
        <w:t>215.</w:t>
      </w:r>
      <w:r w:rsidRPr="000F7862">
        <w:rPr>
          <w:lang w:val="fr-FR"/>
        </w:rPr>
        <w:tab/>
      </w:r>
      <w:r w:rsidR="00FE357E" w:rsidRPr="000F7862">
        <w:rPr>
          <w:lang w:val="fr-FR"/>
        </w:rPr>
        <w:t xml:space="preserve">De plus, la Commission présidentielle est chargée, en vertu du décret-loi </w:t>
      </w:r>
      <w:r w:rsidR="00730F8F" w:rsidRPr="000F7862">
        <w:rPr>
          <w:lang w:val="fr-FR"/>
        </w:rPr>
        <w:t>n</w:t>
      </w:r>
      <w:r w:rsidR="00730F8F" w:rsidRPr="000F7862">
        <w:rPr>
          <w:vertAlign w:val="superscript"/>
          <w:lang w:val="fr-FR"/>
        </w:rPr>
        <w:t>o</w:t>
      </w:r>
      <w:r w:rsidR="00730F8F" w:rsidRPr="000F7862">
        <w:rPr>
          <w:lang w:val="fr-FR"/>
        </w:rPr>
        <w:t> </w:t>
      </w:r>
      <w:r w:rsidR="00FE357E" w:rsidRPr="000F7862">
        <w:rPr>
          <w:lang w:val="fr-FR"/>
        </w:rPr>
        <w:t>69, de mener des activités de préparation sociale au sujet des projets des pouvoirs publics par l</w:t>
      </w:r>
      <w:r w:rsidR="00120E2E" w:rsidRPr="000F7862">
        <w:rPr>
          <w:lang w:val="fr-FR"/>
        </w:rPr>
        <w:t>’</w:t>
      </w:r>
      <w:r w:rsidR="00FE357E" w:rsidRPr="000F7862">
        <w:rPr>
          <w:lang w:val="fr-FR"/>
        </w:rPr>
        <w:t xml:space="preserve">intermédiaire des </w:t>
      </w:r>
      <w:r w:rsidR="00A45ADD" w:rsidRPr="000F7862">
        <w:rPr>
          <w:lang w:val="fr-FR"/>
        </w:rPr>
        <w:t>organismes interinstitutionnels locaux</w:t>
      </w:r>
      <w:r w:rsidR="0086185C" w:rsidRPr="000F7862">
        <w:rPr>
          <w:lang w:val="fr-FR"/>
        </w:rPr>
        <w:t xml:space="preserve"> cr</w:t>
      </w:r>
      <w:r w:rsidR="00A45ADD" w:rsidRPr="000F7862">
        <w:rPr>
          <w:lang w:val="fr-FR"/>
        </w:rPr>
        <w:t>éés au sein des organes administratifs locaux</w:t>
      </w:r>
      <w:r w:rsidR="0086185C" w:rsidRPr="000F7862">
        <w:rPr>
          <w:lang w:val="fr-FR"/>
        </w:rPr>
        <w:t>.</w:t>
      </w:r>
      <w:r w:rsidR="00446EA5" w:rsidRPr="000F7862">
        <w:rPr>
          <w:lang w:val="fr-FR"/>
        </w:rPr>
        <w:t xml:space="preserve"> </w:t>
      </w:r>
      <w:r w:rsidR="00A45ADD" w:rsidRPr="000F7862">
        <w:rPr>
          <w:lang w:val="fr-FR"/>
        </w:rPr>
        <w:t>Il s</w:t>
      </w:r>
      <w:r w:rsidR="00120E2E" w:rsidRPr="000F7862">
        <w:rPr>
          <w:lang w:val="fr-FR"/>
        </w:rPr>
        <w:t>’</w:t>
      </w:r>
      <w:r w:rsidR="00A45ADD" w:rsidRPr="000F7862">
        <w:rPr>
          <w:lang w:val="fr-FR"/>
        </w:rPr>
        <w:t>agit notamment d</w:t>
      </w:r>
      <w:r w:rsidR="00120E2E" w:rsidRPr="000F7862">
        <w:rPr>
          <w:lang w:val="fr-FR"/>
        </w:rPr>
        <w:t>’</w:t>
      </w:r>
      <w:r w:rsidR="00A45ADD" w:rsidRPr="000F7862">
        <w:rPr>
          <w:lang w:val="fr-FR"/>
        </w:rPr>
        <w:t>activités de consultation, de diffusion d</w:t>
      </w:r>
      <w:r w:rsidR="00120E2E" w:rsidRPr="000F7862">
        <w:rPr>
          <w:lang w:val="fr-FR"/>
        </w:rPr>
        <w:t>’</w:t>
      </w:r>
      <w:r w:rsidR="009C776E" w:rsidRPr="000F7862">
        <w:rPr>
          <w:lang w:val="fr-FR"/>
        </w:rPr>
        <w:t>informations et de renforcemen</w:t>
      </w:r>
      <w:r w:rsidR="00A45ADD" w:rsidRPr="000F7862">
        <w:rPr>
          <w:lang w:val="fr-FR"/>
        </w:rPr>
        <w:t>t des capacités</w:t>
      </w:r>
      <w:r w:rsidR="0086185C" w:rsidRPr="000F7862">
        <w:rPr>
          <w:lang w:val="fr-FR"/>
        </w:rPr>
        <w:t>.</w:t>
      </w:r>
      <w:r w:rsidR="00446EA5" w:rsidRPr="000F7862">
        <w:rPr>
          <w:lang w:val="fr-FR"/>
        </w:rPr>
        <w:t xml:space="preserve"> </w:t>
      </w:r>
    </w:p>
    <w:p w:rsidR="0086185C" w:rsidRPr="000F7862" w:rsidRDefault="003F7F57" w:rsidP="003F7F57">
      <w:pPr>
        <w:pStyle w:val="SingleTxtG"/>
        <w:rPr>
          <w:lang w:val="fr-FR"/>
        </w:rPr>
      </w:pPr>
      <w:r w:rsidRPr="000F7862">
        <w:rPr>
          <w:lang w:val="fr-FR"/>
        </w:rPr>
        <w:t>216.</w:t>
      </w:r>
      <w:r w:rsidRPr="000F7862">
        <w:rPr>
          <w:lang w:val="fr-FR"/>
        </w:rPr>
        <w:tab/>
      </w:r>
      <w:r w:rsidR="00A45ADD" w:rsidRPr="000F7862">
        <w:rPr>
          <w:lang w:val="fr-FR"/>
        </w:rPr>
        <w:t xml:space="preserve">Les cas des </w:t>
      </w:r>
      <w:r w:rsidR="009C776E" w:rsidRPr="000F7862">
        <w:rPr>
          <w:lang w:val="fr-FR"/>
        </w:rPr>
        <w:t xml:space="preserve">très nombreuses </w:t>
      </w:r>
      <w:r w:rsidR="00A45ADD" w:rsidRPr="000F7862">
        <w:rPr>
          <w:lang w:val="fr-FR"/>
        </w:rPr>
        <w:t>familles déplacées ayant besoin d</w:t>
      </w:r>
      <w:r w:rsidR="00120E2E" w:rsidRPr="000F7862">
        <w:rPr>
          <w:lang w:val="fr-FR"/>
        </w:rPr>
        <w:t>’</w:t>
      </w:r>
      <w:r w:rsidR="00A45ADD" w:rsidRPr="000F7862">
        <w:rPr>
          <w:lang w:val="fr-FR"/>
        </w:rPr>
        <w:t>être relogées ou</w:t>
      </w:r>
      <w:r w:rsidR="0005004C" w:rsidRPr="000F7862">
        <w:rPr>
          <w:lang w:val="fr-FR"/>
        </w:rPr>
        <w:t xml:space="preserve"> </w:t>
      </w:r>
      <w:r w:rsidR="00A45ADD" w:rsidRPr="000F7862">
        <w:rPr>
          <w:lang w:val="fr-FR"/>
        </w:rPr>
        <w:t>réinstallées</w:t>
      </w:r>
      <w:r w:rsidR="009C776E" w:rsidRPr="000F7862">
        <w:rPr>
          <w:lang w:val="fr-FR"/>
        </w:rPr>
        <w:t xml:space="preserve"> après avoir été expulsées de force à la suite d</w:t>
      </w:r>
      <w:r w:rsidR="00120E2E" w:rsidRPr="000F7862">
        <w:rPr>
          <w:lang w:val="fr-FR"/>
        </w:rPr>
        <w:t>’</w:t>
      </w:r>
      <w:r w:rsidR="009C776E" w:rsidRPr="000F7862">
        <w:rPr>
          <w:lang w:val="fr-FR"/>
        </w:rPr>
        <w:t>une démolition ordonnée par un tribunal ou d</w:t>
      </w:r>
      <w:r w:rsidR="00120E2E" w:rsidRPr="000F7862">
        <w:rPr>
          <w:lang w:val="fr-FR"/>
        </w:rPr>
        <w:t>’</w:t>
      </w:r>
      <w:r w:rsidR="009C776E" w:rsidRPr="000F7862">
        <w:rPr>
          <w:lang w:val="fr-FR"/>
        </w:rPr>
        <w:t xml:space="preserve">une démolition </w:t>
      </w:r>
      <w:r w:rsidR="0086185C" w:rsidRPr="000F7862">
        <w:rPr>
          <w:lang w:val="fr-FR"/>
        </w:rPr>
        <w:t xml:space="preserve">administrative </w:t>
      </w:r>
      <w:r w:rsidR="009C776E" w:rsidRPr="000F7862">
        <w:rPr>
          <w:lang w:val="fr-FR"/>
        </w:rPr>
        <w:t xml:space="preserve">dont la Commission présidentielle a eu connaissance sont renvoyés devant les organes administratifs locaux compétents et </w:t>
      </w:r>
      <w:r w:rsidR="009C776E" w:rsidRPr="000F7862">
        <w:rPr>
          <w:lang w:val="fr-FR" w:eastAsia="fr-FR"/>
        </w:rPr>
        <w:t>l</w:t>
      </w:r>
      <w:r w:rsidR="00120E2E" w:rsidRPr="000F7862">
        <w:rPr>
          <w:lang w:val="fr-FR" w:eastAsia="fr-FR"/>
        </w:rPr>
        <w:t>’</w:t>
      </w:r>
      <w:r w:rsidR="009C776E" w:rsidRPr="000F7862">
        <w:rPr>
          <w:lang w:val="fr-FR" w:eastAsia="fr-FR"/>
        </w:rPr>
        <w:t>Agence nationale du logement</w:t>
      </w:r>
      <w:r w:rsidR="009C776E" w:rsidRPr="000F7862">
        <w:rPr>
          <w:lang w:val="fr-FR"/>
        </w:rPr>
        <w:t xml:space="preserve"> aux fin d</w:t>
      </w:r>
      <w:r w:rsidR="00120E2E" w:rsidRPr="000F7862">
        <w:rPr>
          <w:lang w:val="fr-FR"/>
        </w:rPr>
        <w:t>’</w:t>
      </w:r>
      <w:r w:rsidR="009C776E" w:rsidRPr="000F7862">
        <w:rPr>
          <w:lang w:val="fr-FR"/>
        </w:rPr>
        <w:t>une réinstallation ou d</w:t>
      </w:r>
      <w:r w:rsidR="00120E2E" w:rsidRPr="000F7862">
        <w:rPr>
          <w:lang w:val="fr-FR"/>
        </w:rPr>
        <w:t>’</w:t>
      </w:r>
      <w:r w:rsidR="009C776E" w:rsidRPr="000F7862">
        <w:rPr>
          <w:lang w:val="fr-FR"/>
        </w:rPr>
        <w:t>une aide financière immédiate</w:t>
      </w:r>
      <w:r w:rsidR="0086185C" w:rsidRPr="000F7862">
        <w:rPr>
          <w:lang w:val="fr-FR"/>
        </w:rPr>
        <w:t>.</w:t>
      </w:r>
      <w:r w:rsidR="00446EA5" w:rsidRPr="000F7862">
        <w:rPr>
          <w:lang w:val="fr-FR"/>
        </w:rPr>
        <w:t xml:space="preserve"> </w:t>
      </w:r>
      <w:r w:rsidR="00B33346" w:rsidRPr="000F7862">
        <w:rPr>
          <w:lang w:val="fr-FR"/>
        </w:rPr>
        <w:t xml:space="preserve">Toutefois, ces organes et cette Agence ne disposant pas des fonds pouvant servir à fournir une aide à la réinstallation dans ces situations </w:t>
      </w:r>
      <w:r w:rsidR="002E7607" w:rsidRPr="000F7862">
        <w:rPr>
          <w:lang w:val="fr-FR"/>
        </w:rPr>
        <w:t>«</w:t>
      </w:r>
      <w:r w:rsidR="00B33346" w:rsidRPr="000F7862">
        <w:rPr>
          <w:lang w:val="fr-FR"/>
        </w:rPr>
        <w:t xml:space="preserve">non </w:t>
      </w:r>
      <w:r w:rsidR="0086185C" w:rsidRPr="000F7862">
        <w:rPr>
          <w:lang w:val="fr-FR"/>
        </w:rPr>
        <w:t>programm</w:t>
      </w:r>
      <w:r w:rsidR="00B33346" w:rsidRPr="000F7862">
        <w:rPr>
          <w:lang w:val="fr-FR"/>
        </w:rPr>
        <w:t>é</w:t>
      </w:r>
      <w:r w:rsidR="0086185C" w:rsidRPr="000F7862">
        <w:rPr>
          <w:lang w:val="fr-FR"/>
        </w:rPr>
        <w:t>e</w:t>
      </w:r>
      <w:r w:rsidR="00B33346" w:rsidRPr="000F7862">
        <w:rPr>
          <w:lang w:val="fr-FR"/>
        </w:rPr>
        <w:t>s</w:t>
      </w:r>
      <w:r w:rsidR="002E7607" w:rsidRPr="000F7862">
        <w:rPr>
          <w:lang w:val="fr-FR"/>
        </w:rPr>
        <w:t>»</w:t>
      </w:r>
      <w:r w:rsidR="00B33346" w:rsidRPr="000F7862">
        <w:rPr>
          <w:lang w:val="fr-FR"/>
        </w:rPr>
        <w:t>, elles n</w:t>
      </w:r>
      <w:r w:rsidR="00120E2E" w:rsidRPr="000F7862">
        <w:rPr>
          <w:lang w:val="fr-FR"/>
        </w:rPr>
        <w:t>’</w:t>
      </w:r>
      <w:r w:rsidR="00B33346" w:rsidRPr="000F7862">
        <w:rPr>
          <w:lang w:val="fr-FR"/>
        </w:rPr>
        <w:t>ont pas pu procéder à une réinstallation dans des conditions adéquates et décentes</w:t>
      </w:r>
      <w:r w:rsidR="0086185C" w:rsidRPr="000F7862">
        <w:rPr>
          <w:lang w:val="fr-FR"/>
        </w:rPr>
        <w:t xml:space="preserve"> </w:t>
      </w:r>
      <w:r w:rsidR="00B33346" w:rsidRPr="000F7862">
        <w:rPr>
          <w:lang w:val="fr-FR"/>
        </w:rPr>
        <w:t xml:space="preserve">et dans les délais spécifiés par la loi </w:t>
      </w:r>
      <w:r w:rsidR="0086185C" w:rsidRPr="000F7862">
        <w:rPr>
          <w:lang w:val="fr-FR"/>
        </w:rPr>
        <w:t>(</w:t>
      </w:r>
      <w:r w:rsidR="00B33346" w:rsidRPr="000F7862">
        <w:rPr>
          <w:lang w:val="fr-FR"/>
        </w:rPr>
        <w:t>Résultats du Sommet n</w:t>
      </w:r>
      <w:r w:rsidR="0086185C" w:rsidRPr="000F7862">
        <w:rPr>
          <w:lang w:val="fr-FR"/>
        </w:rPr>
        <w:t xml:space="preserve">ational </w:t>
      </w:r>
      <w:r w:rsidR="00B33346" w:rsidRPr="000F7862">
        <w:rPr>
          <w:lang w:val="fr-FR"/>
        </w:rPr>
        <w:t xml:space="preserve">sur les citadins </w:t>
      </w:r>
      <w:r w:rsidR="00FD28CB" w:rsidRPr="000F7862">
        <w:rPr>
          <w:lang w:val="fr-FR"/>
        </w:rPr>
        <w:t>démunis</w:t>
      </w:r>
      <w:r w:rsidR="0086185C" w:rsidRPr="000F7862">
        <w:rPr>
          <w:lang w:val="fr-FR"/>
        </w:rPr>
        <w:t>, 2012).</w:t>
      </w:r>
    </w:p>
    <w:p w:rsidR="0086185C" w:rsidRPr="000F7862" w:rsidRDefault="003F7F57" w:rsidP="003F7F57">
      <w:pPr>
        <w:pStyle w:val="SingleTxtG"/>
        <w:rPr>
          <w:lang w:val="fr-FR"/>
        </w:rPr>
      </w:pPr>
      <w:r w:rsidRPr="000F7862">
        <w:rPr>
          <w:lang w:val="fr-FR"/>
        </w:rPr>
        <w:t>217.</w:t>
      </w:r>
      <w:r w:rsidRPr="000F7862">
        <w:rPr>
          <w:lang w:val="fr-FR"/>
        </w:rPr>
        <w:tab/>
      </w:r>
      <w:r w:rsidR="000F4004" w:rsidRPr="000F7862">
        <w:rPr>
          <w:lang w:val="fr-FR"/>
        </w:rPr>
        <w:t>La Commission présidentielle a pu obtenir des fonds de la présidence par l</w:t>
      </w:r>
      <w:r w:rsidR="00120E2E" w:rsidRPr="000F7862">
        <w:rPr>
          <w:lang w:val="fr-FR"/>
        </w:rPr>
        <w:t>’</w:t>
      </w:r>
      <w:r w:rsidR="000F4004" w:rsidRPr="000F7862">
        <w:rPr>
          <w:lang w:val="fr-FR"/>
        </w:rPr>
        <w:t>intermédiaire du Fonds social présidentiel pour fournir aux familles touchées une aide financière par le biais du Programme d</w:t>
      </w:r>
      <w:r w:rsidR="00120E2E" w:rsidRPr="000F7862">
        <w:rPr>
          <w:lang w:val="fr-FR"/>
        </w:rPr>
        <w:t>’</w:t>
      </w:r>
      <w:r w:rsidR="000F4004" w:rsidRPr="000F7862">
        <w:rPr>
          <w:lang w:val="fr-FR"/>
        </w:rPr>
        <w:t>acquisition d</w:t>
      </w:r>
      <w:r w:rsidR="00120E2E" w:rsidRPr="000F7862">
        <w:rPr>
          <w:lang w:val="fr-FR"/>
        </w:rPr>
        <w:t>’</w:t>
      </w:r>
      <w:r w:rsidR="000F4004" w:rsidRPr="000F7862">
        <w:rPr>
          <w:lang w:val="fr-FR"/>
        </w:rPr>
        <w:t>urgence de terres en faveur des victimes d</w:t>
      </w:r>
      <w:r w:rsidR="00120E2E" w:rsidRPr="000F7862">
        <w:rPr>
          <w:lang w:val="fr-FR"/>
        </w:rPr>
        <w:t>’</w:t>
      </w:r>
      <w:r w:rsidR="000F4004" w:rsidRPr="000F7862">
        <w:rPr>
          <w:lang w:val="fr-FR"/>
        </w:rPr>
        <w:t xml:space="preserve">expulsion et de démolition, qui a démarré en </w:t>
      </w:r>
      <w:r w:rsidR="0086185C" w:rsidRPr="000F7862">
        <w:rPr>
          <w:lang w:val="fr-FR"/>
        </w:rPr>
        <w:t>2008.</w:t>
      </w:r>
      <w:r w:rsidR="00446EA5" w:rsidRPr="000F7862">
        <w:rPr>
          <w:lang w:val="fr-FR"/>
        </w:rPr>
        <w:t xml:space="preserve"> </w:t>
      </w:r>
      <w:r w:rsidR="000F4004" w:rsidRPr="000F7862">
        <w:rPr>
          <w:lang w:val="fr-FR"/>
        </w:rPr>
        <w:t>À l</w:t>
      </w:r>
      <w:r w:rsidR="00120E2E" w:rsidRPr="000F7862">
        <w:rPr>
          <w:lang w:val="fr-FR"/>
        </w:rPr>
        <w:t>’</w:t>
      </w:r>
      <w:r w:rsidR="000F4004" w:rsidRPr="000F7862">
        <w:rPr>
          <w:lang w:val="fr-FR"/>
        </w:rPr>
        <w:t>heure actuelle</w:t>
      </w:r>
      <w:r w:rsidR="0086185C" w:rsidRPr="000F7862">
        <w:rPr>
          <w:lang w:val="fr-FR"/>
        </w:rPr>
        <w:t xml:space="preserve">, </w:t>
      </w:r>
      <w:r w:rsidR="000F4004" w:rsidRPr="000F7862">
        <w:rPr>
          <w:lang w:val="fr-FR"/>
        </w:rPr>
        <w:t>cette Commission propose un autre financement pour garantir la sécurité de jouissance aux familles défavorisées et sans logis aux prises avec une situation de ce genre</w:t>
      </w:r>
      <w:r w:rsidR="0086185C" w:rsidRPr="000F7862">
        <w:rPr>
          <w:lang w:val="fr-FR"/>
        </w:rPr>
        <w:t>.</w:t>
      </w:r>
      <w:r w:rsidR="00446EA5" w:rsidRPr="000F7862">
        <w:rPr>
          <w:lang w:val="fr-FR"/>
        </w:rPr>
        <w:t xml:space="preserve"> </w:t>
      </w:r>
    </w:p>
    <w:p w:rsidR="0086185C" w:rsidRPr="000F7862" w:rsidRDefault="003F7F57" w:rsidP="003F7F57">
      <w:pPr>
        <w:pStyle w:val="SingleTxtG"/>
        <w:rPr>
          <w:lang w:val="fr-FR"/>
        </w:rPr>
      </w:pPr>
      <w:r w:rsidRPr="000F7862">
        <w:rPr>
          <w:lang w:val="fr-FR"/>
        </w:rPr>
        <w:t>218.</w:t>
      </w:r>
      <w:r w:rsidRPr="000F7862">
        <w:rPr>
          <w:lang w:val="fr-FR"/>
        </w:rPr>
        <w:tab/>
      </w:r>
      <w:r w:rsidR="00B21739" w:rsidRPr="000F7862">
        <w:rPr>
          <w:lang w:val="fr-FR"/>
        </w:rPr>
        <w:t>Étant donné que la Commission président</w:t>
      </w:r>
      <w:r w:rsidR="004B289A" w:rsidRPr="000F7862">
        <w:rPr>
          <w:lang w:val="fr-FR"/>
        </w:rPr>
        <w:t>ielle est chargée par le décret</w:t>
      </w:r>
      <w:r w:rsidR="00B21739" w:rsidRPr="000F7862">
        <w:rPr>
          <w:lang w:val="fr-FR"/>
        </w:rPr>
        <w:t xml:space="preserve">-loi </w:t>
      </w:r>
      <w:r w:rsidR="00730F8F" w:rsidRPr="000F7862">
        <w:rPr>
          <w:lang w:val="fr-FR"/>
        </w:rPr>
        <w:t>n</w:t>
      </w:r>
      <w:r w:rsidR="00730F8F" w:rsidRPr="000F7862">
        <w:rPr>
          <w:vertAlign w:val="superscript"/>
          <w:lang w:val="fr-FR"/>
        </w:rPr>
        <w:t>o</w:t>
      </w:r>
      <w:r w:rsidR="00730F8F" w:rsidRPr="000F7862">
        <w:rPr>
          <w:lang w:val="fr-FR"/>
        </w:rPr>
        <w:t> </w:t>
      </w:r>
      <w:r w:rsidR="0086185C" w:rsidRPr="000F7862">
        <w:rPr>
          <w:lang w:val="fr-FR"/>
        </w:rPr>
        <w:t xml:space="preserve">82 (1986) </w:t>
      </w:r>
      <w:r w:rsidR="00B21739" w:rsidRPr="000F7862">
        <w:rPr>
          <w:lang w:val="fr-FR"/>
        </w:rPr>
        <w:t>d</w:t>
      </w:r>
      <w:r w:rsidR="00120E2E" w:rsidRPr="000F7862">
        <w:rPr>
          <w:lang w:val="fr-FR"/>
        </w:rPr>
        <w:t>’</w:t>
      </w:r>
      <w:r w:rsidR="00B21739" w:rsidRPr="000F7862">
        <w:rPr>
          <w:lang w:val="fr-FR"/>
        </w:rPr>
        <w:t>é</w:t>
      </w:r>
      <w:r w:rsidR="0086185C" w:rsidRPr="000F7862">
        <w:rPr>
          <w:lang w:val="fr-FR"/>
        </w:rPr>
        <w:t>valu</w:t>
      </w:r>
      <w:r w:rsidR="00B21739" w:rsidRPr="000F7862">
        <w:rPr>
          <w:lang w:val="fr-FR"/>
        </w:rPr>
        <w:t xml:space="preserve">er les projets en matière de logement du Gouvernement après et pendant leur exécution </w:t>
      </w:r>
      <w:r w:rsidR="004B289A" w:rsidRPr="000F7862">
        <w:rPr>
          <w:lang w:val="fr-FR"/>
        </w:rPr>
        <w:t xml:space="preserve">dans les zones de réinstallation en </w:t>
      </w:r>
      <w:r w:rsidR="0086185C" w:rsidRPr="000F7862">
        <w:rPr>
          <w:lang w:val="fr-FR"/>
        </w:rPr>
        <w:t xml:space="preserve">consultation </w:t>
      </w:r>
      <w:r w:rsidR="004B289A" w:rsidRPr="000F7862">
        <w:rPr>
          <w:lang w:val="fr-FR"/>
        </w:rPr>
        <w:t xml:space="preserve">avec les communautés </w:t>
      </w:r>
      <w:r w:rsidR="0086185C" w:rsidRPr="000F7862">
        <w:rPr>
          <w:lang w:val="fr-FR"/>
        </w:rPr>
        <w:t>b</w:t>
      </w:r>
      <w:r w:rsidR="004B289A" w:rsidRPr="000F7862">
        <w:rPr>
          <w:lang w:val="fr-FR"/>
        </w:rPr>
        <w:t>é</w:t>
      </w:r>
      <w:r w:rsidR="0086185C" w:rsidRPr="000F7862">
        <w:rPr>
          <w:lang w:val="fr-FR"/>
        </w:rPr>
        <w:t>n</w:t>
      </w:r>
      <w:r w:rsidR="004B289A" w:rsidRPr="000F7862">
        <w:rPr>
          <w:lang w:val="fr-FR"/>
        </w:rPr>
        <w:t>é</w:t>
      </w:r>
      <w:r w:rsidR="0086185C" w:rsidRPr="000F7862">
        <w:rPr>
          <w:lang w:val="fr-FR"/>
        </w:rPr>
        <w:t>ficia</w:t>
      </w:r>
      <w:r w:rsidR="004B289A" w:rsidRPr="000F7862">
        <w:rPr>
          <w:lang w:val="fr-FR"/>
        </w:rPr>
        <w:t>ires</w:t>
      </w:r>
      <w:r w:rsidR="0086185C" w:rsidRPr="000F7862">
        <w:rPr>
          <w:lang w:val="fr-FR"/>
        </w:rPr>
        <w:t>,</w:t>
      </w:r>
      <w:r w:rsidR="0086185C" w:rsidRPr="000F7862" w:rsidDel="00B96328">
        <w:rPr>
          <w:lang w:val="fr-FR"/>
        </w:rPr>
        <w:t xml:space="preserve"> </w:t>
      </w:r>
      <w:r w:rsidR="004B289A" w:rsidRPr="000F7862">
        <w:rPr>
          <w:lang w:val="fr-FR"/>
        </w:rPr>
        <w:t xml:space="preserve">on peut garantir que les services de base et les infrastructures </w:t>
      </w:r>
      <w:r w:rsidR="0086185C" w:rsidRPr="000F7862">
        <w:rPr>
          <w:lang w:val="fr-FR"/>
        </w:rPr>
        <w:t>ad</w:t>
      </w:r>
      <w:r w:rsidR="004B289A" w:rsidRPr="000F7862">
        <w:rPr>
          <w:lang w:val="fr-FR"/>
        </w:rPr>
        <w:t>é</w:t>
      </w:r>
      <w:r w:rsidR="0086185C" w:rsidRPr="000F7862">
        <w:rPr>
          <w:lang w:val="fr-FR"/>
        </w:rPr>
        <w:t>quate</w:t>
      </w:r>
      <w:r w:rsidR="004B289A" w:rsidRPr="000F7862">
        <w:rPr>
          <w:lang w:val="fr-FR"/>
        </w:rPr>
        <w:t>s</w:t>
      </w:r>
      <w:r w:rsidR="0086185C" w:rsidRPr="000F7862">
        <w:rPr>
          <w:lang w:val="fr-FR"/>
        </w:rPr>
        <w:t xml:space="preserve"> </w:t>
      </w:r>
      <w:r w:rsidR="004B289A" w:rsidRPr="000F7862">
        <w:rPr>
          <w:lang w:val="fr-FR"/>
        </w:rPr>
        <w:t>sont fournis aux familles touchées avant leur réinstallation</w:t>
      </w:r>
      <w:r w:rsidR="0086185C" w:rsidRPr="000F7862">
        <w:rPr>
          <w:lang w:val="fr-FR"/>
        </w:rPr>
        <w:t>.</w:t>
      </w:r>
    </w:p>
    <w:p w:rsidR="0086185C" w:rsidRPr="000F7862" w:rsidRDefault="00905A45" w:rsidP="001C088C">
      <w:pPr>
        <w:pStyle w:val="HChG"/>
        <w:rPr>
          <w:lang w:val="fr-FR"/>
        </w:rPr>
      </w:pPr>
      <w:r w:rsidRPr="000F7862">
        <w:rPr>
          <w:lang w:val="fr-FR"/>
        </w:rPr>
        <w:tab/>
        <w:t>VI</w:t>
      </w:r>
      <w:r w:rsidR="00B53507" w:rsidRPr="000F7862">
        <w:rPr>
          <w:lang w:val="fr-FR"/>
        </w:rPr>
        <w:t>I</w:t>
      </w:r>
      <w:r w:rsidRPr="000F7862">
        <w:rPr>
          <w:lang w:val="fr-FR"/>
        </w:rPr>
        <w:t>.</w:t>
      </w:r>
      <w:r w:rsidRPr="000F7862">
        <w:rPr>
          <w:lang w:val="fr-FR"/>
        </w:rPr>
        <w:tab/>
      </w:r>
      <w:r w:rsidR="004B289A" w:rsidRPr="000F7862">
        <w:rPr>
          <w:lang w:val="fr-FR"/>
        </w:rPr>
        <w:t>Renseignements relatifs à l</w:t>
      </w:r>
      <w:r w:rsidR="00120E2E" w:rsidRPr="000F7862">
        <w:rPr>
          <w:lang w:val="fr-FR"/>
        </w:rPr>
        <w:t>’</w:t>
      </w:r>
      <w:r w:rsidR="004B289A" w:rsidRPr="000F7862">
        <w:rPr>
          <w:lang w:val="fr-FR"/>
        </w:rPr>
        <w:t>article 12 du Pacte</w:t>
      </w:r>
    </w:p>
    <w:p w:rsidR="0086185C" w:rsidRPr="000F7862" w:rsidRDefault="00905A45" w:rsidP="00905A45">
      <w:pPr>
        <w:pStyle w:val="H23G"/>
        <w:rPr>
          <w:lang w:val="fr-FR"/>
        </w:rPr>
      </w:pPr>
      <w:r w:rsidRPr="000F7862">
        <w:rPr>
          <w:lang w:val="fr-FR"/>
        </w:rPr>
        <w:tab/>
      </w:r>
      <w:r w:rsidRPr="000F7862">
        <w:rPr>
          <w:lang w:val="fr-FR"/>
        </w:rPr>
        <w:tab/>
      </w:r>
      <w:r w:rsidR="00BE0DA6" w:rsidRPr="000F7862">
        <w:rPr>
          <w:lang w:val="fr-FR"/>
        </w:rPr>
        <w:t xml:space="preserve">Droit au meilleur état de santé possible </w:t>
      </w:r>
    </w:p>
    <w:p w:rsidR="0086185C" w:rsidRPr="000F7862" w:rsidRDefault="003F7F57" w:rsidP="003F7F57">
      <w:pPr>
        <w:pStyle w:val="SingleTxtG"/>
        <w:rPr>
          <w:lang w:val="fr-FR"/>
        </w:rPr>
      </w:pPr>
      <w:r w:rsidRPr="000F7862">
        <w:rPr>
          <w:lang w:val="fr-FR"/>
        </w:rPr>
        <w:t>219.</w:t>
      </w:r>
      <w:r w:rsidRPr="000F7862">
        <w:rPr>
          <w:lang w:val="fr-FR"/>
        </w:rPr>
        <w:tab/>
      </w:r>
      <w:r w:rsidR="002D04ED" w:rsidRPr="000F7862">
        <w:rPr>
          <w:lang w:val="fr-FR"/>
        </w:rPr>
        <w:t xml:space="preserve">La stratégie des </w:t>
      </w:r>
      <w:r w:rsidR="002D04ED" w:rsidRPr="000F7862">
        <w:rPr>
          <w:i/>
          <w:lang w:val="fr-FR"/>
        </w:rPr>
        <w:t>soins de santé universels</w:t>
      </w:r>
      <w:r w:rsidR="002D04ED" w:rsidRPr="000F7862">
        <w:rPr>
          <w:lang w:val="fr-FR"/>
        </w:rPr>
        <w:t xml:space="preserve"> </w:t>
      </w:r>
      <w:r w:rsidR="0086185C" w:rsidRPr="000F7862">
        <w:rPr>
          <w:i/>
          <w:iCs/>
          <w:lang w:val="fr-FR"/>
        </w:rPr>
        <w:t>o</w:t>
      </w:r>
      <w:r w:rsidR="002D04ED" w:rsidRPr="000F7862">
        <w:rPr>
          <w:i/>
          <w:iCs/>
          <w:lang w:val="fr-FR"/>
        </w:rPr>
        <w:t>u</w:t>
      </w:r>
      <w:r w:rsidR="0086185C" w:rsidRPr="000F7862">
        <w:rPr>
          <w:i/>
          <w:iCs/>
          <w:lang w:val="fr-FR"/>
        </w:rPr>
        <w:t xml:space="preserve"> Kalusugan Pangkalahatan </w:t>
      </w:r>
      <w:r w:rsidR="002D04ED" w:rsidRPr="000F7862">
        <w:rPr>
          <w:iCs/>
          <w:lang w:val="fr-FR"/>
        </w:rPr>
        <w:t>est celle que le Gouvernement applique pour améliorer l</w:t>
      </w:r>
      <w:r w:rsidR="00120E2E" w:rsidRPr="000F7862">
        <w:rPr>
          <w:iCs/>
          <w:lang w:val="fr-FR"/>
        </w:rPr>
        <w:t>’</w:t>
      </w:r>
      <w:r w:rsidR="002D04ED" w:rsidRPr="000F7862">
        <w:rPr>
          <w:iCs/>
          <w:lang w:val="fr-FR"/>
        </w:rPr>
        <w:t>accès de tous les Philippins, en particulier les personnes démunies, à des soins de santé abordables et de qualité</w:t>
      </w:r>
      <w:r w:rsidR="0086185C" w:rsidRPr="000F7862">
        <w:rPr>
          <w:lang w:val="fr-FR"/>
        </w:rPr>
        <w:t>.</w:t>
      </w:r>
      <w:r w:rsidR="00446EA5" w:rsidRPr="000F7862">
        <w:rPr>
          <w:lang w:val="fr-FR"/>
        </w:rPr>
        <w:t xml:space="preserve"> </w:t>
      </w:r>
      <w:r w:rsidR="002D04ED" w:rsidRPr="000F7862">
        <w:rPr>
          <w:lang w:val="fr-FR"/>
        </w:rPr>
        <w:t xml:space="preserve">La mise en œuvre de cette stratégie repose sur </w:t>
      </w:r>
      <w:r w:rsidR="0072143C" w:rsidRPr="000F7862">
        <w:rPr>
          <w:lang w:val="fr-FR"/>
        </w:rPr>
        <w:t>le cadre national de responsabilité, qui englobe une assurance maladie universelle des personnes démunies, l</w:t>
      </w:r>
      <w:r w:rsidR="00120E2E" w:rsidRPr="000F7862">
        <w:rPr>
          <w:lang w:val="fr-FR"/>
        </w:rPr>
        <w:t>’</w:t>
      </w:r>
      <w:r w:rsidR="0072143C" w:rsidRPr="000F7862">
        <w:rPr>
          <w:lang w:val="fr-FR"/>
        </w:rPr>
        <w:t>amélioration des établissements de santé de manière à offrir un meilleur accès aux hôpitaux et aux centres de santé de première ligne fournissant des services de santé de qualité, et la réalisation des objectifs du Millénaire pour le développement dans le domaine de la santé</w:t>
      </w:r>
      <w:r w:rsidR="0086185C" w:rsidRPr="000F7862">
        <w:rPr>
          <w:lang w:val="fr-FR"/>
        </w:rPr>
        <w:t xml:space="preserve">. </w:t>
      </w:r>
      <w:r w:rsidR="0052355A" w:rsidRPr="000F7862">
        <w:rPr>
          <w:lang w:val="fr-FR"/>
        </w:rPr>
        <w:t>Tous les programmes de santé publique sont exécutés dans le cadre de cette stratégie pour garantir à tous les Philippins l</w:t>
      </w:r>
      <w:r w:rsidR="00120E2E" w:rsidRPr="000F7862">
        <w:rPr>
          <w:lang w:val="fr-FR"/>
        </w:rPr>
        <w:t>’</w:t>
      </w:r>
      <w:r w:rsidR="0086185C" w:rsidRPr="000F7862">
        <w:rPr>
          <w:i/>
          <w:iCs/>
          <w:lang w:val="fr-FR"/>
        </w:rPr>
        <w:t>acc</w:t>
      </w:r>
      <w:r w:rsidR="0052355A" w:rsidRPr="000F7862">
        <w:rPr>
          <w:i/>
          <w:iCs/>
          <w:lang w:val="fr-FR"/>
        </w:rPr>
        <w:t>ès</w:t>
      </w:r>
      <w:r w:rsidR="0086185C" w:rsidRPr="000F7862">
        <w:rPr>
          <w:i/>
          <w:iCs/>
          <w:lang w:val="fr-FR"/>
        </w:rPr>
        <w:t xml:space="preserve"> </w:t>
      </w:r>
      <w:r w:rsidR="0052355A" w:rsidRPr="000F7862">
        <w:rPr>
          <w:i/>
          <w:iCs/>
          <w:lang w:val="fr-FR"/>
        </w:rPr>
        <w:t xml:space="preserve">à des soins de qualité </w:t>
      </w:r>
      <w:r w:rsidR="0052355A" w:rsidRPr="000F7862">
        <w:rPr>
          <w:lang w:val="fr-FR"/>
        </w:rPr>
        <w:t xml:space="preserve">en </w:t>
      </w:r>
      <w:r w:rsidR="0052355A" w:rsidRPr="000F7862">
        <w:rPr>
          <w:i/>
          <w:iCs/>
          <w:lang w:val="fr-FR"/>
        </w:rPr>
        <w:t xml:space="preserve">allégeant le fardeau financier des personnes démunies </w:t>
      </w:r>
      <w:r w:rsidR="0052355A" w:rsidRPr="000F7862">
        <w:rPr>
          <w:lang w:val="fr-FR"/>
        </w:rPr>
        <w:t xml:space="preserve">grâce à un assurance maladie universelle </w:t>
      </w:r>
      <w:r w:rsidR="0086185C" w:rsidRPr="000F7862">
        <w:rPr>
          <w:lang w:val="fr-FR"/>
        </w:rPr>
        <w:t xml:space="preserve">– </w:t>
      </w:r>
      <w:r w:rsidR="0052355A" w:rsidRPr="000F7862">
        <w:rPr>
          <w:lang w:val="fr-FR"/>
        </w:rPr>
        <w:t>cet accès est garanti par l</w:t>
      </w:r>
      <w:r w:rsidR="00120E2E" w:rsidRPr="000F7862">
        <w:rPr>
          <w:lang w:val="fr-FR"/>
        </w:rPr>
        <w:t>’</w:t>
      </w:r>
      <w:r w:rsidR="0052355A" w:rsidRPr="000F7862">
        <w:rPr>
          <w:lang w:val="fr-FR"/>
        </w:rPr>
        <w:t>affiliation subventionnée à 100</w:t>
      </w:r>
      <w:r w:rsidR="00DC1196" w:rsidRPr="000F7862">
        <w:rPr>
          <w:lang w:val="fr-FR"/>
        </w:rPr>
        <w:t> %</w:t>
      </w:r>
      <w:r w:rsidR="0052355A" w:rsidRPr="000F7862">
        <w:rPr>
          <w:lang w:val="fr-FR"/>
        </w:rPr>
        <w:t xml:space="preserve"> des familles démunies au programme subventionné de la Société philippine d</w:t>
      </w:r>
      <w:r w:rsidR="00120E2E" w:rsidRPr="000F7862">
        <w:rPr>
          <w:lang w:val="fr-FR"/>
        </w:rPr>
        <w:t>’</w:t>
      </w:r>
      <w:r w:rsidR="0052355A" w:rsidRPr="000F7862">
        <w:rPr>
          <w:lang w:val="fr-FR"/>
        </w:rPr>
        <w:t>assurance maladie</w:t>
      </w:r>
      <w:r w:rsidR="0086185C" w:rsidRPr="000F7862">
        <w:rPr>
          <w:lang w:val="fr-FR"/>
        </w:rPr>
        <w:t xml:space="preserve">. </w:t>
      </w:r>
      <w:r w:rsidR="0052355A" w:rsidRPr="000F7862">
        <w:rPr>
          <w:lang w:val="fr-FR"/>
        </w:rPr>
        <w:t>Cette mesure est considérée comme un moyen d</w:t>
      </w:r>
      <w:r w:rsidR="00120E2E" w:rsidRPr="000F7862">
        <w:rPr>
          <w:lang w:val="fr-FR"/>
        </w:rPr>
        <w:t>’</w:t>
      </w:r>
      <w:r w:rsidR="0052355A" w:rsidRPr="000F7862">
        <w:rPr>
          <w:lang w:val="fr-FR"/>
        </w:rPr>
        <w:t>accélérer la réalisation des OMD par le pays</w:t>
      </w:r>
      <w:r w:rsidR="0086185C" w:rsidRPr="000F7862">
        <w:rPr>
          <w:lang w:val="fr-FR"/>
        </w:rPr>
        <w:t>.</w:t>
      </w:r>
    </w:p>
    <w:p w:rsidR="0086185C" w:rsidRPr="000F7862" w:rsidRDefault="00BE781D" w:rsidP="00BE781D">
      <w:pPr>
        <w:pStyle w:val="H23G"/>
        <w:rPr>
          <w:lang w:val="fr-FR"/>
        </w:rPr>
      </w:pPr>
      <w:r w:rsidRPr="000F7862">
        <w:rPr>
          <w:lang w:val="fr-FR"/>
        </w:rPr>
        <w:tab/>
      </w:r>
      <w:r w:rsidRPr="000F7862">
        <w:rPr>
          <w:lang w:val="fr-FR"/>
        </w:rPr>
        <w:tab/>
      </w:r>
      <w:r w:rsidR="0052355A" w:rsidRPr="000F7862">
        <w:rPr>
          <w:lang w:val="fr-FR"/>
        </w:rPr>
        <w:t xml:space="preserve">Droits sexuels et reproductifs des femmes et des filles </w:t>
      </w:r>
    </w:p>
    <w:p w:rsidR="0086185C" w:rsidRPr="000F7862" w:rsidRDefault="003F7F57" w:rsidP="009B71DB">
      <w:pPr>
        <w:pStyle w:val="SingleTxtG"/>
        <w:rPr>
          <w:lang w:val="fr-FR"/>
        </w:rPr>
      </w:pPr>
      <w:r w:rsidRPr="000F7862">
        <w:rPr>
          <w:lang w:val="fr-FR"/>
        </w:rPr>
        <w:t>220.</w:t>
      </w:r>
      <w:r w:rsidRPr="000F7862">
        <w:rPr>
          <w:lang w:val="fr-FR"/>
        </w:rPr>
        <w:tab/>
      </w:r>
      <w:r w:rsidR="00F1166F" w:rsidRPr="000F7862">
        <w:rPr>
          <w:lang w:val="fr-FR"/>
        </w:rPr>
        <w:t>La politique d</w:t>
      </w:r>
      <w:r w:rsidR="00120E2E" w:rsidRPr="000F7862">
        <w:rPr>
          <w:lang w:val="fr-FR"/>
        </w:rPr>
        <w:t>’</w:t>
      </w:r>
      <w:r w:rsidR="00F1166F" w:rsidRPr="000F7862">
        <w:rPr>
          <w:i/>
          <w:iCs/>
          <w:lang w:val="fr-FR"/>
        </w:rPr>
        <w:t xml:space="preserve">application des réformes du secteur de la santé destinées à réduire rapidement la mortalité maternelle et néonatale </w:t>
      </w:r>
      <w:r w:rsidR="00F1166F" w:rsidRPr="000F7862">
        <w:rPr>
          <w:lang w:val="fr-FR"/>
        </w:rPr>
        <w:t>préconise des grossesses planifiées et désirées et la réalisation des accouchements en établissement de santé</w:t>
      </w:r>
      <w:r w:rsidR="0086185C" w:rsidRPr="000F7862">
        <w:rPr>
          <w:lang w:val="fr-FR"/>
        </w:rPr>
        <w:t xml:space="preserve">. </w:t>
      </w:r>
      <w:r w:rsidR="00F1166F" w:rsidRPr="000F7862">
        <w:rPr>
          <w:lang w:val="fr-FR"/>
        </w:rPr>
        <w:t xml:space="preserve">Cela devrait permettre de réduire sensiblement les taux de mortalité maternelle et de mortalité parmi les enfants de moins de </w:t>
      </w:r>
      <w:r w:rsidR="009B71DB" w:rsidRPr="000F7862">
        <w:rPr>
          <w:lang w:val="fr-FR"/>
        </w:rPr>
        <w:t>5</w:t>
      </w:r>
      <w:r w:rsidR="00F1166F" w:rsidRPr="000F7862">
        <w:rPr>
          <w:lang w:val="fr-FR"/>
        </w:rPr>
        <w:t xml:space="preserve"> ans d</w:t>
      </w:r>
      <w:r w:rsidR="00120E2E" w:rsidRPr="000F7862">
        <w:rPr>
          <w:lang w:val="fr-FR"/>
        </w:rPr>
        <w:t>’</w:t>
      </w:r>
      <w:r w:rsidR="00F1166F" w:rsidRPr="000F7862">
        <w:rPr>
          <w:lang w:val="fr-FR"/>
        </w:rPr>
        <w:t>ici à 2015.</w:t>
      </w:r>
      <w:r w:rsidR="0086185C" w:rsidRPr="000F7862">
        <w:rPr>
          <w:lang w:val="fr-FR"/>
        </w:rPr>
        <w:t xml:space="preserve"> </w:t>
      </w:r>
      <w:r w:rsidR="00F1166F" w:rsidRPr="000F7862">
        <w:rPr>
          <w:lang w:val="fr-FR"/>
        </w:rPr>
        <w:t>Il s</w:t>
      </w:r>
      <w:r w:rsidR="00120E2E" w:rsidRPr="000F7862">
        <w:rPr>
          <w:lang w:val="fr-FR"/>
        </w:rPr>
        <w:t>’</w:t>
      </w:r>
      <w:r w:rsidR="00F1166F" w:rsidRPr="000F7862">
        <w:rPr>
          <w:lang w:val="fr-FR"/>
        </w:rPr>
        <w:t>agit d</w:t>
      </w:r>
      <w:r w:rsidR="00120E2E" w:rsidRPr="000F7862">
        <w:rPr>
          <w:lang w:val="fr-FR"/>
        </w:rPr>
        <w:t>’</w:t>
      </w:r>
      <w:r w:rsidR="00F1166F" w:rsidRPr="000F7862">
        <w:rPr>
          <w:lang w:val="fr-FR"/>
        </w:rPr>
        <w:t>améliorer la sécurité de la grossesse et de l</w:t>
      </w:r>
      <w:r w:rsidR="00120E2E" w:rsidRPr="000F7862">
        <w:rPr>
          <w:lang w:val="fr-FR"/>
        </w:rPr>
        <w:t>’</w:t>
      </w:r>
      <w:r w:rsidR="00F1166F" w:rsidRPr="000F7862">
        <w:rPr>
          <w:lang w:val="fr-FR"/>
        </w:rPr>
        <w:t>accouchement et de faire évoluer la dynamique sociale fondamentale qui influe sur</w:t>
      </w:r>
      <w:r w:rsidR="0086185C" w:rsidRPr="000F7862">
        <w:rPr>
          <w:lang w:val="fr-FR"/>
        </w:rPr>
        <w:t xml:space="preserve"> </w:t>
      </w:r>
      <w:r w:rsidR="00F1166F" w:rsidRPr="000F7862">
        <w:rPr>
          <w:lang w:val="fr-FR"/>
        </w:rPr>
        <w:t>la prise de décisions en matière de grossesse et d</w:t>
      </w:r>
      <w:r w:rsidR="00120E2E" w:rsidRPr="000F7862">
        <w:rPr>
          <w:lang w:val="fr-FR"/>
        </w:rPr>
        <w:t>’</w:t>
      </w:r>
      <w:r w:rsidR="00F1166F" w:rsidRPr="000F7862">
        <w:rPr>
          <w:lang w:val="fr-FR"/>
        </w:rPr>
        <w:t xml:space="preserve">accouchement </w:t>
      </w:r>
      <w:r w:rsidR="00B918BB" w:rsidRPr="000F7862">
        <w:rPr>
          <w:lang w:val="fr-FR"/>
        </w:rPr>
        <w:t xml:space="preserve">tout en donnant </w:t>
      </w:r>
      <w:r w:rsidR="00F716C2" w:rsidRPr="000F7862">
        <w:rPr>
          <w:lang w:val="fr-FR"/>
        </w:rPr>
        <w:t>aux 252 </w:t>
      </w:r>
      <w:r w:rsidR="00B918BB" w:rsidRPr="000F7862">
        <w:rPr>
          <w:lang w:val="fr-FR"/>
        </w:rPr>
        <w:t>établissements de soins ter</w:t>
      </w:r>
      <w:r w:rsidR="00F716C2" w:rsidRPr="000F7862">
        <w:rPr>
          <w:lang w:val="fr-FR"/>
        </w:rPr>
        <w:t>tiaires et secondaires et aux 1 </w:t>
      </w:r>
      <w:r w:rsidR="00B918BB" w:rsidRPr="000F7862">
        <w:rPr>
          <w:lang w:val="fr-FR"/>
        </w:rPr>
        <w:t>824 centres de soins primaires les plus proches du domicile des intéressées les moyens de fournir des soins obstétricaux et néonatals d</w:t>
      </w:r>
      <w:r w:rsidR="00120E2E" w:rsidRPr="000F7862">
        <w:rPr>
          <w:lang w:val="fr-FR"/>
        </w:rPr>
        <w:t>’</w:t>
      </w:r>
      <w:r w:rsidR="00B918BB" w:rsidRPr="000F7862">
        <w:rPr>
          <w:lang w:val="fr-FR"/>
        </w:rPr>
        <w:t>urgence de qualité</w:t>
      </w:r>
      <w:r w:rsidR="0086185C" w:rsidRPr="000F7862">
        <w:rPr>
          <w:lang w:val="fr-FR"/>
        </w:rPr>
        <w:t xml:space="preserve">. </w:t>
      </w:r>
      <w:r w:rsidR="00B918BB" w:rsidRPr="000F7862">
        <w:rPr>
          <w:lang w:val="fr-FR"/>
        </w:rPr>
        <w:t>De la sorte, les personnes ayant le plus besoin de soins de qualité dispensés par des médecins, infirmiers et infirmières et sages-femmes compétents peuvent être assurées d</w:t>
      </w:r>
      <w:r w:rsidR="00120E2E" w:rsidRPr="000F7862">
        <w:rPr>
          <w:lang w:val="fr-FR"/>
        </w:rPr>
        <w:t>’</w:t>
      </w:r>
      <w:r w:rsidR="00B918BB" w:rsidRPr="000F7862">
        <w:rPr>
          <w:lang w:val="fr-FR"/>
        </w:rPr>
        <w:t>y avoir facilement accès.</w:t>
      </w:r>
      <w:r w:rsidR="0086185C" w:rsidRPr="000F7862">
        <w:rPr>
          <w:lang w:val="fr-FR"/>
        </w:rPr>
        <w:t xml:space="preserve"> </w:t>
      </w:r>
    </w:p>
    <w:p w:rsidR="0086185C" w:rsidRPr="000F7862" w:rsidRDefault="003F7F57" w:rsidP="003F7F57">
      <w:pPr>
        <w:pStyle w:val="SingleTxtG"/>
        <w:rPr>
          <w:b/>
          <w:bCs/>
          <w:lang w:val="fr-FR"/>
        </w:rPr>
      </w:pPr>
      <w:r w:rsidRPr="000F7862">
        <w:rPr>
          <w:bCs/>
          <w:lang w:val="fr-FR"/>
        </w:rPr>
        <w:t>221.</w:t>
      </w:r>
      <w:r w:rsidRPr="000F7862">
        <w:rPr>
          <w:bCs/>
          <w:lang w:val="fr-FR"/>
        </w:rPr>
        <w:tab/>
      </w:r>
      <w:r w:rsidR="00474886" w:rsidRPr="000F7862">
        <w:rPr>
          <w:lang w:val="fr-FR"/>
        </w:rPr>
        <w:t xml:space="preserve">Le </w:t>
      </w:r>
      <w:r w:rsidR="0086185C" w:rsidRPr="000F7862">
        <w:rPr>
          <w:lang w:val="fr-FR"/>
        </w:rPr>
        <w:t>Congr</w:t>
      </w:r>
      <w:r w:rsidR="00474886" w:rsidRPr="000F7862">
        <w:rPr>
          <w:lang w:val="fr-FR"/>
        </w:rPr>
        <w:t>è</w:t>
      </w:r>
      <w:r w:rsidR="0086185C" w:rsidRPr="000F7862">
        <w:rPr>
          <w:lang w:val="fr-FR"/>
        </w:rPr>
        <w:t xml:space="preserve">s </w:t>
      </w:r>
      <w:r w:rsidR="00474886" w:rsidRPr="000F7862">
        <w:rPr>
          <w:lang w:val="fr-FR"/>
        </w:rPr>
        <w:t xml:space="preserve">a adopté la loi de la </w:t>
      </w:r>
      <w:r w:rsidR="0086185C" w:rsidRPr="000F7862">
        <w:rPr>
          <w:lang w:val="fr-FR"/>
        </w:rPr>
        <w:t>R</w:t>
      </w:r>
      <w:r w:rsidR="00474886" w:rsidRPr="000F7862">
        <w:rPr>
          <w:lang w:val="fr-FR"/>
        </w:rPr>
        <w:t xml:space="preserve">épublique </w:t>
      </w:r>
      <w:r w:rsidR="00730F8F" w:rsidRPr="000F7862">
        <w:rPr>
          <w:lang w:val="fr-FR"/>
        </w:rPr>
        <w:t>n</w:t>
      </w:r>
      <w:r w:rsidR="00730F8F" w:rsidRPr="000F7862">
        <w:rPr>
          <w:vertAlign w:val="superscript"/>
          <w:lang w:val="fr-FR"/>
        </w:rPr>
        <w:t>o</w:t>
      </w:r>
      <w:r w:rsidR="00730F8F" w:rsidRPr="000F7862">
        <w:rPr>
          <w:lang w:val="fr-FR"/>
        </w:rPr>
        <w:t> </w:t>
      </w:r>
      <w:r w:rsidR="0086185C" w:rsidRPr="000F7862">
        <w:rPr>
          <w:lang w:val="fr-FR"/>
        </w:rPr>
        <w:t xml:space="preserve">10354, </w:t>
      </w:r>
      <w:r w:rsidR="00474886" w:rsidRPr="000F7862">
        <w:rPr>
          <w:lang w:val="fr-FR"/>
        </w:rPr>
        <w:t xml:space="preserve">également appelée </w:t>
      </w:r>
      <w:r w:rsidR="002E7607" w:rsidRPr="000F7862">
        <w:rPr>
          <w:lang w:val="fr-FR"/>
        </w:rPr>
        <w:t>«</w:t>
      </w:r>
      <w:r w:rsidR="00474886" w:rsidRPr="000F7862">
        <w:rPr>
          <w:lang w:val="fr-FR"/>
        </w:rPr>
        <w:t>Loi sur la p</w:t>
      </w:r>
      <w:r w:rsidR="0009336B" w:rsidRPr="000F7862">
        <w:rPr>
          <w:lang w:val="fr-FR"/>
        </w:rPr>
        <w:t xml:space="preserve">rocréation </w:t>
      </w:r>
      <w:r w:rsidR="00474886" w:rsidRPr="000F7862">
        <w:rPr>
          <w:lang w:val="fr-FR"/>
        </w:rPr>
        <w:t xml:space="preserve">responsable et la santé </w:t>
      </w:r>
      <w:r w:rsidR="0009336B" w:rsidRPr="000F7862">
        <w:rPr>
          <w:lang w:val="fr-FR"/>
        </w:rPr>
        <w:t>génésique</w:t>
      </w:r>
      <w:r w:rsidR="002E7607" w:rsidRPr="000F7862">
        <w:rPr>
          <w:lang w:val="fr-FR"/>
        </w:rPr>
        <w:t>»</w:t>
      </w:r>
      <w:r w:rsidR="0086185C" w:rsidRPr="000F7862">
        <w:rPr>
          <w:lang w:val="fr-FR"/>
        </w:rPr>
        <w:t xml:space="preserve">. </w:t>
      </w:r>
      <w:r w:rsidR="00474886" w:rsidRPr="000F7862">
        <w:rPr>
          <w:lang w:val="fr-FR"/>
        </w:rPr>
        <w:t xml:space="preserve">Cette loi habilite le Ministère de la santé et les organes administratifs locaux à mettre en œuvre tous les éléments </w:t>
      </w:r>
      <w:r w:rsidR="0086185C" w:rsidRPr="000F7862">
        <w:rPr>
          <w:lang w:val="fr-FR"/>
        </w:rPr>
        <w:t>important</w:t>
      </w:r>
      <w:r w:rsidR="00474886" w:rsidRPr="000F7862">
        <w:rPr>
          <w:lang w:val="fr-FR"/>
        </w:rPr>
        <w:t>s</w:t>
      </w:r>
      <w:r w:rsidR="0086185C" w:rsidRPr="000F7862">
        <w:rPr>
          <w:lang w:val="fr-FR"/>
        </w:rPr>
        <w:t xml:space="preserve"> </w:t>
      </w:r>
      <w:r w:rsidR="00474886" w:rsidRPr="000F7862">
        <w:rPr>
          <w:lang w:val="fr-FR"/>
        </w:rPr>
        <w:t>de la santé procréative dans le cadre des soins de santé universels et à rendre les soins de santé procréative accessibles à tous</w:t>
      </w:r>
      <w:r w:rsidR="0086185C" w:rsidRPr="000F7862">
        <w:rPr>
          <w:lang w:val="fr-FR"/>
        </w:rPr>
        <w:t>.</w:t>
      </w:r>
    </w:p>
    <w:p w:rsidR="0086185C" w:rsidRPr="000F7862" w:rsidRDefault="003F7F57" w:rsidP="003F7F57">
      <w:pPr>
        <w:pStyle w:val="SingleTxtG"/>
        <w:rPr>
          <w:lang w:val="fr-FR"/>
        </w:rPr>
      </w:pPr>
      <w:r w:rsidRPr="000F7862">
        <w:rPr>
          <w:lang w:val="fr-FR"/>
        </w:rPr>
        <w:t>222.</w:t>
      </w:r>
      <w:r w:rsidRPr="000F7862">
        <w:rPr>
          <w:lang w:val="fr-FR"/>
        </w:rPr>
        <w:tab/>
      </w:r>
      <w:r w:rsidR="00474886" w:rsidRPr="000F7862">
        <w:rPr>
          <w:lang w:val="fr-FR"/>
        </w:rPr>
        <w:t xml:space="preserve">En ce qui concerne le Programme </w:t>
      </w:r>
      <w:r w:rsidR="0086185C" w:rsidRPr="000F7862">
        <w:rPr>
          <w:iCs/>
          <w:lang w:val="fr-FR"/>
        </w:rPr>
        <w:t>Pantawid Pamilya</w:t>
      </w:r>
      <w:r w:rsidR="0086185C" w:rsidRPr="000F7862">
        <w:rPr>
          <w:lang w:val="fr-FR"/>
        </w:rPr>
        <w:t xml:space="preserve">, </w:t>
      </w:r>
      <w:r w:rsidR="00474886" w:rsidRPr="000F7862">
        <w:rPr>
          <w:lang w:val="fr-FR"/>
        </w:rPr>
        <w:t xml:space="preserve">les conditions ci-après figurent parmi les mécanismes de </w:t>
      </w:r>
      <w:r w:rsidR="0086185C" w:rsidRPr="000F7862">
        <w:rPr>
          <w:lang w:val="fr-FR"/>
        </w:rPr>
        <w:t>facilitati</w:t>
      </w:r>
      <w:r w:rsidR="00474886" w:rsidRPr="000F7862">
        <w:rPr>
          <w:lang w:val="fr-FR"/>
        </w:rPr>
        <w:t xml:space="preserve">on de la </w:t>
      </w:r>
      <w:r w:rsidR="0086185C" w:rsidRPr="000F7862">
        <w:rPr>
          <w:lang w:val="fr-FR"/>
        </w:rPr>
        <w:t xml:space="preserve">protection </w:t>
      </w:r>
      <w:r w:rsidR="00474886" w:rsidRPr="000F7862">
        <w:rPr>
          <w:lang w:val="fr-FR"/>
        </w:rPr>
        <w:t>des droits sexuels et reproductifs des Philippines démunies et marginalisées</w:t>
      </w:r>
      <w:r w:rsidR="0005004C" w:rsidRPr="000F7862">
        <w:rPr>
          <w:lang w:val="fr-FR"/>
        </w:rPr>
        <w:t>:</w:t>
      </w:r>
      <w:r w:rsidR="0086185C" w:rsidRPr="000F7862">
        <w:rPr>
          <w:lang w:val="fr-FR"/>
        </w:rPr>
        <w:t xml:space="preserve"> </w:t>
      </w:r>
    </w:p>
    <w:p w:rsidR="0086185C" w:rsidRPr="000F7862" w:rsidRDefault="00905A45" w:rsidP="004D4B73">
      <w:pPr>
        <w:pStyle w:val="H4G"/>
        <w:rPr>
          <w:lang w:val="fr-FR"/>
        </w:rPr>
      </w:pPr>
      <w:r w:rsidRPr="000F7862">
        <w:rPr>
          <w:lang w:val="fr-FR"/>
        </w:rPr>
        <w:tab/>
      </w:r>
      <w:r w:rsidR="00AB3AD7" w:rsidRPr="000F7862">
        <w:rPr>
          <w:lang w:val="fr-FR"/>
        </w:rPr>
        <w:t>a)</w:t>
      </w:r>
      <w:r w:rsidRPr="000F7862">
        <w:rPr>
          <w:lang w:val="fr-FR"/>
        </w:rPr>
        <w:tab/>
      </w:r>
      <w:r w:rsidR="00474886" w:rsidRPr="000F7862">
        <w:rPr>
          <w:lang w:val="fr-FR"/>
        </w:rPr>
        <w:t xml:space="preserve">Les femmes enceintes doivent utiliser les services de soins prénatals et postnatals et autoriser un professionnel de santé ou </w:t>
      </w:r>
      <w:r w:rsidR="008B513A" w:rsidRPr="000F7862">
        <w:rPr>
          <w:lang w:val="fr-FR"/>
        </w:rPr>
        <w:t xml:space="preserve">une accoucheuse qualifié à réaliser leur accouchement </w:t>
      </w:r>
    </w:p>
    <w:p w:rsidR="0086185C" w:rsidRPr="000F7862" w:rsidRDefault="003F7F57" w:rsidP="003F7F57">
      <w:pPr>
        <w:pStyle w:val="SingleTxtG"/>
        <w:rPr>
          <w:lang w:val="fr-FR"/>
        </w:rPr>
      </w:pPr>
      <w:r w:rsidRPr="000F7862">
        <w:rPr>
          <w:lang w:val="fr-FR"/>
        </w:rPr>
        <w:t>223.</w:t>
      </w:r>
      <w:r w:rsidRPr="000F7862">
        <w:rPr>
          <w:lang w:val="fr-FR"/>
        </w:rPr>
        <w:tab/>
      </w:r>
      <w:r w:rsidR="008B513A" w:rsidRPr="000F7862">
        <w:rPr>
          <w:lang w:val="fr-FR"/>
        </w:rPr>
        <w:t xml:space="preserve">Parmi les conditions dont le </w:t>
      </w:r>
      <w:r w:rsidR="0086185C" w:rsidRPr="000F7862">
        <w:rPr>
          <w:lang w:val="fr-FR"/>
        </w:rPr>
        <w:t xml:space="preserve">Pantawid Pamilya </w:t>
      </w:r>
      <w:r w:rsidR="008B513A" w:rsidRPr="000F7862">
        <w:rPr>
          <w:lang w:val="fr-FR"/>
        </w:rPr>
        <w:t>est assorti figure celle selon laquelle les femmes doivent utiliser les services de soins prénatals et postnatals et autoriser un professionnel de santé ou une accoucheuse qualifié</w:t>
      </w:r>
      <w:r w:rsidR="00DF2FB9" w:rsidRPr="000F7862">
        <w:rPr>
          <w:lang w:val="fr-FR"/>
        </w:rPr>
        <w:t>s</w:t>
      </w:r>
      <w:r w:rsidR="008B513A" w:rsidRPr="000F7862">
        <w:rPr>
          <w:lang w:val="fr-FR"/>
        </w:rPr>
        <w:t xml:space="preserve"> à réaliser leur accouchement</w:t>
      </w:r>
      <w:r w:rsidR="0086185C" w:rsidRPr="000F7862">
        <w:rPr>
          <w:lang w:val="fr-FR"/>
        </w:rPr>
        <w:t xml:space="preserve">. </w:t>
      </w:r>
      <w:r w:rsidR="008B513A" w:rsidRPr="000F7862">
        <w:rPr>
          <w:lang w:val="fr-FR"/>
        </w:rPr>
        <w:t>Une allocation en espèces de</w:t>
      </w:r>
      <w:r w:rsidR="0086185C" w:rsidRPr="000F7862">
        <w:rPr>
          <w:lang w:val="fr-FR"/>
        </w:rPr>
        <w:t xml:space="preserve"> 6</w:t>
      </w:r>
      <w:r w:rsidR="00F716C2" w:rsidRPr="000F7862">
        <w:rPr>
          <w:lang w:val="fr-FR"/>
        </w:rPr>
        <w:t> </w:t>
      </w:r>
      <w:r w:rsidR="0086185C" w:rsidRPr="000F7862">
        <w:rPr>
          <w:lang w:val="fr-FR"/>
        </w:rPr>
        <w:t xml:space="preserve">000 </w:t>
      </w:r>
      <w:r w:rsidR="008B513A" w:rsidRPr="000F7862">
        <w:rPr>
          <w:lang w:val="fr-FR"/>
        </w:rPr>
        <w:t>pesos par an ou de 500 pesos par mois par ménage est allouée à ces bénéficiaires au titre des dépenses de santé et d</w:t>
      </w:r>
      <w:r w:rsidR="00120E2E" w:rsidRPr="000F7862">
        <w:rPr>
          <w:lang w:val="fr-FR"/>
        </w:rPr>
        <w:t>’</w:t>
      </w:r>
      <w:r w:rsidR="008B513A" w:rsidRPr="000F7862">
        <w:rPr>
          <w:lang w:val="fr-FR"/>
        </w:rPr>
        <w:t>alimentation</w:t>
      </w:r>
      <w:r w:rsidR="0086185C" w:rsidRPr="000F7862">
        <w:rPr>
          <w:lang w:val="fr-FR"/>
        </w:rPr>
        <w:t xml:space="preserve">. </w:t>
      </w:r>
    </w:p>
    <w:p w:rsidR="0086185C" w:rsidRPr="000F7862" w:rsidRDefault="003F7F57" w:rsidP="003F7F57">
      <w:pPr>
        <w:pStyle w:val="SingleTxtG"/>
        <w:rPr>
          <w:lang w:val="fr-FR"/>
        </w:rPr>
      </w:pPr>
      <w:r w:rsidRPr="000F7862">
        <w:rPr>
          <w:lang w:val="fr-FR"/>
        </w:rPr>
        <w:t>224.</w:t>
      </w:r>
      <w:r w:rsidRPr="000F7862">
        <w:rPr>
          <w:lang w:val="fr-FR"/>
        </w:rPr>
        <w:tab/>
      </w:r>
      <w:r w:rsidR="003D57B4" w:rsidRPr="000F7862">
        <w:rPr>
          <w:lang w:val="fr-FR"/>
        </w:rPr>
        <w:t>Selon une évaluation d</w:t>
      </w:r>
      <w:r w:rsidR="00120E2E" w:rsidRPr="000F7862">
        <w:rPr>
          <w:lang w:val="fr-FR"/>
        </w:rPr>
        <w:t>’</w:t>
      </w:r>
      <w:r w:rsidR="003D57B4" w:rsidRPr="000F7862">
        <w:rPr>
          <w:lang w:val="fr-FR"/>
        </w:rPr>
        <w:t>impact réalisée par la B</w:t>
      </w:r>
      <w:r w:rsidR="00F716C2" w:rsidRPr="000F7862">
        <w:rPr>
          <w:lang w:val="fr-FR"/>
        </w:rPr>
        <w:t>anque mondiale et publiée le 23 </w:t>
      </w:r>
      <w:r w:rsidR="003D57B4" w:rsidRPr="000F7862">
        <w:rPr>
          <w:lang w:val="fr-FR"/>
        </w:rPr>
        <w:t>janvier 2013, l</w:t>
      </w:r>
      <w:r w:rsidR="00120E2E" w:rsidRPr="000F7862">
        <w:rPr>
          <w:lang w:val="fr-FR"/>
        </w:rPr>
        <w:t>’</w:t>
      </w:r>
      <w:r w:rsidR="0086185C" w:rsidRPr="000F7862">
        <w:rPr>
          <w:lang w:val="fr-FR"/>
        </w:rPr>
        <w:t>institution</w:t>
      </w:r>
      <w:r w:rsidR="003D57B4" w:rsidRPr="000F7862">
        <w:rPr>
          <w:lang w:val="fr-FR"/>
        </w:rPr>
        <w:t>n</w:t>
      </w:r>
      <w:r w:rsidR="0086185C" w:rsidRPr="000F7862">
        <w:rPr>
          <w:lang w:val="fr-FR"/>
        </w:rPr>
        <w:t>ali</w:t>
      </w:r>
      <w:r w:rsidR="003D57B4" w:rsidRPr="000F7862">
        <w:rPr>
          <w:lang w:val="fr-FR"/>
        </w:rPr>
        <w:t>s</w:t>
      </w:r>
      <w:r w:rsidR="0086185C" w:rsidRPr="000F7862">
        <w:rPr>
          <w:lang w:val="fr-FR"/>
        </w:rPr>
        <w:t xml:space="preserve">ation </w:t>
      </w:r>
      <w:r w:rsidR="003D57B4" w:rsidRPr="000F7862">
        <w:rPr>
          <w:lang w:val="fr-FR"/>
        </w:rPr>
        <w:t>de cette allocation a augmenté le nombre des femmes auxquelles sont dispensés des soins prénatals et postnatals</w:t>
      </w:r>
      <w:r w:rsidR="0086185C" w:rsidRPr="000F7862">
        <w:rPr>
          <w:lang w:val="fr-FR"/>
        </w:rPr>
        <w:t>.</w:t>
      </w:r>
    </w:p>
    <w:p w:rsidR="0086185C" w:rsidRPr="000F7862" w:rsidRDefault="00905A45" w:rsidP="004D4B73">
      <w:pPr>
        <w:pStyle w:val="H4G"/>
        <w:rPr>
          <w:lang w:val="fr-FR"/>
        </w:rPr>
      </w:pPr>
      <w:r w:rsidRPr="000F7862">
        <w:rPr>
          <w:lang w:val="fr-FR"/>
        </w:rPr>
        <w:tab/>
      </w:r>
      <w:r w:rsidR="00AB3AD7" w:rsidRPr="000F7862">
        <w:rPr>
          <w:lang w:val="fr-FR"/>
        </w:rPr>
        <w:t>b)</w:t>
      </w:r>
      <w:r w:rsidRPr="000F7862">
        <w:rPr>
          <w:lang w:val="fr-FR"/>
        </w:rPr>
        <w:tab/>
      </w:r>
      <w:r w:rsidR="003D57B4" w:rsidRPr="000F7862">
        <w:rPr>
          <w:lang w:val="fr-FR"/>
        </w:rPr>
        <w:t>Participation aux séances de développement f</w:t>
      </w:r>
      <w:r w:rsidR="0086185C" w:rsidRPr="000F7862">
        <w:rPr>
          <w:lang w:val="fr-FR"/>
        </w:rPr>
        <w:t>amil</w:t>
      </w:r>
      <w:r w:rsidR="003D57B4" w:rsidRPr="000F7862">
        <w:rPr>
          <w:lang w:val="fr-FR"/>
        </w:rPr>
        <w:t>ial</w:t>
      </w:r>
      <w:r w:rsidR="0005004C" w:rsidRPr="000F7862">
        <w:rPr>
          <w:lang w:val="fr-FR"/>
        </w:rPr>
        <w:t xml:space="preserve"> </w:t>
      </w:r>
    </w:p>
    <w:p w:rsidR="0086185C" w:rsidRPr="000F7862" w:rsidRDefault="003F7F57" w:rsidP="003F7F57">
      <w:pPr>
        <w:pStyle w:val="SingleTxtG"/>
        <w:rPr>
          <w:lang w:val="fr-FR"/>
        </w:rPr>
      </w:pPr>
      <w:r w:rsidRPr="000F7862">
        <w:rPr>
          <w:lang w:val="fr-FR"/>
        </w:rPr>
        <w:t>225.</w:t>
      </w:r>
      <w:r w:rsidRPr="000F7862">
        <w:rPr>
          <w:lang w:val="fr-FR"/>
        </w:rPr>
        <w:tab/>
      </w:r>
      <w:r w:rsidR="003D57B4" w:rsidRPr="000F7862">
        <w:rPr>
          <w:lang w:val="fr-FR"/>
        </w:rPr>
        <w:t xml:space="preserve">La participation aux séances de développement familial est une autre condition imposée aux bénéficiaires du </w:t>
      </w:r>
      <w:r w:rsidR="0086185C" w:rsidRPr="000F7862">
        <w:rPr>
          <w:lang w:val="fr-FR"/>
        </w:rPr>
        <w:t>Pantawid Pamilya.</w:t>
      </w:r>
      <w:r w:rsidR="00446EA5" w:rsidRPr="000F7862">
        <w:rPr>
          <w:lang w:val="fr-FR"/>
        </w:rPr>
        <w:t xml:space="preserve"> </w:t>
      </w:r>
      <w:r w:rsidR="003D57B4" w:rsidRPr="000F7862">
        <w:rPr>
          <w:lang w:val="fr-FR"/>
        </w:rPr>
        <w:t>Ces séances mette</w:t>
      </w:r>
      <w:r w:rsidR="00C44FFC" w:rsidRPr="000F7862">
        <w:rPr>
          <w:lang w:val="fr-FR"/>
        </w:rPr>
        <w:t>nt</w:t>
      </w:r>
      <w:r w:rsidR="003D57B4" w:rsidRPr="000F7862">
        <w:rPr>
          <w:lang w:val="fr-FR"/>
        </w:rPr>
        <w:t xml:space="preserve"> en œuvre d</w:t>
      </w:r>
      <w:r w:rsidR="00C44FFC" w:rsidRPr="000F7862">
        <w:rPr>
          <w:lang w:val="fr-FR"/>
        </w:rPr>
        <w:t>e</w:t>
      </w:r>
      <w:r w:rsidR="003D57B4" w:rsidRPr="000F7862">
        <w:rPr>
          <w:lang w:val="fr-FR"/>
        </w:rPr>
        <w:t>s méthodes d</w:t>
      </w:r>
      <w:r w:rsidR="00120E2E" w:rsidRPr="000F7862">
        <w:rPr>
          <w:lang w:val="fr-FR"/>
        </w:rPr>
        <w:t>’</w:t>
      </w:r>
      <w:r w:rsidR="00C44FFC" w:rsidRPr="000F7862">
        <w:rPr>
          <w:lang w:val="fr-FR"/>
        </w:rPr>
        <w:t>éducation des adultes visant à favoriser le développement d</w:t>
      </w:r>
      <w:r w:rsidR="003D57B4" w:rsidRPr="000F7862">
        <w:rPr>
          <w:lang w:val="fr-FR"/>
        </w:rPr>
        <w:t>e</w:t>
      </w:r>
      <w:r w:rsidR="00C44FFC" w:rsidRPr="000F7862">
        <w:rPr>
          <w:lang w:val="fr-FR"/>
        </w:rPr>
        <w:t>s familles à la faveur d</w:t>
      </w:r>
      <w:r w:rsidR="00120E2E" w:rsidRPr="000F7862">
        <w:rPr>
          <w:lang w:val="fr-FR"/>
        </w:rPr>
        <w:t>’</w:t>
      </w:r>
      <w:r w:rsidR="00C44FFC" w:rsidRPr="000F7862">
        <w:rPr>
          <w:lang w:val="fr-FR"/>
        </w:rPr>
        <w:t>activités d</w:t>
      </w:r>
      <w:r w:rsidR="00120E2E" w:rsidRPr="000F7862">
        <w:rPr>
          <w:lang w:val="fr-FR"/>
        </w:rPr>
        <w:t>’</w:t>
      </w:r>
      <w:r w:rsidR="00C44FFC" w:rsidRPr="000F7862">
        <w:rPr>
          <w:lang w:val="fr-FR"/>
        </w:rPr>
        <w:t>éducation familiale de proximité organisées à l</w:t>
      </w:r>
      <w:r w:rsidR="00120E2E" w:rsidRPr="000F7862">
        <w:rPr>
          <w:lang w:val="fr-FR"/>
        </w:rPr>
        <w:t>’</w:t>
      </w:r>
      <w:r w:rsidR="00C44FFC" w:rsidRPr="000F7862">
        <w:rPr>
          <w:lang w:val="fr-FR"/>
        </w:rPr>
        <w:t>intention des ménages bénéficiaires</w:t>
      </w:r>
      <w:r w:rsidR="0086185C" w:rsidRPr="000F7862">
        <w:rPr>
          <w:lang w:val="fr-FR"/>
        </w:rPr>
        <w:t>.</w:t>
      </w:r>
    </w:p>
    <w:p w:rsidR="0086185C" w:rsidRPr="000F7862" w:rsidRDefault="003F7F57" w:rsidP="003F7F57">
      <w:pPr>
        <w:pStyle w:val="SingleTxtG"/>
        <w:rPr>
          <w:lang w:val="fr-FR"/>
        </w:rPr>
      </w:pPr>
      <w:r w:rsidRPr="000F7862">
        <w:rPr>
          <w:lang w:val="fr-FR"/>
        </w:rPr>
        <w:t>226.</w:t>
      </w:r>
      <w:r w:rsidRPr="000F7862">
        <w:rPr>
          <w:lang w:val="fr-FR"/>
        </w:rPr>
        <w:tab/>
      </w:r>
      <w:r w:rsidR="00C44FFC" w:rsidRPr="000F7862">
        <w:rPr>
          <w:lang w:val="fr-FR"/>
        </w:rPr>
        <w:t>On a élaboré un guide modulaire sur les séances de développement familial pour aider les partenaires du lien m</w:t>
      </w:r>
      <w:r w:rsidR="0086185C" w:rsidRPr="000F7862">
        <w:rPr>
          <w:lang w:val="fr-FR"/>
        </w:rPr>
        <w:t>unicipal</w:t>
      </w:r>
      <w:r w:rsidR="00C44FFC" w:rsidRPr="000F7862">
        <w:rPr>
          <w:lang w:val="fr-FR"/>
        </w:rPr>
        <w:t xml:space="preserve"> et</w:t>
      </w:r>
      <w:r w:rsidR="0086185C" w:rsidRPr="000F7862">
        <w:rPr>
          <w:lang w:val="fr-FR"/>
        </w:rPr>
        <w:t xml:space="preserve"> </w:t>
      </w:r>
      <w:r w:rsidR="00C44FFC" w:rsidRPr="000F7862">
        <w:rPr>
          <w:lang w:val="fr-FR"/>
        </w:rPr>
        <w:t>du lien avec les organes administratifs locaux et les partenaires intermunicipalités à diriger ces séances. Les thèmes qui y sont abordés sont notamment les suivants</w:t>
      </w:r>
      <w:r w:rsidR="0005004C" w:rsidRPr="000F7862">
        <w:rPr>
          <w:lang w:val="fr-FR"/>
        </w:rPr>
        <w:t>:</w:t>
      </w:r>
      <w:r w:rsidR="00C44FFC" w:rsidRPr="000F7862">
        <w:rPr>
          <w:lang w:val="fr-FR"/>
        </w:rPr>
        <w:t xml:space="preserve"> </w:t>
      </w:r>
      <w:r w:rsidR="00C44FFC" w:rsidRPr="000F7862">
        <w:rPr>
          <w:i/>
          <w:iCs/>
          <w:lang w:val="fr-FR"/>
        </w:rPr>
        <w:t>Se comprendre soi-même en tant que personne et parent</w:t>
      </w:r>
      <w:r w:rsidR="0086185C" w:rsidRPr="000F7862">
        <w:rPr>
          <w:lang w:val="fr-FR"/>
        </w:rPr>
        <w:t xml:space="preserve">, </w:t>
      </w:r>
      <w:r w:rsidR="00C44FFC" w:rsidRPr="000F7862">
        <w:rPr>
          <w:i/>
          <w:iCs/>
          <w:lang w:val="fr-FR"/>
        </w:rPr>
        <w:t>Rôles et obligations parentaux</w:t>
      </w:r>
      <w:r w:rsidR="0086185C" w:rsidRPr="000F7862">
        <w:rPr>
          <w:lang w:val="fr-FR"/>
        </w:rPr>
        <w:t xml:space="preserve">, </w:t>
      </w:r>
      <w:r w:rsidR="0086185C" w:rsidRPr="000F7862">
        <w:rPr>
          <w:i/>
          <w:iCs/>
          <w:lang w:val="fr-FR"/>
        </w:rPr>
        <w:t>L</w:t>
      </w:r>
      <w:r w:rsidR="00C44FFC" w:rsidRPr="000F7862">
        <w:rPr>
          <w:i/>
          <w:iCs/>
          <w:lang w:val="fr-FR"/>
        </w:rPr>
        <w:t>ég</w:t>
      </w:r>
      <w:r w:rsidR="0055584F" w:rsidRPr="000F7862">
        <w:rPr>
          <w:i/>
          <w:iCs/>
          <w:lang w:val="fr-FR"/>
        </w:rPr>
        <w:t>isl</w:t>
      </w:r>
      <w:r w:rsidR="00C44FFC" w:rsidRPr="000F7862">
        <w:rPr>
          <w:i/>
          <w:iCs/>
          <w:lang w:val="fr-FR"/>
        </w:rPr>
        <w:t>ation sur la parentalité</w:t>
      </w:r>
      <w:r w:rsidR="0086185C" w:rsidRPr="000F7862">
        <w:rPr>
          <w:lang w:val="fr-FR"/>
        </w:rPr>
        <w:t xml:space="preserve">, </w:t>
      </w:r>
      <w:r w:rsidR="00C44FFC" w:rsidRPr="000F7862">
        <w:rPr>
          <w:i/>
          <w:iCs/>
          <w:lang w:val="fr-FR"/>
        </w:rPr>
        <w:t>Droits et devoirs des p</w:t>
      </w:r>
      <w:r w:rsidR="0086185C" w:rsidRPr="000F7862">
        <w:rPr>
          <w:i/>
          <w:iCs/>
          <w:lang w:val="fr-FR"/>
        </w:rPr>
        <w:t xml:space="preserve">arents </w:t>
      </w:r>
      <w:r w:rsidR="00C44FFC" w:rsidRPr="000F7862">
        <w:rPr>
          <w:i/>
          <w:iCs/>
          <w:lang w:val="fr-FR"/>
        </w:rPr>
        <w:t>et des enfants</w:t>
      </w:r>
      <w:r w:rsidR="0086185C" w:rsidRPr="000F7862">
        <w:rPr>
          <w:lang w:val="fr-FR"/>
        </w:rPr>
        <w:t xml:space="preserve">, </w:t>
      </w:r>
      <w:r w:rsidR="00C44FFC" w:rsidRPr="000F7862">
        <w:rPr>
          <w:i/>
          <w:iCs/>
          <w:lang w:val="fr-FR"/>
        </w:rPr>
        <w:t>Santé et alimentation</w:t>
      </w:r>
      <w:r w:rsidR="0086185C" w:rsidRPr="000F7862">
        <w:rPr>
          <w:lang w:val="fr-FR"/>
        </w:rPr>
        <w:t xml:space="preserve">, </w:t>
      </w:r>
      <w:r w:rsidR="00377A3C" w:rsidRPr="000F7862">
        <w:rPr>
          <w:i/>
          <w:iCs/>
          <w:lang w:val="fr-FR"/>
        </w:rPr>
        <w:t>Économie domestique</w:t>
      </w:r>
      <w:r w:rsidR="0086185C" w:rsidRPr="000F7862">
        <w:rPr>
          <w:lang w:val="fr-FR"/>
        </w:rPr>
        <w:t xml:space="preserve"> </w:t>
      </w:r>
      <w:r w:rsidR="00377A3C" w:rsidRPr="000F7862">
        <w:rPr>
          <w:lang w:val="fr-FR"/>
        </w:rPr>
        <w:t>et</w:t>
      </w:r>
      <w:r w:rsidR="0086185C" w:rsidRPr="000F7862">
        <w:rPr>
          <w:lang w:val="fr-FR"/>
        </w:rPr>
        <w:t xml:space="preserve"> </w:t>
      </w:r>
      <w:r w:rsidR="00DE495C" w:rsidRPr="000F7862">
        <w:rPr>
          <w:i/>
          <w:iCs/>
          <w:lang w:val="fr-FR"/>
        </w:rPr>
        <w:t>Participation des femmes au développement</w:t>
      </w:r>
      <w:r w:rsidR="0086185C" w:rsidRPr="000F7862">
        <w:rPr>
          <w:lang w:val="fr-FR"/>
        </w:rPr>
        <w:t xml:space="preserve">. </w:t>
      </w:r>
      <w:r w:rsidR="00DE495C" w:rsidRPr="000F7862">
        <w:rPr>
          <w:lang w:val="fr-FR"/>
        </w:rPr>
        <w:t>Les séances consacrées à ces questions garantissent la prise de conscience et la compréhension de la question de l</w:t>
      </w:r>
      <w:r w:rsidR="00120E2E" w:rsidRPr="000F7862">
        <w:rPr>
          <w:lang w:val="fr-FR"/>
        </w:rPr>
        <w:t>’</w:t>
      </w:r>
      <w:r w:rsidR="00DE495C" w:rsidRPr="000F7862">
        <w:rPr>
          <w:lang w:val="fr-FR"/>
        </w:rPr>
        <w:t>égalité des sexes et de l</w:t>
      </w:r>
      <w:r w:rsidR="00120E2E" w:rsidRPr="000F7862">
        <w:rPr>
          <w:lang w:val="fr-FR"/>
        </w:rPr>
        <w:t>’</w:t>
      </w:r>
      <w:r w:rsidR="00DE495C" w:rsidRPr="000F7862">
        <w:rPr>
          <w:lang w:val="fr-FR"/>
        </w:rPr>
        <w:t>autonomisation des femmes</w:t>
      </w:r>
      <w:r w:rsidR="0086185C" w:rsidRPr="000F7862">
        <w:rPr>
          <w:lang w:val="fr-FR"/>
        </w:rPr>
        <w:t xml:space="preserve">. </w:t>
      </w:r>
      <w:r w:rsidR="00DE495C" w:rsidRPr="000F7862">
        <w:rPr>
          <w:lang w:val="fr-FR"/>
        </w:rPr>
        <w:t>Elles inculquent la notion de l</w:t>
      </w:r>
      <w:r w:rsidR="00120E2E" w:rsidRPr="000F7862">
        <w:rPr>
          <w:lang w:val="fr-FR"/>
        </w:rPr>
        <w:t>’</w:t>
      </w:r>
      <w:r w:rsidR="0086185C" w:rsidRPr="000F7862">
        <w:rPr>
          <w:lang w:val="fr-FR"/>
        </w:rPr>
        <w:t xml:space="preserve">importance </w:t>
      </w:r>
      <w:r w:rsidR="00DE495C" w:rsidRPr="000F7862">
        <w:rPr>
          <w:lang w:val="fr-FR"/>
        </w:rPr>
        <w:t>de l</w:t>
      </w:r>
      <w:r w:rsidR="00120E2E" w:rsidRPr="000F7862">
        <w:rPr>
          <w:lang w:val="fr-FR"/>
        </w:rPr>
        <w:t>’</w:t>
      </w:r>
      <w:r w:rsidR="00DE495C" w:rsidRPr="000F7862">
        <w:rPr>
          <w:lang w:val="fr-FR"/>
        </w:rPr>
        <w:t>égalité des rôles des femmes et des hommes dans la construction d</w:t>
      </w:r>
      <w:r w:rsidR="00120E2E" w:rsidRPr="000F7862">
        <w:rPr>
          <w:lang w:val="fr-FR"/>
        </w:rPr>
        <w:t>’</w:t>
      </w:r>
      <w:r w:rsidR="00DE495C" w:rsidRPr="000F7862">
        <w:rPr>
          <w:lang w:val="fr-FR"/>
        </w:rPr>
        <w:t>une famille et d</w:t>
      </w:r>
      <w:r w:rsidR="00120E2E" w:rsidRPr="000F7862">
        <w:rPr>
          <w:lang w:val="fr-FR"/>
        </w:rPr>
        <w:t>’</w:t>
      </w:r>
      <w:r w:rsidR="00DE495C" w:rsidRPr="000F7862">
        <w:rPr>
          <w:lang w:val="fr-FR"/>
        </w:rPr>
        <w:t>une communauté en marche vers une société développée.</w:t>
      </w:r>
      <w:r w:rsidR="0086185C" w:rsidRPr="000F7862">
        <w:rPr>
          <w:lang w:val="fr-FR"/>
        </w:rPr>
        <w:t xml:space="preserve"> </w:t>
      </w:r>
      <w:r w:rsidR="0055584F" w:rsidRPr="000F7862">
        <w:rPr>
          <w:lang w:val="fr-FR"/>
        </w:rPr>
        <w:t>En particulier, la sensibilisation à l</w:t>
      </w:r>
      <w:r w:rsidR="00120E2E" w:rsidRPr="000F7862">
        <w:rPr>
          <w:lang w:val="fr-FR"/>
        </w:rPr>
        <w:t>’</w:t>
      </w:r>
      <w:r w:rsidR="0055584F" w:rsidRPr="000F7862">
        <w:rPr>
          <w:lang w:val="fr-FR"/>
        </w:rPr>
        <w:t>égalité des sexes, qui est intégrée aux séances de développement familial, familiarise les bénéficiaires avec la problématique homme-femmes et la législation concernant les problèmes des femmes, à commencer par la Charte</w:t>
      </w:r>
      <w:r w:rsidR="0005004C" w:rsidRPr="000F7862">
        <w:rPr>
          <w:lang w:val="fr-FR"/>
        </w:rPr>
        <w:t xml:space="preserve"> </w:t>
      </w:r>
      <w:r w:rsidR="0055584F" w:rsidRPr="000F7862">
        <w:rPr>
          <w:lang w:val="fr-FR"/>
        </w:rPr>
        <w:t>des droits des femmes</w:t>
      </w:r>
      <w:r w:rsidR="0086185C" w:rsidRPr="000F7862">
        <w:rPr>
          <w:lang w:val="fr-FR"/>
        </w:rPr>
        <w:t xml:space="preserve">. </w:t>
      </w:r>
    </w:p>
    <w:p w:rsidR="0086185C" w:rsidRPr="000F7862" w:rsidRDefault="003F7F57" w:rsidP="003F7F57">
      <w:pPr>
        <w:pStyle w:val="SingleTxtG"/>
        <w:rPr>
          <w:lang w:val="fr-FR"/>
        </w:rPr>
      </w:pPr>
      <w:r w:rsidRPr="000F7862">
        <w:rPr>
          <w:lang w:val="fr-FR"/>
        </w:rPr>
        <w:t>227.</w:t>
      </w:r>
      <w:r w:rsidRPr="000F7862">
        <w:rPr>
          <w:lang w:val="fr-FR"/>
        </w:rPr>
        <w:tab/>
      </w:r>
      <w:r w:rsidR="0055584F" w:rsidRPr="000F7862">
        <w:rPr>
          <w:lang w:val="fr-FR"/>
        </w:rPr>
        <w:t>Au moins deux heures par mois sont consacrées aux séances de développement familial</w:t>
      </w:r>
      <w:r w:rsidR="0086185C" w:rsidRPr="000F7862">
        <w:rPr>
          <w:lang w:val="fr-FR"/>
        </w:rPr>
        <w:t xml:space="preserve">. </w:t>
      </w:r>
      <w:r w:rsidR="0055584F" w:rsidRPr="000F7862">
        <w:rPr>
          <w:lang w:val="fr-FR"/>
        </w:rPr>
        <w:t xml:space="preserve">Celles-ci sont conduites dans des lieux </w:t>
      </w:r>
      <w:r w:rsidR="0086185C" w:rsidRPr="000F7862">
        <w:rPr>
          <w:lang w:val="fr-FR"/>
        </w:rPr>
        <w:t>accessible</w:t>
      </w:r>
      <w:r w:rsidR="0055584F" w:rsidRPr="000F7862">
        <w:rPr>
          <w:lang w:val="fr-FR"/>
        </w:rPr>
        <w:t>s</w:t>
      </w:r>
      <w:r w:rsidR="0086185C" w:rsidRPr="000F7862">
        <w:rPr>
          <w:lang w:val="fr-FR"/>
        </w:rPr>
        <w:t xml:space="preserve"> </w:t>
      </w:r>
      <w:r w:rsidR="0055584F" w:rsidRPr="000F7862">
        <w:rPr>
          <w:lang w:val="fr-FR"/>
        </w:rPr>
        <w:t xml:space="preserve">et les ménages bénéficiaires peuvent y assister en temps voulu sans </w:t>
      </w:r>
      <w:r w:rsidR="006B32F1" w:rsidRPr="000F7862">
        <w:rPr>
          <w:lang w:val="fr-FR"/>
        </w:rPr>
        <w:t>encourir de frais de transport</w:t>
      </w:r>
      <w:r w:rsidR="0086185C" w:rsidRPr="000F7862">
        <w:rPr>
          <w:lang w:val="fr-FR"/>
        </w:rPr>
        <w:t>.</w:t>
      </w:r>
    </w:p>
    <w:p w:rsidR="0092578A" w:rsidRPr="000F7862" w:rsidRDefault="003F7F57" w:rsidP="003F7F57">
      <w:pPr>
        <w:pStyle w:val="SingleTxtG"/>
        <w:rPr>
          <w:lang w:val="fr-FR"/>
        </w:rPr>
      </w:pPr>
      <w:r w:rsidRPr="000F7862">
        <w:rPr>
          <w:lang w:val="fr-FR"/>
        </w:rPr>
        <w:t>228.</w:t>
      </w:r>
      <w:r w:rsidRPr="000F7862">
        <w:rPr>
          <w:lang w:val="fr-FR"/>
        </w:rPr>
        <w:tab/>
      </w:r>
      <w:r w:rsidR="006B32F1" w:rsidRPr="000F7862">
        <w:rPr>
          <w:lang w:val="fr-FR"/>
        </w:rPr>
        <w:t>En ce qui concerne les questions liées à l</w:t>
      </w:r>
      <w:r w:rsidR="00120E2E" w:rsidRPr="000F7862">
        <w:rPr>
          <w:lang w:val="fr-FR"/>
        </w:rPr>
        <w:t>’</w:t>
      </w:r>
      <w:r w:rsidR="006B32F1" w:rsidRPr="000F7862">
        <w:rPr>
          <w:lang w:val="fr-FR"/>
        </w:rPr>
        <w:t>avortement, celui-ci est strictement illégal aux Philippines</w:t>
      </w:r>
      <w:r w:rsidR="00905A45" w:rsidRPr="000F7862">
        <w:rPr>
          <w:lang w:val="fr-FR"/>
        </w:rPr>
        <w:t>.</w:t>
      </w:r>
    </w:p>
    <w:p w:rsidR="00905A45" w:rsidRPr="000F7862" w:rsidRDefault="00905A45" w:rsidP="00905A45">
      <w:pPr>
        <w:pStyle w:val="SingleTxtG"/>
        <w:spacing w:before="240" w:after="0"/>
        <w:jc w:val="center"/>
        <w:rPr>
          <w:u w:val="single"/>
          <w:lang w:val="fr-FR"/>
        </w:rPr>
      </w:pPr>
      <w:r w:rsidRPr="000F7862">
        <w:rPr>
          <w:u w:val="single"/>
          <w:lang w:val="fr-FR"/>
        </w:rPr>
        <w:tab/>
      </w:r>
      <w:r w:rsidRPr="000F7862">
        <w:rPr>
          <w:u w:val="single"/>
          <w:lang w:val="fr-FR"/>
        </w:rPr>
        <w:tab/>
      </w:r>
      <w:r w:rsidRPr="000F7862">
        <w:rPr>
          <w:u w:val="single"/>
          <w:lang w:val="fr-FR"/>
        </w:rPr>
        <w:tab/>
      </w:r>
    </w:p>
    <w:sectPr w:rsidR="00905A45" w:rsidRPr="000F7862" w:rsidSect="00195175">
      <w:headerReference w:type="even" r:id="rId25"/>
      <w:headerReference w:type="default" r:id="rId26"/>
      <w:footerReference w:type="even" r:id="rId27"/>
      <w:footerReference w:type="default" r:id="rId28"/>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668" w:rsidRDefault="00133668"/>
  </w:endnote>
  <w:endnote w:type="continuationSeparator" w:id="0">
    <w:p w:rsidR="00133668" w:rsidRDefault="00133668"/>
  </w:endnote>
  <w:endnote w:type="continuationNotice" w:id="1">
    <w:p w:rsidR="00133668" w:rsidRDefault="0013366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1D" w:rsidRPr="002B0477" w:rsidRDefault="00BE781D" w:rsidP="00D7781D">
    <w:pPr>
      <w:pStyle w:val="Footer"/>
      <w:tabs>
        <w:tab w:val="right" w:pos="9638"/>
      </w:tabs>
      <w:rPr>
        <w:szCs w:val="16"/>
      </w:rPr>
    </w:pPr>
    <w:r w:rsidRPr="007F3BCB">
      <w:rPr>
        <w:b/>
        <w:sz w:val="18"/>
      </w:rPr>
      <w:fldChar w:fldCharType="begin"/>
    </w:r>
    <w:r w:rsidRPr="007F3BCB">
      <w:rPr>
        <w:b/>
        <w:sz w:val="18"/>
      </w:rPr>
      <w:instrText xml:space="preserve"> PAGE  \* MERGEFORMAT </w:instrText>
    </w:r>
    <w:r w:rsidRPr="007F3BCB">
      <w:rPr>
        <w:b/>
        <w:sz w:val="18"/>
      </w:rPr>
      <w:fldChar w:fldCharType="separate"/>
    </w:r>
    <w:r w:rsidR="001B13D7">
      <w:rPr>
        <w:b/>
        <w:noProof/>
        <w:sz w:val="18"/>
      </w:rPr>
      <w:t>2</w:t>
    </w:r>
    <w:r w:rsidRPr="007F3BCB">
      <w:rPr>
        <w:b/>
        <w:sz w:val="18"/>
      </w:rPr>
      <w:fldChar w:fldCharType="end"/>
    </w:r>
    <w:r>
      <w:rPr>
        <w:sz w:val="18"/>
      </w:rPr>
      <w:tab/>
    </w:r>
    <w:r>
      <w:rPr>
        <w:szCs w:val="16"/>
      </w:rPr>
      <w:t>GE.15-05530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1D" w:rsidRPr="007F3BCB" w:rsidRDefault="00BE781D" w:rsidP="00D7781D">
    <w:pPr>
      <w:pStyle w:val="Footer"/>
      <w:tabs>
        <w:tab w:val="right" w:pos="9638"/>
      </w:tabs>
      <w:rPr>
        <w:b/>
        <w:sz w:val="18"/>
      </w:rPr>
    </w:pPr>
    <w:r>
      <w:rPr>
        <w:szCs w:val="16"/>
      </w:rPr>
      <w:t>GE.15-05530  (EXT)</w:t>
    </w:r>
    <w:r>
      <w:tab/>
    </w:r>
    <w:r w:rsidRPr="007F3BCB">
      <w:rPr>
        <w:b/>
        <w:sz w:val="18"/>
      </w:rPr>
      <w:fldChar w:fldCharType="begin"/>
    </w:r>
    <w:r w:rsidRPr="007F3BCB">
      <w:rPr>
        <w:b/>
        <w:sz w:val="18"/>
      </w:rPr>
      <w:instrText xml:space="preserve"> PAGE  \* MERGEFORMAT </w:instrText>
    </w:r>
    <w:r w:rsidRPr="007F3BCB">
      <w:rPr>
        <w:b/>
        <w:sz w:val="18"/>
      </w:rPr>
      <w:fldChar w:fldCharType="separate"/>
    </w:r>
    <w:r w:rsidR="001B13D7">
      <w:rPr>
        <w:b/>
        <w:noProof/>
        <w:sz w:val="18"/>
      </w:rPr>
      <w:t>15</w:t>
    </w:r>
    <w:r w:rsidRPr="007F3BC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1D" w:rsidRDefault="00940DCC" w:rsidP="00940DCC">
    <w:pPr>
      <w:pStyle w:val="Footer"/>
      <w:spacing w:before="240"/>
      <w:rPr>
        <w:sz w:val="20"/>
        <w:lang w:val="en-GB"/>
      </w:rPr>
    </w:pPr>
    <w:r>
      <w:rPr>
        <w:noProof/>
        <w:sz w:val="20"/>
        <w:lang w:val="fr-FR"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336.5pt;margin-top:18.4pt;width:87.65pt;height:18.15pt;z-index:5">
          <v:imagedata r:id="rId1" o:title="recycle_French"/>
        </v:shape>
      </w:pict>
    </w:r>
    <w:r>
      <w:rPr>
        <w:rFonts w:ascii="C39T30Lfz" w:hAnsi="C39T30Lfz"/>
        <w:noProof/>
        <w:sz w:val="56"/>
        <w:lang w:val="en-US" w:eastAsia="zh-CN"/>
      </w:rPr>
      <w:pict>
        <v:shape id="_x0000_s2062" type="#_x0000_t75" style="position:absolute;margin-left:430.65pt;margin-top:1.1pt;width:50.25pt;height:50.25pt;z-index:6">
          <v:imagedata r:id="rId2" o:title="5-6&amp;Size=2&amp;Lang=F"/>
        </v:shape>
      </w:pict>
    </w:r>
    <w:r w:rsidR="00BE781D" w:rsidRPr="003527BB">
      <w:rPr>
        <w:sz w:val="20"/>
        <w:lang w:val="en-GB"/>
      </w:rPr>
      <w:t>GE.15-05530  (EXT)</w:t>
    </w:r>
  </w:p>
  <w:p w:rsidR="00940DCC" w:rsidRPr="00940DCC" w:rsidRDefault="00940DCC" w:rsidP="00940DCC">
    <w:pPr>
      <w:pStyle w:val="Footer"/>
      <w:rPr>
        <w:rFonts w:ascii="C39T30Lfz" w:hAnsi="C39T30Lfz"/>
        <w:sz w:val="56"/>
        <w:lang w:val="en-GB"/>
      </w:rPr>
    </w:pPr>
    <w:r>
      <w:rPr>
        <w:rFonts w:ascii="C39T30Lfz" w:hAnsi="C39T30Lfz"/>
        <w:sz w:val="56"/>
        <w:lang w:val="en-GB"/>
      </w:rPr>
      <w:t></w:t>
    </w:r>
    <w:r>
      <w:rPr>
        <w:rFonts w:ascii="C39T30Lfz" w:hAnsi="C39T30Lfz"/>
        <w:sz w:val="56"/>
        <w:lang w:val="en-GB"/>
      </w:rPr>
      <w:t></w:t>
    </w:r>
    <w:r>
      <w:rPr>
        <w:rFonts w:ascii="C39T30Lfz" w:hAnsi="C39T30Lfz"/>
        <w:sz w:val="56"/>
        <w:lang w:val="en-GB"/>
      </w:rPr>
      <w:t></w:t>
    </w:r>
    <w:r>
      <w:rPr>
        <w:rFonts w:ascii="C39T30Lfz" w:hAnsi="C39T30Lfz"/>
        <w:sz w:val="56"/>
        <w:lang w:val="en-GB"/>
      </w:rPr>
      <w:t></w:t>
    </w:r>
    <w:r>
      <w:rPr>
        <w:rFonts w:ascii="C39T30Lfz" w:hAnsi="C39T30Lfz"/>
        <w:sz w:val="56"/>
        <w:lang w:val="en-GB"/>
      </w:rPr>
      <w:t></w:t>
    </w:r>
    <w:r>
      <w:rPr>
        <w:rFonts w:ascii="C39T30Lfz" w:hAnsi="C39T30Lfz"/>
        <w:sz w:val="56"/>
        <w:lang w:val="en-GB"/>
      </w:rPr>
      <w:t></w:t>
    </w:r>
    <w:r>
      <w:rPr>
        <w:rFonts w:ascii="C39T30Lfz" w:hAnsi="C39T30Lfz"/>
        <w:sz w:val="56"/>
        <w:lang w:val="en-GB"/>
      </w:rPr>
      <w:t></w:t>
    </w:r>
    <w:r>
      <w:rPr>
        <w:rFonts w:ascii="C39T30Lfz" w:hAnsi="C39T30Lfz"/>
        <w:sz w:val="56"/>
        <w:lang w:val="en-GB"/>
      </w:rPr>
      <w:t></w:t>
    </w:r>
    <w:r>
      <w:rPr>
        <w:rFonts w:ascii="C39T30Lfz" w:hAnsi="C39T30Lfz"/>
        <w:sz w:val="56"/>
        <w:lang w:val="en-GB"/>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1D" w:rsidRPr="00A46C35" w:rsidRDefault="00BE781D" w:rsidP="00D7781D">
    <w:pPr>
      <w:pStyle w:val="Footer"/>
      <w:rPr>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1D" w:rsidRPr="00A46C35" w:rsidRDefault="00BE781D" w:rsidP="00D7781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1D" w:rsidRPr="00195175" w:rsidRDefault="00BE781D" w:rsidP="00195175">
    <w:pPr>
      <w:pStyle w:val="Footer"/>
      <w:tabs>
        <w:tab w:val="right" w:pos="9638"/>
      </w:tabs>
    </w:pPr>
    <w:r w:rsidRPr="00195175">
      <w:rPr>
        <w:b/>
        <w:sz w:val="18"/>
      </w:rPr>
      <w:fldChar w:fldCharType="begin"/>
    </w:r>
    <w:r w:rsidRPr="00195175">
      <w:rPr>
        <w:b/>
        <w:sz w:val="18"/>
      </w:rPr>
      <w:instrText xml:space="preserve"> PAGE  \* MERGEFORMAT </w:instrText>
    </w:r>
    <w:r w:rsidRPr="00195175">
      <w:rPr>
        <w:b/>
        <w:sz w:val="18"/>
      </w:rPr>
      <w:fldChar w:fldCharType="separate"/>
    </w:r>
    <w:r w:rsidR="001B13D7">
      <w:rPr>
        <w:b/>
        <w:noProof/>
        <w:sz w:val="18"/>
      </w:rPr>
      <w:t>44</w:t>
    </w:r>
    <w:r w:rsidRPr="00195175">
      <w:rPr>
        <w:b/>
        <w:sz w:val="18"/>
      </w:rPr>
      <w:fldChar w:fldCharType="end"/>
    </w:r>
    <w:r>
      <w:rPr>
        <w:sz w:val="18"/>
      </w:rPr>
      <w:tab/>
      <w:t>G</w:t>
    </w:r>
    <w:r w:rsidRPr="00910194">
      <w:rPr>
        <w:sz w:val="18"/>
      </w:rPr>
      <w:t>E.15-05530  (EXT)</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1D" w:rsidRPr="00195175" w:rsidRDefault="00BE781D" w:rsidP="00195175">
    <w:pPr>
      <w:pStyle w:val="Footer"/>
      <w:tabs>
        <w:tab w:val="right" w:pos="9638"/>
      </w:tabs>
      <w:rPr>
        <w:b/>
        <w:sz w:val="18"/>
      </w:rPr>
    </w:pPr>
    <w:r w:rsidRPr="00910194">
      <w:t>GE.15-05530  (EXT)</w:t>
    </w:r>
    <w:r>
      <w:tab/>
    </w:r>
    <w:r w:rsidRPr="00195175">
      <w:rPr>
        <w:b/>
        <w:sz w:val="18"/>
      </w:rPr>
      <w:fldChar w:fldCharType="begin"/>
    </w:r>
    <w:r w:rsidRPr="00195175">
      <w:rPr>
        <w:b/>
        <w:sz w:val="18"/>
      </w:rPr>
      <w:instrText xml:space="preserve"> PAGE  \* MERGEFORMAT </w:instrText>
    </w:r>
    <w:r w:rsidRPr="00195175">
      <w:rPr>
        <w:b/>
        <w:sz w:val="18"/>
      </w:rPr>
      <w:fldChar w:fldCharType="separate"/>
    </w:r>
    <w:r w:rsidR="001B13D7">
      <w:rPr>
        <w:b/>
        <w:noProof/>
        <w:sz w:val="18"/>
      </w:rPr>
      <w:t>43</w:t>
    </w:r>
    <w:r w:rsidRPr="00195175">
      <w:rPr>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668" w:rsidRPr="000B175B" w:rsidRDefault="00133668" w:rsidP="000B175B">
      <w:pPr>
        <w:tabs>
          <w:tab w:val="right" w:pos="2155"/>
        </w:tabs>
        <w:spacing w:after="80"/>
        <w:ind w:left="680"/>
        <w:rPr>
          <w:u w:val="single"/>
        </w:rPr>
      </w:pPr>
      <w:r>
        <w:rPr>
          <w:u w:val="single"/>
        </w:rPr>
        <w:tab/>
      </w:r>
    </w:p>
  </w:footnote>
  <w:footnote w:type="continuationSeparator" w:id="0">
    <w:p w:rsidR="00133668" w:rsidRPr="00FC68B7" w:rsidRDefault="00133668" w:rsidP="00FC68B7">
      <w:pPr>
        <w:tabs>
          <w:tab w:val="left" w:pos="2155"/>
        </w:tabs>
        <w:spacing w:after="80"/>
        <w:ind w:left="680"/>
        <w:rPr>
          <w:u w:val="single"/>
        </w:rPr>
      </w:pPr>
      <w:r>
        <w:rPr>
          <w:u w:val="single"/>
        </w:rPr>
        <w:tab/>
      </w:r>
    </w:p>
  </w:footnote>
  <w:footnote w:type="continuationNotice" w:id="1">
    <w:p w:rsidR="00133668" w:rsidRDefault="00133668"/>
  </w:footnote>
  <w:footnote w:id="2">
    <w:p w:rsidR="00BE781D" w:rsidRDefault="00BE781D" w:rsidP="001B3487">
      <w:pPr>
        <w:pStyle w:val="FootnoteText"/>
      </w:pPr>
      <w:r>
        <w:tab/>
      </w:r>
      <w:r w:rsidRPr="003C1625">
        <w:rPr>
          <w:rStyle w:val="FootnoteReference"/>
          <w:sz w:val="20"/>
          <w:vertAlign w:val="baseline"/>
        </w:rPr>
        <w:t>*</w:t>
      </w:r>
      <w:r>
        <w:rPr>
          <w:sz w:val="20"/>
        </w:rPr>
        <w:tab/>
      </w:r>
      <w:r w:rsidRPr="001B3487">
        <w:rPr>
          <w:noProof/>
          <w:lang w:val="fr-FR"/>
        </w:rPr>
        <w:t>Le présent document n</w:t>
      </w:r>
      <w:r>
        <w:rPr>
          <w:noProof/>
          <w:lang w:val="fr-FR"/>
        </w:rPr>
        <w:t>’</w:t>
      </w:r>
      <w:r w:rsidRPr="001B3487">
        <w:rPr>
          <w:noProof/>
          <w:lang w:val="fr-FR"/>
        </w:rPr>
        <w:t>a pas fait l</w:t>
      </w:r>
      <w:r>
        <w:rPr>
          <w:noProof/>
          <w:lang w:val="fr-FR"/>
        </w:rPr>
        <w:t>’</w:t>
      </w:r>
      <w:r w:rsidRPr="001B3487">
        <w:rPr>
          <w:noProof/>
          <w:lang w:val="fr-FR"/>
        </w:rPr>
        <w:t>objet d</w:t>
      </w:r>
      <w:r>
        <w:rPr>
          <w:noProof/>
          <w:lang w:val="fr-FR"/>
        </w:rPr>
        <w:t>’</w:t>
      </w:r>
      <w:r w:rsidRPr="001B3487">
        <w:rPr>
          <w:noProof/>
          <w:lang w:val="fr-FR"/>
        </w:rPr>
        <w:t>une relecture sur le fond par les services d</w:t>
      </w:r>
      <w:r>
        <w:rPr>
          <w:noProof/>
          <w:lang w:val="fr-FR"/>
        </w:rPr>
        <w:t>’</w:t>
      </w:r>
      <w:r w:rsidRPr="001B3487">
        <w:rPr>
          <w:noProof/>
          <w:lang w:val="fr-FR"/>
        </w:rPr>
        <w:t>édition.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1D" w:rsidRPr="007F3BCB" w:rsidRDefault="00BE781D">
    <w:pPr>
      <w:pStyle w:val="Header"/>
    </w:pPr>
    <w:r>
      <w:t>E/C.12/PHL/5-6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1D" w:rsidRPr="007F3BCB" w:rsidRDefault="00BE781D" w:rsidP="00D7781D">
    <w:pPr>
      <w:pStyle w:val="Header"/>
      <w:jc w:val="right"/>
    </w:pPr>
    <w:r>
      <w:t>E/C.12/PHL/5-6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1D" w:rsidRPr="00A46C35" w:rsidRDefault="00BE781D" w:rsidP="00D7781D">
    <w:r>
      <w:rPr>
        <w:noProof/>
      </w:rPr>
      <w:pict>
        <v:shapetype id="_x0000_t202" coordsize="21600,21600" o:spt="202" path="m,l,21600r21600,l21600,xe">
          <v:stroke joinstyle="miter"/>
          <v:path gradientshapeok="t" o:connecttype="rect"/>
        </v:shapetype>
        <v:shape id="_x0000_s2057" type="#_x0000_t202" style="position:absolute;margin-left:-34pt;margin-top:0;width:17.55pt;height:481.9pt;z-index:2;mso-position-horizontal-relative:margin;mso-position-vertical-relative:margin" stroked="f">
          <v:textbox style="layout-flow:vertical;mso-next-textbox:#_x0000_s2057" inset="0,0,0,0">
            <w:txbxContent>
              <w:p w:rsidR="00BE781D" w:rsidRPr="002B0477" w:rsidRDefault="00BE781D" w:rsidP="00D7781D">
                <w:pPr>
                  <w:pStyle w:val="Footer"/>
                  <w:tabs>
                    <w:tab w:val="right" w:pos="9638"/>
                  </w:tabs>
                  <w:rPr>
                    <w:szCs w:val="16"/>
                  </w:rPr>
                </w:pPr>
                <w:r w:rsidRPr="007F3BCB">
                  <w:rPr>
                    <w:b/>
                    <w:sz w:val="18"/>
                  </w:rPr>
                  <w:fldChar w:fldCharType="begin"/>
                </w:r>
                <w:r w:rsidRPr="007F3BCB">
                  <w:rPr>
                    <w:b/>
                    <w:sz w:val="18"/>
                  </w:rPr>
                  <w:instrText xml:space="preserve"> PAGE  \* MERGEFORMAT </w:instrText>
                </w:r>
                <w:r w:rsidRPr="007F3BCB">
                  <w:rPr>
                    <w:b/>
                    <w:sz w:val="18"/>
                  </w:rPr>
                  <w:fldChar w:fldCharType="separate"/>
                </w:r>
                <w:r w:rsidR="001B13D7">
                  <w:rPr>
                    <w:b/>
                    <w:noProof/>
                    <w:sz w:val="18"/>
                  </w:rPr>
                  <w:t>20</w:t>
                </w:r>
                <w:r w:rsidRPr="007F3BCB">
                  <w:rPr>
                    <w:b/>
                    <w:sz w:val="18"/>
                  </w:rPr>
                  <w:fldChar w:fldCharType="end"/>
                </w:r>
                <w:r>
                  <w:rPr>
                    <w:sz w:val="18"/>
                  </w:rPr>
                  <w:tab/>
                </w:r>
                <w:r>
                  <w:rPr>
                    <w:szCs w:val="16"/>
                  </w:rPr>
                  <w:t>GE.15-05530  (EXT)</w:t>
                </w:r>
              </w:p>
              <w:p w:rsidR="00BE781D" w:rsidRDefault="00BE781D"/>
            </w:txbxContent>
          </v:textbox>
        </v:shape>
      </w:pict>
    </w:r>
    <w:r>
      <w:rPr>
        <w:noProof/>
      </w:rPr>
      <w:pict>
        <v:shape id="_x0000_s2056" type="#_x0000_t202" style="position:absolute;margin-left:771pt;margin-top:0;width:17pt;height:481.9pt;z-index:1;mso-position-horizontal-relative:page;mso-position-vertical-relative:margin" stroked="f">
          <v:textbox style="layout-flow:vertical;mso-next-textbox:#_x0000_s2056" inset="0,0,0,0">
            <w:txbxContent>
              <w:p w:rsidR="00BE781D" w:rsidRPr="007F3BCB" w:rsidRDefault="00BE781D" w:rsidP="00D7781D">
                <w:pPr>
                  <w:pStyle w:val="Header"/>
                </w:pPr>
                <w:r>
                  <w:t>E/C.12/PHL/5-6</w:t>
                </w:r>
              </w:p>
              <w:p w:rsidR="00BE781D" w:rsidRDefault="00BE781D"/>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1D" w:rsidRPr="00A46C35" w:rsidRDefault="00BE781D" w:rsidP="00D7781D">
    <w:r>
      <w:rPr>
        <w:noProof/>
      </w:rPr>
      <w:pict>
        <v:shapetype id="_x0000_t202" coordsize="21600,21600" o:spt="202" path="m,l,21600r21600,l21600,xe">
          <v:stroke joinstyle="miter"/>
          <v:path gradientshapeok="t" o:connecttype="rect"/>
        </v:shapetype>
        <v:shape id="_x0000_s2059" type="#_x0000_t202" style="position:absolute;margin-left:-34pt;margin-top:0;width:17.55pt;height:481.9pt;z-index:4;mso-position-horizontal-relative:margin;mso-position-vertical-relative:margin" stroked="f">
          <v:textbox style="layout-flow:vertical;mso-next-textbox:#_x0000_s2059" inset="0,0,0,0">
            <w:txbxContent>
              <w:p w:rsidR="00BE781D" w:rsidRPr="007F3BCB" w:rsidRDefault="00BE781D" w:rsidP="00D7781D">
                <w:pPr>
                  <w:pStyle w:val="Footer"/>
                  <w:tabs>
                    <w:tab w:val="right" w:pos="9638"/>
                  </w:tabs>
                  <w:rPr>
                    <w:b/>
                    <w:sz w:val="18"/>
                  </w:rPr>
                </w:pPr>
                <w:r>
                  <w:rPr>
                    <w:szCs w:val="16"/>
                  </w:rPr>
                  <w:t>GE.15-05530  (EXT)</w:t>
                </w:r>
                <w:r>
                  <w:tab/>
                </w:r>
                <w:r w:rsidRPr="007F3BCB">
                  <w:rPr>
                    <w:b/>
                    <w:sz w:val="18"/>
                  </w:rPr>
                  <w:fldChar w:fldCharType="begin"/>
                </w:r>
                <w:r w:rsidRPr="007F3BCB">
                  <w:rPr>
                    <w:b/>
                    <w:sz w:val="18"/>
                  </w:rPr>
                  <w:instrText xml:space="preserve"> PAGE  \* MERGEFORMAT </w:instrText>
                </w:r>
                <w:r w:rsidRPr="007F3BCB">
                  <w:rPr>
                    <w:b/>
                    <w:sz w:val="18"/>
                  </w:rPr>
                  <w:fldChar w:fldCharType="separate"/>
                </w:r>
                <w:r w:rsidR="001B13D7">
                  <w:rPr>
                    <w:b/>
                    <w:noProof/>
                    <w:sz w:val="18"/>
                  </w:rPr>
                  <w:t>21</w:t>
                </w:r>
                <w:r w:rsidRPr="007F3BCB">
                  <w:rPr>
                    <w:b/>
                    <w:sz w:val="18"/>
                  </w:rPr>
                  <w:fldChar w:fldCharType="end"/>
                </w:r>
              </w:p>
              <w:p w:rsidR="00BE781D" w:rsidRDefault="00BE781D"/>
            </w:txbxContent>
          </v:textbox>
        </v:shape>
      </w:pict>
    </w:r>
    <w:r>
      <w:rPr>
        <w:noProof/>
      </w:rPr>
      <w:pict>
        <v:shape id="_x0000_s2058" type="#_x0000_t202" style="position:absolute;margin-left:771pt;margin-top:0;width:17pt;height:481.9pt;z-index:3;mso-position-horizontal-relative:page;mso-position-vertical-relative:margin" stroked="f">
          <v:textbox style="layout-flow:vertical;mso-next-textbox:#_x0000_s2058" inset="0,0,0,0">
            <w:txbxContent>
              <w:p w:rsidR="00BE781D" w:rsidRPr="007F3BCB" w:rsidRDefault="00BE781D" w:rsidP="00D7781D">
                <w:pPr>
                  <w:pStyle w:val="Header"/>
                  <w:jc w:val="right"/>
                </w:pPr>
                <w:r>
                  <w:t>E/C.12/PHL/5-6</w:t>
                </w:r>
              </w:p>
              <w:p w:rsidR="00BE781D" w:rsidRDefault="00BE781D"/>
            </w:txbxContent>
          </v:textbox>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1D" w:rsidRDefault="00BE781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1D" w:rsidRPr="00195175" w:rsidRDefault="00BE781D" w:rsidP="00195175">
    <w:pPr>
      <w:pStyle w:val="Header"/>
    </w:pPr>
    <w:r>
      <w:t>E/C.12/PHL/5-6</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1D" w:rsidRPr="00195175" w:rsidRDefault="00BE781D" w:rsidP="00195175">
    <w:pPr>
      <w:pStyle w:val="Header"/>
      <w:jc w:val="right"/>
    </w:pPr>
    <w:r>
      <w:t>E/C.12/PHL/5-6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B78"/>
    <w:multiLevelType w:val="multilevel"/>
    <w:tmpl w:val="168C5F2E"/>
    <w:styleLink w:val="List12"/>
    <w:lvl w:ilvl="0">
      <w:start w:val="1"/>
      <w:numFmt w:val="bullet"/>
      <w:lvlText w:val=""/>
      <w:lvlJc w:val="left"/>
      <w:rPr>
        <w:rFonts w:ascii="Symbol" w:hAnsi="Symbol" w:hint="default"/>
        <w:color w:val="000000"/>
        <w:position w:val="0"/>
      </w:rPr>
    </w:lvl>
    <w:lvl w:ilvl="1">
      <w:start w:val="1"/>
      <w:numFmt w:val="bullet"/>
      <w:lvlText w:val="o"/>
      <w:lvlJc w:val="left"/>
      <w:rPr>
        <w:rFonts w:ascii="Tahoma" w:eastAsia="Times New Roman" w:hAnsi="Tahoma"/>
        <w:color w:val="000000"/>
        <w:position w:val="0"/>
      </w:rPr>
    </w:lvl>
    <w:lvl w:ilvl="2">
      <w:start w:val="1"/>
      <w:numFmt w:val="bullet"/>
      <w:lvlText w:val="▪"/>
      <w:lvlJc w:val="left"/>
      <w:rPr>
        <w:rFonts w:ascii="Tahoma" w:eastAsia="Times New Roman" w:hAnsi="Tahoma"/>
        <w:color w:val="000000"/>
        <w:position w:val="0"/>
      </w:rPr>
    </w:lvl>
    <w:lvl w:ilvl="3">
      <w:start w:val="1"/>
      <w:numFmt w:val="bullet"/>
      <w:lvlText w:val="•"/>
      <w:lvlJc w:val="left"/>
      <w:rPr>
        <w:rFonts w:ascii="Tahoma" w:eastAsia="Times New Roman" w:hAnsi="Tahoma"/>
        <w:color w:val="000000"/>
        <w:position w:val="0"/>
      </w:rPr>
    </w:lvl>
    <w:lvl w:ilvl="4">
      <w:start w:val="1"/>
      <w:numFmt w:val="bullet"/>
      <w:lvlText w:val="o"/>
      <w:lvlJc w:val="left"/>
      <w:rPr>
        <w:rFonts w:ascii="Tahoma" w:eastAsia="Times New Roman" w:hAnsi="Tahoma"/>
        <w:color w:val="000000"/>
        <w:position w:val="0"/>
      </w:rPr>
    </w:lvl>
    <w:lvl w:ilvl="5">
      <w:start w:val="1"/>
      <w:numFmt w:val="bullet"/>
      <w:lvlText w:val="▪"/>
      <w:lvlJc w:val="left"/>
      <w:rPr>
        <w:rFonts w:ascii="Tahoma" w:eastAsia="Times New Roman" w:hAnsi="Tahoma"/>
        <w:color w:val="000000"/>
        <w:position w:val="0"/>
      </w:rPr>
    </w:lvl>
    <w:lvl w:ilvl="6">
      <w:start w:val="1"/>
      <w:numFmt w:val="bullet"/>
      <w:lvlText w:val="•"/>
      <w:lvlJc w:val="left"/>
      <w:rPr>
        <w:rFonts w:ascii="Tahoma" w:eastAsia="Times New Roman" w:hAnsi="Tahoma"/>
        <w:color w:val="000000"/>
        <w:position w:val="0"/>
      </w:rPr>
    </w:lvl>
    <w:lvl w:ilvl="7">
      <w:start w:val="1"/>
      <w:numFmt w:val="bullet"/>
      <w:lvlText w:val="o"/>
      <w:lvlJc w:val="left"/>
      <w:rPr>
        <w:rFonts w:ascii="Tahoma" w:eastAsia="Times New Roman" w:hAnsi="Tahoma"/>
        <w:color w:val="000000"/>
        <w:position w:val="0"/>
      </w:rPr>
    </w:lvl>
    <w:lvl w:ilvl="8">
      <w:start w:val="1"/>
      <w:numFmt w:val="bullet"/>
      <w:lvlText w:val="▪"/>
      <w:lvlJc w:val="left"/>
      <w:rPr>
        <w:rFonts w:ascii="Tahoma" w:eastAsia="Times New Roman" w:hAnsi="Tahoma"/>
        <w:color w:val="000000"/>
        <w:position w:val="0"/>
      </w:rPr>
    </w:lvl>
  </w:abstractNum>
  <w:abstractNum w:abstractNumId="1">
    <w:nsid w:val="05595206"/>
    <w:multiLevelType w:val="hybridMultilevel"/>
    <w:tmpl w:val="104EE55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056658F3"/>
    <w:multiLevelType w:val="multilevel"/>
    <w:tmpl w:val="FFFFFFFF"/>
    <w:styleLink w:val="List51"/>
    <w:lvl w:ilvl="0">
      <w:start w:val="1"/>
      <w:numFmt w:val="bullet"/>
      <w:lvlText w:val="•"/>
      <w:lvlJc w:val="left"/>
      <w:rPr>
        <w:rFonts w:ascii="Tahoma" w:eastAsia="Times New Roman" w:hAnsi="Tahoma"/>
        <w:color w:val="000000"/>
        <w:position w:val="0"/>
      </w:rPr>
    </w:lvl>
    <w:lvl w:ilvl="1">
      <w:start w:val="1"/>
      <w:numFmt w:val="bullet"/>
      <w:lvlText w:val="o"/>
      <w:lvlJc w:val="left"/>
      <w:rPr>
        <w:rFonts w:ascii="Tahoma" w:eastAsia="Times New Roman" w:hAnsi="Tahoma"/>
        <w:color w:val="000000"/>
        <w:position w:val="0"/>
      </w:rPr>
    </w:lvl>
    <w:lvl w:ilvl="2">
      <w:start w:val="1"/>
      <w:numFmt w:val="bullet"/>
      <w:lvlText w:val="▪"/>
      <w:lvlJc w:val="left"/>
      <w:rPr>
        <w:rFonts w:ascii="Tahoma" w:eastAsia="Times New Roman" w:hAnsi="Tahoma"/>
        <w:color w:val="000000"/>
        <w:position w:val="0"/>
      </w:rPr>
    </w:lvl>
    <w:lvl w:ilvl="3">
      <w:start w:val="1"/>
      <w:numFmt w:val="bullet"/>
      <w:lvlText w:val="•"/>
      <w:lvlJc w:val="left"/>
      <w:rPr>
        <w:rFonts w:ascii="Tahoma" w:eastAsia="Times New Roman" w:hAnsi="Tahoma"/>
        <w:color w:val="000000"/>
        <w:position w:val="0"/>
      </w:rPr>
    </w:lvl>
    <w:lvl w:ilvl="4">
      <w:start w:val="1"/>
      <w:numFmt w:val="bullet"/>
      <w:lvlText w:val="o"/>
      <w:lvlJc w:val="left"/>
      <w:rPr>
        <w:rFonts w:ascii="Tahoma" w:eastAsia="Times New Roman" w:hAnsi="Tahoma"/>
        <w:color w:val="000000"/>
        <w:position w:val="0"/>
      </w:rPr>
    </w:lvl>
    <w:lvl w:ilvl="5">
      <w:start w:val="1"/>
      <w:numFmt w:val="bullet"/>
      <w:lvlText w:val="▪"/>
      <w:lvlJc w:val="left"/>
      <w:rPr>
        <w:rFonts w:ascii="Tahoma" w:eastAsia="Times New Roman" w:hAnsi="Tahoma"/>
        <w:color w:val="000000"/>
        <w:position w:val="0"/>
      </w:rPr>
    </w:lvl>
    <w:lvl w:ilvl="6">
      <w:start w:val="1"/>
      <w:numFmt w:val="bullet"/>
      <w:lvlText w:val="•"/>
      <w:lvlJc w:val="left"/>
      <w:rPr>
        <w:rFonts w:ascii="Tahoma" w:eastAsia="Times New Roman" w:hAnsi="Tahoma"/>
        <w:color w:val="000000"/>
        <w:position w:val="0"/>
      </w:rPr>
    </w:lvl>
    <w:lvl w:ilvl="7">
      <w:start w:val="1"/>
      <w:numFmt w:val="bullet"/>
      <w:lvlText w:val="o"/>
      <w:lvlJc w:val="left"/>
      <w:rPr>
        <w:rFonts w:ascii="Tahoma" w:eastAsia="Times New Roman" w:hAnsi="Tahoma"/>
        <w:color w:val="000000"/>
        <w:position w:val="0"/>
      </w:rPr>
    </w:lvl>
    <w:lvl w:ilvl="8">
      <w:start w:val="1"/>
      <w:numFmt w:val="bullet"/>
      <w:lvlText w:val="▪"/>
      <w:lvlJc w:val="left"/>
      <w:rPr>
        <w:rFonts w:ascii="Tahoma" w:eastAsia="Times New Roman" w:hAnsi="Tahoma"/>
        <w:color w:val="000000"/>
        <w:position w:val="0"/>
      </w:rPr>
    </w:lvl>
  </w:abstractNum>
  <w:abstractNum w:abstractNumId="3">
    <w:nsid w:val="05983901"/>
    <w:multiLevelType w:val="hybridMultilevel"/>
    <w:tmpl w:val="ED94F41E"/>
    <w:lvl w:ilvl="0" w:tplc="AC9ED27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0623164A"/>
    <w:multiLevelType w:val="hybridMultilevel"/>
    <w:tmpl w:val="7E7008EE"/>
    <w:lvl w:ilvl="0" w:tplc="AC9ED27A">
      <w:start w:val="1"/>
      <w:numFmt w:val="lowerLetter"/>
      <w:lvlText w:val="(%1)"/>
      <w:lvlJc w:val="left"/>
      <w:pPr>
        <w:ind w:left="2421" w:hanging="360"/>
      </w:pPr>
      <w:rPr>
        <w:rFonts w:hint="default"/>
      </w:rPr>
    </w:lvl>
    <w:lvl w:ilvl="1" w:tplc="B17C84F4">
      <w:start w:val="1"/>
      <w:numFmt w:val="lowerLetter"/>
      <w:lvlText w:val="%2."/>
      <w:lvlJc w:val="left"/>
      <w:pPr>
        <w:ind w:left="3336" w:hanging="555"/>
      </w:pPr>
      <w:rPr>
        <w:rFonts w:hAnsi="Times New Roman"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5">
    <w:nsid w:val="06B50687"/>
    <w:multiLevelType w:val="multilevel"/>
    <w:tmpl w:val="FFFFFFFF"/>
    <w:styleLink w:val="List17"/>
    <w:lvl w:ilvl="0">
      <w:start w:val="1"/>
      <w:numFmt w:val="bullet"/>
      <w:lvlText w:val="•"/>
      <w:lvlJc w:val="left"/>
      <w:rPr>
        <w:rFonts w:ascii="Tahoma" w:eastAsia="Times New Roman" w:hAnsi="Tahoma"/>
        <w:b/>
        <w:bCs/>
        <w:color w:val="000000"/>
        <w:position w:val="0"/>
      </w:rPr>
    </w:lvl>
    <w:lvl w:ilvl="1">
      <w:start w:val="1"/>
      <w:numFmt w:val="bullet"/>
      <w:lvlText w:val="o"/>
      <w:lvlJc w:val="left"/>
      <w:rPr>
        <w:rFonts w:ascii="Tahoma" w:eastAsia="Times New Roman" w:hAnsi="Tahoma"/>
        <w:b/>
        <w:bCs/>
        <w:color w:val="000000"/>
        <w:position w:val="0"/>
      </w:rPr>
    </w:lvl>
    <w:lvl w:ilvl="2">
      <w:start w:val="1"/>
      <w:numFmt w:val="bullet"/>
      <w:lvlText w:val="▪"/>
      <w:lvlJc w:val="left"/>
      <w:rPr>
        <w:rFonts w:ascii="Tahoma" w:eastAsia="Times New Roman" w:hAnsi="Tahoma"/>
        <w:b/>
        <w:bCs/>
        <w:color w:val="000000"/>
        <w:position w:val="0"/>
      </w:rPr>
    </w:lvl>
    <w:lvl w:ilvl="3">
      <w:start w:val="1"/>
      <w:numFmt w:val="bullet"/>
      <w:lvlText w:val="•"/>
      <w:lvlJc w:val="left"/>
      <w:rPr>
        <w:rFonts w:ascii="Tahoma" w:eastAsia="Times New Roman" w:hAnsi="Tahoma"/>
        <w:b/>
        <w:bCs/>
        <w:color w:val="000000"/>
        <w:position w:val="0"/>
      </w:rPr>
    </w:lvl>
    <w:lvl w:ilvl="4">
      <w:start w:val="1"/>
      <w:numFmt w:val="bullet"/>
      <w:lvlText w:val="o"/>
      <w:lvlJc w:val="left"/>
      <w:rPr>
        <w:rFonts w:ascii="Tahoma" w:eastAsia="Times New Roman" w:hAnsi="Tahoma"/>
        <w:b/>
        <w:bCs/>
        <w:color w:val="000000"/>
        <w:position w:val="0"/>
      </w:rPr>
    </w:lvl>
    <w:lvl w:ilvl="5">
      <w:start w:val="1"/>
      <w:numFmt w:val="bullet"/>
      <w:lvlText w:val="▪"/>
      <w:lvlJc w:val="left"/>
      <w:rPr>
        <w:rFonts w:ascii="Tahoma" w:eastAsia="Times New Roman" w:hAnsi="Tahoma"/>
        <w:b/>
        <w:bCs/>
        <w:color w:val="000000"/>
        <w:position w:val="0"/>
      </w:rPr>
    </w:lvl>
    <w:lvl w:ilvl="6">
      <w:start w:val="1"/>
      <w:numFmt w:val="bullet"/>
      <w:lvlText w:val="•"/>
      <w:lvlJc w:val="left"/>
      <w:rPr>
        <w:rFonts w:ascii="Tahoma" w:eastAsia="Times New Roman" w:hAnsi="Tahoma"/>
        <w:b/>
        <w:bCs/>
        <w:color w:val="000000"/>
        <w:position w:val="0"/>
      </w:rPr>
    </w:lvl>
    <w:lvl w:ilvl="7">
      <w:start w:val="1"/>
      <w:numFmt w:val="bullet"/>
      <w:lvlText w:val="o"/>
      <w:lvlJc w:val="left"/>
      <w:rPr>
        <w:rFonts w:ascii="Tahoma" w:eastAsia="Times New Roman" w:hAnsi="Tahoma"/>
        <w:b/>
        <w:bCs/>
        <w:color w:val="000000"/>
        <w:position w:val="0"/>
      </w:rPr>
    </w:lvl>
    <w:lvl w:ilvl="8">
      <w:start w:val="1"/>
      <w:numFmt w:val="bullet"/>
      <w:lvlText w:val="▪"/>
      <w:lvlJc w:val="left"/>
      <w:rPr>
        <w:rFonts w:ascii="Tahoma" w:eastAsia="Times New Roman" w:hAnsi="Tahoma"/>
        <w:b/>
        <w:bCs/>
        <w:color w:val="000000"/>
        <w:position w:val="0"/>
      </w:rPr>
    </w:lvl>
  </w:abstractNum>
  <w:abstractNum w:abstractNumId="6">
    <w:nsid w:val="097D26F9"/>
    <w:multiLevelType w:val="multilevel"/>
    <w:tmpl w:val="FFFFFFFF"/>
    <w:styleLink w:val="List11"/>
    <w:lvl w:ilvl="0">
      <w:start w:val="1"/>
      <w:numFmt w:val="bullet"/>
      <w:lvlText w:val="•"/>
      <w:lvlJc w:val="left"/>
      <w:rPr>
        <w:rFonts w:ascii="Tahoma" w:eastAsia="Times New Roman" w:hAnsi="Tahoma"/>
        <w:b/>
        <w:bCs/>
        <w:color w:val="000000"/>
        <w:position w:val="0"/>
      </w:rPr>
    </w:lvl>
    <w:lvl w:ilvl="1">
      <w:start w:val="1"/>
      <w:numFmt w:val="bullet"/>
      <w:lvlText w:val="o"/>
      <w:lvlJc w:val="left"/>
      <w:rPr>
        <w:rFonts w:ascii="Tahoma" w:eastAsia="Times New Roman" w:hAnsi="Tahoma"/>
        <w:b/>
        <w:bCs/>
        <w:color w:val="000000"/>
        <w:position w:val="0"/>
      </w:rPr>
    </w:lvl>
    <w:lvl w:ilvl="2">
      <w:start w:val="1"/>
      <w:numFmt w:val="bullet"/>
      <w:lvlText w:val="▪"/>
      <w:lvlJc w:val="left"/>
      <w:rPr>
        <w:rFonts w:ascii="Tahoma" w:eastAsia="Times New Roman" w:hAnsi="Tahoma"/>
        <w:b/>
        <w:bCs/>
        <w:color w:val="000000"/>
        <w:position w:val="0"/>
      </w:rPr>
    </w:lvl>
    <w:lvl w:ilvl="3">
      <w:start w:val="1"/>
      <w:numFmt w:val="bullet"/>
      <w:lvlText w:val="•"/>
      <w:lvlJc w:val="left"/>
      <w:rPr>
        <w:rFonts w:ascii="Tahoma" w:eastAsia="Times New Roman" w:hAnsi="Tahoma"/>
        <w:b/>
        <w:bCs/>
        <w:color w:val="000000"/>
        <w:position w:val="0"/>
      </w:rPr>
    </w:lvl>
    <w:lvl w:ilvl="4">
      <w:start w:val="1"/>
      <w:numFmt w:val="bullet"/>
      <w:lvlText w:val="o"/>
      <w:lvlJc w:val="left"/>
      <w:rPr>
        <w:rFonts w:ascii="Tahoma" w:eastAsia="Times New Roman" w:hAnsi="Tahoma"/>
        <w:b/>
        <w:bCs/>
        <w:color w:val="000000"/>
        <w:position w:val="0"/>
      </w:rPr>
    </w:lvl>
    <w:lvl w:ilvl="5">
      <w:start w:val="1"/>
      <w:numFmt w:val="bullet"/>
      <w:lvlText w:val="▪"/>
      <w:lvlJc w:val="left"/>
      <w:rPr>
        <w:rFonts w:ascii="Tahoma" w:eastAsia="Times New Roman" w:hAnsi="Tahoma"/>
        <w:b/>
        <w:bCs/>
        <w:color w:val="000000"/>
        <w:position w:val="0"/>
      </w:rPr>
    </w:lvl>
    <w:lvl w:ilvl="6">
      <w:start w:val="1"/>
      <w:numFmt w:val="bullet"/>
      <w:lvlText w:val="•"/>
      <w:lvlJc w:val="left"/>
      <w:rPr>
        <w:rFonts w:ascii="Tahoma" w:eastAsia="Times New Roman" w:hAnsi="Tahoma"/>
        <w:b/>
        <w:bCs/>
        <w:color w:val="000000"/>
        <w:position w:val="0"/>
      </w:rPr>
    </w:lvl>
    <w:lvl w:ilvl="7">
      <w:start w:val="1"/>
      <w:numFmt w:val="bullet"/>
      <w:lvlText w:val="o"/>
      <w:lvlJc w:val="left"/>
      <w:rPr>
        <w:rFonts w:ascii="Tahoma" w:eastAsia="Times New Roman" w:hAnsi="Tahoma"/>
        <w:b/>
        <w:bCs/>
        <w:color w:val="000000"/>
        <w:position w:val="0"/>
      </w:rPr>
    </w:lvl>
    <w:lvl w:ilvl="8">
      <w:start w:val="1"/>
      <w:numFmt w:val="bullet"/>
      <w:lvlText w:val="▪"/>
      <w:lvlJc w:val="left"/>
      <w:rPr>
        <w:rFonts w:ascii="Tahoma" w:eastAsia="Times New Roman" w:hAnsi="Tahoma"/>
        <w:b/>
        <w:bCs/>
        <w:color w:val="000000"/>
        <w:position w:val="0"/>
      </w:rPr>
    </w:lvl>
  </w:abstractNum>
  <w:abstractNum w:abstractNumId="7">
    <w:nsid w:val="0A7A1241"/>
    <w:multiLevelType w:val="hybridMultilevel"/>
    <w:tmpl w:val="1BD0704E"/>
    <w:lvl w:ilvl="0" w:tplc="AC9ED27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0F8814D0"/>
    <w:multiLevelType w:val="multilevel"/>
    <w:tmpl w:val="FFFFFFFF"/>
    <w:styleLink w:val="List21"/>
    <w:lvl w:ilvl="0">
      <w:start w:val="1"/>
      <w:numFmt w:val="decimal"/>
      <w:lvlText w:val="%1."/>
      <w:lvlJc w:val="left"/>
      <w:rPr>
        <w:rFonts w:ascii="Tahoma" w:eastAsia="Times New Roman" w:hAnsi="Tahoma"/>
        <w:color w:val="000000"/>
        <w:position w:val="0"/>
      </w:rPr>
    </w:lvl>
    <w:lvl w:ilvl="1">
      <w:start w:val="1"/>
      <w:numFmt w:val="lowerLetter"/>
      <w:lvlText w:val="%2."/>
      <w:lvlJc w:val="left"/>
      <w:rPr>
        <w:rFonts w:ascii="Tahoma" w:eastAsia="Times New Roman" w:hAnsi="Tahoma"/>
        <w:color w:val="000000"/>
        <w:position w:val="0"/>
      </w:rPr>
    </w:lvl>
    <w:lvl w:ilvl="2">
      <w:start w:val="1"/>
      <w:numFmt w:val="lowerRoman"/>
      <w:lvlText w:val="%3."/>
      <w:lvlJc w:val="left"/>
      <w:rPr>
        <w:rFonts w:ascii="Tahoma" w:eastAsia="Times New Roman" w:hAnsi="Tahoma"/>
        <w:color w:val="000000"/>
        <w:position w:val="0"/>
      </w:rPr>
    </w:lvl>
    <w:lvl w:ilvl="3">
      <w:start w:val="1"/>
      <w:numFmt w:val="decimal"/>
      <w:lvlText w:val="%4."/>
      <w:lvlJc w:val="left"/>
      <w:rPr>
        <w:rFonts w:ascii="Tahoma" w:eastAsia="Times New Roman" w:hAnsi="Tahoma"/>
        <w:color w:val="000000"/>
        <w:position w:val="0"/>
      </w:rPr>
    </w:lvl>
    <w:lvl w:ilvl="4">
      <w:start w:val="1"/>
      <w:numFmt w:val="lowerLetter"/>
      <w:lvlText w:val="%5."/>
      <w:lvlJc w:val="left"/>
      <w:rPr>
        <w:rFonts w:ascii="Tahoma" w:eastAsia="Times New Roman" w:hAnsi="Tahoma"/>
        <w:color w:val="000000"/>
        <w:position w:val="0"/>
      </w:rPr>
    </w:lvl>
    <w:lvl w:ilvl="5">
      <w:start w:val="1"/>
      <w:numFmt w:val="lowerRoman"/>
      <w:lvlText w:val="%6."/>
      <w:lvlJc w:val="left"/>
      <w:rPr>
        <w:rFonts w:ascii="Tahoma" w:eastAsia="Times New Roman" w:hAnsi="Tahoma"/>
        <w:color w:val="000000"/>
        <w:position w:val="0"/>
      </w:rPr>
    </w:lvl>
    <w:lvl w:ilvl="6">
      <w:start w:val="1"/>
      <w:numFmt w:val="decimal"/>
      <w:lvlText w:val="%7."/>
      <w:lvlJc w:val="left"/>
      <w:rPr>
        <w:rFonts w:ascii="Tahoma" w:eastAsia="Times New Roman" w:hAnsi="Tahoma"/>
        <w:color w:val="000000"/>
        <w:position w:val="0"/>
      </w:rPr>
    </w:lvl>
    <w:lvl w:ilvl="7">
      <w:start w:val="1"/>
      <w:numFmt w:val="lowerLetter"/>
      <w:lvlText w:val="%8."/>
      <w:lvlJc w:val="left"/>
      <w:rPr>
        <w:rFonts w:ascii="Tahoma" w:eastAsia="Times New Roman" w:hAnsi="Tahoma"/>
        <w:color w:val="000000"/>
        <w:position w:val="0"/>
      </w:rPr>
    </w:lvl>
    <w:lvl w:ilvl="8">
      <w:start w:val="1"/>
      <w:numFmt w:val="lowerRoman"/>
      <w:lvlText w:val="%9."/>
      <w:lvlJc w:val="left"/>
      <w:rPr>
        <w:rFonts w:ascii="Tahoma" w:eastAsia="Times New Roman" w:hAnsi="Tahoma"/>
        <w:color w:val="000000"/>
        <w:position w:val="0"/>
      </w:rPr>
    </w:lvl>
  </w:abstractNum>
  <w:abstractNum w:abstractNumId="9">
    <w:nsid w:val="13402D26"/>
    <w:multiLevelType w:val="multilevel"/>
    <w:tmpl w:val="FFFFFFFF"/>
    <w:styleLink w:val="List7"/>
    <w:lvl w:ilvl="0">
      <w:start w:val="1"/>
      <w:numFmt w:val="lowerLetter"/>
      <w:lvlText w:val="%1)"/>
      <w:lvlJc w:val="left"/>
      <w:rPr>
        <w:rFonts w:ascii="Tahoma" w:eastAsia="Times New Roman" w:hAnsi="Tahoma"/>
        <w:i/>
        <w:iCs/>
        <w:color w:val="000000"/>
        <w:position w:val="0"/>
      </w:rPr>
    </w:lvl>
    <w:lvl w:ilvl="1">
      <w:start w:val="1"/>
      <w:numFmt w:val="lowerLetter"/>
      <w:lvlText w:val="%2."/>
      <w:lvlJc w:val="left"/>
      <w:rPr>
        <w:rFonts w:ascii="Tahoma" w:eastAsia="Times New Roman" w:hAnsi="Tahoma"/>
        <w:i/>
        <w:iCs/>
        <w:color w:val="000000"/>
        <w:position w:val="0"/>
      </w:rPr>
    </w:lvl>
    <w:lvl w:ilvl="2">
      <w:start w:val="1"/>
      <w:numFmt w:val="lowerRoman"/>
      <w:lvlText w:val="%3."/>
      <w:lvlJc w:val="left"/>
      <w:rPr>
        <w:rFonts w:ascii="Tahoma" w:eastAsia="Times New Roman" w:hAnsi="Tahoma"/>
        <w:i/>
        <w:iCs/>
        <w:color w:val="000000"/>
        <w:position w:val="0"/>
      </w:rPr>
    </w:lvl>
    <w:lvl w:ilvl="3">
      <w:start w:val="1"/>
      <w:numFmt w:val="decimal"/>
      <w:lvlText w:val="%4."/>
      <w:lvlJc w:val="left"/>
      <w:rPr>
        <w:rFonts w:ascii="Tahoma" w:eastAsia="Times New Roman" w:hAnsi="Tahoma"/>
        <w:i/>
        <w:iCs/>
        <w:color w:val="000000"/>
        <w:position w:val="0"/>
      </w:rPr>
    </w:lvl>
    <w:lvl w:ilvl="4">
      <w:start w:val="1"/>
      <w:numFmt w:val="lowerLetter"/>
      <w:lvlText w:val="%5."/>
      <w:lvlJc w:val="left"/>
      <w:rPr>
        <w:rFonts w:ascii="Tahoma" w:eastAsia="Times New Roman" w:hAnsi="Tahoma"/>
        <w:i/>
        <w:iCs/>
        <w:color w:val="000000"/>
        <w:position w:val="0"/>
      </w:rPr>
    </w:lvl>
    <w:lvl w:ilvl="5">
      <w:start w:val="1"/>
      <w:numFmt w:val="lowerRoman"/>
      <w:lvlText w:val="%6."/>
      <w:lvlJc w:val="left"/>
      <w:rPr>
        <w:rFonts w:ascii="Tahoma" w:eastAsia="Times New Roman" w:hAnsi="Tahoma"/>
        <w:i/>
        <w:iCs/>
        <w:color w:val="000000"/>
        <w:position w:val="0"/>
      </w:rPr>
    </w:lvl>
    <w:lvl w:ilvl="6">
      <w:start w:val="1"/>
      <w:numFmt w:val="decimal"/>
      <w:lvlText w:val="%7."/>
      <w:lvlJc w:val="left"/>
      <w:rPr>
        <w:rFonts w:ascii="Tahoma" w:eastAsia="Times New Roman" w:hAnsi="Tahoma"/>
        <w:i/>
        <w:iCs/>
        <w:color w:val="000000"/>
        <w:position w:val="0"/>
      </w:rPr>
    </w:lvl>
    <w:lvl w:ilvl="7">
      <w:start w:val="1"/>
      <w:numFmt w:val="lowerLetter"/>
      <w:lvlText w:val="%8."/>
      <w:lvlJc w:val="left"/>
      <w:rPr>
        <w:rFonts w:ascii="Tahoma" w:eastAsia="Times New Roman" w:hAnsi="Tahoma"/>
        <w:i/>
        <w:iCs/>
        <w:color w:val="000000"/>
        <w:position w:val="0"/>
      </w:rPr>
    </w:lvl>
    <w:lvl w:ilvl="8">
      <w:start w:val="1"/>
      <w:numFmt w:val="lowerRoman"/>
      <w:lvlText w:val="%9."/>
      <w:lvlJc w:val="left"/>
      <w:rPr>
        <w:rFonts w:ascii="Tahoma" w:eastAsia="Times New Roman" w:hAnsi="Tahoma"/>
        <w:i/>
        <w:iCs/>
        <w:color w:val="000000"/>
        <w:position w:val="0"/>
      </w:rPr>
    </w:lvl>
  </w:abstractNum>
  <w:abstractNum w:abstractNumId="10">
    <w:nsid w:val="18EB300E"/>
    <w:multiLevelType w:val="multilevel"/>
    <w:tmpl w:val="FFFFFFFF"/>
    <w:styleLink w:val="List26"/>
    <w:lvl w:ilvl="0">
      <w:start w:val="4"/>
      <w:numFmt w:val="decimal"/>
      <w:lvlText w:val="%1."/>
      <w:lvlJc w:val="left"/>
      <w:rPr>
        <w:rFonts w:ascii="Tahoma" w:eastAsia="Times New Roman" w:hAnsi="Tahoma"/>
        <w:color w:val="000000"/>
        <w:position w:val="0"/>
      </w:rPr>
    </w:lvl>
    <w:lvl w:ilvl="1">
      <w:start w:val="1"/>
      <w:numFmt w:val="bullet"/>
      <w:lvlText w:val="o"/>
      <w:lvlJc w:val="left"/>
      <w:rPr>
        <w:rFonts w:ascii="Tahoma" w:eastAsia="Times New Roman" w:hAnsi="Tahoma"/>
        <w:color w:val="000000"/>
        <w:position w:val="0"/>
      </w:rPr>
    </w:lvl>
    <w:lvl w:ilvl="2">
      <w:start w:val="1"/>
      <w:numFmt w:val="bullet"/>
      <w:lvlText w:val="▪"/>
      <w:lvlJc w:val="left"/>
      <w:rPr>
        <w:rFonts w:ascii="Tahoma" w:eastAsia="Times New Roman" w:hAnsi="Tahoma"/>
        <w:color w:val="000000"/>
        <w:position w:val="0"/>
      </w:rPr>
    </w:lvl>
    <w:lvl w:ilvl="3">
      <w:start w:val="1"/>
      <w:numFmt w:val="bullet"/>
      <w:lvlText w:val="•"/>
      <w:lvlJc w:val="left"/>
      <w:rPr>
        <w:rFonts w:ascii="Tahoma" w:eastAsia="Times New Roman" w:hAnsi="Tahoma"/>
        <w:color w:val="000000"/>
        <w:position w:val="0"/>
      </w:rPr>
    </w:lvl>
    <w:lvl w:ilvl="4">
      <w:start w:val="1"/>
      <w:numFmt w:val="bullet"/>
      <w:lvlText w:val="o"/>
      <w:lvlJc w:val="left"/>
      <w:rPr>
        <w:rFonts w:ascii="Tahoma" w:eastAsia="Times New Roman" w:hAnsi="Tahoma"/>
        <w:color w:val="000000"/>
        <w:position w:val="0"/>
      </w:rPr>
    </w:lvl>
    <w:lvl w:ilvl="5">
      <w:start w:val="1"/>
      <w:numFmt w:val="bullet"/>
      <w:lvlText w:val="▪"/>
      <w:lvlJc w:val="left"/>
      <w:rPr>
        <w:rFonts w:ascii="Tahoma" w:eastAsia="Times New Roman" w:hAnsi="Tahoma"/>
        <w:color w:val="000000"/>
        <w:position w:val="0"/>
      </w:rPr>
    </w:lvl>
    <w:lvl w:ilvl="6">
      <w:start w:val="1"/>
      <w:numFmt w:val="bullet"/>
      <w:lvlText w:val="•"/>
      <w:lvlJc w:val="left"/>
      <w:rPr>
        <w:rFonts w:ascii="Tahoma" w:eastAsia="Times New Roman" w:hAnsi="Tahoma"/>
        <w:color w:val="000000"/>
        <w:position w:val="0"/>
      </w:rPr>
    </w:lvl>
    <w:lvl w:ilvl="7">
      <w:start w:val="1"/>
      <w:numFmt w:val="bullet"/>
      <w:lvlText w:val="o"/>
      <w:lvlJc w:val="left"/>
      <w:rPr>
        <w:rFonts w:ascii="Tahoma" w:eastAsia="Times New Roman" w:hAnsi="Tahoma"/>
        <w:color w:val="000000"/>
        <w:position w:val="0"/>
      </w:rPr>
    </w:lvl>
    <w:lvl w:ilvl="8">
      <w:start w:val="1"/>
      <w:numFmt w:val="bullet"/>
      <w:lvlText w:val="▪"/>
      <w:lvlJc w:val="left"/>
      <w:rPr>
        <w:rFonts w:ascii="Tahoma" w:eastAsia="Times New Roman" w:hAnsi="Tahoma"/>
        <w:color w:val="000000"/>
        <w:position w:val="0"/>
      </w:rPr>
    </w:lvl>
  </w:abstractNum>
  <w:abstractNum w:abstractNumId="11">
    <w:nsid w:val="1A490995"/>
    <w:multiLevelType w:val="hybridMultilevel"/>
    <w:tmpl w:val="8E12C242"/>
    <w:lvl w:ilvl="0" w:tplc="AC9ED27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1CCE4060"/>
    <w:multiLevelType w:val="multilevel"/>
    <w:tmpl w:val="FFFFFFFF"/>
    <w:styleLink w:val="List20"/>
    <w:lvl w:ilvl="0">
      <w:start w:val="1"/>
      <w:numFmt w:val="decimal"/>
      <w:lvlText w:val="%1."/>
      <w:lvlJc w:val="left"/>
      <w:rPr>
        <w:rFonts w:ascii="Tahoma" w:eastAsia="Times New Roman" w:hAnsi="Tahoma"/>
        <w:color w:val="000000"/>
        <w:position w:val="0"/>
      </w:rPr>
    </w:lvl>
    <w:lvl w:ilvl="1">
      <w:start w:val="1"/>
      <w:numFmt w:val="lowerLetter"/>
      <w:lvlText w:val="%2."/>
      <w:lvlJc w:val="left"/>
      <w:rPr>
        <w:rFonts w:ascii="Tahoma" w:eastAsia="Times New Roman" w:hAnsi="Tahoma"/>
        <w:color w:val="000000"/>
        <w:position w:val="0"/>
      </w:rPr>
    </w:lvl>
    <w:lvl w:ilvl="2">
      <w:start w:val="1"/>
      <w:numFmt w:val="lowerRoman"/>
      <w:lvlText w:val="%3."/>
      <w:lvlJc w:val="left"/>
      <w:rPr>
        <w:rFonts w:ascii="Tahoma" w:eastAsia="Times New Roman" w:hAnsi="Tahoma"/>
        <w:color w:val="000000"/>
        <w:position w:val="0"/>
      </w:rPr>
    </w:lvl>
    <w:lvl w:ilvl="3">
      <w:start w:val="1"/>
      <w:numFmt w:val="decimal"/>
      <w:lvlText w:val="%4."/>
      <w:lvlJc w:val="left"/>
      <w:rPr>
        <w:rFonts w:ascii="Tahoma" w:eastAsia="Times New Roman" w:hAnsi="Tahoma"/>
        <w:color w:val="000000"/>
        <w:position w:val="0"/>
      </w:rPr>
    </w:lvl>
    <w:lvl w:ilvl="4">
      <w:start w:val="1"/>
      <w:numFmt w:val="lowerLetter"/>
      <w:lvlText w:val="%5."/>
      <w:lvlJc w:val="left"/>
      <w:rPr>
        <w:rFonts w:ascii="Tahoma" w:eastAsia="Times New Roman" w:hAnsi="Tahoma"/>
        <w:color w:val="000000"/>
        <w:position w:val="0"/>
      </w:rPr>
    </w:lvl>
    <w:lvl w:ilvl="5">
      <w:start w:val="1"/>
      <w:numFmt w:val="lowerRoman"/>
      <w:lvlText w:val="%6."/>
      <w:lvlJc w:val="left"/>
      <w:rPr>
        <w:rFonts w:ascii="Tahoma" w:eastAsia="Times New Roman" w:hAnsi="Tahoma"/>
        <w:color w:val="000000"/>
        <w:position w:val="0"/>
      </w:rPr>
    </w:lvl>
    <w:lvl w:ilvl="6">
      <w:start w:val="1"/>
      <w:numFmt w:val="decimal"/>
      <w:lvlText w:val="%7."/>
      <w:lvlJc w:val="left"/>
      <w:rPr>
        <w:rFonts w:ascii="Tahoma" w:eastAsia="Times New Roman" w:hAnsi="Tahoma"/>
        <w:color w:val="000000"/>
        <w:position w:val="0"/>
      </w:rPr>
    </w:lvl>
    <w:lvl w:ilvl="7">
      <w:start w:val="1"/>
      <w:numFmt w:val="lowerLetter"/>
      <w:lvlText w:val="%8."/>
      <w:lvlJc w:val="left"/>
      <w:rPr>
        <w:rFonts w:ascii="Tahoma" w:eastAsia="Times New Roman" w:hAnsi="Tahoma"/>
        <w:color w:val="000000"/>
        <w:position w:val="0"/>
      </w:rPr>
    </w:lvl>
    <w:lvl w:ilvl="8">
      <w:start w:val="1"/>
      <w:numFmt w:val="lowerRoman"/>
      <w:lvlText w:val="%9."/>
      <w:lvlJc w:val="left"/>
      <w:rPr>
        <w:rFonts w:ascii="Tahoma" w:eastAsia="Times New Roman" w:hAnsi="Tahoma"/>
        <w:color w:val="000000"/>
        <w:position w:val="0"/>
      </w:rPr>
    </w:lvl>
  </w:abstractNum>
  <w:abstractNum w:abstractNumId="13">
    <w:nsid w:val="1CD1360E"/>
    <w:multiLevelType w:val="multilevel"/>
    <w:tmpl w:val="86DAEA8E"/>
    <w:styleLink w:val="List27"/>
    <w:lvl w:ilvl="0">
      <w:start w:val="1"/>
      <w:numFmt w:val="lowerLetter"/>
      <w:lvlText w:val="%1)"/>
      <w:lvlJc w:val="left"/>
      <w:rPr>
        <w:color w:val="000000"/>
        <w:position w:val="0"/>
      </w:rPr>
    </w:lvl>
    <w:lvl w:ilvl="1">
      <w:start w:val="1"/>
      <w:numFmt w:val="lowerLetter"/>
      <w:lvlText w:val="%2."/>
      <w:lvlJc w:val="left"/>
      <w:rPr>
        <w:rFonts w:ascii="Tahoma" w:eastAsia="Times New Roman" w:hAnsi="Tahoma"/>
        <w:color w:val="000000"/>
        <w:position w:val="0"/>
      </w:rPr>
    </w:lvl>
    <w:lvl w:ilvl="2">
      <w:start w:val="1"/>
      <w:numFmt w:val="lowerRoman"/>
      <w:lvlText w:val="%3."/>
      <w:lvlJc w:val="left"/>
      <w:rPr>
        <w:rFonts w:ascii="Tahoma" w:eastAsia="Times New Roman" w:hAnsi="Tahoma"/>
        <w:color w:val="000000"/>
        <w:position w:val="0"/>
      </w:rPr>
    </w:lvl>
    <w:lvl w:ilvl="3">
      <w:start w:val="1"/>
      <w:numFmt w:val="decimal"/>
      <w:lvlText w:val="%4."/>
      <w:lvlJc w:val="left"/>
      <w:rPr>
        <w:rFonts w:ascii="Tahoma" w:eastAsia="Times New Roman" w:hAnsi="Tahoma"/>
        <w:color w:val="000000"/>
        <w:position w:val="0"/>
      </w:rPr>
    </w:lvl>
    <w:lvl w:ilvl="4">
      <w:start w:val="1"/>
      <w:numFmt w:val="lowerLetter"/>
      <w:lvlText w:val="%5."/>
      <w:lvlJc w:val="left"/>
      <w:rPr>
        <w:rFonts w:ascii="Tahoma" w:eastAsia="Times New Roman" w:hAnsi="Tahoma"/>
        <w:color w:val="000000"/>
        <w:position w:val="0"/>
      </w:rPr>
    </w:lvl>
    <w:lvl w:ilvl="5">
      <w:start w:val="1"/>
      <w:numFmt w:val="lowerRoman"/>
      <w:lvlText w:val="%6."/>
      <w:lvlJc w:val="left"/>
      <w:rPr>
        <w:rFonts w:ascii="Tahoma" w:eastAsia="Times New Roman" w:hAnsi="Tahoma"/>
        <w:color w:val="000000"/>
        <w:position w:val="0"/>
      </w:rPr>
    </w:lvl>
    <w:lvl w:ilvl="6">
      <w:start w:val="1"/>
      <w:numFmt w:val="decimal"/>
      <w:lvlText w:val="%7."/>
      <w:lvlJc w:val="left"/>
      <w:rPr>
        <w:rFonts w:ascii="Tahoma" w:eastAsia="Times New Roman" w:hAnsi="Tahoma"/>
        <w:color w:val="000000"/>
        <w:position w:val="0"/>
      </w:rPr>
    </w:lvl>
    <w:lvl w:ilvl="7">
      <w:start w:val="1"/>
      <w:numFmt w:val="lowerLetter"/>
      <w:lvlText w:val="%8."/>
      <w:lvlJc w:val="left"/>
      <w:rPr>
        <w:rFonts w:ascii="Tahoma" w:eastAsia="Times New Roman" w:hAnsi="Tahoma"/>
        <w:color w:val="000000"/>
        <w:position w:val="0"/>
      </w:rPr>
    </w:lvl>
    <w:lvl w:ilvl="8">
      <w:start w:val="1"/>
      <w:numFmt w:val="lowerRoman"/>
      <w:lvlText w:val="%9."/>
      <w:lvlJc w:val="left"/>
      <w:rPr>
        <w:rFonts w:ascii="Tahoma" w:eastAsia="Times New Roman" w:hAnsi="Tahoma"/>
        <w:color w:val="000000"/>
        <w:position w:val="0"/>
      </w:rPr>
    </w:lvl>
  </w:abstractNum>
  <w:abstractNum w:abstractNumId="14">
    <w:nsid w:val="1ECD4595"/>
    <w:multiLevelType w:val="multilevel"/>
    <w:tmpl w:val="FFFFFFFF"/>
    <w:styleLink w:val="List8"/>
    <w:lvl w:ilvl="0">
      <w:start w:val="1"/>
      <w:numFmt w:val="lowerRoman"/>
      <w:lvlText w:val="%1."/>
      <w:lvlJc w:val="left"/>
      <w:rPr>
        <w:rFonts w:ascii="Tahoma" w:eastAsia="Times New Roman" w:hAnsi="Tahoma"/>
        <w:color w:val="000000"/>
        <w:position w:val="0"/>
      </w:rPr>
    </w:lvl>
    <w:lvl w:ilvl="1">
      <w:start w:val="1"/>
      <w:numFmt w:val="lowerLetter"/>
      <w:lvlText w:val="%2."/>
      <w:lvlJc w:val="left"/>
      <w:rPr>
        <w:rFonts w:ascii="Tahoma" w:eastAsia="Times New Roman" w:hAnsi="Tahoma"/>
        <w:color w:val="000000"/>
        <w:position w:val="0"/>
      </w:rPr>
    </w:lvl>
    <w:lvl w:ilvl="2">
      <w:start w:val="1"/>
      <w:numFmt w:val="lowerRoman"/>
      <w:lvlText w:val="%3."/>
      <w:lvlJc w:val="left"/>
      <w:rPr>
        <w:rFonts w:ascii="Tahoma" w:eastAsia="Times New Roman" w:hAnsi="Tahoma"/>
        <w:color w:val="000000"/>
        <w:position w:val="0"/>
      </w:rPr>
    </w:lvl>
    <w:lvl w:ilvl="3">
      <w:start w:val="1"/>
      <w:numFmt w:val="decimal"/>
      <w:lvlText w:val="%4."/>
      <w:lvlJc w:val="left"/>
      <w:rPr>
        <w:rFonts w:ascii="Tahoma" w:eastAsia="Times New Roman" w:hAnsi="Tahoma"/>
        <w:color w:val="000000"/>
        <w:position w:val="0"/>
      </w:rPr>
    </w:lvl>
    <w:lvl w:ilvl="4">
      <w:start w:val="1"/>
      <w:numFmt w:val="lowerLetter"/>
      <w:lvlText w:val="%5."/>
      <w:lvlJc w:val="left"/>
      <w:rPr>
        <w:rFonts w:ascii="Tahoma" w:eastAsia="Times New Roman" w:hAnsi="Tahoma"/>
        <w:color w:val="000000"/>
        <w:position w:val="0"/>
      </w:rPr>
    </w:lvl>
    <w:lvl w:ilvl="5">
      <w:start w:val="1"/>
      <w:numFmt w:val="lowerRoman"/>
      <w:lvlText w:val="%6."/>
      <w:lvlJc w:val="left"/>
      <w:rPr>
        <w:rFonts w:ascii="Tahoma" w:eastAsia="Times New Roman" w:hAnsi="Tahoma"/>
        <w:color w:val="000000"/>
        <w:position w:val="0"/>
      </w:rPr>
    </w:lvl>
    <w:lvl w:ilvl="6">
      <w:start w:val="1"/>
      <w:numFmt w:val="decimal"/>
      <w:lvlText w:val="%7."/>
      <w:lvlJc w:val="left"/>
      <w:rPr>
        <w:rFonts w:ascii="Tahoma" w:eastAsia="Times New Roman" w:hAnsi="Tahoma"/>
        <w:color w:val="000000"/>
        <w:position w:val="0"/>
      </w:rPr>
    </w:lvl>
    <w:lvl w:ilvl="7">
      <w:start w:val="1"/>
      <w:numFmt w:val="lowerLetter"/>
      <w:lvlText w:val="%8."/>
      <w:lvlJc w:val="left"/>
      <w:rPr>
        <w:rFonts w:ascii="Tahoma" w:eastAsia="Times New Roman" w:hAnsi="Tahoma"/>
        <w:color w:val="000000"/>
        <w:position w:val="0"/>
      </w:rPr>
    </w:lvl>
    <w:lvl w:ilvl="8">
      <w:start w:val="1"/>
      <w:numFmt w:val="lowerRoman"/>
      <w:lvlText w:val="%9."/>
      <w:lvlJc w:val="left"/>
      <w:rPr>
        <w:rFonts w:ascii="Tahoma" w:eastAsia="Times New Roman" w:hAnsi="Tahoma"/>
        <w:color w:val="000000"/>
        <w:position w:val="0"/>
      </w:rPr>
    </w:lvl>
  </w:abstractNum>
  <w:abstractNum w:abstractNumId="15">
    <w:nsid w:val="1F066848"/>
    <w:multiLevelType w:val="multilevel"/>
    <w:tmpl w:val="FFFFFFFF"/>
    <w:styleLink w:val="List28"/>
    <w:lvl w:ilvl="0">
      <w:start w:val="1"/>
      <w:numFmt w:val="decimal"/>
      <w:lvlText w:val="%1."/>
      <w:lvlJc w:val="left"/>
      <w:rPr>
        <w:rFonts w:ascii="Tahoma" w:eastAsia="Times New Roman" w:hAnsi="Tahoma"/>
        <w:color w:val="000000"/>
        <w:position w:val="0"/>
      </w:rPr>
    </w:lvl>
    <w:lvl w:ilvl="1">
      <w:start w:val="1"/>
      <w:numFmt w:val="lowerLetter"/>
      <w:lvlText w:val="%2."/>
      <w:lvlJc w:val="left"/>
      <w:rPr>
        <w:rFonts w:ascii="Tahoma" w:eastAsia="Times New Roman" w:hAnsi="Tahoma"/>
        <w:color w:val="000000"/>
        <w:position w:val="0"/>
      </w:rPr>
    </w:lvl>
    <w:lvl w:ilvl="2">
      <w:start w:val="1"/>
      <w:numFmt w:val="lowerRoman"/>
      <w:lvlText w:val="%3."/>
      <w:lvlJc w:val="left"/>
      <w:rPr>
        <w:rFonts w:ascii="Tahoma" w:eastAsia="Times New Roman" w:hAnsi="Tahoma"/>
        <w:color w:val="000000"/>
        <w:position w:val="0"/>
      </w:rPr>
    </w:lvl>
    <w:lvl w:ilvl="3">
      <w:start w:val="1"/>
      <w:numFmt w:val="decimal"/>
      <w:lvlText w:val="%4."/>
      <w:lvlJc w:val="left"/>
      <w:rPr>
        <w:rFonts w:ascii="Tahoma" w:eastAsia="Times New Roman" w:hAnsi="Tahoma"/>
        <w:color w:val="000000"/>
        <w:position w:val="0"/>
      </w:rPr>
    </w:lvl>
    <w:lvl w:ilvl="4">
      <w:start w:val="1"/>
      <w:numFmt w:val="lowerLetter"/>
      <w:lvlText w:val="%5."/>
      <w:lvlJc w:val="left"/>
      <w:rPr>
        <w:rFonts w:ascii="Tahoma" w:eastAsia="Times New Roman" w:hAnsi="Tahoma"/>
        <w:color w:val="000000"/>
        <w:position w:val="0"/>
      </w:rPr>
    </w:lvl>
    <w:lvl w:ilvl="5">
      <w:start w:val="1"/>
      <w:numFmt w:val="lowerRoman"/>
      <w:lvlText w:val="%6."/>
      <w:lvlJc w:val="left"/>
      <w:rPr>
        <w:rFonts w:ascii="Tahoma" w:eastAsia="Times New Roman" w:hAnsi="Tahoma"/>
        <w:color w:val="000000"/>
        <w:position w:val="0"/>
      </w:rPr>
    </w:lvl>
    <w:lvl w:ilvl="6">
      <w:start w:val="1"/>
      <w:numFmt w:val="decimal"/>
      <w:lvlText w:val="%7."/>
      <w:lvlJc w:val="left"/>
      <w:rPr>
        <w:rFonts w:ascii="Tahoma" w:eastAsia="Times New Roman" w:hAnsi="Tahoma"/>
        <w:color w:val="000000"/>
        <w:position w:val="0"/>
      </w:rPr>
    </w:lvl>
    <w:lvl w:ilvl="7">
      <w:start w:val="1"/>
      <w:numFmt w:val="lowerLetter"/>
      <w:lvlText w:val="%8."/>
      <w:lvlJc w:val="left"/>
      <w:rPr>
        <w:rFonts w:ascii="Tahoma" w:eastAsia="Times New Roman" w:hAnsi="Tahoma"/>
        <w:color w:val="000000"/>
        <w:position w:val="0"/>
      </w:rPr>
    </w:lvl>
    <w:lvl w:ilvl="8">
      <w:start w:val="1"/>
      <w:numFmt w:val="lowerRoman"/>
      <w:lvlText w:val="%9."/>
      <w:lvlJc w:val="left"/>
      <w:rPr>
        <w:rFonts w:ascii="Tahoma" w:eastAsia="Times New Roman" w:hAnsi="Tahoma"/>
        <w:color w:val="000000"/>
        <w:position w:val="0"/>
      </w:rPr>
    </w:lvl>
  </w:abstractNum>
  <w:abstractNum w:abstractNumId="16">
    <w:nsid w:val="1F400DA5"/>
    <w:multiLevelType w:val="multilevel"/>
    <w:tmpl w:val="FFFFFFFF"/>
    <w:styleLink w:val="List1"/>
    <w:lvl w:ilvl="0">
      <w:start w:val="1"/>
      <w:numFmt w:val="bullet"/>
      <w:lvlText w:val="•"/>
      <w:lvlJc w:val="left"/>
      <w:rPr>
        <w:rFonts w:ascii="Tahoma" w:eastAsia="Times New Roman" w:hAnsi="Tahoma"/>
        <w:color w:val="000000"/>
        <w:position w:val="0"/>
      </w:rPr>
    </w:lvl>
    <w:lvl w:ilvl="1">
      <w:start w:val="1"/>
      <w:numFmt w:val="bullet"/>
      <w:lvlText w:val="o"/>
      <w:lvlJc w:val="left"/>
      <w:rPr>
        <w:rFonts w:ascii="Tahoma" w:eastAsia="Times New Roman" w:hAnsi="Tahoma"/>
        <w:color w:val="000000"/>
        <w:position w:val="0"/>
      </w:rPr>
    </w:lvl>
    <w:lvl w:ilvl="2">
      <w:start w:val="1"/>
      <w:numFmt w:val="bullet"/>
      <w:lvlText w:val="▪"/>
      <w:lvlJc w:val="left"/>
      <w:rPr>
        <w:rFonts w:ascii="Tahoma" w:eastAsia="Times New Roman" w:hAnsi="Tahoma"/>
        <w:color w:val="000000"/>
        <w:position w:val="0"/>
      </w:rPr>
    </w:lvl>
    <w:lvl w:ilvl="3">
      <w:start w:val="1"/>
      <w:numFmt w:val="bullet"/>
      <w:lvlText w:val="•"/>
      <w:lvlJc w:val="left"/>
      <w:rPr>
        <w:rFonts w:ascii="Tahoma" w:eastAsia="Times New Roman" w:hAnsi="Tahoma"/>
        <w:color w:val="000000"/>
        <w:position w:val="0"/>
      </w:rPr>
    </w:lvl>
    <w:lvl w:ilvl="4">
      <w:start w:val="1"/>
      <w:numFmt w:val="bullet"/>
      <w:lvlText w:val="o"/>
      <w:lvlJc w:val="left"/>
      <w:rPr>
        <w:rFonts w:ascii="Tahoma" w:eastAsia="Times New Roman" w:hAnsi="Tahoma"/>
        <w:color w:val="000000"/>
        <w:position w:val="0"/>
      </w:rPr>
    </w:lvl>
    <w:lvl w:ilvl="5">
      <w:start w:val="1"/>
      <w:numFmt w:val="bullet"/>
      <w:lvlText w:val="▪"/>
      <w:lvlJc w:val="left"/>
      <w:rPr>
        <w:rFonts w:ascii="Tahoma" w:eastAsia="Times New Roman" w:hAnsi="Tahoma"/>
        <w:color w:val="000000"/>
        <w:position w:val="0"/>
      </w:rPr>
    </w:lvl>
    <w:lvl w:ilvl="6">
      <w:start w:val="1"/>
      <w:numFmt w:val="bullet"/>
      <w:lvlText w:val="•"/>
      <w:lvlJc w:val="left"/>
      <w:rPr>
        <w:rFonts w:ascii="Tahoma" w:eastAsia="Times New Roman" w:hAnsi="Tahoma"/>
        <w:color w:val="000000"/>
        <w:position w:val="0"/>
      </w:rPr>
    </w:lvl>
    <w:lvl w:ilvl="7">
      <w:start w:val="1"/>
      <w:numFmt w:val="bullet"/>
      <w:lvlText w:val="o"/>
      <w:lvlJc w:val="left"/>
      <w:rPr>
        <w:rFonts w:ascii="Tahoma" w:eastAsia="Times New Roman" w:hAnsi="Tahoma"/>
        <w:color w:val="000000"/>
        <w:position w:val="0"/>
      </w:rPr>
    </w:lvl>
    <w:lvl w:ilvl="8">
      <w:start w:val="1"/>
      <w:numFmt w:val="bullet"/>
      <w:lvlText w:val="▪"/>
      <w:lvlJc w:val="left"/>
      <w:rPr>
        <w:rFonts w:ascii="Tahoma" w:eastAsia="Times New Roman" w:hAnsi="Tahoma"/>
        <w:color w:val="000000"/>
        <w:position w:val="0"/>
      </w:rPr>
    </w:lvl>
  </w:abstractNum>
  <w:abstractNum w:abstractNumId="17">
    <w:nsid w:val="1FE82D63"/>
    <w:multiLevelType w:val="hybridMultilevel"/>
    <w:tmpl w:val="C0A4D684"/>
    <w:lvl w:ilvl="0" w:tplc="AC9ED27A">
      <w:start w:val="1"/>
      <w:numFmt w:val="lowerLetter"/>
      <w:lvlText w:val="(%1)"/>
      <w:lvlJc w:val="left"/>
      <w:pPr>
        <w:ind w:left="1854" w:hanging="360"/>
      </w:pPr>
      <w:rPr>
        <w:rFonts w:hint="default"/>
      </w:rPr>
    </w:lvl>
    <w:lvl w:ilvl="1" w:tplc="164A6B20">
      <w:start w:val="1"/>
      <w:numFmt w:val="decimal"/>
      <w:lvlText w:val="%2."/>
      <w:lvlJc w:val="left"/>
      <w:pPr>
        <w:ind w:left="2784" w:hanging="570"/>
      </w:pPr>
      <w:rPr>
        <w:rFonts w:hAnsi="Times New Roman"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20BE5990"/>
    <w:multiLevelType w:val="multilevel"/>
    <w:tmpl w:val="FFFFFFFF"/>
    <w:styleLink w:val="List32"/>
    <w:lvl w:ilvl="0">
      <w:start w:val="1"/>
      <w:numFmt w:val="decimal"/>
      <w:lvlText w:val="%1."/>
      <w:lvlJc w:val="left"/>
      <w:rPr>
        <w:rFonts w:ascii="Tahoma" w:eastAsia="Times New Roman" w:hAnsi="Tahoma"/>
        <w:i/>
        <w:iCs/>
        <w:color w:val="000000"/>
        <w:position w:val="0"/>
      </w:rPr>
    </w:lvl>
    <w:lvl w:ilvl="1">
      <w:start w:val="1"/>
      <w:numFmt w:val="bullet"/>
      <w:lvlText w:val="•"/>
      <w:lvlJc w:val="left"/>
      <w:rPr>
        <w:rFonts w:ascii="Tahoma" w:eastAsia="Times New Roman" w:hAnsi="Tahoma"/>
        <w:i/>
        <w:iCs/>
        <w:color w:val="000000"/>
        <w:position w:val="0"/>
      </w:rPr>
    </w:lvl>
    <w:lvl w:ilvl="2">
      <w:start w:val="1"/>
      <w:numFmt w:val="decimal"/>
      <w:lvlText w:val="%1.%2.%3."/>
      <w:lvlJc w:val="left"/>
      <w:rPr>
        <w:rFonts w:ascii="Tahoma" w:eastAsia="Times New Roman" w:hAnsi="Tahoma"/>
        <w:i/>
        <w:iCs/>
        <w:color w:val="000000"/>
        <w:position w:val="0"/>
      </w:rPr>
    </w:lvl>
    <w:lvl w:ilvl="3">
      <w:start w:val="1"/>
      <w:numFmt w:val="decimal"/>
      <w:lvlText w:val="%1.%2.%3.%4."/>
      <w:lvlJc w:val="left"/>
      <w:rPr>
        <w:rFonts w:ascii="Tahoma" w:eastAsia="Times New Roman" w:hAnsi="Tahoma"/>
        <w:i/>
        <w:iCs/>
        <w:color w:val="000000"/>
        <w:position w:val="0"/>
      </w:rPr>
    </w:lvl>
    <w:lvl w:ilvl="4">
      <w:start w:val="1"/>
      <w:numFmt w:val="decimal"/>
      <w:lvlText w:val="%1.%2.%3.%4.%5."/>
      <w:lvlJc w:val="left"/>
      <w:rPr>
        <w:rFonts w:ascii="Tahoma" w:eastAsia="Times New Roman" w:hAnsi="Tahoma"/>
        <w:i/>
        <w:iCs/>
        <w:color w:val="000000"/>
        <w:position w:val="0"/>
      </w:rPr>
    </w:lvl>
    <w:lvl w:ilvl="5">
      <w:start w:val="1"/>
      <w:numFmt w:val="decimal"/>
      <w:lvlText w:val="%1.%2.%3.%4.%5.%6."/>
      <w:lvlJc w:val="left"/>
      <w:rPr>
        <w:rFonts w:ascii="Tahoma" w:eastAsia="Times New Roman" w:hAnsi="Tahoma"/>
        <w:i/>
        <w:iCs/>
        <w:color w:val="000000"/>
        <w:position w:val="0"/>
      </w:rPr>
    </w:lvl>
    <w:lvl w:ilvl="6">
      <w:start w:val="1"/>
      <w:numFmt w:val="decimal"/>
      <w:lvlText w:val="%1.%2.%3.%4.%5.%6.%7."/>
      <w:lvlJc w:val="left"/>
      <w:rPr>
        <w:rFonts w:ascii="Tahoma" w:eastAsia="Times New Roman" w:hAnsi="Tahoma"/>
        <w:i/>
        <w:iCs/>
        <w:color w:val="000000"/>
        <w:position w:val="0"/>
      </w:rPr>
    </w:lvl>
    <w:lvl w:ilvl="7">
      <w:start w:val="1"/>
      <w:numFmt w:val="decimal"/>
      <w:lvlText w:val="%1.%2.%3.%4.%5.%6.%7.%8."/>
      <w:lvlJc w:val="left"/>
      <w:rPr>
        <w:rFonts w:ascii="Tahoma" w:eastAsia="Times New Roman" w:hAnsi="Tahoma"/>
        <w:i/>
        <w:iCs/>
        <w:color w:val="000000"/>
        <w:position w:val="0"/>
      </w:rPr>
    </w:lvl>
    <w:lvl w:ilvl="8">
      <w:start w:val="1"/>
      <w:numFmt w:val="decimal"/>
      <w:lvlText w:val="%1.%2.%3.%4.%5.%6.%7.%8.%9."/>
      <w:lvlJc w:val="left"/>
      <w:rPr>
        <w:rFonts w:ascii="Tahoma" w:eastAsia="Times New Roman" w:hAnsi="Tahoma"/>
        <w:i/>
        <w:iCs/>
        <w:color w:val="000000"/>
        <w:position w:val="0"/>
      </w:rPr>
    </w:lvl>
  </w:abstractNum>
  <w:abstractNum w:abstractNumId="19">
    <w:nsid w:val="25572193"/>
    <w:multiLevelType w:val="hybridMultilevel"/>
    <w:tmpl w:val="14067E2A"/>
    <w:lvl w:ilvl="0" w:tplc="93A6AAA2">
      <w:start w:val="1"/>
      <w:numFmt w:val="decimal"/>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25D9351D"/>
    <w:multiLevelType w:val="multilevel"/>
    <w:tmpl w:val="FFFFFFFF"/>
    <w:styleLink w:val="List14"/>
    <w:lvl w:ilvl="0">
      <w:start w:val="1"/>
      <w:numFmt w:val="bullet"/>
      <w:lvlText w:val="o"/>
      <w:lvlJc w:val="left"/>
      <w:rPr>
        <w:rFonts w:ascii="Tahoma" w:eastAsia="Times New Roman" w:hAnsi="Tahoma"/>
        <w:color w:val="000000"/>
        <w:position w:val="0"/>
      </w:rPr>
    </w:lvl>
    <w:lvl w:ilvl="1">
      <w:start w:val="1"/>
      <w:numFmt w:val="bullet"/>
      <w:lvlText w:val="o"/>
      <w:lvlJc w:val="left"/>
      <w:rPr>
        <w:rFonts w:ascii="Tahoma" w:eastAsia="Times New Roman" w:hAnsi="Tahoma"/>
        <w:color w:val="000000"/>
        <w:position w:val="0"/>
      </w:rPr>
    </w:lvl>
    <w:lvl w:ilvl="2">
      <w:start w:val="1"/>
      <w:numFmt w:val="bullet"/>
      <w:lvlText w:val="▪"/>
      <w:lvlJc w:val="left"/>
      <w:rPr>
        <w:rFonts w:ascii="Tahoma" w:eastAsia="Times New Roman" w:hAnsi="Tahoma"/>
        <w:color w:val="000000"/>
        <w:position w:val="0"/>
      </w:rPr>
    </w:lvl>
    <w:lvl w:ilvl="3">
      <w:start w:val="1"/>
      <w:numFmt w:val="bullet"/>
      <w:lvlText w:val="•"/>
      <w:lvlJc w:val="left"/>
      <w:rPr>
        <w:rFonts w:ascii="Tahoma" w:eastAsia="Times New Roman" w:hAnsi="Tahoma"/>
        <w:color w:val="000000"/>
        <w:position w:val="0"/>
      </w:rPr>
    </w:lvl>
    <w:lvl w:ilvl="4">
      <w:start w:val="1"/>
      <w:numFmt w:val="bullet"/>
      <w:lvlText w:val="o"/>
      <w:lvlJc w:val="left"/>
      <w:rPr>
        <w:rFonts w:ascii="Tahoma" w:eastAsia="Times New Roman" w:hAnsi="Tahoma"/>
        <w:color w:val="000000"/>
        <w:position w:val="0"/>
      </w:rPr>
    </w:lvl>
    <w:lvl w:ilvl="5">
      <w:start w:val="1"/>
      <w:numFmt w:val="bullet"/>
      <w:lvlText w:val="▪"/>
      <w:lvlJc w:val="left"/>
      <w:rPr>
        <w:rFonts w:ascii="Tahoma" w:eastAsia="Times New Roman" w:hAnsi="Tahoma"/>
        <w:color w:val="000000"/>
        <w:position w:val="0"/>
      </w:rPr>
    </w:lvl>
    <w:lvl w:ilvl="6">
      <w:start w:val="1"/>
      <w:numFmt w:val="bullet"/>
      <w:lvlText w:val="•"/>
      <w:lvlJc w:val="left"/>
      <w:rPr>
        <w:rFonts w:ascii="Tahoma" w:eastAsia="Times New Roman" w:hAnsi="Tahoma"/>
        <w:color w:val="000000"/>
        <w:position w:val="0"/>
      </w:rPr>
    </w:lvl>
    <w:lvl w:ilvl="7">
      <w:start w:val="1"/>
      <w:numFmt w:val="bullet"/>
      <w:lvlText w:val="o"/>
      <w:lvlJc w:val="left"/>
      <w:rPr>
        <w:rFonts w:ascii="Tahoma" w:eastAsia="Times New Roman" w:hAnsi="Tahoma"/>
        <w:color w:val="000000"/>
        <w:position w:val="0"/>
      </w:rPr>
    </w:lvl>
    <w:lvl w:ilvl="8">
      <w:start w:val="1"/>
      <w:numFmt w:val="bullet"/>
      <w:lvlText w:val="▪"/>
      <w:lvlJc w:val="left"/>
      <w:rPr>
        <w:rFonts w:ascii="Tahoma" w:eastAsia="Times New Roman" w:hAnsi="Tahoma"/>
        <w:color w:val="000000"/>
        <w:position w:val="0"/>
      </w:rPr>
    </w:lvl>
  </w:abstractNum>
  <w:abstractNum w:abstractNumId="21">
    <w:nsid w:val="26677B38"/>
    <w:multiLevelType w:val="multilevel"/>
    <w:tmpl w:val="FFFFFFFF"/>
    <w:styleLink w:val="List34"/>
    <w:lvl w:ilvl="0">
      <w:start w:val="1"/>
      <w:numFmt w:val="lowerLetter"/>
      <w:lvlText w:val="%1."/>
      <w:lvlJc w:val="left"/>
      <w:rPr>
        <w:rFonts w:ascii="Tahoma" w:eastAsia="Times New Roman" w:hAnsi="Tahoma"/>
        <w:i/>
        <w:iCs/>
        <w:color w:val="000000"/>
        <w:position w:val="0"/>
      </w:rPr>
    </w:lvl>
    <w:lvl w:ilvl="1">
      <w:start w:val="1"/>
      <w:numFmt w:val="lowerLetter"/>
      <w:lvlText w:val="%2."/>
      <w:lvlJc w:val="left"/>
      <w:rPr>
        <w:rFonts w:ascii="Tahoma" w:eastAsia="Times New Roman" w:hAnsi="Tahoma"/>
        <w:i/>
        <w:iCs/>
        <w:color w:val="000000"/>
        <w:position w:val="0"/>
      </w:rPr>
    </w:lvl>
    <w:lvl w:ilvl="2">
      <w:start w:val="1"/>
      <w:numFmt w:val="lowerRoman"/>
      <w:lvlText w:val="%3."/>
      <w:lvlJc w:val="left"/>
      <w:rPr>
        <w:rFonts w:ascii="Tahoma" w:eastAsia="Times New Roman" w:hAnsi="Tahoma"/>
        <w:i/>
        <w:iCs/>
        <w:color w:val="000000"/>
        <w:position w:val="0"/>
      </w:rPr>
    </w:lvl>
    <w:lvl w:ilvl="3">
      <w:start w:val="1"/>
      <w:numFmt w:val="decimal"/>
      <w:lvlText w:val="%4."/>
      <w:lvlJc w:val="left"/>
      <w:rPr>
        <w:rFonts w:ascii="Tahoma" w:eastAsia="Times New Roman" w:hAnsi="Tahoma"/>
        <w:i/>
        <w:iCs/>
        <w:color w:val="000000"/>
        <w:position w:val="0"/>
      </w:rPr>
    </w:lvl>
    <w:lvl w:ilvl="4">
      <w:start w:val="1"/>
      <w:numFmt w:val="lowerLetter"/>
      <w:lvlText w:val="%5."/>
      <w:lvlJc w:val="left"/>
      <w:rPr>
        <w:rFonts w:ascii="Tahoma" w:eastAsia="Times New Roman" w:hAnsi="Tahoma"/>
        <w:i/>
        <w:iCs/>
        <w:color w:val="000000"/>
        <w:position w:val="0"/>
      </w:rPr>
    </w:lvl>
    <w:lvl w:ilvl="5">
      <w:start w:val="1"/>
      <w:numFmt w:val="lowerRoman"/>
      <w:lvlText w:val="%6."/>
      <w:lvlJc w:val="left"/>
      <w:rPr>
        <w:rFonts w:ascii="Tahoma" w:eastAsia="Times New Roman" w:hAnsi="Tahoma"/>
        <w:i/>
        <w:iCs/>
        <w:color w:val="000000"/>
        <w:position w:val="0"/>
      </w:rPr>
    </w:lvl>
    <w:lvl w:ilvl="6">
      <w:start w:val="1"/>
      <w:numFmt w:val="decimal"/>
      <w:lvlText w:val="%7."/>
      <w:lvlJc w:val="left"/>
      <w:rPr>
        <w:rFonts w:ascii="Tahoma" w:eastAsia="Times New Roman" w:hAnsi="Tahoma"/>
        <w:i/>
        <w:iCs/>
        <w:color w:val="000000"/>
        <w:position w:val="0"/>
      </w:rPr>
    </w:lvl>
    <w:lvl w:ilvl="7">
      <w:start w:val="1"/>
      <w:numFmt w:val="lowerLetter"/>
      <w:lvlText w:val="%8."/>
      <w:lvlJc w:val="left"/>
      <w:rPr>
        <w:rFonts w:ascii="Tahoma" w:eastAsia="Times New Roman" w:hAnsi="Tahoma"/>
        <w:i/>
        <w:iCs/>
        <w:color w:val="000000"/>
        <w:position w:val="0"/>
      </w:rPr>
    </w:lvl>
    <w:lvl w:ilvl="8">
      <w:start w:val="1"/>
      <w:numFmt w:val="lowerRoman"/>
      <w:lvlText w:val="%9."/>
      <w:lvlJc w:val="left"/>
      <w:rPr>
        <w:rFonts w:ascii="Tahoma" w:eastAsia="Times New Roman" w:hAnsi="Tahoma"/>
        <w:i/>
        <w:iCs/>
        <w:color w:val="000000"/>
        <w:position w:val="0"/>
      </w:rPr>
    </w:lvl>
  </w:abstractNum>
  <w:abstractNum w:abstractNumId="22">
    <w:nsid w:val="27010A69"/>
    <w:multiLevelType w:val="multilevel"/>
    <w:tmpl w:val="FFFFFFFF"/>
    <w:styleLink w:val="List15"/>
    <w:lvl w:ilvl="0">
      <w:start w:val="1"/>
      <w:numFmt w:val="bullet"/>
      <w:lvlText w:val="▪"/>
      <w:lvlJc w:val="left"/>
      <w:rPr>
        <w:rFonts w:ascii="Tahoma" w:eastAsia="Times New Roman" w:hAnsi="Tahoma"/>
        <w:color w:val="000000"/>
        <w:position w:val="0"/>
      </w:rPr>
    </w:lvl>
    <w:lvl w:ilvl="1">
      <w:start w:val="1"/>
      <w:numFmt w:val="bullet"/>
      <w:lvlText w:val="o"/>
      <w:lvlJc w:val="left"/>
      <w:rPr>
        <w:rFonts w:ascii="Tahoma" w:eastAsia="Times New Roman" w:hAnsi="Tahoma"/>
        <w:color w:val="000000"/>
        <w:position w:val="0"/>
      </w:rPr>
    </w:lvl>
    <w:lvl w:ilvl="2">
      <w:start w:val="1"/>
      <w:numFmt w:val="bullet"/>
      <w:lvlText w:val="▪"/>
      <w:lvlJc w:val="left"/>
      <w:rPr>
        <w:rFonts w:ascii="Tahoma" w:eastAsia="Times New Roman" w:hAnsi="Tahoma"/>
        <w:color w:val="000000"/>
        <w:position w:val="0"/>
      </w:rPr>
    </w:lvl>
    <w:lvl w:ilvl="3">
      <w:start w:val="1"/>
      <w:numFmt w:val="bullet"/>
      <w:lvlText w:val="•"/>
      <w:lvlJc w:val="left"/>
      <w:rPr>
        <w:rFonts w:ascii="Tahoma" w:eastAsia="Times New Roman" w:hAnsi="Tahoma"/>
        <w:color w:val="000000"/>
        <w:position w:val="0"/>
      </w:rPr>
    </w:lvl>
    <w:lvl w:ilvl="4">
      <w:start w:val="1"/>
      <w:numFmt w:val="bullet"/>
      <w:lvlText w:val="o"/>
      <w:lvlJc w:val="left"/>
      <w:rPr>
        <w:rFonts w:ascii="Tahoma" w:eastAsia="Times New Roman" w:hAnsi="Tahoma"/>
        <w:color w:val="000000"/>
        <w:position w:val="0"/>
      </w:rPr>
    </w:lvl>
    <w:lvl w:ilvl="5">
      <w:start w:val="1"/>
      <w:numFmt w:val="bullet"/>
      <w:lvlText w:val="▪"/>
      <w:lvlJc w:val="left"/>
      <w:rPr>
        <w:rFonts w:ascii="Tahoma" w:eastAsia="Times New Roman" w:hAnsi="Tahoma"/>
        <w:color w:val="000000"/>
        <w:position w:val="0"/>
      </w:rPr>
    </w:lvl>
    <w:lvl w:ilvl="6">
      <w:start w:val="1"/>
      <w:numFmt w:val="bullet"/>
      <w:lvlText w:val="•"/>
      <w:lvlJc w:val="left"/>
      <w:rPr>
        <w:rFonts w:ascii="Tahoma" w:eastAsia="Times New Roman" w:hAnsi="Tahoma"/>
        <w:color w:val="000000"/>
        <w:position w:val="0"/>
      </w:rPr>
    </w:lvl>
    <w:lvl w:ilvl="7">
      <w:start w:val="1"/>
      <w:numFmt w:val="bullet"/>
      <w:lvlText w:val="o"/>
      <w:lvlJc w:val="left"/>
      <w:rPr>
        <w:rFonts w:ascii="Tahoma" w:eastAsia="Times New Roman" w:hAnsi="Tahoma"/>
        <w:color w:val="000000"/>
        <w:position w:val="0"/>
      </w:rPr>
    </w:lvl>
    <w:lvl w:ilvl="8">
      <w:start w:val="1"/>
      <w:numFmt w:val="bullet"/>
      <w:lvlText w:val="▪"/>
      <w:lvlJc w:val="left"/>
      <w:rPr>
        <w:rFonts w:ascii="Tahoma" w:eastAsia="Times New Roman" w:hAnsi="Tahoma"/>
        <w:color w:val="000000"/>
        <w:position w:val="0"/>
      </w:rPr>
    </w:lvl>
  </w:abstractNum>
  <w:abstractNum w:abstractNumId="23">
    <w:nsid w:val="2D321AD4"/>
    <w:multiLevelType w:val="multilevel"/>
    <w:tmpl w:val="FFFFFFFF"/>
    <w:styleLink w:val="List25"/>
    <w:lvl w:ilvl="0">
      <w:start w:val="1"/>
      <w:numFmt w:val="decimal"/>
      <w:lvlText w:val="%1."/>
      <w:lvlJc w:val="left"/>
      <w:rPr>
        <w:rFonts w:ascii="Tahoma" w:eastAsia="Times New Roman" w:hAnsi="Tahoma"/>
        <w:color w:val="000000"/>
        <w:position w:val="0"/>
      </w:rPr>
    </w:lvl>
    <w:lvl w:ilvl="1">
      <w:start w:val="1"/>
      <w:numFmt w:val="bullet"/>
      <w:lvlText w:val="o"/>
      <w:lvlJc w:val="left"/>
      <w:rPr>
        <w:rFonts w:ascii="Tahoma" w:eastAsia="Times New Roman" w:hAnsi="Tahoma"/>
        <w:color w:val="000000"/>
        <w:position w:val="0"/>
      </w:rPr>
    </w:lvl>
    <w:lvl w:ilvl="2">
      <w:start w:val="1"/>
      <w:numFmt w:val="bullet"/>
      <w:lvlText w:val="▪"/>
      <w:lvlJc w:val="left"/>
      <w:rPr>
        <w:rFonts w:ascii="Tahoma" w:eastAsia="Times New Roman" w:hAnsi="Tahoma"/>
        <w:color w:val="000000"/>
        <w:position w:val="0"/>
      </w:rPr>
    </w:lvl>
    <w:lvl w:ilvl="3">
      <w:start w:val="1"/>
      <w:numFmt w:val="bullet"/>
      <w:lvlText w:val="•"/>
      <w:lvlJc w:val="left"/>
      <w:rPr>
        <w:rFonts w:ascii="Tahoma" w:eastAsia="Times New Roman" w:hAnsi="Tahoma"/>
        <w:color w:val="000000"/>
        <w:position w:val="0"/>
      </w:rPr>
    </w:lvl>
    <w:lvl w:ilvl="4">
      <w:start w:val="1"/>
      <w:numFmt w:val="bullet"/>
      <w:lvlText w:val="o"/>
      <w:lvlJc w:val="left"/>
      <w:rPr>
        <w:rFonts w:ascii="Tahoma" w:eastAsia="Times New Roman" w:hAnsi="Tahoma"/>
        <w:color w:val="000000"/>
        <w:position w:val="0"/>
      </w:rPr>
    </w:lvl>
    <w:lvl w:ilvl="5">
      <w:start w:val="1"/>
      <w:numFmt w:val="bullet"/>
      <w:lvlText w:val="▪"/>
      <w:lvlJc w:val="left"/>
      <w:rPr>
        <w:rFonts w:ascii="Tahoma" w:eastAsia="Times New Roman" w:hAnsi="Tahoma"/>
        <w:color w:val="000000"/>
        <w:position w:val="0"/>
      </w:rPr>
    </w:lvl>
    <w:lvl w:ilvl="6">
      <w:start w:val="1"/>
      <w:numFmt w:val="bullet"/>
      <w:lvlText w:val="•"/>
      <w:lvlJc w:val="left"/>
      <w:rPr>
        <w:rFonts w:ascii="Tahoma" w:eastAsia="Times New Roman" w:hAnsi="Tahoma"/>
        <w:color w:val="000000"/>
        <w:position w:val="0"/>
      </w:rPr>
    </w:lvl>
    <w:lvl w:ilvl="7">
      <w:start w:val="1"/>
      <w:numFmt w:val="bullet"/>
      <w:lvlText w:val="o"/>
      <w:lvlJc w:val="left"/>
      <w:rPr>
        <w:rFonts w:ascii="Tahoma" w:eastAsia="Times New Roman" w:hAnsi="Tahoma"/>
        <w:color w:val="000000"/>
        <w:position w:val="0"/>
      </w:rPr>
    </w:lvl>
    <w:lvl w:ilvl="8">
      <w:start w:val="1"/>
      <w:numFmt w:val="bullet"/>
      <w:lvlText w:val="▪"/>
      <w:lvlJc w:val="left"/>
      <w:rPr>
        <w:rFonts w:ascii="Tahoma" w:eastAsia="Times New Roman" w:hAnsi="Tahoma"/>
        <w:color w:val="000000"/>
        <w:position w:val="0"/>
      </w:rPr>
    </w:lvl>
  </w:abstractNum>
  <w:abstractNum w:abstractNumId="24">
    <w:nsid w:val="2D844BBC"/>
    <w:multiLevelType w:val="hybridMultilevel"/>
    <w:tmpl w:val="5FA4A234"/>
    <w:lvl w:ilvl="0" w:tplc="08090017">
      <w:start w:val="1"/>
      <w:numFmt w:val="lowerLetter"/>
      <w:lvlText w:val="%1)"/>
      <w:lvlJc w:val="left"/>
      <w:pPr>
        <w:ind w:left="1854" w:hanging="360"/>
      </w:pPr>
    </w:lvl>
    <w:lvl w:ilvl="1" w:tplc="AC9ED27A">
      <w:start w:val="1"/>
      <w:numFmt w:val="lowerLetter"/>
      <w:lvlText w:val="(%2)"/>
      <w:lvlJc w:val="left"/>
      <w:pPr>
        <w:ind w:left="2574" w:hanging="360"/>
      </w:pPr>
      <w:rPr>
        <w:rFonts w:hint="default"/>
      </w:r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2FEC31DD"/>
    <w:multiLevelType w:val="multilevel"/>
    <w:tmpl w:val="FFFFFFFF"/>
    <w:styleLink w:val="List18"/>
    <w:lvl w:ilvl="0">
      <w:start w:val="1"/>
      <w:numFmt w:val="lowerLetter"/>
      <w:lvlText w:val="%1."/>
      <w:lvlJc w:val="left"/>
      <w:rPr>
        <w:rFonts w:ascii="Tahoma" w:eastAsia="Times New Roman" w:hAnsi="Tahoma"/>
        <w:color w:val="000000"/>
        <w:position w:val="0"/>
      </w:rPr>
    </w:lvl>
    <w:lvl w:ilvl="1">
      <w:start w:val="1"/>
      <w:numFmt w:val="lowerLetter"/>
      <w:lvlText w:val="%2."/>
      <w:lvlJc w:val="left"/>
      <w:rPr>
        <w:rFonts w:ascii="Tahoma" w:eastAsia="Times New Roman" w:hAnsi="Tahoma"/>
        <w:color w:val="000000"/>
        <w:position w:val="0"/>
      </w:rPr>
    </w:lvl>
    <w:lvl w:ilvl="2">
      <w:start w:val="1"/>
      <w:numFmt w:val="lowerRoman"/>
      <w:lvlText w:val="%3."/>
      <w:lvlJc w:val="left"/>
      <w:rPr>
        <w:rFonts w:ascii="Tahoma" w:eastAsia="Times New Roman" w:hAnsi="Tahoma"/>
        <w:color w:val="000000"/>
        <w:position w:val="0"/>
      </w:rPr>
    </w:lvl>
    <w:lvl w:ilvl="3">
      <w:start w:val="1"/>
      <w:numFmt w:val="decimal"/>
      <w:lvlText w:val="%4."/>
      <w:lvlJc w:val="left"/>
      <w:rPr>
        <w:rFonts w:ascii="Tahoma" w:eastAsia="Times New Roman" w:hAnsi="Tahoma"/>
        <w:color w:val="000000"/>
        <w:position w:val="0"/>
      </w:rPr>
    </w:lvl>
    <w:lvl w:ilvl="4">
      <w:start w:val="1"/>
      <w:numFmt w:val="lowerLetter"/>
      <w:lvlText w:val="%5."/>
      <w:lvlJc w:val="left"/>
      <w:rPr>
        <w:rFonts w:ascii="Tahoma" w:eastAsia="Times New Roman" w:hAnsi="Tahoma"/>
        <w:color w:val="000000"/>
        <w:position w:val="0"/>
      </w:rPr>
    </w:lvl>
    <w:lvl w:ilvl="5">
      <w:start w:val="1"/>
      <w:numFmt w:val="lowerRoman"/>
      <w:lvlText w:val="%6."/>
      <w:lvlJc w:val="left"/>
      <w:rPr>
        <w:rFonts w:ascii="Tahoma" w:eastAsia="Times New Roman" w:hAnsi="Tahoma"/>
        <w:color w:val="000000"/>
        <w:position w:val="0"/>
      </w:rPr>
    </w:lvl>
    <w:lvl w:ilvl="6">
      <w:start w:val="1"/>
      <w:numFmt w:val="decimal"/>
      <w:lvlText w:val="%7."/>
      <w:lvlJc w:val="left"/>
      <w:rPr>
        <w:rFonts w:ascii="Tahoma" w:eastAsia="Times New Roman" w:hAnsi="Tahoma"/>
        <w:color w:val="000000"/>
        <w:position w:val="0"/>
      </w:rPr>
    </w:lvl>
    <w:lvl w:ilvl="7">
      <w:start w:val="1"/>
      <w:numFmt w:val="lowerLetter"/>
      <w:lvlText w:val="%8."/>
      <w:lvlJc w:val="left"/>
      <w:rPr>
        <w:rFonts w:ascii="Tahoma" w:eastAsia="Times New Roman" w:hAnsi="Tahoma"/>
        <w:color w:val="000000"/>
        <w:position w:val="0"/>
      </w:rPr>
    </w:lvl>
    <w:lvl w:ilvl="8">
      <w:start w:val="1"/>
      <w:numFmt w:val="lowerRoman"/>
      <w:lvlText w:val="%9."/>
      <w:lvlJc w:val="left"/>
      <w:rPr>
        <w:rFonts w:ascii="Tahoma" w:eastAsia="Times New Roman" w:hAnsi="Tahoma"/>
        <w:color w:val="000000"/>
        <w:position w:val="0"/>
      </w:rPr>
    </w:lvl>
  </w:abstractNum>
  <w:abstractNum w:abstractNumId="26">
    <w:nsid w:val="30532996"/>
    <w:multiLevelType w:val="hybridMultilevel"/>
    <w:tmpl w:val="1F429274"/>
    <w:lvl w:ilvl="0" w:tplc="D16843D2">
      <w:start w:val="68"/>
      <w:numFmt w:val="decimal"/>
      <w:lvlText w:val="%1."/>
      <w:lvlJc w:val="left"/>
      <w:pPr>
        <w:ind w:left="1854"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0B71C14"/>
    <w:multiLevelType w:val="multilevel"/>
    <w:tmpl w:val="CA98BBE8"/>
    <w:styleLink w:val="List0"/>
    <w:lvl w:ilvl="0">
      <w:start w:val="1"/>
      <w:numFmt w:val="bullet"/>
      <w:lvlText w:val="•"/>
      <w:lvlJc w:val="left"/>
      <w:rPr>
        <w:rFonts w:ascii="Tahoma" w:eastAsia="Times New Roman" w:hAnsi="Tahoma"/>
        <w:color w:val="0000FF"/>
        <w:position w:val="0"/>
      </w:rPr>
    </w:lvl>
    <w:lvl w:ilvl="1">
      <w:start w:val="1"/>
      <w:numFmt w:val="bullet"/>
      <w:lvlText w:val="o"/>
      <w:lvlJc w:val="left"/>
      <w:rPr>
        <w:rFonts w:ascii="Tahoma" w:eastAsia="Times New Roman" w:hAnsi="Tahoma"/>
        <w:color w:val="0000FF"/>
        <w:position w:val="0"/>
      </w:rPr>
    </w:lvl>
    <w:lvl w:ilvl="2">
      <w:start w:val="1"/>
      <w:numFmt w:val="bullet"/>
      <w:lvlText w:val="▪"/>
      <w:lvlJc w:val="left"/>
      <w:rPr>
        <w:rFonts w:ascii="Tahoma" w:eastAsia="Times New Roman" w:hAnsi="Tahoma"/>
        <w:color w:val="0000FF"/>
        <w:position w:val="0"/>
      </w:rPr>
    </w:lvl>
    <w:lvl w:ilvl="3">
      <w:start w:val="1"/>
      <w:numFmt w:val="bullet"/>
      <w:lvlText w:val="•"/>
      <w:lvlJc w:val="left"/>
      <w:rPr>
        <w:rFonts w:ascii="Tahoma" w:eastAsia="Times New Roman" w:hAnsi="Tahoma"/>
        <w:color w:val="0000FF"/>
        <w:position w:val="0"/>
      </w:rPr>
    </w:lvl>
    <w:lvl w:ilvl="4">
      <w:start w:val="1"/>
      <w:numFmt w:val="bullet"/>
      <w:lvlText w:val="o"/>
      <w:lvlJc w:val="left"/>
      <w:rPr>
        <w:rFonts w:ascii="Tahoma" w:eastAsia="Times New Roman" w:hAnsi="Tahoma"/>
        <w:color w:val="0000FF"/>
        <w:position w:val="0"/>
      </w:rPr>
    </w:lvl>
    <w:lvl w:ilvl="5">
      <w:start w:val="1"/>
      <w:numFmt w:val="bullet"/>
      <w:lvlText w:val="▪"/>
      <w:lvlJc w:val="left"/>
      <w:rPr>
        <w:rFonts w:ascii="Tahoma" w:eastAsia="Times New Roman" w:hAnsi="Tahoma"/>
        <w:color w:val="0000FF"/>
        <w:position w:val="0"/>
      </w:rPr>
    </w:lvl>
    <w:lvl w:ilvl="6">
      <w:start w:val="1"/>
      <w:numFmt w:val="bullet"/>
      <w:lvlText w:val="•"/>
      <w:lvlJc w:val="left"/>
      <w:rPr>
        <w:rFonts w:ascii="Tahoma" w:eastAsia="Times New Roman" w:hAnsi="Tahoma"/>
        <w:color w:val="0000FF"/>
        <w:position w:val="0"/>
      </w:rPr>
    </w:lvl>
    <w:lvl w:ilvl="7">
      <w:start w:val="1"/>
      <w:numFmt w:val="bullet"/>
      <w:lvlText w:val="o"/>
      <w:lvlJc w:val="left"/>
      <w:rPr>
        <w:rFonts w:ascii="Tahoma" w:eastAsia="Times New Roman" w:hAnsi="Tahoma"/>
        <w:color w:val="0000FF"/>
        <w:position w:val="0"/>
      </w:rPr>
    </w:lvl>
    <w:lvl w:ilvl="8">
      <w:start w:val="1"/>
      <w:numFmt w:val="bullet"/>
      <w:lvlText w:val="▪"/>
      <w:lvlJc w:val="left"/>
      <w:rPr>
        <w:rFonts w:ascii="Tahoma" w:eastAsia="Times New Roman" w:hAnsi="Tahoma"/>
        <w:color w:val="0000FF"/>
        <w:position w:val="0"/>
      </w:rPr>
    </w:lvl>
  </w:abstractNum>
  <w:abstractNum w:abstractNumId="28">
    <w:nsid w:val="31874A67"/>
    <w:multiLevelType w:val="hybridMultilevel"/>
    <w:tmpl w:val="40323EF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nsid w:val="31BD5FF0"/>
    <w:multiLevelType w:val="multilevel"/>
    <w:tmpl w:val="0CE03268"/>
    <w:styleLink w:val="List23"/>
    <w:lvl w:ilvl="0">
      <w:start w:val="1"/>
      <w:numFmt w:val="lowerLetter"/>
      <w:lvlText w:val="%1)"/>
      <w:lvlJc w:val="left"/>
      <w:rPr>
        <w:color w:val="000000"/>
        <w:position w:val="0"/>
      </w:rPr>
    </w:lvl>
    <w:lvl w:ilvl="1">
      <w:start w:val="1"/>
      <w:numFmt w:val="lowerLetter"/>
      <w:lvlText w:val="%2."/>
      <w:lvlJc w:val="left"/>
      <w:rPr>
        <w:rFonts w:ascii="Tahoma" w:eastAsia="Times New Roman" w:hAnsi="Tahoma"/>
        <w:color w:val="000000"/>
        <w:position w:val="0"/>
      </w:rPr>
    </w:lvl>
    <w:lvl w:ilvl="2">
      <w:start w:val="1"/>
      <w:numFmt w:val="lowerRoman"/>
      <w:lvlText w:val="%3."/>
      <w:lvlJc w:val="left"/>
      <w:rPr>
        <w:rFonts w:ascii="Tahoma" w:eastAsia="Times New Roman" w:hAnsi="Tahoma"/>
        <w:color w:val="000000"/>
        <w:position w:val="0"/>
      </w:rPr>
    </w:lvl>
    <w:lvl w:ilvl="3">
      <w:start w:val="1"/>
      <w:numFmt w:val="decimal"/>
      <w:lvlText w:val="%4."/>
      <w:lvlJc w:val="left"/>
      <w:rPr>
        <w:rFonts w:ascii="Tahoma" w:eastAsia="Times New Roman" w:hAnsi="Tahoma"/>
        <w:color w:val="000000"/>
        <w:position w:val="0"/>
      </w:rPr>
    </w:lvl>
    <w:lvl w:ilvl="4">
      <w:start w:val="1"/>
      <w:numFmt w:val="lowerLetter"/>
      <w:lvlText w:val="%5."/>
      <w:lvlJc w:val="left"/>
      <w:rPr>
        <w:rFonts w:ascii="Tahoma" w:eastAsia="Times New Roman" w:hAnsi="Tahoma"/>
        <w:color w:val="000000"/>
        <w:position w:val="0"/>
      </w:rPr>
    </w:lvl>
    <w:lvl w:ilvl="5">
      <w:start w:val="1"/>
      <w:numFmt w:val="lowerRoman"/>
      <w:lvlText w:val="%6."/>
      <w:lvlJc w:val="left"/>
      <w:rPr>
        <w:rFonts w:ascii="Tahoma" w:eastAsia="Times New Roman" w:hAnsi="Tahoma"/>
        <w:color w:val="000000"/>
        <w:position w:val="0"/>
      </w:rPr>
    </w:lvl>
    <w:lvl w:ilvl="6">
      <w:start w:val="1"/>
      <w:numFmt w:val="decimal"/>
      <w:lvlText w:val="%7."/>
      <w:lvlJc w:val="left"/>
      <w:rPr>
        <w:rFonts w:ascii="Tahoma" w:eastAsia="Times New Roman" w:hAnsi="Tahoma"/>
        <w:color w:val="000000"/>
        <w:position w:val="0"/>
      </w:rPr>
    </w:lvl>
    <w:lvl w:ilvl="7">
      <w:start w:val="1"/>
      <w:numFmt w:val="lowerLetter"/>
      <w:lvlText w:val="%8."/>
      <w:lvlJc w:val="left"/>
      <w:rPr>
        <w:rFonts w:ascii="Tahoma" w:eastAsia="Times New Roman" w:hAnsi="Tahoma"/>
        <w:color w:val="000000"/>
        <w:position w:val="0"/>
      </w:rPr>
    </w:lvl>
    <w:lvl w:ilvl="8">
      <w:start w:val="1"/>
      <w:numFmt w:val="lowerRoman"/>
      <w:lvlText w:val="%9."/>
      <w:lvlJc w:val="left"/>
      <w:rPr>
        <w:rFonts w:ascii="Tahoma" w:eastAsia="Times New Roman" w:hAnsi="Tahoma"/>
        <w:color w:val="000000"/>
        <w:position w:val="0"/>
      </w:rPr>
    </w:lvl>
  </w:abstractNum>
  <w:abstractNum w:abstractNumId="30">
    <w:nsid w:val="3E324928"/>
    <w:multiLevelType w:val="multilevel"/>
    <w:tmpl w:val="FFFFFFFF"/>
    <w:styleLink w:val="List16"/>
    <w:lvl w:ilvl="0">
      <w:start w:val="1"/>
      <w:numFmt w:val="bullet"/>
      <w:lvlText w:val="o"/>
      <w:lvlJc w:val="left"/>
      <w:rPr>
        <w:rFonts w:ascii="Tahoma" w:eastAsia="Times New Roman" w:hAnsi="Tahoma"/>
        <w:color w:val="000000"/>
        <w:position w:val="0"/>
      </w:rPr>
    </w:lvl>
    <w:lvl w:ilvl="1">
      <w:start w:val="1"/>
      <w:numFmt w:val="bullet"/>
      <w:lvlText w:val="o"/>
      <w:lvlJc w:val="left"/>
      <w:rPr>
        <w:rFonts w:ascii="Tahoma" w:eastAsia="Times New Roman" w:hAnsi="Tahoma"/>
        <w:color w:val="000000"/>
        <w:position w:val="0"/>
      </w:rPr>
    </w:lvl>
    <w:lvl w:ilvl="2">
      <w:start w:val="1"/>
      <w:numFmt w:val="bullet"/>
      <w:lvlText w:val="▪"/>
      <w:lvlJc w:val="left"/>
      <w:rPr>
        <w:rFonts w:ascii="Tahoma" w:eastAsia="Times New Roman" w:hAnsi="Tahoma"/>
        <w:color w:val="000000"/>
        <w:position w:val="0"/>
      </w:rPr>
    </w:lvl>
    <w:lvl w:ilvl="3">
      <w:start w:val="1"/>
      <w:numFmt w:val="bullet"/>
      <w:lvlText w:val="•"/>
      <w:lvlJc w:val="left"/>
      <w:rPr>
        <w:rFonts w:ascii="Tahoma" w:eastAsia="Times New Roman" w:hAnsi="Tahoma"/>
        <w:color w:val="000000"/>
        <w:position w:val="0"/>
      </w:rPr>
    </w:lvl>
    <w:lvl w:ilvl="4">
      <w:start w:val="1"/>
      <w:numFmt w:val="bullet"/>
      <w:lvlText w:val="o"/>
      <w:lvlJc w:val="left"/>
      <w:rPr>
        <w:rFonts w:ascii="Tahoma" w:eastAsia="Times New Roman" w:hAnsi="Tahoma"/>
        <w:color w:val="000000"/>
        <w:position w:val="0"/>
      </w:rPr>
    </w:lvl>
    <w:lvl w:ilvl="5">
      <w:start w:val="1"/>
      <w:numFmt w:val="bullet"/>
      <w:lvlText w:val="▪"/>
      <w:lvlJc w:val="left"/>
      <w:rPr>
        <w:rFonts w:ascii="Tahoma" w:eastAsia="Times New Roman" w:hAnsi="Tahoma"/>
        <w:color w:val="000000"/>
        <w:position w:val="0"/>
      </w:rPr>
    </w:lvl>
    <w:lvl w:ilvl="6">
      <w:start w:val="1"/>
      <w:numFmt w:val="bullet"/>
      <w:lvlText w:val="•"/>
      <w:lvlJc w:val="left"/>
      <w:rPr>
        <w:rFonts w:ascii="Tahoma" w:eastAsia="Times New Roman" w:hAnsi="Tahoma"/>
        <w:color w:val="000000"/>
        <w:position w:val="0"/>
      </w:rPr>
    </w:lvl>
    <w:lvl w:ilvl="7">
      <w:start w:val="1"/>
      <w:numFmt w:val="bullet"/>
      <w:lvlText w:val="o"/>
      <w:lvlJc w:val="left"/>
      <w:rPr>
        <w:rFonts w:ascii="Tahoma" w:eastAsia="Times New Roman" w:hAnsi="Tahoma"/>
        <w:color w:val="000000"/>
        <w:position w:val="0"/>
      </w:rPr>
    </w:lvl>
    <w:lvl w:ilvl="8">
      <w:start w:val="1"/>
      <w:numFmt w:val="bullet"/>
      <w:lvlText w:val="▪"/>
      <w:lvlJc w:val="left"/>
      <w:rPr>
        <w:rFonts w:ascii="Tahoma" w:eastAsia="Times New Roman" w:hAnsi="Tahoma"/>
        <w:color w:val="000000"/>
        <w:position w:val="0"/>
      </w:rPr>
    </w:lvl>
  </w:abstractNum>
  <w:abstractNum w:abstractNumId="31">
    <w:nsid w:val="42E50710"/>
    <w:multiLevelType w:val="multilevel"/>
    <w:tmpl w:val="FFFFFFFF"/>
    <w:styleLink w:val="List24"/>
    <w:lvl w:ilvl="0">
      <w:start w:val="1"/>
      <w:numFmt w:val="decimal"/>
      <w:lvlText w:val="%1."/>
      <w:lvlJc w:val="left"/>
      <w:rPr>
        <w:rFonts w:ascii="Tahoma" w:eastAsia="Times New Roman" w:hAnsi="Tahoma"/>
        <w:color w:val="000000"/>
        <w:position w:val="0"/>
      </w:rPr>
    </w:lvl>
    <w:lvl w:ilvl="1">
      <w:start w:val="1"/>
      <w:numFmt w:val="bullet"/>
      <w:lvlText w:val="o"/>
      <w:lvlJc w:val="left"/>
      <w:rPr>
        <w:rFonts w:ascii="Tahoma" w:eastAsia="Times New Roman" w:hAnsi="Tahoma"/>
        <w:color w:val="000000"/>
        <w:position w:val="0"/>
      </w:rPr>
    </w:lvl>
    <w:lvl w:ilvl="2">
      <w:start w:val="1"/>
      <w:numFmt w:val="bullet"/>
      <w:lvlText w:val="▪"/>
      <w:lvlJc w:val="left"/>
      <w:rPr>
        <w:rFonts w:ascii="Tahoma" w:eastAsia="Times New Roman" w:hAnsi="Tahoma"/>
        <w:color w:val="000000"/>
        <w:position w:val="0"/>
      </w:rPr>
    </w:lvl>
    <w:lvl w:ilvl="3">
      <w:start w:val="1"/>
      <w:numFmt w:val="bullet"/>
      <w:lvlText w:val="•"/>
      <w:lvlJc w:val="left"/>
      <w:rPr>
        <w:rFonts w:ascii="Tahoma" w:eastAsia="Times New Roman" w:hAnsi="Tahoma"/>
        <w:color w:val="000000"/>
        <w:position w:val="0"/>
      </w:rPr>
    </w:lvl>
    <w:lvl w:ilvl="4">
      <w:start w:val="1"/>
      <w:numFmt w:val="bullet"/>
      <w:lvlText w:val="o"/>
      <w:lvlJc w:val="left"/>
      <w:rPr>
        <w:rFonts w:ascii="Tahoma" w:eastAsia="Times New Roman" w:hAnsi="Tahoma"/>
        <w:color w:val="000000"/>
        <w:position w:val="0"/>
      </w:rPr>
    </w:lvl>
    <w:lvl w:ilvl="5">
      <w:start w:val="1"/>
      <w:numFmt w:val="bullet"/>
      <w:lvlText w:val="▪"/>
      <w:lvlJc w:val="left"/>
      <w:rPr>
        <w:rFonts w:ascii="Tahoma" w:eastAsia="Times New Roman" w:hAnsi="Tahoma"/>
        <w:color w:val="000000"/>
        <w:position w:val="0"/>
      </w:rPr>
    </w:lvl>
    <w:lvl w:ilvl="6">
      <w:start w:val="1"/>
      <w:numFmt w:val="bullet"/>
      <w:lvlText w:val="•"/>
      <w:lvlJc w:val="left"/>
      <w:rPr>
        <w:rFonts w:ascii="Tahoma" w:eastAsia="Times New Roman" w:hAnsi="Tahoma"/>
        <w:color w:val="000000"/>
        <w:position w:val="0"/>
      </w:rPr>
    </w:lvl>
    <w:lvl w:ilvl="7">
      <w:start w:val="1"/>
      <w:numFmt w:val="bullet"/>
      <w:lvlText w:val="o"/>
      <w:lvlJc w:val="left"/>
      <w:rPr>
        <w:rFonts w:ascii="Tahoma" w:eastAsia="Times New Roman" w:hAnsi="Tahoma"/>
        <w:color w:val="000000"/>
        <w:position w:val="0"/>
      </w:rPr>
    </w:lvl>
    <w:lvl w:ilvl="8">
      <w:start w:val="1"/>
      <w:numFmt w:val="bullet"/>
      <w:lvlText w:val="▪"/>
      <w:lvlJc w:val="left"/>
      <w:rPr>
        <w:rFonts w:ascii="Tahoma" w:eastAsia="Times New Roman" w:hAnsi="Tahoma"/>
        <w:color w:val="000000"/>
        <w:position w:val="0"/>
      </w:rPr>
    </w:lvl>
  </w:abstractNum>
  <w:abstractNum w:abstractNumId="32">
    <w:nsid w:val="49AE4A46"/>
    <w:multiLevelType w:val="multilevel"/>
    <w:tmpl w:val="FFFFFFFF"/>
    <w:styleLink w:val="List9"/>
    <w:lvl w:ilvl="0">
      <w:start w:val="1"/>
      <w:numFmt w:val="bullet"/>
      <w:lvlText w:val="•"/>
      <w:lvlJc w:val="left"/>
      <w:rPr>
        <w:rFonts w:ascii="Tahoma" w:eastAsia="Times New Roman" w:hAnsi="Tahoma"/>
        <w:color w:val="000000"/>
        <w:position w:val="0"/>
      </w:rPr>
    </w:lvl>
    <w:lvl w:ilvl="1">
      <w:start w:val="1"/>
      <w:numFmt w:val="bullet"/>
      <w:lvlText w:val="o"/>
      <w:lvlJc w:val="left"/>
      <w:rPr>
        <w:rFonts w:ascii="Tahoma" w:eastAsia="Times New Roman" w:hAnsi="Tahoma"/>
        <w:color w:val="000000"/>
        <w:position w:val="0"/>
      </w:rPr>
    </w:lvl>
    <w:lvl w:ilvl="2">
      <w:start w:val="1"/>
      <w:numFmt w:val="bullet"/>
      <w:lvlText w:val="▪"/>
      <w:lvlJc w:val="left"/>
      <w:rPr>
        <w:rFonts w:ascii="Tahoma" w:eastAsia="Times New Roman" w:hAnsi="Tahoma"/>
        <w:color w:val="000000"/>
        <w:position w:val="0"/>
      </w:rPr>
    </w:lvl>
    <w:lvl w:ilvl="3">
      <w:start w:val="1"/>
      <w:numFmt w:val="bullet"/>
      <w:lvlText w:val="•"/>
      <w:lvlJc w:val="left"/>
      <w:rPr>
        <w:rFonts w:ascii="Tahoma" w:eastAsia="Times New Roman" w:hAnsi="Tahoma"/>
        <w:color w:val="000000"/>
        <w:position w:val="0"/>
      </w:rPr>
    </w:lvl>
    <w:lvl w:ilvl="4">
      <w:start w:val="1"/>
      <w:numFmt w:val="bullet"/>
      <w:lvlText w:val="o"/>
      <w:lvlJc w:val="left"/>
      <w:rPr>
        <w:rFonts w:ascii="Tahoma" w:eastAsia="Times New Roman" w:hAnsi="Tahoma"/>
        <w:color w:val="000000"/>
        <w:position w:val="0"/>
      </w:rPr>
    </w:lvl>
    <w:lvl w:ilvl="5">
      <w:start w:val="1"/>
      <w:numFmt w:val="bullet"/>
      <w:lvlText w:val="▪"/>
      <w:lvlJc w:val="left"/>
      <w:rPr>
        <w:rFonts w:ascii="Tahoma" w:eastAsia="Times New Roman" w:hAnsi="Tahoma"/>
        <w:color w:val="000000"/>
        <w:position w:val="0"/>
      </w:rPr>
    </w:lvl>
    <w:lvl w:ilvl="6">
      <w:start w:val="1"/>
      <w:numFmt w:val="bullet"/>
      <w:lvlText w:val="•"/>
      <w:lvlJc w:val="left"/>
      <w:rPr>
        <w:rFonts w:ascii="Tahoma" w:eastAsia="Times New Roman" w:hAnsi="Tahoma"/>
        <w:color w:val="000000"/>
        <w:position w:val="0"/>
      </w:rPr>
    </w:lvl>
    <w:lvl w:ilvl="7">
      <w:start w:val="1"/>
      <w:numFmt w:val="bullet"/>
      <w:lvlText w:val="o"/>
      <w:lvlJc w:val="left"/>
      <w:rPr>
        <w:rFonts w:ascii="Tahoma" w:eastAsia="Times New Roman" w:hAnsi="Tahoma"/>
        <w:color w:val="000000"/>
        <w:position w:val="0"/>
      </w:rPr>
    </w:lvl>
    <w:lvl w:ilvl="8">
      <w:start w:val="1"/>
      <w:numFmt w:val="bullet"/>
      <w:lvlText w:val="▪"/>
      <w:lvlJc w:val="left"/>
      <w:rPr>
        <w:rFonts w:ascii="Tahoma" w:eastAsia="Times New Roman" w:hAnsi="Tahoma"/>
        <w:color w:val="000000"/>
        <w:position w:val="0"/>
      </w:rPr>
    </w:lvl>
  </w:abstractNum>
  <w:abstractNum w:abstractNumId="33">
    <w:nsid w:val="4BF95BF7"/>
    <w:multiLevelType w:val="multilevel"/>
    <w:tmpl w:val="890ADB14"/>
    <w:styleLink w:val="List13"/>
    <w:lvl w:ilvl="0">
      <w:start w:val="1"/>
      <w:numFmt w:val="bullet"/>
      <w:lvlText w:val=""/>
      <w:lvlJc w:val="left"/>
      <w:rPr>
        <w:rFonts w:ascii="Symbol" w:hAnsi="Symbol" w:hint="default"/>
        <w:color w:val="000000"/>
        <w:position w:val="0"/>
      </w:rPr>
    </w:lvl>
    <w:lvl w:ilvl="1">
      <w:start w:val="1"/>
      <w:numFmt w:val="bullet"/>
      <w:lvlText w:val="o"/>
      <w:lvlJc w:val="left"/>
      <w:rPr>
        <w:rFonts w:ascii="Tahoma" w:eastAsia="Times New Roman" w:hAnsi="Tahoma"/>
        <w:color w:val="000000"/>
        <w:position w:val="0"/>
      </w:rPr>
    </w:lvl>
    <w:lvl w:ilvl="2">
      <w:start w:val="1"/>
      <w:numFmt w:val="bullet"/>
      <w:lvlText w:val="▪"/>
      <w:lvlJc w:val="left"/>
      <w:rPr>
        <w:rFonts w:ascii="Tahoma" w:eastAsia="Times New Roman" w:hAnsi="Tahoma"/>
        <w:color w:val="000000"/>
        <w:position w:val="0"/>
      </w:rPr>
    </w:lvl>
    <w:lvl w:ilvl="3">
      <w:start w:val="1"/>
      <w:numFmt w:val="bullet"/>
      <w:lvlText w:val="•"/>
      <w:lvlJc w:val="left"/>
      <w:rPr>
        <w:rFonts w:ascii="Tahoma" w:eastAsia="Times New Roman" w:hAnsi="Tahoma"/>
        <w:color w:val="000000"/>
        <w:position w:val="0"/>
      </w:rPr>
    </w:lvl>
    <w:lvl w:ilvl="4">
      <w:start w:val="1"/>
      <w:numFmt w:val="bullet"/>
      <w:lvlText w:val="o"/>
      <w:lvlJc w:val="left"/>
      <w:rPr>
        <w:rFonts w:ascii="Tahoma" w:eastAsia="Times New Roman" w:hAnsi="Tahoma"/>
        <w:color w:val="000000"/>
        <w:position w:val="0"/>
      </w:rPr>
    </w:lvl>
    <w:lvl w:ilvl="5">
      <w:start w:val="1"/>
      <w:numFmt w:val="bullet"/>
      <w:lvlText w:val="▪"/>
      <w:lvlJc w:val="left"/>
      <w:rPr>
        <w:rFonts w:ascii="Tahoma" w:eastAsia="Times New Roman" w:hAnsi="Tahoma"/>
        <w:color w:val="000000"/>
        <w:position w:val="0"/>
      </w:rPr>
    </w:lvl>
    <w:lvl w:ilvl="6">
      <w:start w:val="1"/>
      <w:numFmt w:val="bullet"/>
      <w:lvlText w:val="•"/>
      <w:lvlJc w:val="left"/>
      <w:rPr>
        <w:rFonts w:ascii="Tahoma" w:eastAsia="Times New Roman" w:hAnsi="Tahoma"/>
        <w:color w:val="000000"/>
        <w:position w:val="0"/>
      </w:rPr>
    </w:lvl>
    <w:lvl w:ilvl="7">
      <w:start w:val="1"/>
      <w:numFmt w:val="bullet"/>
      <w:lvlText w:val="o"/>
      <w:lvlJc w:val="left"/>
      <w:rPr>
        <w:rFonts w:ascii="Tahoma" w:eastAsia="Times New Roman" w:hAnsi="Tahoma"/>
        <w:color w:val="000000"/>
        <w:position w:val="0"/>
      </w:rPr>
    </w:lvl>
    <w:lvl w:ilvl="8">
      <w:start w:val="1"/>
      <w:numFmt w:val="bullet"/>
      <w:lvlText w:val="▪"/>
      <w:lvlJc w:val="left"/>
      <w:rPr>
        <w:rFonts w:ascii="Tahoma" w:eastAsia="Times New Roman" w:hAnsi="Tahoma"/>
        <w:color w:val="000000"/>
        <w:position w:val="0"/>
      </w:rPr>
    </w:lvl>
  </w:abstractNum>
  <w:abstractNum w:abstractNumId="34">
    <w:nsid w:val="4CFF28DC"/>
    <w:multiLevelType w:val="multilevel"/>
    <w:tmpl w:val="FFFFFFFF"/>
    <w:styleLink w:val="List33"/>
    <w:lvl w:ilvl="0">
      <w:start w:val="1"/>
      <w:numFmt w:val="decimal"/>
      <w:lvlText w:val="%1."/>
      <w:lvlJc w:val="left"/>
      <w:rPr>
        <w:rFonts w:ascii="Tahoma" w:eastAsia="Times New Roman" w:hAnsi="Tahoma"/>
        <w:color w:val="000000"/>
        <w:position w:val="0"/>
      </w:rPr>
    </w:lvl>
    <w:lvl w:ilvl="1">
      <w:start w:val="1"/>
      <w:numFmt w:val="lowerLetter"/>
      <w:lvlText w:val="%2."/>
      <w:lvlJc w:val="left"/>
      <w:rPr>
        <w:rFonts w:ascii="Tahoma" w:eastAsia="Times New Roman" w:hAnsi="Tahoma"/>
        <w:color w:val="000000"/>
        <w:position w:val="0"/>
      </w:rPr>
    </w:lvl>
    <w:lvl w:ilvl="2">
      <w:start w:val="1"/>
      <w:numFmt w:val="bullet"/>
      <w:lvlText w:val="-"/>
      <w:lvlJc w:val="left"/>
      <w:rPr>
        <w:rFonts w:ascii="Tahoma" w:eastAsia="Times New Roman" w:hAnsi="Tahoma"/>
        <w:color w:val="000000"/>
        <w:position w:val="0"/>
      </w:rPr>
    </w:lvl>
    <w:lvl w:ilvl="3">
      <w:start w:val="1"/>
      <w:numFmt w:val="bullet"/>
      <w:lvlText w:val="•"/>
      <w:lvlJc w:val="left"/>
      <w:rPr>
        <w:rFonts w:ascii="Tahoma" w:eastAsia="Times New Roman" w:hAnsi="Tahoma"/>
        <w:color w:val="000000"/>
        <w:position w:val="0"/>
      </w:rPr>
    </w:lvl>
    <w:lvl w:ilvl="4">
      <w:start w:val="1"/>
      <w:numFmt w:val="lowerLetter"/>
      <w:lvlText w:val="(%5)"/>
      <w:lvlJc w:val="left"/>
      <w:rPr>
        <w:rFonts w:ascii="Tahoma" w:eastAsia="Times New Roman" w:hAnsi="Tahoma"/>
        <w:color w:val="000000"/>
        <w:position w:val="0"/>
      </w:rPr>
    </w:lvl>
    <w:lvl w:ilvl="5">
      <w:start w:val="1"/>
      <w:numFmt w:val="lowerRoman"/>
      <w:lvlText w:val="%6."/>
      <w:lvlJc w:val="left"/>
      <w:rPr>
        <w:rFonts w:ascii="Tahoma" w:eastAsia="Times New Roman" w:hAnsi="Tahoma"/>
        <w:color w:val="000000"/>
        <w:position w:val="0"/>
      </w:rPr>
    </w:lvl>
    <w:lvl w:ilvl="6">
      <w:start w:val="1"/>
      <w:numFmt w:val="decimal"/>
      <w:lvlText w:val="%7."/>
      <w:lvlJc w:val="left"/>
      <w:rPr>
        <w:rFonts w:ascii="Tahoma" w:eastAsia="Times New Roman" w:hAnsi="Tahoma"/>
        <w:color w:val="000000"/>
        <w:position w:val="0"/>
      </w:rPr>
    </w:lvl>
    <w:lvl w:ilvl="7">
      <w:start w:val="1"/>
      <w:numFmt w:val="lowerLetter"/>
      <w:lvlText w:val="%8."/>
      <w:lvlJc w:val="left"/>
      <w:rPr>
        <w:rFonts w:ascii="Tahoma" w:eastAsia="Times New Roman" w:hAnsi="Tahoma"/>
        <w:color w:val="000000"/>
        <w:position w:val="0"/>
      </w:rPr>
    </w:lvl>
    <w:lvl w:ilvl="8">
      <w:start w:val="1"/>
      <w:numFmt w:val="lowerRoman"/>
      <w:lvlText w:val="%9."/>
      <w:lvlJc w:val="left"/>
      <w:rPr>
        <w:rFonts w:ascii="Tahoma" w:eastAsia="Times New Roman" w:hAnsi="Tahoma"/>
        <w:color w:val="000000"/>
        <w:position w:val="0"/>
      </w:rPr>
    </w:lvl>
  </w:abstractNum>
  <w:abstractNum w:abstractNumId="35">
    <w:nsid w:val="505632F0"/>
    <w:multiLevelType w:val="multilevel"/>
    <w:tmpl w:val="FFFFFFFF"/>
    <w:styleLink w:val="List22"/>
    <w:lvl w:ilvl="0">
      <w:start w:val="1"/>
      <w:numFmt w:val="decimal"/>
      <w:lvlText w:val="%1."/>
      <w:lvlJc w:val="left"/>
      <w:rPr>
        <w:rFonts w:ascii="Tahoma" w:eastAsia="Times New Roman" w:hAnsi="Tahoma"/>
        <w:color w:val="000000"/>
        <w:position w:val="0"/>
      </w:rPr>
    </w:lvl>
    <w:lvl w:ilvl="1">
      <w:start w:val="1"/>
      <w:numFmt w:val="lowerLetter"/>
      <w:lvlText w:val="%2."/>
      <w:lvlJc w:val="left"/>
      <w:rPr>
        <w:rFonts w:ascii="Tahoma" w:eastAsia="Times New Roman" w:hAnsi="Tahoma"/>
        <w:color w:val="000000"/>
        <w:position w:val="0"/>
      </w:rPr>
    </w:lvl>
    <w:lvl w:ilvl="2">
      <w:start w:val="1"/>
      <w:numFmt w:val="lowerRoman"/>
      <w:lvlText w:val="%3."/>
      <w:lvlJc w:val="left"/>
      <w:rPr>
        <w:rFonts w:ascii="Tahoma" w:eastAsia="Times New Roman" w:hAnsi="Tahoma"/>
        <w:color w:val="000000"/>
        <w:position w:val="0"/>
      </w:rPr>
    </w:lvl>
    <w:lvl w:ilvl="3">
      <w:start w:val="1"/>
      <w:numFmt w:val="decimal"/>
      <w:lvlText w:val="%4."/>
      <w:lvlJc w:val="left"/>
      <w:rPr>
        <w:rFonts w:ascii="Tahoma" w:eastAsia="Times New Roman" w:hAnsi="Tahoma"/>
        <w:color w:val="000000"/>
        <w:position w:val="0"/>
      </w:rPr>
    </w:lvl>
    <w:lvl w:ilvl="4">
      <w:start w:val="1"/>
      <w:numFmt w:val="lowerLetter"/>
      <w:lvlText w:val="%5."/>
      <w:lvlJc w:val="left"/>
      <w:rPr>
        <w:rFonts w:ascii="Tahoma" w:eastAsia="Times New Roman" w:hAnsi="Tahoma"/>
        <w:color w:val="000000"/>
        <w:position w:val="0"/>
      </w:rPr>
    </w:lvl>
    <w:lvl w:ilvl="5">
      <w:start w:val="1"/>
      <w:numFmt w:val="lowerRoman"/>
      <w:lvlText w:val="%6."/>
      <w:lvlJc w:val="left"/>
      <w:rPr>
        <w:rFonts w:ascii="Tahoma" w:eastAsia="Times New Roman" w:hAnsi="Tahoma"/>
        <w:color w:val="000000"/>
        <w:position w:val="0"/>
      </w:rPr>
    </w:lvl>
    <w:lvl w:ilvl="6">
      <w:start w:val="1"/>
      <w:numFmt w:val="decimal"/>
      <w:lvlText w:val="%7."/>
      <w:lvlJc w:val="left"/>
      <w:rPr>
        <w:rFonts w:ascii="Tahoma" w:eastAsia="Times New Roman" w:hAnsi="Tahoma"/>
        <w:color w:val="000000"/>
        <w:position w:val="0"/>
      </w:rPr>
    </w:lvl>
    <w:lvl w:ilvl="7">
      <w:start w:val="1"/>
      <w:numFmt w:val="lowerLetter"/>
      <w:lvlText w:val="%8."/>
      <w:lvlJc w:val="left"/>
      <w:rPr>
        <w:rFonts w:ascii="Tahoma" w:eastAsia="Times New Roman" w:hAnsi="Tahoma"/>
        <w:color w:val="000000"/>
        <w:position w:val="0"/>
      </w:rPr>
    </w:lvl>
    <w:lvl w:ilvl="8">
      <w:start w:val="1"/>
      <w:numFmt w:val="lowerRoman"/>
      <w:lvlText w:val="%9."/>
      <w:lvlJc w:val="left"/>
      <w:rPr>
        <w:rFonts w:ascii="Tahoma" w:eastAsia="Times New Roman" w:hAnsi="Tahoma"/>
        <w:color w:val="000000"/>
        <w:position w:val="0"/>
      </w:rPr>
    </w:lvl>
  </w:abstractNum>
  <w:abstractNum w:abstractNumId="36">
    <w:nsid w:val="51B43EFB"/>
    <w:multiLevelType w:val="hybridMultilevel"/>
    <w:tmpl w:val="C0A4D684"/>
    <w:lvl w:ilvl="0" w:tplc="AC9ED27A">
      <w:start w:val="1"/>
      <w:numFmt w:val="lowerLetter"/>
      <w:lvlText w:val="(%1)"/>
      <w:lvlJc w:val="left"/>
      <w:pPr>
        <w:ind w:left="1854" w:hanging="360"/>
      </w:pPr>
      <w:rPr>
        <w:rFonts w:hint="default"/>
      </w:rPr>
    </w:lvl>
    <w:lvl w:ilvl="1" w:tplc="164A6B20">
      <w:start w:val="1"/>
      <w:numFmt w:val="decimal"/>
      <w:lvlText w:val="%2."/>
      <w:lvlJc w:val="left"/>
      <w:pPr>
        <w:ind w:left="2784" w:hanging="570"/>
      </w:pPr>
      <w:rPr>
        <w:rFonts w:hAnsi="Times New Roman"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nsid w:val="53856F23"/>
    <w:multiLevelType w:val="hybridMultilevel"/>
    <w:tmpl w:val="BD34F4E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nsid w:val="606F48BF"/>
    <w:multiLevelType w:val="hybridMultilevel"/>
    <w:tmpl w:val="94B4579C"/>
    <w:lvl w:ilvl="0" w:tplc="AC9ED27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nsid w:val="63921FDD"/>
    <w:multiLevelType w:val="hybridMultilevel"/>
    <w:tmpl w:val="57664E2E"/>
    <w:lvl w:ilvl="0" w:tplc="AC9ED27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nsid w:val="63D95209"/>
    <w:multiLevelType w:val="multilevel"/>
    <w:tmpl w:val="FFFFFFFF"/>
    <w:styleLink w:val="List6"/>
    <w:lvl w:ilvl="0">
      <w:start w:val="1"/>
      <w:numFmt w:val="bullet"/>
      <w:lvlText w:val="•"/>
      <w:lvlJc w:val="left"/>
      <w:rPr>
        <w:rFonts w:ascii="Tahoma" w:eastAsia="Times New Roman" w:hAnsi="Tahoma"/>
        <w:b/>
        <w:bCs/>
        <w:i/>
        <w:iCs/>
        <w:color w:val="000000"/>
        <w:spacing w:val="-1"/>
        <w:position w:val="0"/>
      </w:rPr>
    </w:lvl>
    <w:lvl w:ilvl="1">
      <w:start w:val="1"/>
      <w:numFmt w:val="bullet"/>
      <w:lvlText w:val="o"/>
      <w:lvlJc w:val="left"/>
      <w:rPr>
        <w:rFonts w:ascii="Tahoma" w:eastAsia="Times New Roman" w:hAnsi="Tahoma"/>
        <w:b/>
        <w:bCs/>
        <w:i/>
        <w:iCs/>
        <w:color w:val="000000"/>
        <w:spacing w:val="0"/>
        <w:position w:val="0"/>
      </w:rPr>
    </w:lvl>
    <w:lvl w:ilvl="2">
      <w:start w:val="1"/>
      <w:numFmt w:val="bullet"/>
      <w:lvlText w:val="▪"/>
      <w:lvlJc w:val="left"/>
      <w:rPr>
        <w:rFonts w:ascii="Tahoma" w:eastAsia="Times New Roman" w:hAnsi="Tahoma"/>
        <w:b/>
        <w:bCs/>
        <w:i/>
        <w:iCs/>
        <w:color w:val="000000"/>
        <w:spacing w:val="0"/>
        <w:position w:val="0"/>
      </w:rPr>
    </w:lvl>
    <w:lvl w:ilvl="3">
      <w:start w:val="1"/>
      <w:numFmt w:val="bullet"/>
      <w:lvlText w:val="•"/>
      <w:lvlJc w:val="left"/>
      <w:rPr>
        <w:rFonts w:ascii="Tahoma" w:eastAsia="Times New Roman" w:hAnsi="Tahoma"/>
        <w:b/>
        <w:bCs/>
        <w:i/>
        <w:iCs/>
        <w:color w:val="000000"/>
        <w:spacing w:val="0"/>
        <w:position w:val="0"/>
      </w:rPr>
    </w:lvl>
    <w:lvl w:ilvl="4">
      <w:start w:val="1"/>
      <w:numFmt w:val="bullet"/>
      <w:lvlText w:val="o"/>
      <w:lvlJc w:val="left"/>
      <w:rPr>
        <w:rFonts w:ascii="Tahoma" w:eastAsia="Times New Roman" w:hAnsi="Tahoma"/>
        <w:b/>
        <w:bCs/>
        <w:i/>
        <w:iCs/>
        <w:color w:val="000000"/>
        <w:spacing w:val="0"/>
        <w:position w:val="0"/>
      </w:rPr>
    </w:lvl>
    <w:lvl w:ilvl="5">
      <w:start w:val="1"/>
      <w:numFmt w:val="bullet"/>
      <w:lvlText w:val="▪"/>
      <w:lvlJc w:val="left"/>
      <w:rPr>
        <w:rFonts w:ascii="Tahoma" w:eastAsia="Times New Roman" w:hAnsi="Tahoma"/>
        <w:b/>
        <w:bCs/>
        <w:i/>
        <w:iCs/>
        <w:color w:val="000000"/>
        <w:spacing w:val="0"/>
        <w:position w:val="0"/>
      </w:rPr>
    </w:lvl>
    <w:lvl w:ilvl="6">
      <w:start w:val="1"/>
      <w:numFmt w:val="bullet"/>
      <w:lvlText w:val="•"/>
      <w:lvlJc w:val="left"/>
      <w:rPr>
        <w:rFonts w:ascii="Tahoma" w:eastAsia="Times New Roman" w:hAnsi="Tahoma"/>
        <w:b/>
        <w:bCs/>
        <w:i/>
        <w:iCs/>
        <w:color w:val="000000"/>
        <w:spacing w:val="0"/>
        <w:position w:val="0"/>
      </w:rPr>
    </w:lvl>
    <w:lvl w:ilvl="7">
      <w:start w:val="1"/>
      <w:numFmt w:val="bullet"/>
      <w:lvlText w:val="o"/>
      <w:lvlJc w:val="left"/>
      <w:rPr>
        <w:rFonts w:ascii="Tahoma" w:eastAsia="Times New Roman" w:hAnsi="Tahoma"/>
        <w:b/>
        <w:bCs/>
        <w:i/>
        <w:iCs/>
        <w:color w:val="000000"/>
        <w:spacing w:val="0"/>
        <w:position w:val="0"/>
      </w:rPr>
    </w:lvl>
    <w:lvl w:ilvl="8">
      <w:start w:val="1"/>
      <w:numFmt w:val="bullet"/>
      <w:lvlText w:val="▪"/>
      <w:lvlJc w:val="left"/>
      <w:rPr>
        <w:rFonts w:ascii="Tahoma" w:eastAsia="Times New Roman" w:hAnsi="Tahoma"/>
        <w:b/>
        <w:bCs/>
        <w:i/>
        <w:iCs/>
        <w:color w:val="000000"/>
        <w:spacing w:val="0"/>
        <w:position w:val="0"/>
      </w:rPr>
    </w:lvl>
  </w:abstractNum>
  <w:abstractNum w:abstractNumId="41">
    <w:nsid w:val="65925DC1"/>
    <w:multiLevelType w:val="hybridMultilevel"/>
    <w:tmpl w:val="2418222E"/>
    <w:lvl w:ilvl="0" w:tplc="AF249F9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6B642DC0"/>
    <w:multiLevelType w:val="multilevel"/>
    <w:tmpl w:val="FFFFFFFF"/>
    <w:styleLink w:val="List30"/>
    <w:lvl w:ilvl="0">
      <w:start w:val="1"/>
      <w:numFmt w:val="lowerLetter"/>
      <w:lvlText w:val="%1."/>
      <w:lvlJc w:val="left"/>
      <w:rPr>
        <w:rFonts w:ascii="Tahoma" w:eastAsia="Times New Roman" w:hAnsi="Tahoma"/>
        <w:color w:val="000000"/>
        <w:position w:val="0"/>
      </w:rPr>
    </w:lvl>
    <w:lvl w:ilvl="1">
      <w:start w:val="1"/>
      <w:numFmt w:val="lowerLetter"/>
      <w:lvlText w:val="%2."/>
      <w:lvlJc w:val="left"/>
      <w:rPr>
        <w:rFonts w:ascii="Tahoma" w:eastAsia="Times New Roman" w:hAnsi="Tahoma"/>
        <w:color w:val="000000"/>
        <w:position w:val="0"/>
      </w:rPr>
    </w:lvl>
    <w:lvl w:ilvl="2">
      <w:start w:val="1"/>
      <w:numFmt w:val="lowerRoman"/>
      <w:lvlText w:val="%3."/>
      <w:lvlJc w:val="left"/>
      <w:rPr>
        <w:rFonts w:ascii="Tahoma" w:eastAsia="Times New Roman" w:hAnsi="Tahoma"/>
        <w:color w:val="000000"/>
        <w:position w:val="0"/>
      </w:rPr>
    </w:lvl>
    <w:lvl w:ilvl="3">
      <w:start w:val="1"/>
      <w:numFmt w:val="decimal"/>
      <w:lvlText w:val="%4."/>
      <w:lvlJc w:val="left"/>
      <w:rPr>
        <w:rFonts w:ascii="Tahoma" w:eastAsia="Times New Roman" w:hAnsi="Tahoma"/>
        <w:color w:val="000000"/>
        <w:position w:val="0"/>
      </w:rPr>
    </w:lvl>
    <w:lvl w:ilvl="4">
      <w:start w:val="1"/>
      <w:numFmt w:val="lowerLetter"/>
      <w:lvlText w:val="%5."/>
      <w:lvlJc w:val="left"/>
      <w:rPr>
        <w:rFonts w:ascii="Tahoma" w:eastAsia="Times New Roman" w:hAnsi="Tahoma"/>
        <w:color w:val="000000"/>
        <w:position w:val="0"/>
      </w:rPr>
    </w:lvl>
    <w:lvl w:ilvl="5">
      <w:start w:val="1"/>
      <w:numFmt w:val="lowerRoman"/>
      <w:lvlText w:val="%6."/>
      <w:lvlJc w:val="left"/>
      <w:rPr>
        <w:rFonts w:ascii="Tahoma" w:eastAsia="Times New Roman" w:hAnsi="Tahoma"/>
        <w:color w:val="000000"/>
        <w:position w:val="0"/>
      </w:rPr>
    </w:lvl>
    <w:lvl w:ilvl="6">
      <w:start w:val="1"/>
      <w:numFmt w:val="decimal"/>
      <w:lvlText w:val="%7."/>
      <w:lvlJc w:val="left"/>
      <w:rPr>
        <w:rFonts w:ascii="Tahoma" w:eastAsia="Times New Roman" w:hAnsi="Tahoma"/>
        <w:color w:val="000000"/>
        <w:position w:val="0"/>
      </w:rPr>
    </w:lvl>
    <w:lvl w:ilvl="7">
      <w:start w:val="1"/>
      <w:numFmt w:val="lowerLetter"/>
      <w:lvlText w:val="%8."/>
      <w:lvlJc w:val="left"/>
      <w:rPr>
        <w:rFonts w:ascii="Tahoma" w:eastAsia="Times New Roman" w:hAnsi="Tahoma"/>
        <w:color w:val="000000"/>
        <w:position w:val="0"/>
      </w:rPr>
    </w:lvl>
    <w:lvl w:ilvl="8">
      <w:start w:val="1"/>
      <w:numFmt w:val="lowerRoman"/>
      <w:lvlText w:val="%9."/>
      <w:lvlJc w:val="left"/>
      <w:rPr>
        <w:rFonts w:ascii="Tahoma" w:eastAsia="Times New Roman" w:hAnsi="Tahoma"/>
        <w:color w:val="000000"/>
        <w:position w:val="0"/>
      </w:rPr>
    </w:lvl>
  </w:abstractNum>
  <w:abstractNum w:abstractNumId="43">
    <w:nsid w:val="6DB748FD"/>
    <w:multiLevelType w:val="multilevel"/>
    <w:tmpl w:val="5792F126"/>
    <w:styleLink w:val="List35"/>
    <w:lvl w:ilvl="0">
      <w:start w:val="1"/>
      <w:numFmt w:val="upperLetter"/>
      <w:lvlText w:val="%1."/>
      <w:lvlJc w:val="left"/>
      <w:rPr>
        <w:rFonts w:ascii="Tahoma" w:eastAsia="Times New Roman" w:hAnsi="Tahoma"/>
        <w:b/>
        <w:bCs/>
        <w:color w:val="000000"/>
        <w:position w:val="0"/>
      </w:rPr>
    </w:lvl>
    <w:lvl w:ilvl="1">
      <w:start w:val="1"/>
      <w:numFmt w:val="lowerLetter"/>
      <w:lvlText w:val="%2."/>
      <w:lvlJc w:val="left"/>
      <w:rPr>
        <w:rFonts w:ascii="Tahoma" w:eastAsia="Times New Roman" w:hAnsi="Tahoma"/>
        <w:b/>
        <w:bCs/>
        <w:color w:val="000000"/>
        <w:position w:val="0"/>
      </w:rPr>
    </w:lvl>
    <w:lvl w:ilvl="2">
      <w:start w:val="1"/>
      <w:numFmt w:val="lowerRoman"/>
      <w:lvlText w:val="%3."/>
      <w:lvlJc w:val="left"/>
      <w:rPr>
        <w:rFonts w:ascii="Tahoma" w:eastAsia="Times New Roman" w:hAnsi="Tahoma"/>
        <w:b/>
        <w:bCs/>
        <w:color w:val="000000"/>
        <w:position w:val="0"/>
      </w:rPr>
    </w:lvl>
    <w:lvl w:ilvl="3">
      <w:start w:val="1"/>
      <w:numFmt w:val="decimal"/>
      <w:lvlText w:val="%4."/>
      <w:lvlJc w:val="left"/>
      <w:rPr>
        <w:rFonts w:ascii="Tahoma" w:eastAsia="Times New Roman" w:hAnsi="Tahoma"/>
        <w:b/>
        <w:bCs/>
        <w:color w:val="000000"/>
        <w:position w:val="0"/>
      </w:rPr>
    </w:lvl>
    <w:lvl w:ilvl="4">
      <w:start w:val="1"/>
      <w:numFmt w:val="lowerLetter"/>
      <w:lvlText w:val="%5."/>
      <w:lvlJc w:val="left"/>
      <w:rPr>
        <w:rFonts w:ascii="Tahoma" w:eastAsia="Times New Roman" w:hAnsi="Tahoma"/>
        <w:b/>
        <w:bCs/>
        <w:color w:val="000000"/>
        <w:position w:val="0"/>
      </w:rPr>
    </w:lvl>
    <w:lvl w:ilvl="5">
      <w:start w:val="1"/>
      <w:numFmt w:val="lowerRoman"/>
      <w:lvlText w:val="%6."/>
      <w:lvlJc w:val="left"/>
      <w:rPr>
        <w:rFonts w:ascii="Tahoma" w:eastAsia="Times New Roman" w:hAnsi="Tahoma"/>
        <w:b/>
        <w:bCs/>
        <w:color w:val="000000"/>
        <w:position w:val="0"/>
      </w:rPr>
    </w:lvl>
    <w:lvl w:ilvl="6">
      <w:start w:val="1"/>
      <w:numFmt w:val="decimal"/>
      <w:lvlText w:val="%7."/>
      <w:lvlJc w:val="left"/>
      <w:rPr>
        <w:rFonts w:ascii="Tahoma" w:eastAsia="Times New Roman" w:hAnsi="Tahoma"/>
        <w:b/>
        <w:bCs/>
        <w:color w:val="000000"/>
        <w:position w:val="0"/>
      </w:rPr>
    </w:lvl>
    <w:lvl w:ilvl="7">
      <w:start w:val="1"/>
      <w:numFmt w:val="lowerLetter"/>
      <w:lvlText w:val="%8."/>
      <w:lvlJc w:val="left"/>
      <w:rPr>
        <w:rFonts w:ascii="Tahoma" w:eastAsia="Times New Roman" w:hAnsi="Tahoma"/>
        <w:b/>
        <w:bCs/>
        <w:color w:val="000000"/>
        <w:position w:val="0"/>
      </w:rPr>
    </w:lvl>
    <w:lvl w:ilvl="8">
      <w:start w:val="1"/>
      <w:numFmt w:val="lowerRoman"/>
      <w:lvlText w:val="%9."/>
      <w:lvlJc w:val="left"/>
      <w:rPr>
        <w:rFonts w:ascii="Tahoma" w:eastAsia="Times New Roman" w:hAnsi="Tahoma"/>
        <w:b/>
        <w:bCs/>
        <w:color w:val="000000"/>
        <w:position w:val="0"/>
      </w:rPr>
    </w:lvl>
  </w:abstractNum>
  <w:abstractNum w:abstractNumId="44">
    <w:nsid w:val="75BB5384"/>
    <w:multiLevelType w:val="multilevel"/>
    <w:tmpl w:val="FFFFFFFF"/>
    <w:styleLink w:val="List10"/>
    <w:lvl w:ilvl="0">
      <w:start w:val="1"/>
      <w:numFmt w:val="decimal"/>
      <w:lvlText w:val="%1)"/>
      <w:lvlJc w:val="left"/>
      <w:rPr>
        <w:rFonts w:ascii="Tahoma" w:eastAsia="Times New Roman" w:hAnsi="Tahoma"/>
        <w:color w:val="000000"/>
        <w:position w:val="0"/>
      </w:rPr>
    </w:lvl>
    <w:lvl w:ilvl="1">
      <w:start w:val="1"/>
      <w:numFmt w:val="lowerLetter"/>
      <w:lvlText w:val="%2."/>
      <w:lvlJc w:val="left"/>
      <w:rPr>
        <w:rFonts w:ascii="Tahoma" w:eastAsia="Times New Roman" w:hAnsi="Tahoma"/>
        <w:color w:val="000000"/>
        <w:position w:val="0"/>
      </w:rPr>
    </w:lvl>
    <w:lvl w:ilvl="2">
      <w:start w:val="1"/>
      <w:numFmt w:val="lowerRoman"/>
      <w:lvlText w:val="%3."/>
      <w:lvlJc w:val="left"/>
      <w:rPr>
        <w:rFonts w:ascii="Tahoma" w:eastAsia="Times New Roman" w:hAnsi="Tahoma"/>
        <w:color w:val="000000"/>
        <w:position w:val="0"/>
      </w:rPr>
    </w:lvl>
    <w:lvl w:ilvl="3">
      <w:start w:val="1"/>
      <w:numFmt w:val="decimal"/>
      <w:lvlText w:val="%4."/>
      <w:lvlJc w:val="left"/>
      <w:rPr>
        <w:rFonts w:ascii="Tahoma" w:eastAsia="Times New Roman" w:hAnsi="Tahoma"/>
        <w:color w:val="000000"/>
        <w:position w:val="0"/>
      </w:rPr>
    </w:lvl>
    <w:lvl w:ilvl="4">
      <w:start w:val="1"/>
      <w:numFmt w:val="lowerLetter"/>
      <w:lvlText w:val="%5."/>
      <w:lvlJc w:val="left"/>
      <w:rPr>
        <w:rFonts w:ascii="Tahoma" w:eastAsia="Times New Roman" w:hAnsi="Tahoma"/>
        <w:color w:val="000000"/>
        <w:position w:val="0"/>
      </w:rPr>
    </w:lvl>
    <w:lvl w:ilvl="5">
      <w:start w:val="1"/>
      <w:numFmt w:val="lowerRoman"/>
      <w:lvlText w:val="%6."/>
      <w:lvlJc w:val="left"/>
      <w:rPr>
        <w:rFonts w:ascii="Tahoma" w:eastAsia="Times New Roman" w:hAnsi="Tahoma"/>
        <w:color w:val="000000"/>
        <w:position w:val="0"/>
      </w:rPr>
    </w:lvl>
    <w:lvl w:ilvl="6">
      <w:start w:val="1"/>
      <w:numFmt w:val="decimal"/>
      <w:lvlText w:val="%7."/>
      <w:lvlJc w:val="left"/>
      <w:rPr>
        <w:rFonts w:ascii="Tahoma" w:eastAsia="Times New Roman" w:hAnsi="Tahoma"/>
        <w:color w:val="000000"/>
        <w:position w:val="0"/>
      </w:rPr>
    </w:lvl>
    <w:lvl w:ilvl="7">
      <w:start w:val="1"/>
      <w:numFmt w:val="lowerLetter"/>
      <w:lvlText w:val="%8."/>
      <w:lvlJc w:val="left"/>
      <w:rPr>
        <w:rFonts w:ascii="Tahoma" w:eastAsia="Times New Roman" w:hAnsi="Tahoma"/>
        <w:color w:val="000000"/>
        <w:position w:val="0"/>
      </w:rPr>
    </w:lvl>
    <w:lvl w:ilvl="8">
      <w:start w:val="1"/>
      <w:numFmt w:val="lowerRoman"/>
      <w:lvlText w:val="%9."/>
      <w:lvlJc w:val="left"/>
      <w:rPr>
        <w:rFonts w:ascii="Tahoma" w:eastAsia="Times New Roman" w:hAnsi="Tahoma"/>
        <w:color w:val="000000"/>
        <w:position w:val="0"/>
      </w:rPr>
    </w:lvl>
  </w:abstractNum>
  <w:abstractNum w:abstractNumId="4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79230CF9"/>
    <w:multiLevelType w:val="multilevel"/>
    <w:tmpl w:val="FFFFFFFF"/>
    <w:styleLink w:val="List31"/>
    <w:lvl w:ilvl="0">
      <w:start w:val="1"/>
      <w:numFmt w:val="decimal"/>
      <w:lvlText w:val="%1."/>
      <w:lvlJc w:val="left"/>
      <w:rPr>
        <w:rFonts w:ascii="Tahoma" w:eastAsia="Times New Roman" w:hAnsi="Tahoma"/>
        <w:color w:val="000000"/>
        <w:position w:val="0"/>
      </w:rPr>
    </w:lvl>
    <w:lvl w:ilvl="1">
      <w:start w:val="1"/>
      <w:numFmt w:val="lowerLetter"/>
      <w:lvlText w:val="%2."/>
      <w:lvlJc w:val="left"/>
      <w:rPr>
        <w:rFonts w:ascii="Tahoma" w:eastAsia="Times New Roman" w:hAnsi="Tahoma"/>
        <w:color w:val="000000"/>
        <w:position w:val="0"/>
      </w:rPr>
    </w:lvl>
    <w:lvl w:ilvl="2">
      <w:start w:val="1"/>
      <w:numFmt w:val="lowerRoman"/>
      <w:lvlText w:val="%3."/>
      <w:lvlJc w:val="left"/>
      <w:rPr>
        <w:rFonts w:ascii="Tahoma" w:eastAsia="Times New Roman" w:hAnsi="Tahoma"/>
        <w:color w:val="000000"/>
        <w:position w:val="0"/>
      </w:rPr>
    </w:lvl>
    <w:lvl w:ilvl="3">
      <w:start w:val="1"/>
      <w:numFmt w:val="decimal"/>
      <w:lvlText w:val="%4."/>
      <w:lvlJc w:val="left"/>
      <w:rPr>
        <w:rFonts w:ascii="Tahoma" w:eastAsia="Times New Roman" w:hAnsi="Tahoma"/>
        <w:color w:val="000000"/>
        <w:position w:val="0"/>
      </w:rPr>
    </w:lvl>
    <w:lvl w:ilvl="4">
      <w:start w:val="1"/>
      <w:numFmt w:val="lowerLetter"/>
      <w:lvlText w:val="%5."/>
      <w:lvlJc w:val="left"/>
      <w:rPr>
        <w:rFonts w:ascii="Tahoma" w:eastAsia="Times New Roman" w:hAnsi="Tahoma"/>
        <w:color w:val="000000"/>
        <w:position w:val="0"/>
      </w:rPr>
    </w:lvl>
    <w:lvl w:ilvl="5">
      <w:start w:val="1"/>
      <w:numFmt w:val="lowerRoman"/>
      <w:lvlText w:val="%6."/>
      <w:lvlJc w:val="left"/>
      <w:rPr>
        <w:rFonts w:ascii="Tahoma" w:eastAsia="Times New Roman" w:hAnsi="Tahoma"/>
        <w:color w:val="000000"/>
        <w:position w:val="0"/>
      </w:rPr>
    </w:lvl>
    <w:lvl w:ilvl="6">
      <w:start w:val="1"/>
      <w:numFmt w:val="decimal"/>
      <w:lvlText w:val="%7."/>
      <w:lvlJc w:val="left"/>
      <w:rPr>
        <w:rFonts w:ascii="Tahoma" w:eastAsia="Times New Roman" w:hAnsi="Tahoma"/>
        <w:color w:val="000000"/>
        <w:position w:val="0"/>
      </w:rPr>
    </w:lvl>
    <w:lvl w:ilvl="7">
      <w:start w:val="1"/>
      <w:numFmt w:val="lowerLetter"/>
      <w:lvlText w:val="%8."/>
      <w:lvlJc w:val="left"/>
      <w:rPr>
        <w:rFonts w:ascii="Tahoma" w:eastAsia="Times New Roman" w:hAnsi="Tahoma"/>
        <w:color w:val="000000"/>
        <w:position w:val="0"/>
      </w:rPr>
    </w:lvl>
    <w:lvl w:ilvl="8">
      <w:start w:val="1"/>
      <w:numFmt w:val="lowerRoman"/>
      <w:lvlText w:val="%9."/>
      <w:lvlJc w:val="left"/>
      <w:rPr>
        <w:rFonts w:ascii="Tahoma" w:eastAsia="Times New Roman" w:hAnsi="Tahoma"/>
        <w:color w:val="000000"/>
        <w:position w:val="0"/>
      </w:rPr>
    </w:lvl>
  </w:abstractNum>
  <w:abstractNum w:abstractNumId="47">
    <w:nsid w:val="7C407938"/>
    <w:multiLevelType w:val="hybridMultilevel"/>
    <w:tmpl w:val="604E216A"/>
    <w:lvl w:ilvl="0" w:tplc="AC9ED27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8">
    <w:nsid w:val="7CF812E2"/>
    <w:multiLevelType w:val="multilevel"/>
    <w:tmpl w:val="FFFFFFFF"/>
    <w:styleLink w:val="List41"/>
    <w:lvl w:ilvl="0">
      <w:start w:val="1"/>
      <w:numFmt w:val="bullet"/>
      <w:lvlText w:val="•"/>
      <w:lvlJc w:val="left"/>
      <w:rPr>
        <w:rFonts w:ascii="Tahoma" w:eastAsia="Times New Roman" w:hAnsi="Tahoma"/>
        <w:b/>
        <w:bCs/>
        <w:i/>
        <w:iCs/>
        <w:color w:val="000000"/>
        <w:position w:val="0"/>
      </w:rPr>
    </w:lvl>
    <w:lvl w:ilvl="1">
      <w:start w:val="1"/>
      <w:numFmt w:val="bullet"/>
      <w:lvlText w:val="o"/>
      <w:lvlJc w:val="left"/>
      <w:rPr>
        <w:rFonts w:ascii="Tahoma" w:eastAsia="Times New Roman" w:hAnsi="Tahoma"/>
        <w:b/>
        <w:bCs/>
        <w:i/>
        <w:iCs/>
        <w:color w:val="000000"/>
        <w:position w:val="0"/>
      </w:rPr>
    </w:lvl>
    <w:lvl w:ilvl="2">
      <w:start w:val="1"/>
      <w:numFmt w:val="bullet"/>
      <w:lvlText w:val="▪"/>
      <w:lvlJc w:val="left"/>
      <w:rPr>
        <w:rFonts w:ascii="Tahoma" w:eastAsia="Times New Roman" w:hAnsi="Tahoma"/>
        <w:b/>
        <w:bCs/>
        <w:i/>
        <w:iCs/>
        <w:color w:val="000000"/>
        <w:position w:val="0"/>
      </w:rPr>
    </w:lvl>
    <w:lvl w:ilvl="3">
      <w:start w:val="1"/>
      <w:numFmt w:val="bullet"/>
      <w:lvlText w:val="•"/>
      <w:lvlJc w:val="left"/>
      <w:rPr>
        <w:rFonts w:ascii="Tahoma" w:eastAsia="Times New Roman" w:hAnsi="Tahoma"/>
        <w:b/>
        <w:bCs/>
        <w:i/>
        <w:iCs/>
        <w:color w:val="000000"/>
        <w:position w:val="0"/>
      </w:rPr>
    </w:lvl>
    <w:lvl w:ilvl="4">
      <w:start w:val="1"/>
      <w:numFmt w:val="bullet"/>
      <w:lvlText w:val="o"/>
      <w:lvlJc w:val="left"/>
      <w:rPr>
        <w:rFonts w:ascii="Tahoma" w:eastAsia="Times New Roman" w:hAnsi="Tahoma"/>
        <w:b/>
        <w:bCs/>
        <w:i/>
        <w:iCs/>
        <w:color w:val="000000"/>
        <w:position w:val="0"/>
      </w:rPr>
    </w:lvl>
    <w:lvl w:ilvl="5">
      <w:start w:val="1"/>
      <w:numFmt w:val="bullet"/>
      <w:lvlText w:val="▪"/>
      <w:lvlJc w:val="left"/>
      <w:rPr>
        <w:rFonts w:ascii="Tahoma" w:eastAsia="Times New Roman" w:hAnsi="Tahoma"/>
        <w:b/>
        <w:bCs/>
        <w:i/>
        <w:iCs/>
        <w:color w:val="000000"/>
        <w:position w:val="0"/>
      </w:rPr>
    </w:lvl>
    <w:lvl w:ilvl="6">
      <w:start w:val="1"/>
      <w:numFmt w:val="bullet"/>
      <w:lvlText w:val="•"/>
      <w:lvlJc w:val="left"/>
      <w:rPr>
        <w:rFonts w:ascii="Tahoma" w:eastAsia="Times New Roman" w:hAnsi="Tahoma"/>
        <w:b/>
        <w:bCs/>
        <w:i/>
        <w:iCs/>
        <w:color w:val="000000"/>
        <w:position w:val="0"/>
      </w:rPr>
    </w:lvl>
    <w:lvl w:ilvl="7">
      <w:start w:val="1"/>
      <w:numFmt w:val="bullet"/>
      <w:lvlText w:val="o"/>
      <w:lvlJc w:val="left"/>
      <w:rPr>
        <w:rFonts w:ascii="Tahoma" w:eastAsia="Times New Roman" w:hAnsi="Tahoma"/>
        <w:b/>
        <w:bCs/>
        <w:i/>
        <w:iCs/>
        <w:color w:val="000000"/>
        <w:position w:val="0"/>
      </w:rPr>
    </w:lvl>
    <w:lvl w:ilvl="8">
      <w:start w:val="1"/>
      <w:numFmt w:val="bullet"/>
      <w:lvlText w:val="▪"/>
      <w:lvlJc w:val="left"/>
      <w:rPr>
        <w:rFonts w:ascii="Tahoma" w:eastAsia="Times New Roman" w:hAnsi="Tahoma"/>
        <w:b/>
        <w:bCs/>
        <w:i/>
        <w:iCs/>
        <w:color w:val="000000"/>
        <w:position w:val="0"/>
      </w:rPr>
    </w:lvl>
  </w:abstractNum>
  <w:abstractNum w:abstractNumId="49">
    <w:nsid w:val="7D2E21CA"/>
    <w:multiLevelType w:val="multilevel"/>
    <w:tmpl w:val="FFFFFFFF"/>
    <w:styleLink w:val="List29"/>
    <w:lvl w:ilvl="0">
      <w:start w:val="1"/>
      <w:numFmt w:val="decimal"/>
      <w:lvlText w:val="%1."/>
      <w:lvlJc w:val="left"/>
      <w:rPr>
        <w:rFonts w:ascii="Tahoma" w:eastAsia="Times New Roman" w:hAnsi="Tahoma"/>
        <w:color w:val="000000"/>
        <w:position w:val="0"/>
      </w:rPr>
    </w:lvl>
    <w:lvl w:ilvl="1">
      <w:start w:val="1"/>
      <w:numFmt w:val="lowerLetter"/>
      <w:lvlText w:val="%2."/>
      <w:lvlJc w:val="left"/>
      <w:rPr>
        <w:rFonts w:ascii="Tahoma" w:eastAsia="Times New Roman" w:hAnsi="Tahoma"/>
        <w:color w:val="000000"/>
        <w:position w:val="0"/>
      </w:rPr>
    </w:lvl>
    <w:lvl w:ilvl="2">
      <w:start w:val="1"/>
      <w:numFmt w:val="lowerRoman"/>
      <w:lvlText w:val="%3."/>
      <w:lvlJc w:val="left"/>
      <w:rPr>
        <w:rFonts w:ascii="Tahoma" w:eastAsia="Times New Roman" w:hAnsi="Tahoma"/>
        <w:color w:val="000000"/>
        <w:position w:val="0"/>
      </w:rPr>
    </w:lvl>
    <w:lvl w:ilvl="3">
      <w:start w:val="1"/>
      <w:numFmt w:val="decimal"/>
      <w:lvlText w:val="%4."/>
      <w:lvlJc w:val="left"/>
      <w:rPr>
        <w:rFonts w:ascii="Tahoma" w:eastAsia="Times New Roman" w:hAnsi="Tahoma"/>
        <w:color w:val="000000"/>
        <w:position w:val="0"/>
      </w:rPr>
    </w:lvl>
    <w:lvl w:ilvl="4">
      <w:start w:val="1"/>
      <w:numFmt w:val="lowerLetter"/>
      <w:lvlText w:val="%5."/>
      <w:lvlJc w:val="left"/>
      <w:rPr>
        <w:rFonts w:ascii="Tahoma" w:eastAsia="Times New Roman" w:hAnsi="Tahoma"/>
        <w:color w:val="000000"/>
        <w:position w:val="0"/>
      </w:rPr>
    </w:lvl>
    <w:lvl w:ilvl="5">
      <w:start w:val="1"/>
      <w:numFmt w:val="lowerRoman"/>
      <w:lvlText w:val="%6."/>
      <w:lvlJc w:val="left"/>
      <w:rPr>
        <w:rFonts w:ascii="Tahoma" w:eastAsia="Times New Roman" w:hAnsi="Tahoma"/>
        <w:color w:val="000000"/>
        <w:position w:val="0"/>
      </w:rPr>
    </w:lvl>
    <w:lvl w:ilvl="6">
      <w:start w:val="1"/>
      <w:numFmt w:val="decimal"/>
      <w:lvlText w:val="%7."/>
      <w:lvlJc w:val="left"/>
      <w:rPr>
        <w:rFonts w:ascii="Tahoma" w:eastAsia="Times New Roman" w:hAnsi="Tahoma"/>
        <w:color w:val="000000"/>
        <w:position w:val="0"/>
      </w:rPr>
    </w:lvl>
    <w:lvl w:ilvl="7">
      <w:start w:val="1"/>
      <w:numFmt w:val="lowerLetter"/>
      <w:lvlText w:val="%8."/>
      <w:lvlJc w:val="left"/>
      <w:rPr>
        <w:rFonts w:ascii="Tahoma" w:eastAsia="Times New Roman" w:hAnsi="Tahoma"/>
        <w:color w:val="000000"/>
        <w:position w:val="0"/>
      </w:rPr>
    </w:lvl>
    <w:lvl w:ilvl="8">
      <w:start w:val="1"/>
      <w:numFmt w:val="lowerRoman"/>
      <w:lvlText w:val="%9."/>
      <w:lvlJc w:val="left"/>
      <w:rPr>
        <w:rFonts w:ascii="Tahoma" w:eastAsia="Times New Roman" w:hAnsi="Tahoma"/>
        <w:color w:val="000000"/>
        <w:position w:val="0"/>
      </w:rPr>
    </w:lvl>
  </w:abstractNum>
  <w:abstractNum w:abstractNumId="50">
    <w:nsid w:val="7E2E0B7B"/>
    <w:multiLevelType w:val="multilevel"/>
    <w:tmpl w:val="FFFFFFFF"/>
    <w:styleLink w:val="List19"/>
    <w:lvl w:ilvl="0">
      <w:start w:val="1"/>
      <w:numFmt w:val="lowerLetter"/>
      <w:lvlText w:val="%1."/>
      <w:lvlJc w:val="left"/>
      <w:rPr>
        <w:rFonts w:ascii="Tahoma" w:eastAsia="Times New Roman" w:hAnsi="Tahoma"/>
        <w:color w:val="000000"/>
        <w:position w:val="0"/>
      </w:rPr>
    </w:lvl>
    <w:lvl w:ilvl="1">
      <w:start w:val="1"/>
      <w:numFmt w:val="lowerLetter"/>
      <w:lvlText w:val="%2."/>
      <w:lvlJc w:val="left"/>
      <w:rPr>
        <w:rFonts w:ascii="Tahoma" w:eastAsia="Times New Roman" w:hAnsi="Tahoma"/>
        <w:color w:val="000000"/>
        <w:position w:val="0"/>
      </w:rPr>
    </w:lvl>
    <w:lvl w:ilvl="2">
      <w:start w:val="1"/>
      <w:numFmt w:val="lowerRoman"/>
      <w:lvlText w:val="%3."/>
      <w:lvlJc w:val="left"/>
      <w:rPr>
        <w:rFonts w:ascii="Tahoma" w:eastAsia="Times New Roman" w:hAnsi="Tahoma"/>
        <w:color w:val="000000"/>
        <w:position w:val="0"/>
      </w:rPr>
    </w:lvl>
    <w:lvl w:ilvl="3">
      <w:start w:val="1"/>
      <w:numFmt w:val="decimal"/>
      <w:lvlText w:val="%4."/>
      <w:lvlJc w:val="left"/>
      <w:rPr>
        <w:rFonts w:ascii="Tahoma" w:eastAsia="Times New Roman" w:hAnsi="Tahoma"/>
        <w:color w:val="000000"/>
        <w:position w:val="0"/>
      </w:rPr>
    </w:lvl>
    <w:lvl w:ilvl="4">
      <w:start w:val="1"/>
      <w:numFmt w:val="lowerLetter"/>
      <w:lvlText w:val="%5."/>
      <w:lvlJc w:val="left"/>
      <w:rPr>
        <w:rFonts w:ascii="Tahoma" w:eastAsia="Times New Roman" w:hAnsi="Tahoma"/>
        <w:color w:val="000000"/>
        <w:position w:val="0"/>
      </w:rPr>
    </w:lvl>
    <w:lvl w:ilvl="5">
      <w:start w:val="1"/>
      <w:numFmt w:val="lowerRoman"/>
      <w:lvlText w:val="%6."/>
      <w:lvlJc w:val="left"/>
      <w:rPr>
        <w:rFonts w:ascii="Tahoma" w:eastAsia="Times New Roman" w:hAnsi="Tahoma"/>
        <w:color w:val="000000"/>
        <w:position w:val="0"/>
      </w:rPr>
    </w:lvl>
    <w:lvl w:ilvl="6">
      <w:start w:val="1"/>
      <w:numFmt w:val="decimal"/>
      <w:lvlText w:val="%7."/>
      <w:lvlJc w:val="left"/>
      <w:rPr>
        <w:rFonts w:ascii="Tahoma" w:eastAsia="Times New Roman" w:hAnsi="Tahoma"/>
        <w:color w:val="000000"/>
        <w:position w:val="0"/>
      </w:rPr>
    </w:lvl>
    <w:lvl w:ilvl="7">
      <w:start w:val="1"/>
      <w:numFmt w:val="lowerLetter"/>
      <w:lvlText w:val="%8."/>
      <w:lvlJc w:val="left"/>
      <w:rPr>
        <w:rFonts w:ascii="Tahoma" w:eastAsia="Times New Roman" w:hAnsi="Tahoma"/>
        <w:color w:val="000000"/>
        <w:position w:val="0"/>
      </w:rPr>
    </w:lvl>
    <w:lvl w:ilvl="8">
      <w:start w:val="1"/>
      <w:numFmt w:val="lowerRoman"/>
      <w:lvlText w:val="%9."/>
      <w:lvlJc w:val="left"/>
      <w:rPr>
        <w:rFonts w:ascii="Tahoma" w:eastAsia="Times New Roman" w:hAnsi="Tahoma"/>
        <w:color w:val="000000"/>
        <w:position w:val="0"/>
      </w:rPr>
    </w:lvl>
  </w:abstractNum>
  <w:num w:numId="1">
    <w:abstractNumId w:val="41"/>
  </w:num>
  <w:num w:numId="2">
    <w:abstractNumId w:val="45"/>
  </w:num>
  <w:num w:numId="3">
    <w:abstractNumId w:val="27"/>
    <w:lvlOverride w:ilvl="0">
      <w:lvl w:ilvl="0">
        <w:start w:val="1"/>
        <w:numFmt w:val="bullet"/>
        <w:lvlText w:val="•"/>
        <w:lvlJc w:val="left"/>
        <w:rPr>
          <w:rFonts w:ascii="Tahoma" w:eastAsia="Times New Roman" w:hAnsi="Tahoma"/>
          <w:color w:val="auto"/>
          <w:position w:val="0"/>
        </w:rPr>
      </w:lvl>
    </w:lvlOverride>
  </w:num>
  <w:num w:numId="4">
    <w:abstractNumId w:val="16"/>
  </w:num>
  <w:num w:numId="5">
    <w:abstractNumId w:val="48"/>
  </w:num>
  <w:num w:numId="6">
    <w:abstractNumId w:val="2"/>
  </w:num>
  <w:num w:numId="7">
    <w:abstractNumId w:val="40"/>
  </w:num>
  <w:num w:numId="8">
    <w:abstractNumId w:val="9"/>
  </w:num>
  <w:num w:numId="9">
    <w:abstractNumId w:val="14"/>
  </w:num>
  <w:num w:numId="10">
    <w:abstractNumId w:val="32"/>
  </w:num>
  <w:num w:numId="11">
    <w:abstractNumId w:val="44"/>
  </w:num>
  <w:num w:numId="12">
    <w:abstractNumId w:val="6"/>
  </w:num>
  <w:num w:numId="13">
    <w:abstractNumId w:val="0"/>
  </w:num>
  <w:num w:numId="14">
    <w:abstractNumId w:val="33"/>
  </w:num>
  <w:num w:numId="15">
    <w:abstractNumId w:val="20"/>
  </w:num>
  <w:num w:numId="16">
    <w:abstractNumId w:val="22"/>
  </w:num>
  <w:num w:numId="17">
    <w:abstractNumId w:val="30"/>
  </w:num>
  <w:num w:numId="18">
    <w:abstractNumId w:val="5"/>
  </w:num>
  <w:num w:numId="19">
    <w:abstractNumId w:val="25"/>
  </w:num>
  <w:num w:numId="20">
    <w:abstractNumId w:val="50"/>
  </w:num>
  <w:num w:numId="21">
    <w:abstractNumId w:val="12"/>
  </w:num>
  <w:num w:numId="22">
    <w:abstractNumId w:val="8"/>
  </w:num>
  <w:num w:numId="23">
    <w:abstractNumId w:val="35"/>
  </w:num>
  <w:num w:numId="24">
    <w:abstractNumId w:val="29"/>
  </w:num>
  <w:num w:numId="25">
    <w:abstractNumId w:val="31"/>
  </w:num>
  <w:num w:numId="26">
    <w:abstractNumId w:val="23"/>
  </w:num>
  <w:num w:numId="27">
    <w:abstractNumId w:val="10"/>
  </w:num>
  <w:num w:numId="28">
    <w:abstractNumId w:val="13"/>
  </w:num>
  <w:num w:numId="29">
    <w:abstractNumId w:val="15"/>
  </w:num>
  <w:num w:numId="30">
    <w:abstractNumId w:val="49"/>
  </w:num>
  <w:num w:numId="31">
    <w:abstractNumId w:val="42"/>
  </w:num>
  <w:num w:numId="32">
    <w:abstractNumId w:val="46"/>
  </w:num>
  <w:num w:numId="33">
    <w:abstractNumId w:val="18"/>
  </w:num>
  <w:num w:numId="34">
    <w:abstractNumId w:val="34"/>
  </w:num>
  <w:num w:numId="35">
    <w:abstractNumId w:val="21"/>
  </w:num>
  <w:num w:numId="36">
    <w:abstractNumId w:val="43"/>
    <w:lvlOverride w:ilvl="0">
      <w:lvl w:ilvl="0">
        <w:start w:val="1"/>
        <w:numFmt w:val="upperLetter"/>
        <w:lvlText w:val="%1."/>
        <w:lvlJc w:val="left"/>
        <w:rPr>
          <w:rFonts w:ascii="Tahoma" w:eastAsia="Times New Roman" w:hAnsi="Tahoma"/>
          <w:b w:val="0"/>
          <w:bCs/>
          <w:color w:val="000000"/>
          <w:position w:val="0"/>
        </w:rPr>
      </w:lvl>
    </w:lvlOverride>
  </w:num>
  <w:num w:numId="37">
    <w:abstractNumId w:val="4"/>
  </w:num>
  <w:num w:numId="38">
    <w:abstractNumId w:val="7"/>
  </w:num>
  <w:num w:numId="39">
    <w:abstractNumId w:val="38"/>
  </w:num>
  <w:num w:numId="40">
    <w:abstractNumId w:val="24"/>
  </w:num>
  <w:num w:numId="41">
    <w:abstractNumId w:val="47"/>
  </w:num>
  <w:num w:numId="42">
    <w:abstractNumId w:val="1"/>
  </w:num>
  <w:num w:numId="43">
    <w:abstractNumId w:val="3"/>
  </w:num>
  <w:num w:numId="44">
    <w:abstractNumId w:val="17"/>
  </w:num>
  <w:num w:numId="45">
    <w:abstractNumId w:val="37"/>
  </w:num>
  <w:num w:numId="46">
    <w:abstractNumId w:val="28"/>
  </w:num>
  <w:num w:numId="47">
    <w:abstractNumId w:val="39"/>
  </w:num>
  <w:num w:numId="48">
    <w:abstractNumId w:val="11"/>
  </w:num>
  <w:num w:numId="49">
    <w:abstractNumId w:val="19"/>
  </w:num>
  <w:num w:numId="50">
    <w:abstractNumId w:val="36"/>
  </w:num>
  <w:num w:numId="51">
    <w:abstractNumId w:val="27"/>
  </w:num>
  <w:num w:numId="52">
    <w:abstractNumId w:val="43"/>
  </w:num>
  <w:num w:numId="53">
    <w:abstractNumId w:val="26"/>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removePersonalInformation/>
  <w:removeDateAndTim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PH" w:vendorID="64" w:dllVersion="131078" w:nlCheck="1" w:checkStyle="1"/>
  <w:activeWritingStyle w:appName="MSWord" w:lang="fr-FR" w:vendorID="64" w:dllVersion="131078" w:nlCheck="1" w:checkStyle="1"/>
  <w:activeWritingStyle w:appName="MSWord" w:lang="fr-BE" w:vendorID="64" w:dllVersion="131078" w:nlCheck="1" w:checkStyle="1"/>
  <w:activeWritingStyle w:appName="MSWord" w:lang="fr-CH" w:vendorID="64" w:dllVersion="131078" w:nlCheck="1" w:checkStyle="1"/>
  <w:activeWritingStyle w:appName="MSWord" w:lang="es-ES" w:vendorID="64" w:dllVersion="131078" w:nlCheck="1" w:checkStyle="1"/>
  <w:proofState w:spelling="clean"/>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578A"/>
    <w:rsid w:val="000022A3"/>
    <w:rsid w:val="00002A7D"/>
    <w:rsid w:val="000038A8"/>
    <w:rsid w:val="00004D96"/>
    <w:rsid w:val="00006790"/>
    <w:rsid w:val="00015C5C"/>
    <w:rsid w:val="00015D35"/>
    <w:rsid w:val="000219F5"/>
    <w:rsid w:val="00023417"/>
    <w:rsid w:val="00023B74"/>
    <w:rsid w:val="00027624"/>
    <w:rsid w:val="00032525"/>
    <w:rsid w:val="00033867"/>
    <w:rsid w:val="00034450"/>
    <w:rsid w:val="00036845"/>
    <w:rsid w:val="000371E3"/>
    <w:rsid w:val="00037741"/>
    <w:rsid w:val="0004212C"/>
    <w:rsid w:val="000422BC"/>
    <w:rsid w:val="00043011"/>
    <w:rsid w:val="00044A87"/>
    <w:rsid w:val="00044C39"/>
    <w:rsid w:val="0005004C"/>
    <w:rsid w:val="000504E2"/>
    <w:rsid w:val="00050F6B"/>
    <w:rsid w:val="00051268"/>
    <w:rsid w:val="00053CA0"/>
    <w:rsid w:val="000646FC"/>
    <w:rsid w:val="000652A0"/>
    <w:rsid w:val="00066C5D"/>
    <w:rsid w:val="000678CD"/>
    <w:rsid w:val="00072745"/>
    <w:rsid w:val="00072C8C"/>
    <w:rsid w:val="0007540C"/>
    <w:rsid w:val="00075C62"/>
    <w:rsid w:val="00076E3F"/>
    <w:rsid w:val="00081CE0"/>
    <w:rsid w:val="0008327A"/>
    <w:rsid w:val="000835D3"/>
    <w:rsid w:val="00083E1C"/>
    <w:rsid w:val="00084D30"/>
    <w:rsid w:val="00090320"/>
    <w:rsid w:val="000931C0"/>
    <w:rsid w:val="0009322F"/>
    <w:rsid w:val="0009336B"/>
    <w:rsid w:val="00094F0E"/>
    <w:rsid w:val="000A1DA9"/>
    <w:rsid w:val="000A2E09"/>
    <w:rsid w:val="000A3D6C"/>
    <w:rsid w:val="000A6D4C"/>
    <w:rsid w:val="000B0137"/>
    <w:rsid w:val="000B04F3"/>
    <w:rsid w:val="000B175B"/>
    <w:rsid w:val="000B1AF9"/>
    <w:rsid w:val="000B34A5"/>
    <w:rsid w:val="000B3A0F"/>
    <w:rsid w:val="000B7BA7"/>
    <w:rsid w:val="000C3AAC"/>
    <w:rsid w:val="000C6160"/>
    <w:rsid w:val="000D15BD"/>
    <w:rsid w:val="000E0415"/>
    <w:rsid w:val="000E3CF2"/>
    <w:rsid w:val="000E3FDB"/>
    <w:rsid w:val="000E4A5A"/>
    <w:rsid w:val="000F4004"/>
    <w:rsid w:val="000F506F"/>
    <w:rsid w:val="000F7715"/>
    <w:rsid w:val="000F7862"/>
    <w:rsid w:val="00101969"/>
    <w:rsid w:val="00105FBE"/>
    <w:rsid w:val="00111438"/>
    <w:rsid w:val="001179D2"/>
    <w:rsid w:val="00120E2E"/>
    <w:rsid w:val="001214E2"/>
    <w:rsid w:val="001259E3"/>
    <w:rsid w:val="0012699A"/>
    <w:rsid w:val="0012738C"/>
    <w:rsid w:val="00132F24"/>
    <w:rsid w:val="00133668"/>
    <w:rsid w:val="001351DC"/>
    <w:rsid w:val="001367B2"/>
    <w:rsid w:val="00137190"/>
    <w:rsid w:val="00140A42"/>
    <w:rsid w:val="0014123F"/>
    <w:rsid w:val="001415F8"/>
    <w:rsid w:val="00141987"/>
    <w:rsid w:val="00144AA4"/>
    <w:rsid w:val="001457B5"/>
    <w:rsid w:val="0014676E"/>
    <w:rsid w:val="001468CE"/>
    <w:rsid w:val="001470AF"/>
    <w:rsid w:val="00154BA4"/>
    <w:rsid w:val="001554C5"/>
    <w:rsid w:val="00155CAA"/>
    <w:rsid w:val="00156B99"/>
    <w:rsid w:val="00157A44"/>
    <w:rsid w:val="001607F5"/>
    <w:rsid w:val="00162471"/>
    <w:rsid w:val="00162FA7"/>
    <w:rsid w:val="00166124"/>
    <w:rsid w:val="001677B2"/>
    <w:rsid w:val="00172149"/>
    <w:rsid w:val="00173317"/>
    <w:rsid w:val="00176E92"/>
    <w:rsid w:val="001806FB"/>
    <w:rsid w:val="00181E5F"/>
    <w:rsid w:val="00183F8A"/>
    <w:rsid w:val="00184DDA"/>
    <w:rsid w:val="001853CB"/>
    <w:rsid w:val="001866EF"/>
    <w:rsid w:val="00187CD1"/>
    <w:rsid w:val="001900CD"/>
    <w:rsid w:val="00190F19"/>
    <w:rsid w:val="0019243C"/>
    <w:rsid w:val="00195175"/>
    <w:rsid w:val="00195E07"/>
    <w:rsid w:val="00195E5A"/>
    <w:rsid w:val="00197782"/>
    <w:rsid w:val="00197B0E"/>
    <w:rsid w:val="001A0452"/>
    <w:rsid w:val="001A10EF"/>
    <w:rsid w:val="001A1CE8"/>
    <w:rsid w:val="001A39BF"/>
    <w:rsid w:val="001A4B07"/>
    <w:rsid w:val="001A6325"/>
    <w:rsid w:val="001B13D7"/>
    <w:rsid w:val="001B14F5"/>
    <w:rsid w:val="001B2A3F"/>
    <w:rsid w:val="001B2C4E"/>
    <w:rsid w:val="001B3487"/>
    <w:rsid w:val="001B3E2E"/>
    <w:rsid w:val="001B3F92"/>
    <w:rsid w:val="001B41FF"/>
    <w:rsid w:val="001B4B04"/>
    <w:rsid w:val="001B4B3B"/>
    <w:rsid w:val="001B5875"/>
    <w:rsid w:val="001B660A"/>
    <w:rsid w:val="001C088C"/>
    <w:rsid w:val="001C45E3"/>
    <w:rsid w:val="001C46BB"/>
    <w:rsid w:val="001C4B9C"/>
    <w:rsid w:val="001C6663"/>
    <w:rsid w:val="001C7895"/>
    <w:rsid w:val="001D26DF"/>
    <w:rsid w:val="001D74D1"/>
    <w:rsid w:val="001D7739"/>
    <w:rsid w:val="001E01BA"/>
    <w:rsid w:val="001E14E8"/>
    <w:rsid w:val="001E46E1"/>
    <w:rsid w:val="001E5A44"/>
    <w:rsid w:val="001E5AF4"/>
    <w:rsid w:val="001F1599"/>
    <w:rsid w:val="001F19C4"/>
    <w:rsid w:val="001F1CED"/>
    <w:rsid w:val="001F36EA"/>
    <w:rsid w:val="001F5390"/>
    <w:rsid w:val="001F798E"/>
    <w:rsid w:val="002011FF"/>
    <w:rsid w:val="00203B5A"/>
    <w:rsid w:val="002043F0"/>
    <w:rsid w:val="0020775B"/>
    <w:rsid w:val="00207A6A"/>
    <w:rsid w:val="0021022B"/>
    <w:rsid w:val="00210BAD"/>
    <w:rsid w:val="00211E0B"/>
    <w:rsid w:val="00213843"/>
    <w:rsid w:val="00216885"/>
    <w:rsid w:val="002172A8"/>
    <w:rsid w:val="0022095E"/>
    <w:rsid w:val="002214EC"/>
    <w:rsid w:val="0022165A"/>
    <w:rsid w:val="00222DA5"/>
    <w:rsid w:val="00224904"/>
    <w:rsid w:val="00226A82"/>
    <w:rsid w:val="00227C66"/>
    <w:rsid w:val="00232575"/>
    <w:rsid w:val="00233189"/>
    <w:rsid w:val="00234829"/>
    <w:rsid w:val="00237FA9"/>
    <w:rsid w:val="002416A0"/>
    <w:rsid w:val="00243502"/>
    <w:rsid w:val="00243CBC"/>
    <w:rsid w:val="002443C9"/>
    <w:rsid w:val="0024455B"/>
    <w:rsid w:val="0024598B"/>
    <w:rsid w:val="00245E09"/>
    <w:rsid w:val="00247258"/>
    <w:rsid w:val="00252967"/>
    <w:rsid w:val="00256274"/>
    <w:rsid w:val="0025652A"/>
    <w:rsid w:val="00257CAC"/>
    <w:rsid w:val="00261C4C"/>
    <w:rsid w:val="00261D45"/>
    <w:rsid w:val="002662BA"/>
    <w:rsid w:val="00271468"/>
    <w:rsid w:val="0027237A"/>
    <w:rsid w:val="002733B1"/>
    <w:rsid w:val="002738E9"/>
    <w:rsid w:val="00275447"/>
    <w:rsid w:val="00275C23"/>
    <w:rsid w:val="002765CE"/>
    <w:rsid w:val="00276EFD"/>
    <w:rsid w:val="002770B7"/>
    <w:rsid w:val="002770FA"/>
    <w:rsid w:val="0028002F"/>
    <w:rsid w:val="00286B98"/>
    <w:rsid w:val="002974E9"/>
    <w:rsid w:val="002A3F74"/>
    <w:rsid w:val="002A56EB"/>
    <w:rsid w:val="002A59DB"/>
    <w:rsid w:val="002A75A4"/>
    <w:rsid w:val="002A7F94"/>
    <w:rsid w:val="002B0D76"/>
    <w:rsid w:val="002B109A"/>
    <w:rsid w:val="002B23D7"/>
    <w:rsid w:val="002B7A8C"/>
    <w:rsid w:val="002C3008"/>
    <w:rsid w:val="002C563C"/>
    <w:rsid w:val="002C6D45"/>
    <w:rsid w:val="002C7DBA"/>
    <w:rsid w:val="002D04ED"/>
    <w:rsid w:val="002D42BE"/>
    <w:rsid w:val="002D6E53"/>
    <w:rsid w:val="002D7597"/>
    <w:rsid w:val="002E0FEF"/>
    <w:rsid w:val="002E1C18"/>
    <w:rsid w:val="002E4784"/>
    <w:rsid w:val="002E4987"/>
    <w:rsid w:val="002E7607"/>
    <w:rsid w:val="002E7E8B"/>
    <w:rsid w:val="002F046D"/>
    <w:rsid w:val="002F4E48"/>
    <w:rsid w:val="002F7474"/>
    <w:rsid w:val="00301764"/>
    <w:rsid w:val="00304E96"/>
    <w:rsid w:val="003068AD"/>
    <w:rsid w:val="00307893"/>
    <w:rsid w:val="003101C6"/>
    <w:rsid w:val="00312E54"/>
    <w:rsid w:val="003229D8"/>
    <w:rsid w:val="003253CD"/>
    <w:rsid w:val="0032557D"/>
    <w:rsid w:val="00326A9C"/>
    <w:rsid w:val="00327DD1"/>
    <w:rsid w:val="00327E7D"/>
    <w:rsid w:val="00334511"/>
    <w:rsid w:val="00336AA7"/>
    <w:rsid w:val="00336C97"/>
    <w:rsid w:val="00337F88"/>
    <w:rsid w:val="00342432"/>
    <w:rsid w:val="00345528"/>
    <w:rsid w:val="003519C1"/>
    <w:rsid w:val="0035223F"/>
    <w:rsid w:val="003527BB"/>
    <w:rsid w:val="00352D4B"/>
    <w:rsid w:val="00355306"/>
    <w:rsid w:val="003553F8"/>
    <w:rsid w:val="0035564E"/>
    <w:rsid w:val="0035638C"/>
    <w:rsid w:val="00364F91"/>
    <w:rsid w:val="00366EA8"/>
    <w:rsid w:val="003672D4"/>
    <w:rsid w:val="003770CF"/>
    <w:rsid w:val="00377823"/>
    <w:rsid w:val="00377A3C"/>
    <w:rsid w:val="0038296F"/>
    <w:rsid w:val="0038372B"/>
    <w:rsid w:val="00384A09"/>
    <w:rsid w:val="003853CF"/>
    <w:rsid w:val="00385F93"/>
    <w:rsid w:val="00386502"/>
    <w:rsid w:val="00390C29"/>
    <w:rsid w:val="003914FA"/>
    <w:rsid w:val="003921AD"/>
    <w:rsid w:val="0039321F"/>
    <w:rsid w:val="00394507"/>
    <w:rsid w:val="00394865"/>
    <w:rsid w:val="00397090"/>
    <w:rsid w:val="00397581"/>
    <w:rsid w:val="003A2862"/>
    <w:rsid w:val="003A3905"/>
    <w:rsid w:val="003A46BB"/>
    <w:rsid w:val="003A4EC7"/>
    <w:rsid w:val="003A7295"/>
    <w:rsid w:val="003B1F60"/>
    <w:rsid w:val="003B2374"/>
    <w:rsid w:val="003B2C42"/>
    <w:rsid w:val="003B2DD1"/>
    <w:rsid w:val="003B46AE"/>
    <w:rsid w:val="003C1625"/>
    <w:rsid w:val="003C1898"/>
    <w:rsid w:val="003C2CC4"/>
    <w:rsid w:val="003C5787"/>
    <w:rsid w:val="003C7EB6"/>
    <w:rsid w:val="003D1B4A"/>
    <w:rsid w:val="003D2892"/>
    <w:rsid w:val="003D3A45"/>
    <w:rsid w:val="003D4B23"/>
    <w:rsid w:val="003D4E7E"/>
    <w:rsid w:val="003D57B4"/>
    <w:rsid w:val="003D6722"/>
    <w:rsid w:val="003D7AF0"/>
    <w:rsid w:val="003E14A1"/>
    <w:rsid w:val="003E278A"/>
    <w:rsid w:val="003F15E5"/>
    <w:rsid w:val="003F2DD1"/>
    <w:rsid w:val="003F44FD"/>
    <w:rsid w:val="003F7F57"/>
    <w:rsid w:val="004030D0"/>
    <w:rsid w:val="00406A48"/>
    <w:rsid w:val="00407A57"/>
    <w:rsid w:val="00413520"/>
    <w:rsid w:val="00414124"/>
    <w:rsid w:val="00414A79"/>
    <w:rsid w:val="0041541E"/>
    <w:rsid w:val="004168CC"/>
    <w:rsid w:val="00420EE5"/>
    <w:rsid w:val="00430F56"/>
    <w:rsid w:val="004325CB"/>
    <w:rsid w:val="00434272"/>
    <w:rsid w:val="00440A07"/>
    <w:rsid w:val="00441B03"/>
    <w:rsid w:val="00443779"/>
    <w:rsid w:val="00446EA5"/>
    <w:rsid w:val="00450A3F"/>
    <w:rsid w:val="004522BD"/>
    <w:rsid w:val="004531F8"/>
    <w:rsid w:val="00460B2F"/>
    <w:rsid w:val="00462880"/>
    <w:rsid w:val="00473CB9"/>
    <w:rsid w:val="00474886"/>
    <w:rsid w:val="00474E05"/>
    <w:rsid w:val="00476F24"/>
    <w:rsid w:val="0048012A"/>
    <w:rsid w:val="00480A70"/>
    <w:rsid w:val="00485B77"/>
    <w:rsid w:val="00486C64"/>
    <w:rsid w:val="00486DBB"/>
    <w:rsid w:val="00487C03"/>
    <w:rsid w:val="00490575"/>
    <w:rsid w:val="00493C81"/>
    <w:rsid w:val="00496AAD"/>
    <w:rsid w:val="004A2BBD"/>
    <w:rsid w:val="004A3CEA"/>
    <w:rsid w:val="004B0FCA"/>
    <w:rsid w:val="004B25D4"/>
    <w:rsid w:val="004B289A"/>
    <w:rsid w:val="004B3B1B"/>
    <w:rsid w:val="004B3B1E"/>
    <w:rsid w:val="004B6D5C"/>
    <w:rsid w:val="004B6E25"/>
    <w:rsid w:val="004B7CDC"/>
    <w:rsid w:val="004C1A7A"/>
    <w:rsid w:val="004C1ADF"/>
    <w:rsid w:val="004C55B0"/>
    <w:rsid w:val="004D11EB"/>
    <w:rsid w:val="004D2C9F"/>
    <w:rsid w:val="004D4B73"/>
    <w:rsid w:val="004D5855"/>
    <w:rsid w:val="004D721B"/>
    <w:rsid w:val="004E039A"/>
    <w:rsid w:val="004E0996"/>
    <w:rsid w:val="004E2036"/>
    <w:rsid w:val="004E5395"/>
    <w:rsid w:val="004E54DA"/>
    <w:rsid w:val="004F2C6D"/>
    <w:rsid w:val="004F319F"/>
    <w:rsid w:val="004F5632"/>
    <w:rsid w:val="004F6BA0"/>
    <w:rsid w:val="004F7EC3"/>
    <w:rsid w:val="00500150"/>
    <w:rsid w:val="005009F2"/>
    <w:rsid w:val="00500ADB"/>
    <w:rsid w:val="00502FA7"/>
    <w:rsid w:val="00503BEA"/>
    <w:rsid w:val="00511F25"/>
    <w:rsid w:val="00512707"/>
    <w:rsid w:val="005152ED"/>
    <w:rsid w:val="00517204"/>
    <w:rsid w:val="00517E33"/>
    <w:rsid w:val="00520524"/>
    <w:rsid w:val="00520956"/>
    <w:rsid w:val="005212E2"/>
    <w:rsid w:val="0052355A"/>
    <w:rsid w:val="00527CAF"/>
    <w:rsid w:val="00532D28"/>
    <w:rsid w:val="00533616"/>
    <w:rsid w:val="00535ABA"/>
    <w:rsid w:val="0053768B"/>
    <w:rsid w:val="0053796B"/>
    <w:rsid w:val="005420F2"/>
    <w:rsid w:val="0054285C"/>
    <w:rsid w:val="0054286B"/>
    <w:rsid w:val="00542D9C"/>
    <w:rsid w:val="005436D3"/>
    <w:rsid w:val="00543E0E"/>
    <w:rsid w:val="0055584F"/>
    <w:rsid w:val="005569BE"/>
    <w:rsid w:val="0056011B"/>
    <w:rsid w:val="0056259E"/>
    <w:rsid w:val="0056350A"/>
    <w:rsid w:val="00564D2B"/>
    <w:rsid w:val="00565828"/>
    <w:rsid w:val="00566C6D"/>
    <w:rsid w:val="00566C86"/>
    <w:rsid w:val="0057054E"/>
    <w:rsid w:val="00570E92"/>
    <w:rsid w:val="00570F36"/>
    <w:rsid w:val="005746B6"/>
    <w:rsid w:val="00574957"/>
    <w:rsid w:val="00575014"/>
    <w:rsid w:val="005761C7"/>
    <w:rsid w:val="00577894"/>
    <w:rsid w:val="00582B2A"/>
    <w:rsid w:val="00584173"/>
    <w:rsid w:val="0058630E"/>
    <w:rsid w:val="00595520"/>
    <w:rsid w:val="005961A6"/>
    <w:rsid w:val="00596687"/>
    <w:rsid w:val="005970CF"/>
    <w:rsid w:val="005A0A3B"/>
    <w:rsid w:val="005A1B4D"/>
    <w:rsid w:val="005A3164"/>
    <w:rsid w:val="005A41EF"/>
    <w:rsid w:val="005A44B9"/>
    <w:rsid w:val="005A48EE"/>
    <w:rsid w:val="005A520A"/>
    <w:rsid w:val="005A6D25"/>
    <w:rsid w:val="005A7897"/>
    <w:rsid w:val="005B0F42"/>
    <w:rsid w:val="005B1BA0"/>
    <w:rsid w:val="005B3DB3"/>
    <w:rsid w:val="005B56A0"/>
    <w:rsid w:val="005B7FAE"/>
    <w:rsid w:val="005C2EF7"/>
    <w:rsid w:val="005C3492"/>
    <w:rsid w:val="005C353E"/>
    <w:rsid w:val="005C4018"/>
    <w:rsid w:val="005C5973"/>
    <w:rsid w:val="005C6302"/>
    <w:rsid w:val="005C660E"/>
    <w:rsid w:val="005D0CA9"/>
    <w:rsid w:val="005D15CA"/>
    <w:rsid w:val="005D3EA5"/>
    <w:rsid w:val="005D4C3C"/>
    <w:rsid w:val="005D4E1C"/>
    <w:rsid w:val="005E5737"/>
    <w:rsid w:val="005E636D"/>
    <w:rsid w:val="005F08DF"/>
    <w:rsid w:val="005F2837"/>
    <w:rsid w:val="005F3066"/>
    <w:rsid w:val="005F3E61"/>
    <w:rsid w:val="00601859"/>
    <w:rsid w:val="0060319B"/>
    <w:rsid w:val="00604DDD"/>
    <w:rsid w:val="0060675D"/>
    <w:rsid w:val="00606D23"/>
    <w:rsid w:val="0061026F"/>
    <w:rsid w:val="006115CC"/>
    <w:rsid w:val="00611FC4"/>
    <w:rsid w:val="00617015"/>
    <w:rsid w:val="006176FB"/>
    <w:rsid w:val="006217D2"/>
    <w:rsid w:val="00621BFF"/>
    <w:rsid w:val="00621DF2"/>
    <w:rsid w:val="006221B6"/>
    <w:rsid w:val="006223BE"/>
    <w:rsid w:val="00623541"/>
    <w:rsid w:val="00624500"/>
    <w:rsid w:val="00625FF9"/>
    <w:rsid w:val="00627AB4"/>
    <w:rsid w:val="00630FCB"/>
    <w:rsid w:val="00633951"/>
    <w:rsid w:val="00635B2C"/>
    <w:rsid w:val="0063601A"/>
    <w:rsid w:val="00636317"/>
    <w:rsid w:val="006371CB"/>
    <w:rsid w:val="00640B26"/>
    <w:rsid w:val="00642426"/>
    <w:rsid w:val="00644ECD"/>
    <w:rsid w:val="00645B62"/>
    <w:rsid w:val="00647576"/>
    <w:rsid w:val="00647BD1"/>
    <w:rsid w:val="00650D3C"/>
    <w:rsid w:val="00653C18"/>
    <w:rsid w:val="00654130"/>
    <w:rsid w:val="00655DD7"/>
    <w:rsid w:val="00656FAA"/>
    <w:rsid w:val="00660EB8"/>
    <w:rsid w:val="00660FE7"/>
    <w:rsid w:val="00663B79"/>
    <w:rsid w:val="00664AF8"/>
    <w:rsid w:val="00664BBF"/>
    <w:rsid w:val="00667792"/>
    <w:rsid w:val="00674100"/>
    <w:rsid w:val="006741BC"/>
    <w:rsid w:val="00674F52"/>
    <w:rsid w:val="00675038"/>
    <w:rsid w:val="006770B2"/>
    <w:rsid w:val="00682D16"/>
    <w:rsid w:val="00685FDE"/>
    <w:rsid w:val="00686296"/>
    <w:rsid w:val="00687F03"/>
    <w:rsid w:val="00691D59"/>
    <w:rsid w:val="006940E1"/>
    <w:rsid w:val="006947F9"/>
    <w:rsid w:val="0069627D"/>
    <w:rsid w:val="006963C2"/>
    <w:rsid w:val="006963CC"/>
    <w:rsid w:val="00696418"/>
    <w:rsid w:val="00696AAA"/>
    <w:rsid w:val="006A2573"/>
    <w:rsid w:val="006A2AF3"/>
    <w:rsid w:val="006A3C72"/>
    <w:rsid w:val="006A4E4B"/>
    <w:rsid w:val="006A7392"/>
    <w:rsid w:val="006B03A1"/>
    <w:rsid w:val="006B3031"/>
    <w:rsid w:val="006B32F1"/>
    <w:rsid w:val="006B3B78"/>
    <w:rsid w:val="006B52FB"/>
    <w:rsid w:val="006B67D9"/>
    <w:rsid w:val="006B6BD5"/>
    <w:rsid w:val="006B7F7E"/>
    <w:rsid w:val="006C06E3"/>
    <w:rsid w:val="006C1FF8"/>
    <w:rsid w:val="006C43E3"/>
    <w:rsid w:val="006C5535"/>
    <w:rsid w:val="006C76B0"/>
    <w:rsid w:val="006D02EA"/>
    <w:rsid w:val="006D0589"/>
    <w:rsid w:val="006D0677"/>
    <w:rsid w:val="006D5063"/>
    <w:rsid w:val="006D56E3"/>
    <w:rsid w:val="006D733F"/>
    <w:rsid w:val="006E027C"/>
    <w:rsid w:val="006E137A"/>
    <w:rsid w:val="006E1489"/>
    <w:rsid w:val="006E1835"/>
    <w:rsid w:val="006E2874"/>
    <w:rsid w:val="006E515B"/>
    <w:rsid w:val="006E564B"/>
    <w:rsid w:val="006E7154"/>
    <w:rsid w:val="006F44E5"/>
    <w:rsid w:val="006F5441"/>
    <w:rsid w:val="006F54E2"/>
    <w:rsid w:val="006F58AC"/>
    <w:rsid w:val="007003CD"/>
    <w:rsid w:val="00703A1F"/>
    <w:rsid w:val="00703BA3"/>
    <w:rsid w:val="00706C29"/>
    <w:rsid w:val="0070701E"/>
    <w:rsid w:val="00707319"/>
    <w:rsid w:val="007117BC"/>
    <w:rsid w:val="00717D00"/>
    <w:rsid w:val="00717F26"/>
    <w:rsid w:val="0072143C"/>
    <w:rsid w:val="00722DB2"/>
    <w:rsid w:val="007255DB"/>
    <w:rsid w:val="007259BE"/>
    <w:rsid w:val="0072632A"/>
    <w:rsid w:val="00730F8F"/>
    <w:rsid w:val="00731494"/>
    <w:rsid w:val="007314AC"/>
    <w:rsid w:val="00733831"/>
    <w:rsid w:val="00735504"/>
    <w:rsid w:val="007358E8"/>
    <w:rsid w:val="00736CE3"/>
    <w:rsid w:val="00736ECE"/>
    <w:rsid w:val="007446DB"/>
    <w:rsid w:val="0074533B"/>
    <w:rsid w:val="00750B0F"/>
    <w:rsid w:val="00752B59"/>
    <w:rsid w:val="00760BB6"/>
    <w:rsid w:val="007643BC"/>
    <w:rsid w:val="00765B9A"/>
    <w:rsid w:val="0077123B"/>
    <w:rsid w:val="007713E0"/>
    <w:rsid w:val="00774EBD"/>
    <w:rsid w:val="00775AEF"/>
    <w:rsid w:val="00777E2F"/>
    <w:rsid w:val="0078259E"/>
    <w:rsid w:val="007829C6"/>
    <w:rsid w:val="00784007"/>
    <w:rsid w:val="00784154"/>
    <w:rsid w:val="00785DDC"/>
    <w:rsid w:val="00791B9C"/>
    <w:rsid w:val="00792454"/>
    <w:rsid w:val="00793D24"/>
    <w:rsid w:val="007959FE"/>
    <w:rsid w:val="007960BB"/>
    <w:rsid w:val="007966F0"/>
    <w:rsid w:val="00796859"/>
    <w:rsid w:val="00796D18"/>
    <w:rsid w:val="00797BA0"/>
    <w:rsid w:val="00797FC3"/>
    <w:rsid w:val="007A0CF1"/>
    <w:rsid w:val="007A0F10"/>
    <w:rsid w:val="007A19B2"/>
    <w:rsid w:val="007A1FD9"/>
    <w:rsid w:val="007B1500"/>
    <w:rsid w:val="007B19B7"/>
    <w:rsid w:val="007B22A8"/>
    <w:rsid w:val="007B2B6C"/>
    <w:rsid w:val="007B6BA5"/>
    <w:rsid w:val="007C0423"/>
    <w:rsid w:val="007C1751"/>
    <w:rsid w:val="007C3390"/>
    <w:rsid w:val="007C42D8"/>
    <w:rsid w:val="007C4F4B"/>
    <w:rsid w:val="007C4F51"/>
    <w:rsid w:val="007D62CF"/>
    <w:rsid w:val="007D6602"/>
    <w:rsid w:val="007D71D2"/>
    <w:rsid w:val="007D7362"/>
    <w:rsid w:val="007E1CE3"/>
    <w:rsid w:val="007E2545"/>
    <w:rsid w:val="007E2707"/>
    <w:rsid w:val="007E27A6"/>
    <w:rsid w:val="007E57AC"/>
    <w:rsid w:val="007F32F4"/>
    <w:rsid w:val="007F4C7D"/>
    <w:rsid w:val="007F5AF7"/>
    <w:rsid w:val="007F5CE2"/>
    <w:rsid w:val="007F5D63"/>
    <w:rsid w:val="007F6611"/>
    <w:rsid w:val="00804264"/>
    <w:rsid w:val="008046D4"/>
    <w:rsid w:val="00805DE6"/>
    <w:rsid w:val="00810581"/>
    <w:rsid w:val="00810BAC"/>
    <w:rsid w:val="00812640"/>
    <w:rsid w:val="00815AF8"/>
    <w:rsid w:val="008175E9"/>
    <w:rsid w:val="008242D7"/>
    <w:rsid w:val="00824C39"/>
    <w:rsid w:val="0082577B"/>
    <w:rsid w:val="00826376"/>
    <w:rsid w:val="0082738F"/>
    <w:rsid w:val="00831535"/>
    <w:rsid w:val="00834769"/>
    <w:rsid w:val="00836071"/>
    <w:rsid w:val="00836881"/>
    <w:rsid w:val="008470FB"/>
    <w:rsid w:val="00856B10"/>
    <w:rsid w:val="0086185C"/>
    <w:rsid w:val="0086285D"/>
    <w:rsid w:val="00863539"/>
    <w:rsid w:val="00863CA5"/>
    <w:rsid w:val="00866893"/>
    <w:rsid w:val="00866F02"/>
    <w:rsid w:val="00867D18"/>
    <w:rsid w:val="00867E43"/>
    <w:rsid w:val="00871DB2"/>
    <w:rsid w:val="00871F9A"/>
    <w:rsid w:val="00871FD5"/>
    <w:rsid w:val="00874347"/>
    <w:rsid w:val="008766F3"/>
    <w:rsid w:val="0088172E"/>
    <w:rsid w:val="00881EFA"/>
    <w:rsid w:val="00883D67"/>
    <w:rsid w:val="00884299"/>
    <w:rsid w:val="00886B88"/>
    <w:rsid w:val="008879CB"/>
    <w:rsid w:val="008915AA"/>
    <w:rsid w:val="00891BA9"/>
    <w:rsid w:val="00896553"/>
    <w:rsid w:val="00897451"/>
    <w:rsid w:val="008979B1"/>
    <w:rsid w:val="008A040B"/>
    <w:rsid w:val="008A2BBF"/>
    <w:rsid w:val="008A33F6"/>
    <w:rsid w:val="008A3D19"/>
    <w:rsid w:val="008A6B25"/>
    <w:rsid w:val="008A6C4F"/>
    <w:rsid w:val="008B074C"/>
    <w:rsid w:val="008B389E"/>
    <w:rsid w:val="008B4F72"/>
    <w:rsid w:val="008B513A"/>
    <w:rsid w:val="008B6D08"/>
    <w:rsid w:val="008C3DD1"/>
    <w:rsid w:val="008D045E"/>
    <w:rsid w:val="008D2676"/>
    <w:rsid w:val="008D2C6F"/>
    <w:rsid w:val="008D3080"/>
    <w:rsid w:val="008D3F25"/>
    <w:rsid w:val="008D40AD"/>
    <w:rsid w:val="008D4939"/>
    <w:rsid w:val="008D4D82"/>
    <w:rsid w:val="008D723F"/>
    <w:rsid w:val="008E0E46"/>
    <w:rsid w:val="008E2377"/>
    <w:rsid w:val="008E3F3E"/>
    <w:rsid w:val="008E3FBE"/>
    <w:rsid w:val="008E5257"/>
    <w:rsid w:val="008E57D1"/>
    <w:rsid w:val="008E6244"/>
    <w:rsid w:val="008E6BF4"/>
    <w:rsid w:val="008E7116"/>
    <w:rsid w:val="008F023B"/>
    <w:rsid w:val="008F0665"/>
    <w:rsid w:val="008F143B"/>
    <w:rsid w:val="008F3882"/>
    <w:rsid w:val="008F4B7C"/>
    <w:rsid w:val="008F740C"/>
    <w:rsid w:val="00905257"/>
    <w:rsid w:val="00905A45"/>
    <w:rsid w:val="00905ADF"/>
    <w:rsid w:val="009067D9"/>
    <w:rsid w:val="00910194"/>
    <w:rsid w:val="00910F23"/>
    <w:rsid w:val="009111E1"/>
    <w:rsid w:val="0091140D"/>
    <w:rsid w:val="009125A4"/>
    <w:rsid w:val="00913A71"/>
    <w:rsid w:val="0092122D"/>
    <w:rsid w:val="0092578A"/>
    <w:rsid w:val="00925D64"/>
    <w:rsid w:val="00926E47"/>
    <w:rsid w:val="0092702A"/>
    <w:rsid w:val="00931105"/>
    <w:rsid w:val="00933B5C"/>
    <w:rsid w:val="00934282"/>
    <w:rsid w:val="009346D3"/>
    <w:rsid w:val="00940DCC"/>
    <w:rsid w:val="009439ED"/>
    <w:rsid w:val="0094528F"/>
    <w:rsid w:val="00945383"/>
    <w:rsid w:val="00947162"/>
    <w:rsid w:val="00950047"/>
    <w:rsid w:val="00950C0C"/>
    <w:rsid w:val="00952B32"/>
    <w:rsid w:val="00952C9B"/>
    <w:rsid w:val="009537C4"/>
    <w:rsid w:val="00955527"/>
    <w:rsid w:val="009561C6"/>
    <w:rsid w:val="00957199"/>
    <w:rsid w:val="009601D1"/>
    <w:rsid w:val="009605A4"/>
    <w:rsid w:val="009610D0"/>
    <w:rsid w:val="00962E07"/>
    <w:rsid w:val="0096375C"/>
    <w:rsid w:val="009652DB"/>
    <w:rsid w:val="009657DC"/>
    <w:rsid w:val="009662E6"/>
    <w:rsid w:val="0097095E"/>
    <w:rsid w:val="00970E23"/>
    <w:rsid w:val="009710BA"/>
    <w:rsid w:val="00972314"/>
    <w:rsid w:val="009807A1"/>
    <w:rsid w:val="009821F9"/>
    <w:rsid w:val="0098592B"/>
    <w:rsid w:val="00985FC4"/>
    <w:rsid w:val="00990766"/>
    <w:rsid w:val="00990A36"/>
    <w:rsid w:val="00991261"/>
    <w:rsid w:val="00994A53"/>
    <w:rsid w:val="009962B5"/>
    <w:rsid w:val="009964C4"/>
    <w:rsid w:val="00997981"/>
    <w:rsid w:val="00997B42"/>
    <w:rsid w:val="009A057A"/>
    <w:rsid w:val="009A0901"/>
    <w:rsid w:val="009A174D"/>
    <w:rsid w:val="009A64A3"/>
    <w:rsid w:val="009A732B"/>
    <w:rsid w:val="009A7B81"/>
    <w:rsid w:val="009B29AC"/>
    <w:rsid w:val="009B3DB1"/>
    <w:rsid w:val="009B71DB"/>
    <w:rsid w:val="009B7D96"/>
    <w:rsid w:val="009C0F56"/>
    <w:rsid w:val="009C0F6E"/>
    <w:rsid w:val="009C1CCB"/>
    <w:rsid w:val="009C2740"/>
    <w:rsid w:val="009C776E"/>
    <w:rsid w:val="009D01C0"/>
    <w:rsid w:val="009D25F7"/>
    <w:rsid w:val="009D3A2E"/>
    <w:rsid w:val="009D6A08"/>
    <w:rsid w:val="009E0A16"/>
    <w:rsid w:val="009E0D44"/>
    <w:rsid w:val="009E6699"/>
    <w:rsid w:val="009E6CB7"/>
    <w:rsid w:val="009E7915"/>
    <w:rsid w:val="009E7970"/>
    <w:rsid w:val="009E7AA1"/>
    <w:rsid w:val="009F1088"/>
    <w:rsid w:val="009F2EAC"/>
    <w:rsid w:val="009F51B2"/>
    <w:rsid w:val="009F57E3"/>
    <w:rsid w:val="009F6D03"/>
    <w:rsid w:val="00A003CF"/>
    <w:rsid w:val="00A01D2B"/>
    <w:rsid w:val="00A03A96"/>
    <w:rsid w:val="00A04A43"/>
    <w:rsid w:val="00A059D6"/>
    <w:rsid w:val="00A0661A"/>
    <w:rsid w:val="00A105E5"/>
    <w:rsid w:val="00A10F4F"/>
    <w:rsid w:val="00A11067"/>
    <w:rsid w:val="00A12EB7"/>
    <w:rsid w:val="00A140C9"/>
    <w:rsid w:val="00A14BD5"/>
    <w:rsid w:val="00A1704A"/>
    <w:rsid w:val="00A17387"/>
    <w:rsid w:val="00A23D4E"/>
    <w:rsid w:val="00A27AF1"/>
    <w:rsid w:val="00A30471"/>
    <w:rsid w:val="00A305FC"/>
    <w:rsid w:val="00A33351"/>
    <w:rsid w:val="00A3513F"/>
    <w:rsid w:val="00A368D3"/>
    <w:rsid w:val="00A416C0"/>
    <w:rsid w:val="00A425EB"/>
    <w:rsid w:val="00A434D2"/>
    <w:rsid w:val="00A45ADD"/>
    <w:rsid w:val="00A52180"/>
    <w:rsid w:val="00A52A88"/>
    <w:rsid w:val="00A53954"/>
    <w:rsid w:val="00A54051"/>
    <w:rsid w:val="00A55A68"/>
    <w:rsid w:val="00A6397F"/>
    <w:rsid w:val="00A65CB8"/>
    <w:rsid w:val="00A66C7E"/>
    <w:rsid w:val="00A72F22"/>
    <w:rsid w:val="00A733BC"/>
    <w:rsid w:val="00A748A6"/>
    <w:rsid w:val="00A751E7"/>
    <w:rsid w:val="00A76A69"/>
    <w:rsid w:val="00A77036"/>
    <w:rsid w:val="00A81E3C"/>
    <w:rsid w:val="00A879A4"/>
    <w:rsid w:val="00A9032F"/>
    <w:rsid w:val="00A92F14"/>
    <w:rsid w:val="00A9300D"/>
    <w:rsid w:val="00AA0FF8"/>
    <w:rsid w:val="00AA1278"/>
    <w:rsid w:val="00AA4EA7"/>
    <w:rsid w:val="00AA7B30"/>
    <w:rsid w:val="00AB349B"/>
    <w:rsid w:val="00AB3504"/>
    <w:rsid w:val="00AB3AD7"/>
    <w:rsid w:val="00AB4B0D"/>
    <w:rsid w:val="00AB5532"/>
    <w:rsid w:val="00AC0F2C"/>
    <w:rsid w:val="00AC1628"/>
    <w:rsid w:val="00AC2307"/>
    <w:rsid w:val="00AC502A"/>
    <w:rsid w:val="00AD00A7"/>
    <w:rsid w:val="00AD2660"/>
    <w:rsid w:val="00AD2CB5"/>
    <w:rsid w:val="00AD5352"/>
    <w:rsid w:val="00AD7C77"/>
    <w:rsid w:val="00AE3930"/>
    <w:rsid w:val="00AE4990"/>
    <w:rsid w:val="00AE4C77"/>
    <w:rsid w:val="00AE7B22"/>
    <w:rsid w:val="00AE7D49"/>
    <w:rsid w:val="00AF05A3"/>
    <w:rsid w:val="00AF202A"/>
    <w:rsid w:val="00AF3388"/>
    <w:rsid w:val="00AF45A8"/>
    <w:rsid w:val="00AF58C1"/>
    <w:rsid w:val="00AF61C5"/>
    <w:rsid w:val="00B01810"/>
    <w:rsid w:val="00B02465"/>
    <w:rsid w:val="00B02C6C"/>
    <w:rsid w:val="00B04A3F"/>
    <w:rsid w:val="00B04C58"/>
    <w:rsid w:val="00B061DB"/>
    <w:rsid w:val="00B06643"/>
    <w:rsid w:val="00B103EE"/>
    <w:rsid w:val="00B15055"/>
    <w:rsid w:val="00B21739"/>
    <w:rsid w:val="00B22CF3"/>
    <w:rsid w:val="00B23513"/>
    <w:rsid w:val="00B25015"/>
    <w:rsid w:val="00B263DE"/>
    <w:rsid w:val="00B272C8"/>
    <w:rsid w:val="00B2767E"/>
    <w:rsid w:val="00B30179"/>
    <w:rsid w:val="00B31B48"/>
    <w:rsid w:val="00B33346"/>
    <w:rsid w:val="00B335C5"/>
    <w:rsid w:val="00B37B15"/>
    <w:rsid w:val="00B40BB6"/>
    <w:rsid w:val="00B45C02"/>
    <w:rsid w:val="00B465C8"/>
    <w:rsid w:val="00B53507"/>
    <w:rsid w:val="00B55D40"/>
    <w:rsid w:val="00B60E86"/>
    <w:rsid w:val="00B6122E"/>
    <w:rsid w:val="00B61D79"/>
    <w:rsid w:val="00B63172"/>
    <w:rsid w:val="00B63BFB"/>
    <w:rsid w:val="00B64CCC"/>
    <w:rsid w:val="00B67359"/>
    <w:rsid w:val="00B678CE"/>
    <w:rsid w:val="00B70B63"/>
    <w:rsid w:val="00B72976"/>
    <w:rsid w:val="00B72A1E"/>
    <w:rsid w:val="00B7587E"/>
    <w:rsid w:val="00B813D7"/>
    <w:rsid w:val="00B81E12"/>
    <w:rsid w:val="00B83F5B"/>
    <w:rsid w:val="00B918BB"/>
    <w:rsid w:val="00B928C5"/>
    <w:rsid w:val="00B95383"/>
    <w:rsid w:val="00B95F58"/>
    <w:rsid w:val="00B97D41"/>
    <w:rsid w:val="00BA339B"/>
    <w:rsid w:val="00BC1E7E"/>
    <w:rsid w:val="00BC2C58"/>
    <w:rsid w:val="00BC4A04"/>
    <w:rsid w:val="00BC4CD9"/>
    <w:rsid w:val="00BC66C6"/>
    <w:rsid w:val="00BC74E9"/>
    <w:rsid w:val="00BD0AA1"/>
    <w:rsid w:val="00BD2DDE"/>
    <w:rsid w:val="00BD53A0"/>
    <w:rsid w:val="00BE0DA6"/>
    <w:rsid w:val="00BE36A9"/>
    <w:rsid w:val="00BE36F1"/>
    <w:rsid w:val="00BE435A"/>
    <w:rsid w:val="00BE618E"/>
    <w:rsid w:val="00BE781D"/>
    <w:rsid w:val="00BE7BEC"/>
    <w:rsid w:val="00BE7E70"/>
    <w:rsid w:val="00BF0350"/>
    <w:rsid w:val="00BF0A5A"/>
    <w:rsid w:val="00BF0E63"/>
    <w:rsid w:val="00BF12A3"/>
    <w:rsid w:val="00BF16D7"/>
    <w:rsid w:val="00BF234A"/>
    <w:rsid w:val="00BF2373"/>
    <w:rsid w:val="00BF3DBC"/>
    <w:rsid w:val="00C00541"/>
    <w:rsid w:val="00C03AC0"/>
    <w:rsid w:val="00C044E2"/>
    <w:rsid w:val="00C048CB"/>
    <w:rsid w:val="00C066F2"/>
    <w:rsid w:val="00C066F3"/>
    <w:rsid w:val="00C1337A"/>
    <w:rsid w:val="00C14CC3"/>
    <w:rsid w:val="00C21147"/>
    <w:rsid w:val="00C22E4F"/>
    <w:rsid w:val="00C243A4"/>
    <w:rsid w:val="00C40226"/>
    <w:rsid w:val="00C42EC7"/>
    <w:rsid w:val="00C44FFC"/>
    <w:rsid w:val="00C463DD"/>
    <w:rsid w:val="00C46EBC"/>
    <w:rsid w:val="00C46EC9"/>
    <w:rsid w:val="00C46F8E"/>
    <w:rsid w:val="00C521C0"/>
    <w:rsid w:val="00C52C04"/>
    <w:rsid w:val="00C53861"/>
    <w:rsid w:val="00C54555"/>
    <w:rsid w:val="00C55D3F"/>
    <w:rsid w:val="00C57AB1"/>
    <w:rsid w:val="00C60176"/>
    <w:rsid w:val="00C630B9"/>
    <w:rsid w:val="00C631DB"/>
    <w:rsid w:val="00C65B9F"/>
    <w:rsid w:val="00C66D28"/>
    <w:rsid w:val="00C73CBA"/>
    <w:rsid w:val="00C745C3"/>
    <w:rsid w:val="00C75D6A"/>
    <w:rsid w:val="00C75DBD"/>
    <w:rsid w:val="00C80703"/>
    <w:rsid w:val="00C8149B"/>
    <w:rsid w:val="00C82A9B"/>
    <w:rsid w:val="00C82ADD"/>
    <w:rsid w:val="00C86E46"/>
    <w:rsid w:val="00C9221D"/>
    <w:rsid w:val="00CA0A43"/>
    <w:rsid w:val="00CA0C1E"/>
    <w:rsid w:val="00CA1819"/>
    <w:rsid w:val="00CA24A4"/>
    <w:rsid w:val="00CA416E"/>
    <w:rsid w:val="00CA7C2C"/>
    <w:rsid w:val="00CB2ADB"/>
    <w:rsid w:val="00CB2D89"/>
    <w:rsid w:val="00CB348D"/>
    <w:rsid w:val="00CB4C56"/>
    <w:rsid w:val="00CB5FC3"/>
    <w:rsid w:val="00CC185A"/>
    <w:rsid w:val="00CC4FB5"/>
    <w:rsid w:val="00CC5D4F"/>
    <w:rsid w:val="00CC653E"/>
    <w:rsid w:val="00CC79E0"/>
    <w:rsid w:val="00CD092C"/>
    <w:rsid w:val="00CD102D"/>
    <w:rsid w:val="00CD1E31"/>
    <w:rsid w:val="00CD34C0"/>
    <w:rsid w:val="00CD46F5"/>
    <w:rsid w:val="00CD78D9"/>
    <w:rsid w:val="00CE1F20"/>
    <w:rsid w:val="00CE4A8F"/>
    <w:rsid w:val="00CE6670"/>
    <w:rsid w:val="00CF071D"/>
    <w:rsid w:val="00CF153C"/>
    <w:rsid w:val="00CF1698"/>
    <w:rsid w:val="00CF2837"/>
    <w:rsid w:val="00CF31D5"/>
    <w:rsid w:val="00CF4021"/>
    <w:rsid w:val="00D01B65"/>
    <w:rsid w:val="00D02A63"/>
    <w:rsid w:val="00D04782"/>
    <w:rsid w:val="00D07DAB"/>
    <w:rsid w:val="00D1449B"/>
    <w:rsid w:val="00D15B04"/>
    <w:rsid w:val="00D1665E"/>
    <w:rsid w:val="00D2031B"/>
    <w:rsid w:val="00D24F01"/>
    <w:rsid w:val="00D2596F"/>
    <w:rsid w:val="00D25FE2"/>
    <w:rsid w:val="00D3575F"/>
    <w:rsid w:val="00D37C14"/>
    <w:rsid w:val="00D37DA9"/>
    <w:rsid w:val="00D406A7"/>
    <w:rsid w:val="00D43252"/>
    <w:rsid w:val="00D43E34"/>
    <w:rsid w:val="00D44D86"/>
    <w:rsid w:val="00D458D3"/>
    <w:rsid w:val="00D50B7D"/>
    <w:rsid w:val="00D50B86"/>
    <w:rsid w:val="00D52012"/>
    <w:rsid w:val="00D53787"/>
    <w:rsid w:val="00D57B11"/>
    <w:rsid w:val="00D6194A"/>
    <w:rsid w:val="00D704E5"/>
    <w:rsid w:val="00D72270"/>
    <w:rsid w:val="00D72727"/>
    <w:rsid w:val="00D74C06"/>
    <w:rsid w:val="00D7781D"/>
    <w:rsid w:val="00D778EF"/>
    <w:rsid w:val="00D77BDE"/>
    <w:rsid w:val="00D80E90"/>
    <w:rsid w:val="00D81001"/>
    <w:rsid w:val="00D82828"/>
    <w:rsid w:val="00D84807"/>
    <w:rsid w:val="00D85A3E"/>
    <w:rsid w:val="00D86169"/>
    <w:rsid w:val="00D90113"/>
    <w:rsid w:val="00D94063"/>
    <w:rsid w:val="00D95E2D"/>
    <w:rsid w:val="00D978C6"/>
    <w:rsid w:val="00DA0956"/>
    <w:rsid w:val="00DA1687"/>
    <w:rsid w:val="00DA2A82"/>
    <w:rsid w:val="00DA357F"/>
    <w:rsid w:val="00DA3E12"/>
    <w:rsid w:val="00DA7271"/>
    <w:rsid w:val="00DB1D26"/>
    <w:rsid w:val="00DB24DF"/>
    <w:rsid w:val="00DB4196"/>
    <w:rsid w:val="00DB4CDA"/>
    <w:rsid w:val="00DB7494"/>
    <w:rsid w:val="00DC1196"/>
    <w:rsid w:val="00DC18AD"/>
    <w:rsid w:val="00DC1BF9"/>
    <w:rsid w:val="00DC1C03"/>
    <w:rsid w:val="00DC51F2"/>
    <w:rsid w:val="00DC5FDC"/>
    <w:rsid w:val="00DC762C"/>
    <w:rsid w:val="00DD0875"/>
    <w:rsid w:val="00DD3814"/>
    <w:rsid w:val="00DD4276"/>
    <w:rsid w:val="00DD43A1"/>
    <w:rsid w:val="00DD609F"/>
    <w:rsid w:val="00DD6699"/>
    <w:rsid w:val="00DE0C8D"/>
    <w:rsid w:val="00DE1519"/>
    <w:rsid w:val="00DE1B13"/>
    <w:rsid w:val="00DE1CA5"/>
    <w:rsid w:val="00DE40D2"/>
    <w:rsid w:val="00DE44B9"/>
    <w:rsid w:val="00DE495C"/>
    <w:rsid w:val="00DE5823"/>
    <w:rsid w:val="00DE7F3E"/>
    <w:rsid w:val="00DF17A8"/>
    <w:rsid w:val="00DF1D69"/>
    <w:rsid w:val="00DF27B6"/>
    <w:rsid w:val="00DF2FB9"/>
    <w:rsid w:val="00DF473A"/>
    <w:rsid w:val="00DF6540"/>
    <w:rsid w:val="00DF7957"/>
    <w:rsid w:val="00DF7CAE"/>
    <w:rsid w:val="00E000E7"/>
    <w:rsid w:val="00E002E2"/>
    <w:rsid w:val="00E07765"/>
    <w:rsid w:val="00E119B3"/>
    <w:rsid w:val="00E11AF2"/>
    <w:rsid w:val="00E11F40"/>
    <w:rsid w:val="00E12079"/>
    <w:rsid w:val="00E1329B"/>
    <w:rsid w:val="00E21248"/>
    <w:rsid w:val="00E23A84"/>
    <w:rsid w:val="00E266C5"/>
    <w:rsid w:val="00E26DA3"/>
    <w:rsid w:val="00E30337"/>
    <w:rsid w:val="00E309B3"/>
    <w:rsid w:val="00E3196A"/>
    <w:rsid w:val="00E32728"/>
    <w:rsid w:val="00E32C24"/>
    <w:rsid w:val="00E32CD5"/>
    <w:rsid w:val="00E34EBC"/>
    <w:rsid w:val="00E406F5"/>
    <w:rsid w:val="00E423C0"/>
    <w:rsid w:val="00E443E7"/>
    <w:rsid w:val="00E60A68"/>
    <w:rsid w:val="00E60E1A"/>
    <w:rsid w:val="00E61DD5"/>
    <w:rsid w:val="00E6414C"/>
    <w:rsid w:val="00E657F9"/>
    <w:rsid w:val="00E673B9"/>
    <w:rsid w:val="00E7038D"/>
    <w:rsid w:val="00E72166"/>
    <w:rsid w:val="00E7260F"/>
    <w:rsid w:val="00E754EC"/>
    <w:rsid w:val="00E8509C"/>
    <w:rsid w:val="00E8702D"/>
    <w:rsid w:val="00E87176"/>
    <w:rsid w:val="00E90DBA"/>
    <w:rsid w:val="00E90FD4"/>
    <w:rsid w:val="00E916A9"/>
    <w:rsid w:val="00E916DE"/>
    <w:rsid w:val="00E919C3"/>
    <w:rsid w:val="00E91F1D"/>
    <w:rsid w:val="00E925AD"/>
    <w:rsid w:val="00E9578F"/>
    <w:rsid w:val="00E96630"/>
    <w:rsid w:val="00E9703D"/>
    <w:rsid w:val="00EA3CA5"/>
    <w:rsid w:val="00EA5C6D"/>
    <w:rsid w:val="00EA6B2A"/>
    <w:rsid w:val="00EB063B"/>
    <w:rsid w:val="00EB0D9C"/>
    <w:rsid w:val="00EB1DAC"/>
    <w:rsid w:val="00EB2EB0"/>
    <w:rsid w:val="00EB31D7"/>
    <w:rsid w:val="00EB3DDC"/>
    <w:rsid w:val="00EC3119"/>
    <w:rsid w:val="00EC5691"/>
    <w:rsid w:val="00EC69B9"/>
    <w:rsid w:val="00EC7B5A"/>
    <w:rsid w:val="00EC7EB5"/>
    <w:rsid w:val="00ED005F"/>
    <w:rsid w:val="00ED18DC"/>
    <w:rsid w:val="00ED5A0D"/>
    <w:rsid w:val="00ED6201"/>
    <w:rsid w:val="00ED7A2A"/>
    <w:rsid w:val="00ED7C02"/>
    <w:rsid w:val="00EE23FE"/>
    <w:rsid w:val="00EE3110"/>
    <w:rsid w:val="00EE3706"/>
    <w:rsid w:val="00EE4326"/>
    <w:rsid w:val="00EE5903"/>
    <w:rsid w:val="00EF1D7F"/>
    <w:rsid w:val="00EF2B58"/>
    <w:rsid w:val="00EF7E5D"/>
    <w:rsid w:val="00F0137E"/>
    <w:rsid w:val="00F02A5F"/>
    <w:rsid w:val="00F03B57"/>
    <w:rsid w:val="00F03D3A"/>
    <w:rsid w:val="00F06009"/>
    <w:rsid w:val="00F066E9"/>
    <w:rsid w:val="00F0795C"/>
    <w:rsid w:val="00F07BA3"/>
    <w:rsid w:val="00F07CBA"/>
    <w:rsid w:val="00F10F26"/>
    <w:rsid w:val="00F1166F"/>
    <w:rsid w:val="00F13104"/>
    <w:rsid w:val="00F138DA"/>
    <w:rsid w:val="00F14A82"/>
    <w:rsid w:val="00F1564C"/>
    <w:rsid w:val="00F17B58"/>
    <w:rsid w:val="00F20B64"/>
    <w:rsid w:val="00F21786"/>
    <w:rsid w:val="00F26EE3"/>
    <w:rsid w:val="00F30A9A"/>
    <w:rsid w:val="00F35872"/>
    <w:rsid w:val="00F36D69"/>
    <w:rsid w:val="00F3742B"/>
    <w:rsid w:val="00F3745C"/>
    <w:rsid w:val="00F41FDB"/>
    <w:rsid w:val="00F42A12"/>
    <w:rsid w:val="00F43DF3"/>
    <w:rsid w:val="00F47F46"/>
    <w:rsid w:val="00F51D7D"/>
    <w:rsid w:val="00F538E2"/>
    <w:rsid w:val="00F551B7"/>
    <w:rsid w:val="00F55C79"/>
    <w:rsid w:val="00F55E38"/>
    <w:rsid w:val="00F56D63"/>
    <w:rsid w:val="00F57CF1"/>
    <w:rsid w:val="00F609A9"/>
    <w:rsid w:val="00F64581"/>
    <w:rsid w:val="00F65D96"/>
    <w:rsid w:val="00F70E41"/>
    <w:rsid w:val="00F716C2"/>
    <w:rsid w:val="00F71759"/>
    <w:rsid w:val="00F733B2"/>
    <w:rsid w:val="00F760B0"/>
    <w:rsid w:val="00F80C99"/>
    <w:rsid w:val="00F8429C"/>
    <w:rsid w:val="00F867EC"/>
    <w:rsid w:val="00F8760A"/>
    <w:rsid w:val="00F91B2B"/>
    <w:rsid w:val="00F95298"/>
    <w:rsid w:val="00FA2869"/>
    <w:rsid w:val="00FA319B"/>
    <w:rsid w:val="00FA7062"/>
    <w:rsid w:val="00FA7D39"/>
    <w:rsid w:val="00FB1A70"/>
    <w:rsid w:val="00FB2F1C"/>
    <w:rsid w:val="00FB4FF3"/>
    <w:rsid w:val="00FB69A2"/>
    <w:rsid w:val="00FC03CD"/>
    <w:rsid w:val="00FC0646"/>
    <w:rsid w:val="00FC5E95"/>
    <w:rsid w:val="00FC6724"/>
    <w:rsid w:val="00FC68B7"/>
    <w:rsid w:val="00FC7457"/>
    <w:rsid w:val="00FC7F5E"/>
    <w:rsid w:val="00FD0FD7"/>
    <w:rsid w:val="00FD1364"/>
    <w:rsid w:val="00FD28CB"/>
    <w:rsid w:val="00FD447B"/>
    <w:rsid w:val="00FE215F"/>
    <w:rsid w:val="00FE357E"/>
    <w:rsid w:val="00FE4EC8"/>
    <w:rsid w:val="00FE6985"/>
    <w:rsid w:val="00FE7B21"/>
    <w:rsid w:val="00FF2B37"/>
    <w:rsid w:val="00FF4358"/>
    <w:rsid w:val="00FF54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link w:val="FootnoteTextChar"/>
    <w:uiPriority w:val="99"/>
    <w:rsid w:val="00E925AD"/>
    <w:pPr>
      <w:tabs>
        <w:tab w:val="right" w:pos="1021"/>
      </w:tabs>
      <w:spacing w:line="220" w:lineRule="exact"/>
      <w:ind w:left="1134" w:right="1134" w:hanging="1134"/>
    </w:pPr>
    <w:rPr>
      <w:sz w:val="18"/>
      <w:lang/>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9111E1"/>
    <w:pPr>
      <w:numPr>
        <w:numId w:val="1"/>
      </w:numPr>
      <w:spacing w:after="120"/>
      <w:ind w:right="1134"/>
      <w:jc w:val="both"/>
    </w:pPr>
    <w:rPr>
      <w:lang w:val="fr-FR"/>
    </w:r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lang/>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lang/>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character" w:customStyle="1" w:styleId="FootnoteTextChar">
    <w:name w:val="Footnote Text Char"/>
    <w:aliases w:val="5_G Char"/>
    <w:link w:val="FootnoteText"/>
    <w:uiPriority w:val="99"/>
    <w:locked/>
    <w:rsid w:val="0092578A"/>
    <w:rPr>
      <w:sz w:val="18"/>
      <w:lang w:eastAsia="en-US"/>
    </w:rPr>
  </w:style>
  <w:style w:type="paragraph" w:customStyle="1" w:styleId="HeaderFooter">
    <w:name w:val="Header &amp; Footer"/>
    <w:uiPriority w:val="99"/>
    <w:rsid w:val="0086185C"/>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Arial Unicode MS" w:cs="Helvetica"/>
      <w:color w:val="000000"/>
      <w:sz w:val="24"/>
      <w:szCs w:val="24"/>
    </w:rPr>
  </w:style>
  <w:style w:type="character" w:customStyle="1" w:styleId="HeaderChar">
    <w:name w:val="Header Char"/>
    <w:aliases w:val="6_G Char"/>
    <w:link w:val="Header"/>
    <w:uiPriority w:val="99"/>
    <w:rsid w:val="0086185C"/>
    <w:rPr>
      <w:b/>
      <w:sz w:val="18"/>
      <w:lang w:eastAsia="en-US"/>
    </w:rPr>
  </w:style>
  <w:style w:type="character" w:customStyle="1" w:styleId="FooterChar">
    <w:name w:val="Footer Char"/>
    <w:aliases w:val="3_G Char"/>
    <w:link w:val="Footer"/>
    <w:uiPriority w:val="99"/>
    <w:rsid w:val="0086185C"/>
    <w:rPr>
      <w:sz w:val="16"/>
      <w:lang w:eastAsia="en-US"/>
    </w:rPr>
  </w:style>
  <w:style w:type="paragraph" w:styleId="ListParagraph">
    <w:name w:val="List Paragraph"/>
    <w:basedOn w:val="Normal"/>
    <w:uiPriority w:val="99"/>
    <w:qFormat/>
    <w:rsid w:val="0086185C"/>
    <w:pPr>
      <w:pBdr>
        <w:top w:val="none" w:sz="96" w:space="31" w:color="FFFFFF" w:frame="1"/>
        <w:left w:val="none" w:sz="96" w:space="31" w:color="FFFFFF" w:frame="1"/>
        <w:bottom w:val="none" w:sz="96" w:space="31" w:color="FFFFFF" w:frame="1"/>
        <w:right w:val="none" w:sz="96" w:space="31" w:color="FFFFFF" w:frame="1"/>
        <w:bar w:val="none" w:sz="0" w:color="000000"/>
      </w:pBdr>
      <w:suppressAutoHyphens w:val="0"/>
      <w:spacing w:after="200" w:line="276" w:lineRule="auto"/>
      <w:ind w:left="720"/>
    </w:pPr>
    <w:rPr>
      <w:rFonts w:ascii="Calibri" w:eastAsia="Arial Unicode MS" w:hAnsi="Calibri" w:cs="Calibri"/>
      <w:color w:val="000000"/>
      <w:sz w:val="22"/>
      <w:szCs w:val="22"/>
      <w:u w:color="000000"/>
      <w:lang w:val="en-US"/>
    </w:rPr>
  </w:style>
  <w:style w:type="paragraph" w:customStyle="1" w:styleId="Default">
    <w:name w:val="Default"/>
    <w:uiPriority w:val="99"/>
    <w:rsid w:val="0086185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Calibri"/>
      <w:color w:val="000000"/>
      <w:sz w:val="24"/>
      <w:szCs w:val="24"/>
      <w:u w:color="000000"/>
    </w:rPr>
  </w:style>
  <w:style w:type="paragraph" w:customStyle="1" w:styleId="Body1">
    <w:name w:val="Body 1"/>
    <w:uiPriority w:val="99"/>
    <w:rsid w:val="0086185C"/>
    <w:pPr>
      <w:pBdr>
        <w:top w:val="none" w:sz="96" w:space="31" w:color="FFFFFF" w:frame="1"/>
        <w:left w:val="none" w:sz="96" w:space="31" w:color="FFFFFF" w:frame="1"/>
        <w:bottom w:val="none" w:sz="96" w:space="31" w:color="FFFFFF" w:frame="1"/>
        <w:right w:val="none" w:sz="96" w:space="31" w:color="FFFFFF" w:frame="1"/>
        <w:bar w:val="none" w:sz="0" w:color="000000"/>
      </w:pBdr>
      <w:outlineLvl w:val="0"/>
    </w:pPr>
    <w:rPr>
      <w:rFonts w:eastAsia="Arial Unicode MS"/>
      <w:color w:val="000000"/>
      <w:sz w:val="24"/>
      <w:szCs w:val="24"/>
      <w:u w:color="000000"/>
    </w:rPr>
  </w:style>
  <w:style w:type="paragraph" w:styleId="BodyTextIndent">
    <w:name w:val="Body Text Indent"/>
    <w:basedOn w:val="Normal"/>
    <w:link w:val="BodyTextIndentChar"/>
    <w:uiPriority w:val="99"/>
    <w:rsid w:val="0086185C"/>
    <w:pPr>
      <w:pBdr>
        <w:top w:val="none" w:sz="96" w:space="31" w:color="FFFFFF" w:frame="1"/>
        <w:left w:val="none" w:sz="96" w:space="31" w:color="FFFFFF" w:frame="1"/>
        <w:bottom w:val="none" w:sz="96" w:space="31" w:color="FFFFFF" w:frame="1"/>
        <w:right w:val="none" w:sz="96" w:space="31" w:color="FFFFFF" w:frame="1"/>
        <w:bar w:val="none" w:sz="0" w:color="000000"/>
      </w:pBdr>
      <w:suppressAutoHyphens w:val="0"/>
      <w:spacing w:after="120" w:line="240" w:lineRule="auto"/>
      <w:ind w:left="360"/>
    </w:pPr>
    <w:rPr>
      <w:rFonts w:eastAsia="Arial Unicode MS"/>
      <w:color w:val="000000"/>
      <w:sz w:val="24"/>
      <w:szCs w:val="24"/>
      <w:u w:color="000000"/>
      <w:lang w:val="en-US"/>
    </w:rPr>
  </w:style>
  <w:style w:type="character" w:customStyle="1" w:styleId="BodyTextIndentChar">
    <w:name w:val="Body Text Indent Char"/>
    <w:link w:val="BodyTextIndent"/>
    <w:uiPriority w:val="99"/>
    <w:rsid w:val="0086185C"/>
    <w:rPr>
      <w:rFonts w:eastAsia="Arial Unicode MS"/>
      <w:color w:val="000000"/>
      <w:sz w:val="24"/>
      <w:szCs w:val="24"/>
      <w:u w:color="000000"/>
      <w:lang w:val="en-US" w:eastAsia="en-US"/>
    </w:rPr>
  </w:style>
  <w:style w:type="paragraph" w:styleId="NoSpacing">
    <w:name w:val="No Spacing"/>
    <w:link w:val="NoSpacingChar"/>
    <w:uiPriority w:val="1"/>
    <w:qFormat/>
    <w:rsid w:val="0086185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olor w:val="000000"/>
      <w:sz w:val="22"/>
      <w:szCs w:val="22"/>
      <w:u w:color="000000"/>
      <w:lang w:val="en-PH" w:eastAsia="en-PH"/>
    </w:rPr>
  </w:style>
  <w:style w:type="paragraph" w:styleId="CommentText">
    <w:name w:val="annotation text"/>
    <w:basedOn w:val="Normal"/>
    <w:link w:val="CommentTextChar"/>
    <w:uiPriority w:val="99"/>
    <w:rsid w:val="0086185C"/>
    <w:pPr>
      <w:pBdr>
        <w:top w:val="none" w:sz="96" w:space="31" w:color="FFFFFF" w:frame="1"/>
        <w:left w:val="none" w:sz="96" w:space="31" w:color="FFFFFF" w:frame="1"/>
        <w:bottom w:val="none" w:sz="96" w:space="31" w:color="FFFFFF" w:frame="1"/>
        <w:right w:val="none" w:sz="96" w:space="31" w:color="FFFFFF" w:frame="1"/>
        <w:bar w:val="none" w:sz="0" w:color="000000"/>
      </w:pBdr>
      <w:suppressAutoHyphens w:val="0"/>
      <w:spacing w:after="200" w:line="240" w:lineRule="auto"/>
    </w:pPr>
    <w:rPr>
      <w:rFonts w:ascii="Calibri" w:eastAsia="Arial Unicode MS" w:hAnsi="Calibri"/>
      <w:color w:val="000000"/>
      <w:u w:color="000000"/>
      <w:lang w:val="en-US"/>
    </w:rPr>
  </w:style>
  <w:style w:type="character" w:customStyle="1" w:styleId="CommentTextChar">
    <w:name w:val="Comment Text Char"/>
    <w:link w:val="CommentText"/>
    <w:uiPriority w:val="99"/>
    <w:rsid w:val="0086185C"/>
    <w:rPr>
      <w:rFonts w:ascii="Calibri" w:eastAsia="Arial Unicode MS" w:hAnsi="Calibri" w:cs="Calibri"/>
      <w:color w:val="000000"/>
      <w:u w:color="000000"/>
      <w:lang w:val="en-US" w:eastAsia="en-US"/>
    </w:rPr>
  </w:style>
  <w:style w:type="character" w:styleId="CommentReference">
    <w:name w:val="annotation reference"/>
    <w:uiPriority w:val="99"/>
    <w:rsid w:val="0086185C"/>
    <w:rPr>
      <w:sz w:val="16"/>
      <w:szCs w:val="16"/>
    </w:rPr>
  </w:style>
  <w:style w:type="paragraph" w:styleId="BalloonText">
    <w:name w:val="Balloon Text"/>
    <w:basedOn w:val="Normal"/>
    <w:link w:val="BalloonTextChar"/>
    <w:uiPriority w:val="99"/>
    <w:rsid w:val="0086185C"/>
    <w:pPr>
      <w:pBdr>
        <w:top w:val="none" w:sz="96" w:space="31" w:color="FFFFFF" w:frame="1"/>
        <w:left w:val="none" w:sz="96" w:space="31" w:color="FFFFFF" w:frame="1"/>
        <w:bottom w:val="none" w:sz="96" w:space="31" w:color="FFFFFF" w:frame="1"/>
        <w:right w:val="none" w:sz="96" w:space="31" w:color="FFFFFF" w:frame="1"/>
        <w:bar w:val="none" w:sz="0" w:color="000000"/>
      </w:pBdr>
      <w:suppressAutoHyphens w:val="0"/>
      <w:spacing w:after="200" w:line="276" w:lineRule="auto"/>
    </w:pPr>
    <w:rPr>
      <w:rFonts w:ascii="Tahoma" w:eastAsia="Arial Unicode MS" w:hAnsi="Tahoma"/>
      <w:color w:val="000000"/>
      <w:sz w:val="16"/>
      <w:szCs w:val="16"/>
      <w:u w:color="000000"/>
      <w:lang w:val="en-US"/>
    </w:rPr>
  </w:style>
  <w:style w:type="character" w:customStyle="1" w:styleId="BalloonTextChar">
    <w:name w:val="Balloon Text Char"/>
    <w:link w:val="BalloonText"/>
    <w:uiPriority w:val="99"/>
    <w:rsid w:val="0086185C"/>
    <w:rPr>
      <w:rFonts w:ascii="Tahoma" w:eastAsia="Arial Unicode MS" w:hAnsi="Tahoma" w:cs="Tahoma"/>
      <w:color w:val="000000"/>
      <w:sz w:val="16"/>
      <w:szCs w:val="16"/>
      <w:u w:color="000000"/>
      <w:lang w:val="en-US" w:eastAsia="en-US"/>
    </w:rPr>
  </w:style>
  <w:style w:type="numbering" w:customStyle="1" w:styleId="List12">
    <w:name w:val="List 12"/>
    <w:rsid w:val="0086185C"/>
    <w:pPr>
      <w:numPr>
        <w:numId w:val="13"/>
      </w:numPr>
    </w:pPr>
  </w:style>
  <w:style w:type="numbering" w:customStyle="1" w:styleId="List51">
    <w:name w:val="List 51"/>
    <w:rsid w:val="0086185C"/>
    <w:pPr>
      <w:numPr>
        <w:numId w:val="6"/>
      </w:numPr>
    </w:pPr>
  </w:style>
  <w:style w:type="numbering" w:customStyle="1" w:styleId="List17">
    <w:name w:val="List 17"/>
    <w:rsid w:val="0086185C"/>
    <w:pPr>
      <w:numPr>
        <w:numId w:val="18"/>
      </w:numPr>
    </w:pPr>
  </w:style>
  <w:style w:type="numbering" w:customStyle="1" w:styleId="List11">
    <w:name w:val="List 11"/>
    <w:rsid w:val="0086185C"/>
    <w:pPr>
      <w:numPr>
        <w:numId w:val="12"/>
      </w:numPr>
    </w:pPr>
  </w:style>
  <w:style w:type="numbering" w:customStyle="1" w:styleId="List21">
    <w:name w:val="List 21"/>
    <w:rsid w:val="0086185C"/>
    <w:pPr>
      <w:numPr>
        <w:numId w:val="22"/>
      </w:numPr>
    </w:pPr>
  </w:style>
  <w:style w:type="numbering" w:customStyle="1" w:styleId="List7">
    <w:name w:val="List 7"/>
    <w:rsid w:val="0086185C"/>
    <w:pPr>
      <w:numPr>
        <w:numId w:val="8"/>
      </w:numPr>
    </w:pPr>
  </w:style>
  <w:style w:type="numbering" w:customStyle="1" w:styleId="List26">
    <w:name w:val="List 26"/>
    <w:rsid w:val="0086185C"/>
    <w:pPr>
      <w:numPr>
        <w:numId w:val="27"/>
      </w:numPr>
    </w:pPr>
  </w:style>
  <w:style w:type="numbering" w:customStyle="1" w:styleId="List20">
    <w:name w:val="List 20"/>
    <w:rsid w:val="0086185C"/>
    <w:pPr>
      <w:numPr>
        <w:numId w:val="21"/>
      </w:numPr>
    </w:pPr>
  </w:style>
  <w:style w:type="numbering" w:customStyle="1" w:styleId="List27">
    <w:name w:val="List 27"/>
    <w:rsid w:val="0086185C"/>
    <w:pPr>
      <w:numPr>
        <w:numId w:val="28"/>
      </w:numPr>
    </w:pPr>
  </w:style>
  <w:style w:type="numbering" w:customStyle="1" w:styleId="List8">
    <w:name w:val="List 8"/>
    <w:rsid w:val="0086185C"/>
    <w:pPr>
      <w:numPr>
        <w:numId w:val="9"/>
      </w:numPr>
    </w:pPr>
  </w:style>
  <w:style w:type="numbering" w:customStyle="1" w:styleId="List28">
    <w:name w:val="List 28"/>
    <w:rsid w:val="0086185C"/>
    <w:pPr>
      <w:numPr>
        <w:numId w:val="29"/>
      </w:numPr>
    </w:pPr>
  </w:style>
  <w:style w:type="numbering" w:customStyle="1" w:styleId="List1">
    <w:name w:val="List 1"/>
    <w:rsid w:val="0086185C"/>
    <w:pPr>
      <w:numPr>
        <w:numId w:val="4"/>
      </w:numPr>
    </w:pPr>
  </w:style>
  <w:style w:type="numbering" w:customStyle="1" w:styleId="List32">
    <w:name w:val="List 32"/>
    <w:rsid w:val="0086185C"/>
    <w:pPr>
      <w:numPr>
        <w:numId w:val="33"/>
      </w:numPr>
    </w:pPr>
  </w:style>
  <w:style w:type="numbering" w:customStyle="1" w:styleId="List14">
    <w:name w:val="List 14"/>
    <w:rsid w:val="0086185C"/>
    <w:pPr>
      <w:numPr>
        <w:numId w:val="15"/>
      </w:numPr>
    </w:pPr>
  </w:style>
  <w:style w:type="numbering" w:customStyle="1" w:styleId="List34">
    <w:name w:val="List 34"/>
    <w:rsid w:val="0086185C"/>
    <w:pPr>
      <w:numPr>
        <w:numId w:val="35"/>
      </w:numPr>
    </w:pPr>
  </w:style>
  <w:style w:type="numbering" w:customStyle="1" w:styleId="List15">
    <w:name w:val="List 15"/>
    <w:rsid w:val="0086185C"/>
    <w:pPr>
      <w:numPr>
        <w:numId w:val="16"/>
      </w:numPr>
    </w:pPr>
  </w:style>
  <w:style w:type="numbering" w:customStyle="1" w:styleId="List25">
    <w:name w:val="List 25"/>
    <w:rsid w:val="0086185C"/>
    <w:pPr>
      <w:numPr>
        <w:numId w:val="26"/>
      </w:numPr>
    </w:pPr>
  </w:style>
  <w:style w:type="numbering" w:customStyle="1" w:styleId="List18">
    <w:name w:val="List 18"/>
    <w:rsid w:val="0086185C"/>
    <w:pPr>
      <w:numPr>
        <w:numId w:val="19"/>
      </w:numPr>
    </w:pPr>
  </w:style>
  <w:style w:type="numbering" w:customStyle="1" w:styleId="List0">
    <w:name w:val="List 0"/>
    <w:rsid w:val="0086185C"/>
    <w:pPr>
      <w:numPr>
        <w:numId w:val="51"/>
      </w:numPr>
    </w:pPr>
  </w:style>
  <w:style w:type="numbering" w:customStyle="1" w:styleId="List23">
    <w:name w:val="List 23"/>
    <w:rsid w:val="0086185C"/>
    <w:pPr>
      <w:numPr>
        <w:numId w:val="24"/>
      </w:numPr>
    </w:pPr>
  </w:style>
  <w:style w:type="numbering" w:customStyle="1" w:styleId="List16">
    <w:name w:val="List 16"/>
    <w:rsid w:val="0086185C"/>
    <w:pPr>
      <w:numPr>
        <w:numId w:val="17"/>
      </w:numPr>
    </w:pPr>
  </w:style>
  <w:style w:type="numbering" w:customStyle="1" w:styleId="List24">
    <w:name w:val="List 24"/>
    <w:rsid w:val="0086185C"/>
    <w:pPr>
      <w:numPr>
        <w:numId w:val="25"/>
      </w:numPr>
    </w:pPr>
  </w:style>
  <w:style w:type="numbering" w:customStyle="1" w:styleId="List9">
    <w:name w:val="List 9"/>
    <w:rsid w:val="0086185C"/>
    <w:pPr>
      <w:numPr>
        <w:numId w:val="10"/>
      </w:numPr>
    </w:pPr>
  </w:style>
  <w:style w:type="numbering" w:customStyle="1" w:styleId="List13">
    <w:name w:val="List 13"/>
    <w:rsid w:val="0086185C"/>
    <w:pPr>
      <w:numPr>
        <w:numId w:val="14"/>
      </w:numPr>
    </w:pPr>
  </w:style>
  <w:style w:type="numbering" w:customStyle="1" w:styleId="List33">
    <w:name w:val="List 33"/>
    <w:rsid w:val="0086185C"/>
    <w:pPr>
      <w:numPr>
        <w:numId w:val="34"/>
      </w:numPr>
    </w:pPr>
  </w:style>
  <w:style w:type="numbering" w:customStyle="1" w:styleId="List22">
    <w:name w:val="List 22"/>
    <w:rsid w:val="0086185C"/>
    <w:pPr>
      <w:numPr>
        <w:numId w:val="23"/>
      </w:numPr>
    </w:pPr>
  </w:style>
  <w:style w:type="numbering" w:customStyle="1" w:styleId="List6">
    <w:name w:val="List 6"/>
    <w:rsid w:val="0086185C"/>
    <w:pPr>
      <w:numPr>
        <w:numId w:val="7"/>
      </w:numPr>
    </w:pPr>
  </w:style>
  <w:style w:type="numbering" w:customStyle="1" w:styleId="List30">
    <w:name w:val="List 30"/>
    <w:rsid w:val="0086185C"/>
    <w:pPr>
      <w:numPr>
        <w:numId w:val="31"/>
      </w:numPr>
    </w:pPr>
  </w:style>
  <w:style w:type="numbering" w:customStyle="1" w:styleId="List35">
    <w:name w:val="List 35"/>
    <w:rsid w:val="0086185C"/>
    <w:pPr>
      <w:numPr>
        <w:numId w:val="52"/>
      </w:numPr>
    </w:pPr>
  </w:style>
  <w:style w:type="numbering" w:customStyle="1" w:styleId="List10">
    <w:name w:val="List 10"/>
    <w:rsid w:val="0086185C"/>
    <w:pPr>
      <w:numPr>
        <w:numId w:val="11"/>
      </w:numPr>
    </w:pPr>
  </w:style>
  <w:style w:type="numbering" w:customStyle="1" w:styleId="List31">
    <w:name w:val="List 31"/>
    <w:rsid w:val="0086185C"/>
    <w:pPr>
      <w:numPr>
        <w:numId w:val="32"/>
      </w:numPr>
    </w:pPr>
  </w:style>
  <w:style w:type="numbering" w:customStyle="1" w:styleId="List41">
    <w:name w:val="List 41"/>
    <w:rsid w:val="0086185C"/>
    <w:pPr>
      <w:numPr>
        <w:numId w:val="5"/>
      </w:numPr>
    </w:pPr>
  </w:style>
  <w:style w:type="numbering" w:customStyle="1" w:styleId="List29">
    <w:name w:val="List 29"/>
    <w:rsid w:val="0086185C"/>
    <w:pPr>
      <w:numPr>
        <w:numId w:val="30"/>
      </w:numPr>
    </w:pPr>
  </w:style>
  <w:style w:type="numbering" w:customStyle="1" w:styleId="List19">
    <w:name w:val="List 19"/>
    <w:rsid w:val="0086185C"/>
    <w:pPr>
      <w:numPr>
        <w:numId w:val="20"/>
      </w:numPr>
    </w:pPr>
  </w:style>
  <w:style w:type="character" w:customStyle="1" w:styleId="NoSpacingChar">
    <w:name w:val="No Spacing Char"/>
    <w:link w:val="NoSpacing"/>
    <w:uiPriority w:val="1"/>
    <w:rsid w:val="0086185C"/>
    <w:rPr>
      <w:rFonts w:ascii="Calibri" w:eastAsia="Arial Unicode MS" w:hAnsi="Calibri"/>
      <w:color w:val="000000"/>
      <w:sz w:val="22"/>
      <w:szCs w:val="22"/>
      <w:u w:color="000000"/>
      <w:lang w:val="en-PH" w:eastAsia="en-PH" w:bidi="ar-SA"/>
    </w:rPr>
  </w:style>
  <w:style w:type="paragraph" w:styleId="CommentSubject">
    <w:name w:val="annotation subject"/>
    <w:basedOn w:val="CommentText"/>
    <w:next w:val="CommentText"/>
    <w:link w:val="CommentSubjectChar"/>
    <w:rsid w:val="004D4B73"/>
    <w:pPr>
      <w:pBdr>
        <w:top w:val="none" w:sz="0" w:space="0" w:color="auto"/>
        <w:left w:val="none" w:sz="0" w:space="0" w:color="auto"/>
        <w:bottom w:val="none" w:sz="0" w:space="0" w:color="auto"/>
        <w:right w:val="none" w:sz="0" w:space="0" w:color="auto"/>
        <w:bar w:val="none" w:sz="0" w:color="auto"/>
      </w:pBdr>
      <w:suppressAutoHyphens/>
      <w:spacing w:after="0" w:line="240" w:lineRule="atLeast"/>
    </w:pPr>
    <w:rPr>
      <w:b/>
      <w:bCs/>
      <w:lang w:val="en-GB"/>
    </w:rPr>
  </w:style>
  <w:style w:type="character" w:customStyle="1" w:styleId="CommentSubjectChar">
    <w:name w:val="Comment Subject Char"/>
    <w:link w:val="CommentSubject"/>
    <w:rsid w:val="004D4B73"/>
    <w:rPr>
      <w:rFonts w:ascii="Calibri" w:eastAsia="Arial Unicode MS" w:hAnsi="Calibri" w:cs="Calibri"/>
      <w:b/>
      <w:bCs/>
      <w:color w:val="000000"/>
      <w:u w:color="000000"/>
      <w:lang w:val="en-GB" w:eastAsia="en-US"/>
    </w:rPr>
  </w:style>
  <w:style w:type="paragraph" w:styleId="Revision">
    <w:name w:val="Revision"/>
    <w:hidden/>
    <w:uiPriority w:val="99"/>
    <w:semiHidden/>
    <w:rsid w:val="004D4B73"/>
    <w:rPr>
      <w:lang w:val="en-GB"/>
    </w:rPr>
  </w:style>
  <w:style w:type="character" w:customStyle="1" w:styleId="apple-converted-space">
    <w:name w:val="apple-converted-space"/>
    <w:basedOn w:val="DefaultParagraphFont"/>
    <w:rsid w:val="00385F93"/>
  </w:style>
  <w:style w:type="character" w:customStyle="1" w:styleId="hps">
    <w:name w:val="hps"/>
    <w:basedOn w:val="DefaultParagraphFont"/>
    <w:rsid w:val="00480A70"/>
  </w:style>
  <w:style w:type="character" w:customStyle="1" w:styleId="SingleTxtGChar">
    <w:name w:val="_ Single Txt_G Char"/>
    <w:link w:val="SingleTxtG"/>
    <w:rsid w:val="00083E1C"/>
    <w:rPr>
      <w:lang w:val="en-GB" w:eastAsia="en-US"/>
    </w:rPr>
  </w:style>
  <w:style w:type="paragraph" w:styleId="Date">
    <w:name w:val="Date"/>
    <w:basedOn w:val="Normal"/>
    <w:next w:val="Normal"/>
    <w:link w:val="DateChar"/>
    <w:rsid w:val="000022A3"/>
  </w:style>
  <w:style w:type="character" w:customStyle="1" w:styleId="DateChar">
    <w:name w:val="Date Char"/>
    <w:link w:val="Date"/>
    <w:rsid w:val="000022A3"/>
    <w:rPr>
      <w:lang w:val="en-GB" w:eastAsia="en-US"/>
    </w:rPr>
  </w:style>
</w:styles>
</file>

<file path=word/webSettings.xml><?xml version="1.0" encoding="utf-8"?>
<w:webSettings xmlns:r="http://schemas.openxmlformats.org/officeDocument/2006/relationships" xmlns:w="http://schemas.openxmlformats.org/wordprocessingml/2006/main">
  <w:divs>
    <w:div w:id="992949884">
      <w:bodyDiv w:val="1"/>
      <w:marLeft w:val="0"/>
      <w:marRight w:val="0"/>
      <w:marTop w:val="0"/>
      <w:marBottom w:val="0"/>
      <w:divBdr>
        <w:top w:val="none" w:sz="0" w:space="0" w:color="auto"/>
        <w:left w:val="none" w:sz="0" w:space="0" w:color="auto"/>
        <w:bottom w:val="none" w:sz="0" w:space="0" w:color="auto"/>
        <w:right w:val="none" w:sz="0" w:space="0" w:color="auto"/>
      </w:divBdr>
      <w:divsChild>
        <w:div w:id="1261841723">
          <w:marLeft w:val="0"/>
          <w:marRight w:val="0"/>
          <w:marTop w:val="0"/>
          <w:marBottom w:val="0"/>
          <w:divBdr>
            <w:top w:val="none" w:sz="0" w:space="0" w:color="auto"/>
            <w:left w:val="none" w:sz="0" w:space="0" w:color="auto"/>
            <w:bottom w:val="none" w:sz="0" w:space="0" w:color="auto"/>
            <w:right w:val="none" w:sz="0" w:space="0" w:color="auto"/>
          </w:divBdr>
          <w:divsChild>
            <w:div w:id="482160885">
              <w:marLeft w:val="0"/>
              <w:marRight w:val="0"/>
              <w:marTop w:val="0"/>
              <w:marBottom w:val="0"/>
              <w:divBdr>
                <w:top w:val="none" w:sz="0" w:space="0" w:color="auto"/>
                <w:left w:val="none" w:sz="0" w:space="0" w:color="auto"/>
                <w:bottom w:val="none" w:sz="0" w:space="0" w:color="auto"/>
                <w:right w:val="none" w:sz="0" w:space="0" w:color="auto"/>
              </w:divBdr>
              <w:divsChild>
                <w:div w:id="1028028148">
                  <w:marLeft w:val="0"/>
                  <w:marRight w:val="0"/>
                  <w:marTop w:val="100"/>
                  <w:marBottom w:val="100"/>
                  <w:divBdr>
                    <w:top w:val="none" w:sz="0" w:space="0" w:color="auto"/>
                    <w:left w:val="none" w:sz="0" w:space="0" w:color="auto"/>
                    <w:bottom w:val="none" w:sz="0" w:space="0" w:color="auto"/>
                    <w:right w:val="none" w:sz="0" w:space="0" w:color="auto"/>
                  </w:divBdr>
                  <w:divsChild>
                    <w:div w:id="934704067">
                      <w:marLeft w:val="0"/>
                      <w:marRight w:val="0"/>
                      <w:marTop w:val="0"/>
                      <w:marBottom w:val="0"/>
                      <w:divBdr>
                        <w:top w:val="none" w:sz="0" w:space="0" w:color="auto"/>
                        <w:left w:val="none" w:sz="0" w:space="0" w:color="auto"/>
                        <w:bottom w:val="none" w:sz="0" w:space="0" w:color="auto"/>
                        <w:right w:val="none" w:sz="0" w:space="0" w:color="auto"/>
                      </w:divBdr>
                      <w:divsChild>
                        <w:div w:id="996803102">
                          <w:marLeft w:val="0"/>
                          <w:marRight w:val="0"/>
                          <w:marTop w:val="0"/>
                          <w:marBottom w:val="0"/>
                          <w:divBdr>
                            <w:top w:val="none" w:sz="0" w:space="0" w:color="auto"/>
                            <w:left w:val="none" w:sz="0" w:space="0" w:color="auto"/>
                            <w:bottom w:val="none" w:sz="0" w:space="0" w:color="auto"/>
                            <w:right w:val="none" w:sz="0" w:space="0" w:color="auto"/>
                          </w:divBdr>
                          <w:divsChild>
                            <w:div w:id="102310816">
                              <w:marLeft w:val="0"/>
                              <w:marRight w:val="0"/>
                              <w:marTop w:val="0"/>
                              <w:marBottom w:val="0"/>
                              <w:divBdr>
                                <w:top w:val="none" w:sz="0" w:space="0" w:color="auto"/>
                                <w:left w:val="none" w:sz="0" w:space="0" w:color="auto"/>
                                <w:bottom w:val="none" w:sz="0" w:space="0" w:color="auto"/>
                                <w:right w:val="none" w:sz="0" w:space="0" w:color="auto"/>
                              </w:divBdr>
                              <w:divsChild>
                                <w:div w:id="1164667761">
                                  <w:marLeft w:val="0"/>
                                  <w:marRight w:val="0"/>
                                  <w:marTop w:val="0"/>
                                  <w:marBottom w:val="0"/>
                                  <w:divBdr>
                                    <w:top w:val="none" w:sz="0" w:space="0" w:color="auto"/>
                                    <w:left w:val="none" w:sz="0" w:space="0" w:color="auto"/>
                                    <w:bottom w:val="none" w:sz="0" w:space="0" w:color="auto"/>
                                    <w:right w:val="none" w:sz="0" w:space="0" w:color="auto"/>
                                  </w:divBdr>
                                  <w:divsChild>
                                    <w:div w:id="1552377511">
                                      <w:marLeft w:val="0"/>
                                      <w:marRight w:val="0"/>
                                      <w:marTop w:val="0"/>
                                      <w:marBottom w:val="0"/>
                                      <w:divBdr>
                                        <w:top w:val="none" w:sz="0" w:space="0" w:color="auto"/>
                                        <w:left w:val="none" w:sz="0" w:space="0" w:color="auto"/>
                                        <w:bottom w:val="none" w:sz="0" w:space="0" w:color="auto"/>
                                        <w:right w:val="none" w:sz="0" w:space="0" w:color="auto"/>
                                      </w:divBdr>
                                      <w:divsChild>
                                        <w:div w:id="1432238870">
                                          <w:marLeft w:val="0"/>
                                          <w:marRight w:val="0"/>
                                          <w:marTop w:val="0"/>
                                          <w:marBottom w:val="0"/>
                                          <w:divBdr>
                                            <w:top w:val="none" w:sz="0" w:space="0" w:color="auto"/>
                                            <w:left w:val="none" w:sz="0" w:space="0" w:color="auto"/>
                                            <w:bottom w:val="none" w:sz="0" w:space="0" w:color="auto"/>
                                            <w:right w:val="none" w:sz="0" w:space="0" w:color="auto"/>
                                          </w:divBdr>
                                          <w:divsChild>
                                            <w:div w:id="1798378346">
                                              <w:marLeft w:val="0"/>
                                              <w:marRight w:val="0"/>
                                              <w:marTop w:val="0"/>
                                              <w:marBottom w:val="0"/>
                                              <w:divBdr>
                                                <w:top w:val="none" w:sz="0" w:space="0" w:color="auto"/>
                                                <w:left w:val="none" w:sz="0" w:space="0" w:color="auto"/>
                                                <w:bottom w:val="none" w:sz="0" w:space="0" w:color="auto"/>
                                                <w:right w:val="none" w:sz="0" w:space="0" w:color="auto"/>
                                              </w:divBdr>
                                              <w:divsChild>
                                                <w:div w:id="1362436912">
                                                  <w:marLeft w:val="0"/>
                                                  <w:marRight w:val="300"/>
                                                  <w:marTop w:val="0"/>
                                                  <w:marBottom w:val="0"/>
                                                  <w:divBdr>
                                                    <w:top w:val="none" w:sz="0" w:space="0" w:color="auto"/>
                                                    <w:left w:val="none" w:sz="0" w:space="0" w:color="auto"/>
                                                    <w:bottom w:val="none" w:sz="0" w:space="0" w:color="auto"/>
                                                    <w:right w:val="none" w:sz="0" w:space="0" w:color="auto"/>
                                                  </w:divBdr>
                                                  <w:divsChild>
                                                    <w:div w:id="1836459643">
                                                      <w:marLeft w:val="0"/>
                                                      <w:marRight w:val="0"/>
                                                      <w:marTop w:val="0"/>
                                                      <w:marBottom w:val="0"/>
                                                      <w:divBdr>
                                                        <w:top w:val="none" w:sz="0" w:space="0" w:color="auto"/>
                                                        <w:left w:val="none" w:sz="0" w:space="0" w:color="auto"/>
                                                        <w:bottom w:val="none" w:sz="0" w:space="0" w:color="auto"/>
                                                        <w:right w:val="none" w:sz="0" w:space="0" w:color="auto"/>
                                                      </w:divBdr>
                                                      <w:divsChild>
                                                        <w:div w:id="447701992">
                                                          <w:marLeft w:val="0"/>
                                                          <w:marRight w:val="0"/>
                                                          <w:marTop w:val="0"/>
                                                          <w:marBottom w:val="300"/>
                                                          <w:divBdr>
                                                            <w:top w:val="single" w:sz="6" w:space="0" w:color="CCCCCC"/>
                                                            <w:left w:val="none" w:sz="0" w:space="0" w:color="auto"/>
                                                            <w:bottom w:val="none" w:sz="0" w:space="0" w:color="auto"/>
                                                            <w:right w:val="none" w:sz="0" w:space="0" w:color="auto"/>
                                                          </w:divBdr>
                                                          <w:divsChild>
                                                            <w:div w:id="716972035">
                                                              <w:marLeft w:val="0"/>
                                                              <w:marRight w:val="0"/>
                                                              <w:marTop w:val="0"/>
                                                              <w:marBottom w:val="0"/>
                                                              <w:divBdr>
                                                                <w:top w:val="none" w:sz="0" w:space="0" w:color="auto"/>
                                                                <w:left w:val="none" w:sz="0" w:space="0" w:color="auto"/>
                                                                <w:bottom w:val="none" w:sz="0" w:space="0" w:color="auto"/>
                                                                <w:right w:val="none" w:sz="0" w:space="0" w:color="auto"/>
                                                              </w:divBdr>
                                                              <w:divsChild>
                                                                <w:div w:id="815874210">
                                                                  <w:marLeft w:val="0"/>
                                                                  <w:marRight w:val="0"/>
                                                                  <w:marTop w:val="0"/>
                                                                  <w:marBottom w:val="0"/>
                                                                  <w:divBdr>
                                                                    <w:top w:val="none" w:sz="0" w:space="0" w:color="auto"/>
                                                                    <w:left w:val="none" w:sz="0" w:space="0" w:color="auto"/>
                                                                    <w:bottom w:val="none" w:sz="0" w:space="0" w:color="auto"/>
                                                                    <w:right w:val="none" w:sz="0" w:space="0" w:color="auto"/>
                                                                  </w:divBdr>
                                                                  <w:divsChild>
                                                                    <w:div w:id="419371221">
                                                                      <w:marLeft w:val="0"/>
                                                                      <w:marRight w:val="0"/>
                                                                      <w:marTop w:val="0"/>
                                                                      <w:marBottom w:val="0"/>
                                                                      <w:divBdr>
                                                                        <w:top w:val="none" w:sz="0" w:space="0" w:color="auto"/>
                                                                        <w:left w:val="none" w:sz="0" w:space="0" w:color="auto"/>
                                                                        <w:bottom w:val="none" w:sz="0" w:space="0" w:color="auto"/>
                                                                        <w:right w:val="none" w:sz="0" w:space="0" w:color="auto"/>
                                                                      </w:divBdr>
                                                                      <w:divsChild>
                                                                        <w:div w:id="964433025">
                                                                          <w:marLeft w:val="0"/>
                                                                          <w:marRight w:val="0"/>
                                                                          <w:marTop w:val="0"/>
                                                                          <w:marBottom w:val="0"/>
                                                                          <w:divBdr>
                                                                            <w:top w:val="none" w:sz="0" w:space="0" w:color="auto"/>
                                                                            <w:left w:val="none" w:sz="0" w:space="0" w:color="auto"/>
                                                                            <w:bottom w:val="none" w:sz="0" w:space="0" w:color="auto"/>
                                                                            <w:right w:val="none" w:sz="0" w:space="0" w:color="auto"/>
                                                                          </w:divBdr>
                                                                          <w:divsChild>
                                                                            <w:div w:id="1103108956">
                                                                              <w:marLeft w:val="0"/>
                                                                              <w:marRight w:val="0"/>
                                                                              <w:marTop w:val="0"/>
                                                                              <w:marBottom w:val="0"/>
                                                                              <w:divBdr>
                                                                                <w:top w:val="none" w:sz="0" w:space="0" w:color="auto"/>
                                                                                <w:left w:val="none" w:sz="0" w:space="0" w:color="auto"/>
                                                                                <w:bottom w:val="none" w:sz="0" w:space="0" w:color="auto"/>
                                                                                <w:right w:val="none" w:sz="0" w:space="0" w:color="auto"/>
                                                                              </w:divBdr>
                                                                              <w:divsChild>
                                                                                <w:div w:id="1244729033">
                                                                                  <w:marLeft w:val="0"/>
                                                                                  <w:marRight w:val="0"/>
                                                                                  <w:marTop w:val="0"/>
                                                                                  <w:marBottom w:val="0"/>
                                                                                  <w:divBdr>
                                                                                    <w:top w:val="none" w:sz="0" w:space="0" w:color="auto"/>
                                                                                    <w:left w:val="none" w:sz="0" w:space="0" w:color="auto"/>
                                                                                    <w:bottom w:val="none" w:sz="0" w:space="0" w:color="auto"/>
                                                                                    <w:right w:val="none" w:sz="0" w:space="0" w:color="auto"/>
                                                                                  </w:divBdr>
                                                                                  <w:divsChild>
                                                                                    <w:div w:id="1607079192">
                                                                                      <w:marLeft w:val="0"/>
                                                                                      <w:marRight w:val="0"/>
                                                                                      <w:marTop w:val="0"/>
                                                                                      <w:marBottom w:val="0"/>
                                                                                      <w:divBdr>
                                                                                        <w:top w:val="none" w:sz="0" w:space="0" w:color="auto"/>
                                                                                        <w:left w:val="none" w:sz="0" w:space="0" w:color="auto"/>
                                                                                        <w:bottom w:val="none" w:sz="0" w:space="0" w:color="auto"/>
                                                                                        <w:right w:val="none" w:sz="0" w:space="0" w:color="auto"/>
                                                                                      </w:divBdr>
                                                                                      <w:divsChild>
                                                                                        <w:div w:id="2708245">
                                                                                          <w:marLeft w:val="0"/>
                                                                                          <w:marRight w:val="0"/>
                                                                                          <w:marTop w:val="0"/>
                                                                                          <w:marBottom w:val="200"/>
                                                                                          <w:divBdr>
                                                                                            <w:top w:val="none" w:sz="0" w:space="0" w:color="auto"/>
                                                                                            <w:left w:val="none" w:sz="0" w:space="0" w:color="auto"/>
                                                                                            <w:bottom w:val="none" w:sz="0" w:space="0" w:color="auto"/>
                                                                                            <w:right w:val="none" w:sz="0" w:space="0" w:color="auto"/>
                                                                                          </w:divBdr>
                                                                                        </w:div>
                                                                                        <w:div w:id="6488895">
                                                                                          <w:marLeft w:val="0"/>
                                                                                          <w:marRight w:val="0"/>
                                                                                          <w:marTop w:val="0"/>
                                                                                          <w:marBottom w:val="0"/>
                                                                                          <w:divBdr>
                                                                                            <w:top w:val="none" w:sz="0" w:space="0" w:color="auto"/>
                                                                                            <w:left w:val="none" w:sz="0" w:space="0" w:color="auto"/>
                                                                                            <w:bottom w:val="none" w:sz="0" w:space="0" w:color="auto"/>
                                                                                            <w:right w:val="none" w:sz="0" w:space="0" w:color="auto"/>
                                                                                          </w:divBdr>
                                                                                        </w:div>
                                                                                        <w:div w:id="399137859">
                                                                                          <w:marLeft w:val="0"/>
                                                                                          <w:marRight w:val="0"/>
                                                                                          <w:marTop w:val="0"/>
                                                                                          <w:marBottom w:val="200"/>
                                                                                          <w:divBdr>
                                                                                            <w:top w:val="none" w:sz="0" w:space="0" w:color="auto"/>
                                                                                            <w:left w:val="none" w:sz="0" w:space="0" w:color="auto"/>
                                                                                            <w:bottom w:val="none" w:sz="0" w:space="0" w:color="auto"/>
                                                                                            <w:right w:val="none" w:sz="0" w:space="0" w:color="auto"/>
                                                                                          </w:divBdr>
                                                                                        </w:div>
                                                                                        <w:div w:id="508106136">
                                                                                          <w:marLeft w:val="0"/>
                                                                                          <w:marRight w:val="0"/>
                                                                                          <w:marTop w:val="0"/>
                                                                                          <w:marBottom w:val="200"/>
                                                                                          <w:divBdr>
                                                                                            <w:top w:val="none" w:sz="0" w:space="0" w:color="auto"/>
                                                                                            <w:left w:val="none" w:sz="0" w:space="0" w:color="auto"/>
                                                                                            <w:bottom w:val="none" w:sz="0" w:space="0" w:color="auto"/>
                                                                                            <w:right w:val="none" w:sz="0" w:space="0" w:color="auto"/>
                                                                                          </w:divBdr>
                                                                                        </w:div>
                                                                                        <w:div w:id="719788706">
                                                                                          <w:marLeft w:val="0"/>
                                                                                          <w:marRight w:val="0"/>
                                                                                          <w:marTop w:val="0"/>
                                                                                          <w:marBottom w:val="200"/>
                                                                                          <w:divBdr>
                                                                                            <w:top w:val="none" w:sz="0" w:space="0" w:color="auto"/>
                                                                                            <w:left w:val="none" w:sz="0" w:space="0" w:color="auto"/>
                                                                                            <w:bottom w:val="none" w:sz="0" w:space="0" w:color="auto"/>
                                                                                            <w:right w:val="none" w:sz="0" w:space="0" w:color="auto"/>
                                                                                          </w:divBdr>
                                                                                        </w:div>
                                                                                        <w:div w:id="917784095">
                                                                                          <w:marLeft w:val="0"/>
                                                                                          <w:marRight w:val="0"/>
                                                                                          <w:marTop w:val="0"/>
                                                                                          <w:marBottom w:val="200"/>
                                                                                          <w:divBdr>
                                                                                            <w:top w:val="none" w:sz="0" w:space="0" w:color="auto"/>
                                                                                            <w:left w:val="none" w:sz="0" w:space="0" w:color="auto"/>
                                                                                            <w:bottom w:val="none" w:sz="0" w:space="0" w:color="auto"/>
                                                                                            <w:right w:val="none" w:sz="0" w:space="0" w:color="auto"/>
                                                                                          </w:divBdr>
                                                                                        </w:div>
                                                                                        <w:div w:id="976688062">
                                                                                          <w:marLeft w:val="0"/>
                                                                                          <w:marRight w:val="0"/>
                                                                                          <w:marTop w:val="0"/>
                                                                                          <w:marBottom w:val="0"/>
                                                                                          <w:divBdr>
                                                                                            <w:top w:val="none" w:sz="0" w:space="0" w:color="auto"/>
                                                                                            <w:left w:val="none" w:sz="0" w:space="0" w:color="auto"/>
                                                                                            <w:bottom w:val="none" w:sz="0" w:space="0" w:color="auto"/>
                                                                                            <w:right w:val="none" w:sz="0" w:space="0" w:color="auto"/>
                                                                                          </w:divBdr>
                                                                                          <w:divsChild>
                                                                                            <w:div w:id="379281339">
                                                                                              <w:marLeft w:val="0"/>
                                                                                              <w:marRight w:val="0"/>
                                                                                              <w:marTop w:val="0"/>
                                                                                              <w:marBottom w:val="0"/>
                                                                                              <w:divBdr>
                                                                                                <w:top w:val="none" w:sz="0" w:space="0" w:color="auto"/>
                                                                                                <w:left w:val="none" w:sz="0" w:space="0" w:color="auto"/>
                                                                                                <w:bottom w:val="none" w:sz="0" w:space="0" w:color="auto"/>
                                                                                                <w:right w:val="none" w:sz="0" w:space="0" w:color="auto"/>
                                                                                              </w:divBdr>
                                                                                            </w:div>
                                                                                          </w:divsChild>
                                                                                        </w:div>
                                                                                        <w:div w:id="1061947366">
                                                                                          <w:marLeft w:val="0"/>
                                                                                          <w:marRight w:val="0"/>
                                                                                          <w:marTop w:val="0"/>
                                                                                          <w:marBottom w:val="0"/>
                                                                                          <w:divBdr>
                                                                                            <w:top w:val="none" w:sz="0" w:space="0" w:color="auto"/>
                                                                                            <w:left w:val="none" w:sz="0" w:space="0" w:color="auto"/>
                                                                                            <w:bottom w:val="none" w:sz="0" w:space="0" w:color="auto"/>
                                                                                            <w:right w:val="none" w:sz="0" w:space="0" w:color="auto"/>
                                                                                          </w:divBdr>
                                                                                        </w:div>
                                                                                        <w:div w:id="1874685381">
                                                                                          <w:marLeft w:val="0"/>
                                                                                          <w:marRight w:val="0"/>
                                                                                          <w:marTop w:val="0"/>
                                                                                          <w:marBottom w:val="0"/>
                                                                                          <w:divBdr>
                                                                                            <w:top w:val="none" w:sz="0" w:space="0" w:color="auto"/>
                                                                                            <w:left w:val="none" w:sz="0" w:space="0" w:color="auto"/>
                                                                                            <w:bottom w:val="none" w:sz="0" w:space="0" w:color="auto"/>
                                                                                            <w:right w:val="none" w:sz="0" w:space="0" w:color="auto"/>
                                                                                          </w:divBdr>
                                                                                        </w:div>
                                                                                        <w:div w:id="212133710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49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9.png"/><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footer" Target="footer6.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54</Pages>
  <Words>25101</Words>
  <Characters>143080</Characters>
  <Application>Microsoft Office Outlook</Application>
  <DocSecurity>4</DocSecurity>
  <Lines>1192</Lines>
  <Paragraphs>335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167846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2015-12-08T13:01:00Z</dcterms:created>
  <dcterms:modified xsi:type="dcterms:W3CDTF">2015-12-08T14:58:00Z</dcterms:modified>
</cp:coreProperties>
</file>