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BA0AD1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BA0AD1" w:rsidRDefault="00A10348" w:rsidP="00FD22B8">
            <w:pPr>
              <w:spacing w:after="80" w:line="300" w:lineRule="exact"/>
              <w:rPr>
                <w:sz w:val="28"/>
              </w:rPr>
            </w:pPr>
            <w:r w:rsidRPr="00BA0AD1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BA0AD1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BA0AD1" w:rsidRDefault="00A10348" w:rsidP="00FD22B8">
            <w:pPr>
              <w:jc w:val="right"/>
            </w:pPr>
            <w:r w:rsidRPr="00BA0AD1">
              <w:rPr>
                <w:sz w:val="40"/>
                <w:szCs w:val="40"/>
              </w:rPr>
              <w:t>E</w:t>
            </w:r>
            <w:r w:rsidRPr="00BA0AD1">
              <w:t>/</w:t>
            </w:r>
            <w:fldSimple w:instr=" FILLIN  &quot;Введите символ после Е/&quot;  \* MERGEFORMAT ">
              <w:r w:rsidR="002D1C2F" w:rsidRPr="00BA0AD1">
                <w:t>C.12/PRY/4</w:t>
              </w:r>
            </w:fldSimple>
            <w:r w:rsidRPr="00BA0AD1">
              <w:t xml:space="preserve">                  </w:t>
            </w:r>
          </w:p>
        </w:tc>
      </w:tr>
      <w:tr w:rsidR="00A10348" w:rsidRPr="00BA0AD1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BA0AD1" w:rsidRDefault="00A10348" w:rsidP="00FD22B8">
            <w:pPr>
              <w:spacing w:before="120"/>
              <w:jc w:val="center"/>
            </w:pPr>
            <w:r w:rsidRPr="00BA0AD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BA0AD1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BA0AD1">
              <w:rPr>
                <w:b/>
                <w:sz w:val="40"/>
                <w:szCs w:val="40"/>
              </w:rPr>
              <w:t xml:space="preserve">Экономический </w:t>
            </w:r>
            <w:r w:rsidRPr="00BA0AD1"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BA0AD1" w:rsidRDefault="00A10348" w:rsidP="00FD22B8">
            <w:pPr>
              <w:spacing w:before="240"/>
            </w:pPr>
            <w:proofErr w:type="spellStart"/>
            <w:r w:rsidRPr="00BA0AD1">
              <w:t>Distr</w:t>
            </w:r>
            <w:proofErr w:type="spellEnd"/>
            <w:r w:rsidRPr="00BA0AD1">
              <w:t xml:space="preserve">.: </w:t>
            </w:r>
            <w:bookmarkStart w:id="0" w:name="ПолеСоСписком1"/>
            <w:r w:rsidRPr="00BA0AD1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BA0AD1">
              <w:instrText xml:space="preserve"> FORMDROPDOWN </w:instrText>
            </w:r>
            <w:r w:rsidRPr="00BA0AD1">
              <w:fldChar w:fldCharType="end"/>
            </w:r>
            <w:bookmarkEnd w:id="0"/>
          </w:p>
          <w:p w:rsidR="00A10348" w:rsidRPr="00BA0AD1" w:rsidRDefault="002D1C2F" w:rsidP="00FD22B8">
            <w:r w:rsidRPr="00BA0AD1">
              <w:t xml:space="preserve">27 </w:t>
            </w:r>
            <w:proofErr w:type="spellStart"/>
            <w:r w:rsidRPr="00BA0AD1">
              <w:t>May</w:t>
            </w:r>
            <w:proofErr w:type="spellEnd"/>
            <w:r w:rsidRPr="00BA0AD1">
              <w:t xml:space="preserve"> 2013</w:t>
            </w:r>
            <w:r w:rsidR="00A10348" w:rsidRPr="00BA0AD1">
              <w:fldChar w:fldCharType="begin"/>
            </w:r>
            <w:r w:rsidR="00A10348" w:rsidRPr="00BA0AD1">
              <w:instrText xml:space="preserve"> FILLIN  "Введите дату документа" \* MERGEFORMAT </w:instrText>
            </w:r>
            <w:r w:rsidR="00A10348" w:rsidRPr="00BA0AD1">
              <w:fldChar w:fldCharType="end"/>
            </w:r>
          </w:p>
          <w:p w:rsidR="00A10348" w:rsidRPr="00BA0AD1" w:rsidRDefault="00A10348" w:rsidP="00FD22B8">
            <w:proofErr w:type="spellStart"/>
            <w:r w:rsidRPr="00BA0AD1">
              <w:t>Russian</w:t>
            </w:r>
            <w:proofErr w:type="spellEnd"/>
          </w:p>
          <w:p w:rsidR="00A10348" w:rsidRPr="00BA0AD1" w:rsidRDefault="00A10348" w:rsidP="00FD22B8">
            <w:proofErr w:type="spellStart"/>
            <w:r w:rsidRPr="00BA0AD1">
              <w:t>Original</w:t>
            </w:r>
            <w:proofErr w:type="spellEnd"/>
            <w:r w:rsidRPr="00BA0AD1">
              <w:t xml:space="preserve">: </w:t>
            </w:r>
            <w:bookmarkStart w:id="1" w:name="ПолеСоСписком2"/>
            <w:r w:rsidRPr="00BA0AD1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BA0AD1">
              <w:instrText xml:space="preserve"> FORMDROPDOWN </w:instrText>
            </w:r>
            <w:r w:rsidRPr="00BA0AD1">
              <w:fldChar w:fldCharType="end"/>
            </w:r>
            <w:bookmarkEnd w:id="1"/>
          </w:p>
          <w:p w:rsidR="00A10348" w:rsidRPr="00BA0AD1" w:rsidRDefault="00A10348" w:rsidP="00FD22B8"/>
        </w:tc>
      </w:tr>
    </w:tbl>
    <w:p w:rsidR="00BA0AD1" w:rsidRPr="00BA0AD1" w:rsidRDefault="00BA0AD1" w:rsidP="00BA0AD1">
      <w:pPr>
        <w:spacing w:before="120"/>
        <w:rPr>
          <w:b/>
          <w:sz w:val="24"/>
          <w:szCs w:val="24"/>
        </w:rPr>
      </w:pPr>
      <w:r w:rsidRPr="00BA0AD1">
        <w:rPr>
          <w:b/>
          <w:sz w:val="24"/>
          <w:szCs w:val="24"/>
        </w:rPr>
        <w:t xml:space="preserve">Комитет по экономическим, социальным </w:t>
      </w:r>
      <w:r w:rsidRPr="00BA0AD1">
        <w:rPr>
          <w:b/>
          <w:sz w:val="24"/>
          <w:szCs w:val="24"/>
        </w:rPr>
        <w:br/>
        <w:t>и культурным правам</w:t>
      </w:r>
    </w:p>
    <w:p w:rsidR="00BA0AD1" w:rsidRPr="00BA0AD1" w:rsidRDefault="00BA0AD1" w:rsidP="00BA0AD1">
      <w:pPr>
        <w:pStyle w:val="HChGR"/>
      </w:pPr>
      <w:r w:rsidRPr="00BA0AD1">
        <w:tab/>
      </w:r>
      <w:r w:rsidRPr="00BA0AD1">
        <w:tab/>
        <w:t>Рассмотрение докладов, представленных государствами-участниками в соответствии со статьями 16 и 17 Международного пакта и экономических, социальных и культурных правах</w:t>
      </w:r>
    </w:p>
    <w:p w:rsidR="00BA0AD1" w:rsidRPr="00BA0AD1" w:rsidRDefault="00BA0AD1" w:rsidP="00BA0AD1">
      <w:pPr>
        <w:pStyle w:val="H1GR"/>
      </w:pPr>
      <w:r w:rsidRPr="00BA0AD1">
        <w:tab/>
      </w:r>
      <w:r w:rsidRPr="00BA0AD1">
        <w:tab/>
      </w:r>
      <w:bookmarkStart w:id="2" w:name="_Toc368649093"/>
      <w:r w:rsidRPr="00BA0AD1">
        <w:t>Четвертые периодические доклады государств-участников, подлежащие представлению в 2011 году</w:t>
      </w:r>
      <w:bookmarkEnd w:id="2"/>
      <w:r w:rsidRPr="00BA0AD1">
        <w:t xml:space="preserve"> </w:t>
      </w:r>
    </w:p>
    <w:p w:rsidR="00BA0AD1" w:rsidRPr="00BA0AD1" w:rsidRDefault="00BA0AD1" w:rsidP="00BA0AD1">
      <w:pPr>
        <w:pStyle w:val="HChGR"/>
      </w:pPr>
      <w:r w:rsidRPr="00BA0AD1">
        <w:tab/>
      </w:r>
      <w:r w:rsidRPr="00BA0AD1">
        <w:tab/>
        <w:t>Парагвай</w:t>
      </w:r>
      <w:r w:rsidRPr="00BA0AD1">
        <w:rPr>
          <w:b w:val="0"/>
          <w:sz w:val="20"/>
        </w:rPr>
        <w:footnoteReference w:customMarkFollows="1" w:id="1"/>
        <w:t>*</w:t>
      </w:r>
      <w:r w:rsidRPr="00BA0AD1">
        <w:rPr>
          <w:b w:val="0"/>
          <w:sz w:val="20"/>
          <w:vertAlign w:val="superscript"/>
        </w:rPr>
        <w:t xml:space="preserve">, </w:t>
      </w:r>
      <w:r w:rsidRPr="00BA0AD1">
        <w:rPr>
          <w:b w:val="0"/>
          <w:sz w:val="20"/>
        </w:rPr>
        <w:footnoteReference w:customMarkFollows="1" w:id="2"/>
        <w:t xml:space="preserve">** </w:t>
      </w:r>
    </w:p>
    <w:p w:rsidR="00BA0AD1" w:rsidRPr="00BA0AD1" w:rsidRDefault="00BA0AD1" w:rsidP="00BA0AD1">
      <w:pPr>
        <w:pStyle w:val="SingleTxtGR"/>
        <w:jc w:val="right"/>
        <w:rPr>
          <w:i/>
        </w:rPr>
      </w:pPr>
      <w:r w:rsidRPr="00BA0AD1">
        <w:rPr>
          <w:i/>
        </w:rPr>
        <w:t>[6 октября 2011 года]</w:t>
      </w:r>
    </w:p>
    <w:p w:rsidR="00BA0AD1" w:rsidRDefault="00BA0AD1" w:rsidP="00BA0AD1">
      <w:pPr>
        <w:pStyle w:val="SingleTxtGR"/>
        <w:suppressAutoHyphens/>
        <w:ind w:left="0" w:right="0"/>
        <w:jc w:val="left"/>
        <w:rPr>
          <w:sz w:val="28"/>
        </w:rPr>
      </w:pPr>
      <w:r w:rsidRPr="00BA0AD1">
        <w:br w:type="page"/>
      </w:r>
      <w:r>
        <w:rPr>
          <w:sz w:val="28"/>
        </w:rPr>
        <w:t>Содержание</w:t>
      </w:r>
    </w:p>
    <w:p w:rsid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929"/>
          <w:tab w:val="right" w:pos="9638"/>
        </w:tabs>
        <w:suppressAutoHyphens/>
        <w:ind w:left="283" w:right="0"/>
        <w:jc w:val="left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</w:r>
      <w:r w:rsidRPr="00BA0AD1">
        <w:t>Сокращения и аббревиатуры</w:t>
      </w:r>
      <w:r w:rsidRPr="00BA0AD1">
        <w:tab/>
      </w:r>
      <w:r w:rsidRPr="00BA0AD1">
        <w:tab/>
      </w:r>
      <w:r w:rsidRPr="00BA0AD1">
        <w:tab/>
        <w:t>4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BA0AD1">
        <w:tab/>
        <w:t>I.</w:t>
      </w:r>
      <w:r w:rsidRPr="00BA0AD1">
        <w:tab/>
        <w:t>Методология</w:t>
      </w:r>
      <w:r w:rsidRPr="00BA0AD1">
        <w:tab/>
      </w:r>
      <w:r w:rsidRPr="00BA0AD1">
        <w:tab/>
        <w:t>1</w:t>
      </w:r>
      <w:r w:rsidR="002B7B9B">
        <w:t>−</w:t>
      </w:r>
      <w:r w:rsidRPr="00BA0AD1">
        <w:t>4</w:t>
      </w:r>
      <w:r w:rsidRPr="00BA0AD1">
        <w:tab/>
        <w:t>9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BA0AD1">
        <w:tab/>
        <w:t>II.</w:t>
      </w:r>
      <w:r w:rsidRPr="00BA0AD1">
        <w:tab/>
        <w:t>Рекомендации Комитета и меры, принятые правительством</w:t>
      </w:r>
      <w:r w:rsidRPr="00BA0AD1">
        <w:tab/>
      </w:r>
      <w:r w:rsidRPr="00BA0AD1">
        <w:tab/>
        <w:t>10</w:t>
      </w:r>
      <w:r w:rsidR="002B7B9B">
        <w:t>−</w:t>
      </w:r>
      <w:r w:rsidRPr="00BA0AD1">
        <w:t>433</w:t>
      </w:r>
      <w:r w:rsidRPr="00BA0AD1">
        <w:tab/>
        <w:t>9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2254"/>
          <w:tab w:val="left" w:leader="dot" w:pos="7654"/>
          <w:tab w:val="right" w:pos="8929"/>
          <w:tab w:val="right" w:pos="9638"/>
        </w:tabs>
        <w:suppressAutoHyphens/>
        <w:ind w:left="2254" w:right="0" w:hanging="2254"/>
        <w:jc w:val="left"/>
      </w:pPr>
      <w:r w:rsidRPr="00BA0AD1">
        <w:tab/>
      </w:r>
      <w:r w:rsidRPr="00BA0AD1">
        <w:tab/>
        <w:t xml:space="preserve">Статья 1. </w:t>
      </w:r>
      <w:r>
        <w:tab/>
      </w:r>
      <w:r w:rsidRPr="00BA0AD1">
        <w:t xml:space="preserve">Право на свободное самоопределение народов; </w:t>
      </w:r>
      <w:r>
        <w:br/>
      </w:r>
      <w:r w:rsidRPr="00BA0AD1">
        <w:t>возвращ</w:t>
      </w:r>
      <w:r w:rsidRPr="00BA0AD1">
        <w:t>е</w:t>
      </w:r>
      <w:r w:rsidRPr="00BA0AD1">
        <w:t>ние коренным народам их исконных земель</w:t>
      </w:r>
      <w:r w:rsidRPr="00BA0AD1">
        <w:tab/>
      </w:r>
      <w:r w:rsidRPr="00BA0AD1">
        <w:tab/>
        <w:t>5</w:t>
      </w:r>
      <w:r w:rsidR="002B7B9B">
        <w:t>−</w:t>
      </w:r>
      <w:r w:rsidRPr="00BA0AD1">
        <w:t>16</w:t>
      </w:r>
      <w:r w:rsidRPr="00BA0AD1">
        <w:tab/>
        <w:t>11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2254"/>
          <w:tab w:val="left" w:leader="dot" w:pos="7654"/>
          <w:tab w:val="right" w:pos="8929"/>
          <w:tab w:val="right" w:pos="9638"/>
        </w:tabs>
        <w:suppressAutoHyphens/>
        <w:ind w:left="2254" w:right="0" w:hanging="2254"/>
        <w:jc w:val="left"/>
      </w:pPr>
      <w:r w:rsidRPr="00BA0AD1">
        <w:tab/>
      </w:r>
      <w:r w:rsidRPr="00BA0AD1">
        <w:tab/>
        <w:t xml:space="preserve">Статья 2. </w:t>
      </w:r>
      <w:r>
        <w:tab/>
      </w:r>
      <w:r w:rsidRPr="00BA0AD1">
        <w:t>Принятие мер и гарантии осуществления прав</w:t>
      </w:r>
      <w:r w:rsidRPr="00BA0AD1">
        <w:tab/>
      </w:r>
      <w:r w:rsidRPr="00BA0AD1">
        <w:tab/>
        <w:t>17</w:t>
      </w:r>
      <w:r w:rsidR="002B7B9B">
        <w:t>−</w:t>
      </w:r>
      <w:r w:rsidRPr="00BA0AD1">
        <w:t>35</w:t>
      </w:r>
      <w:r w:rsidRPr="00BA0AD1">
        <w:tab/>
        <w:t>12</w:t>
      </w:r>
    </w:p>
    <w:p w:rsidR="00BA0AD1" w:rsidRPr="00471F73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2254"/>
          <w:tab w:val="left" w:leader="dot" w:pos="7654"/>
          <w:tab w:val="right" w:pos="8929"/>
          <w:tab w:val="right" w:pos="9638"/>
        </w:tabs>
        <w:suppressAutoHyphens/>
        <w:ind w:left="2254" w:right="0" w:hanging="2254"/>
        <w:jc w:val="left"/>
        <w:rPr>
          <w:lang w:val="en-US"/>
        </w:rPr>
      </w:pPr>
      <w:r w:rsidRPr="00BA0AD1">
        <w:tab/>
      </w:r>
      <w:r w:rsidRPr="00BA0AD1">
        <w:tab/>
        <w:t xml:space="preserve">Статья 3. </w:t>
      </w:r>
      <w:r>
        <w:tab/>
      </w:r>
      <w:r w:rsidRPr="00BA0AD1">
        <w:t>Равенство мужчин и женщин</w:t>
      </w:r>
      <w:r w:rsidRPr="00BA0AD1">
        <w:tab/>
      </w:r>
      <w:r w:rsidRPr="00BA0AD1">
        <w:tab/>
        <w:t>36</w:t>
      </w:r>
      <w:r w:rsidR="002B7B9B">
        <w:t>−</w:t>
      </w:r>
      <w:r w:rsidR="00471F73">
        <w:t>46</w:t>
      </w:r>
      <w:r w:rsidR="00471F73">
        <w:tab/>
        <w:t>1</w:t>
      </w:r>
      <w:r w:rsidR="00471F73">
        <w:rPr>
          <w:lang w:val="en-US"/>
        </w:rPr>
        <w:t>6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2254"/>
          <w:tab w:val="left" w:leader="dot" w:pos="7654"/>
          <w:tab w:val="right" w:pos="8929"/>
          <w:tab w:val="right" w:pos="9638"/>
        </w:tabs>
        <w:suppressAutoHyphens/>
        <w:ind w:left="2254" w:right="0" w:hanging="2254"/>
        <w:jc w:val="left"/>
      </w:pPr>
      <w:r w:rsidRPr="00BA0AD1">
        <w:tab/>
      </w:r>
      <w:r w:rsidRPr="00BA0AD1">
        <w:tab/>
        <w:t xml:space="preserve">Статья 4. </w:t>
      </w:r>
      <w:r>
        <w:tab/>
      </w:r>
      <w:r w:rsidRPr="00BA0AD1">
        <w:t>Ограничения на осуществление прав</w:t>
      </w:r>
      <w:r w:rsidRPr="00BA0AD1">
        <w:tab/>
      </w:r>
      <w:r w:rsidRPr="00BA0AD1">
        <w:tab/>
        <w:t>47</w:t>
      </w:r>
      <w:r w:rsidRPr="00BA0AD1">
        <w:tab/>
        <w:t>17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2254"/>
          <w:tab w:val="left" w:leader="dot" w:pos="7654"/>
          <w:tab w:val="right" w:pos="8929"/>
          <w:tab w:val="right" w:pos="9638"/>
        </w:tabs>
        <w:suppressAutoHyphens/>
        <w:ind w:left="2254" w:right="0" w:hanging="2254"/>
        <w:jc w:val="left"/>
      </w:pPr>
      <w:r w:rsidRPr="00BA0AD1">
        <w:tab/>
      </w:r>
      <w:r w:rsidRPr="00BA0AD1">
        <w:tab/>
        <w:t xml:space="preserve">Статья 5. </w:t>
      </w:r>
      <w:r>
        <w:tab/>
      </w:r>
      <w:r w:rsidRPr="00BA0AD1">
        <w:t>Критерии толкования Пакта</w:t>
      </w:r>
      <w:r w:rsidRPr="00BA0AD1">
        <w:tab/>
      </w:r>
      <w:r w:rsidRPr="00BA0AD1">
        <w:tab/>
        <w:t>48</w:t>
      </w:r>
      <w:r w:rsidR="002B7B9B">
        <w:t>−</w:t>
      </w:r>
      <w:r w:rsidRPr="00BA0AD1">
        <w:t>49</w:t>
      </w:r>
      <w:r w:rsidRPr="00BA0AD1">
        <w:tab/>
        <w:t>17</w:t>
      </w:r>
    </w:p>
    <w:p w:rsidR="00BA0AD1" w:rsidRPr="00471F73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2254"/>
          <w:tab w:val="left" w:leader="dot" w:pos="7654"/>
          <w:tab w:val="right" w:pos="8929"/>
          <w:tab w:val="right" w:pos="9638"/>
        </w:tabs>
        <w:suppressAutoHyphens/>
        <w:ind w:left="2254" w:right="0" w:hanging="2254"/>
        <w:jc w:val="left"/>
        <w:rPr>
          <w:lang w:val="en-US"/>
        </w:rPr>
      </w:pPr>
      <w:r w:rsidRPr="00BA0AD1">
        <w:tab/>
      </w:r>
      <w:r w:rsidRPr="00BA0AD1">
        <w:tab/>
        <w:t xml:space="preserve">Статья 6. </w:t>
      </w:r>
      <w:r>
        <w:tab/>
      </w:r>
      <w:r w:rsidRPr="00BA0AD1">
        <w:t>Право на труд</w:t>
      </w:r>
      <w:r w:rsidRPr="00BA0AD1">
        <w:tab/>
      </w:r>
      <w:r w:rsidRPr="00BA0AD1">
        <w:tab/>
        <w:t>50</w:t>
      </w:r>
      <w:r w:rsidR="002B7B9B">
        <w:t>−</w:t>
      </w:r>
      <w:r w:rsidR="00471F73">
        <w:t>61</w:t>
      </w:r>
      <w:r w:rsidR="00471F73">
        <w:tab/>
        <w:t>1</w:t>
      </w:r>
      <w:r w:rsidR="00471F73">
        <w:rPr>
          <w:lang w:val="en-US"/>
        </w:rPr>
        <w:t>8</w:t>
      </w:r>
    </w:p>
    <w:p w:rsidR="00BA0AD1" w:rsidRPr="00471F73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2254"/>
          <w:tab w:val="left" w:leader="dot" w:pos="7654"/>
          <w:tab w:val="right" w:pos="8929"/>
          <w:tab w:val="right" w:pos="9638"/>
        </w:tabs>
        <w:suppressAutoHyphens/>
        <w:ind w:left="2254" w:right="0" w:hanging="2254"/>
        <w:jc w:val="left"/>
        <w:rPr>
          <w:lang w:val="en-US"/>
        </w:rPr>
      </w:pPr>
      <w:r w:rsidRPr="00BA0AD1">
        <w:tab/>
      </w:r>
      <w:r w:rsidRPr="00BA0AD1">
        <w:tab/>
        <w:t xml:space="preserve">Статья 7. </w:t>
      </w:r>
      <w:r>
        <w:tab/>
      </w:r>
      <w:r w:rsidRPr="00BA0AD1">
        <w:t>Условия труда</w:t>
      </w:r>
      <w:r w:rsidRPr="00BA0AD1">
        <w:tab/>
      </w:r>
      <w:r w:rsidRPr="00BA0AD1">
        <w:tab/>
        <w:t>62</w:t>
      </w:r>
      <w:r w:rsidR="002B7B9B">
        <w:t>−</w:t>
      </w:r>
      <w:r w:rsidR="00471F73">
        <w:t>79</w:t>
      </w:r>
      <w:r w:rsidR="00471F73">
        <w:tab/>
        <w:t>1</w:t>
      </w:r>
      <w:r w:rsidR="00471F73">
        <w:rPr>
          <w:lang w:val="en-US"/>
        </w:rPr>
        <w:t>8</w:t>
      </w:r>
    </w:p>
    <w:p w:rsidR="00BA0AD1" w:rsidRPr="00471F73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2254"/>
          <w:tab w:val="left" w:leader="dot" w:pos="7654"/>
          <w:tab w:val="right" w:pos="8929"/>
          <w:tab w:val="right" w:pos="9638"/>
        </w:tabs>
        <w:suppressAutoHyphens/>
        <w:ind w:left="2254" w:right="0" w:hanging="2254"/>
        <w:jc w:val="left"/>
        <w:rPr>
          <w:lang w:val="en-US"/>
        </w:rPr>
      </w:pPr>
      <w:r w:rsidRPr="00BA0AD1">
        <w:tab/>
      </w:r>
      <w:r w:rsidRPr="00BA0AD1">
        <w:tab/>
        <w:t xml:space="preserve">Статья 8. </w:t>
      </w:r>
      <w:r>
        <w:tab/>
      </w:r>
      <w:r w:rsidRPr="00BA0AD1">
        <w:t xml:space="preserve">Право на объединение в </w:t>
      </w:r>
      <w:r w:rsidR="00471F73">
        <w:t>профсоюзы и на забастовку</w:t>
      </w:r>
      <w:r w:rsidR="00471F73">
        <w:tab/>
      </w:r>
      <w:r w:rsidR="00471F73">
        <w:tab/>
        <w:t>80</w:t>
      </w:r>
      <w:r w:rsidR="00471F73">
        <w:tab/>
        <w:t>2</w:t>
      </w:r>
      <w:proofErr w:type="spellStart"/>
      <w:r w:rsidR="00471F73">
        <w:rPr>
          <w:lang w:val="en-US"/>
        </w:rPr>
        <w:t>2</w:t>
      </w:r>
      <w:proofErr w:type="spellEnd"/>
    </w:p>
    <w:p w:rsidR="00BA0AD1" w:rsidRPr="00471F73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2254"/>
          <w:tab w:val="left" w:leader="dot" w:pos="7654"/>
          <w:tab w:val="right" w:pos="8929"/>
          <w:tab w:val="right" w:pos="9638"/>
        </w:tabs>
        <w:suppressAutoHyphens/>
        <w:ind w:left="2254" w:right="0" w:hanging="2254"/>
        <w:jc w:val="left"/>
        <w:rPr>
          <w:lang w:val="en-US"/>
        </w:rPr>
      </w:pPr>
      <w:r w:rsidRPr="00BA0AD1">
        <w:tab/>
      </w:r>
      <w:r w:rsidRPr="00BA0AD1">
        <w:tab/>
        <w:t xml:space="preserve">Статья 9. </w:t>
      </w:r>
      <w:r>
        <w:tab/>
      </w:r>
      <w:r w:rsidRPr="00BA0AD1">
        <w:t>Право на социальное обеспечение</w:t>
      </w:r>
      <w:r w:rsidRPr="00BA0AD1">
        <w:tab/>
      </w:r>
      <w:r w:rsidRPr="00BA0AD1">
        <w:tab/>
        <w:t>81</w:t>
      </w:r>
      <w:r w:rsidR="002B7B9B">
        <w:t>−</w:t>
      </w:r>
      <w:r w:rsidR="00471F73">
        <w:t>100</w:t>
      </w:r>
      <w:r w:rsidR="00471F73">
        <w:tab/>
        <w:t>2</w:t>
      </w:r>
      <w:r w:rsidR="00471F73">
        <w:rPr>
          <w:lang w:val="en-US"/>
        </w:rPr>
        <w:t>3</w:t>
      </w:r>
    </w:p>
    <w:p w:rsidR="00BA0AD1" w:rsidRPr="00471F73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2254"/>
          <w:tab w:val="left" w:leader="dot" w:pos="7654"/>
          <w:tab w:val="right" w:pos="8929"/>
          <w:tab w:val="right" w:pos="9638"/>
        </w:tabs>
        <w:suppressAutoHyphens/>
        <w:ind w:left="2254" w:right="0" w:hanging="2254"/>
        <w:jc w:val="left"/>
        <w:rPr>
          <w:lang w:val="en-US"/>
        </w:rPr>
      </w:pPr>
      <w:r w:rsidRPr="00BA0AD1">
        <w:tab/>
      </w:r>
      <w:r w:rsidRPr="00BA0AD1">
        <w:tab/>
        <w:t xml:space="preserve">Статья 10. </w:t>
      </w:r>
      <w:r>
        <w:tab/>
      </w:r>
      <w:r w:rsidRPr="00BA0AD1">
        <w:t>Защита семьи</w:t>
      </w:r>
      <w:r w:rsidRPr="00BA0AD1">
        <w:tab/>
      </w:r>
      <w:r w:rsidRPr="00BA0AD1">
        <w:tab/>
        <w:t>101</w:t>
      </w:r>
      <w:r w:rsidR="002B7B9B">
        <w:t>−</w:t>
      </w:r>
      <w:r w:rsidR="00471F73">
        <w:t>154</w:t>
      </w:r>
      <w:r w:rsidR="00471F73">
        <w:tab/>
        <w:t>2</w:t>
      </w:r>
      <w:r w:rsidR="00471F73">
        <w:rPr>
          <w:lang w:val="en-US"/>
        </w:rPr>
        <w:t>6</w:t>
      </w:r>
    </w:p>
    <w:p w:rsidR="00BA0AD1" w:rsidRPr="00471F73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2254"/>
          <w:tab w:val="left" w:leader="dot" w:pos="7654"/>
          <w:tab w:val="right" w:pos="8929"/>
          <w:tab w:val="right" w:pos="9638"/>
        </w:tabs>
        <w:suppressAutoHyphens/>
        <w:ind w:left="2254" w:right="0" w:hanging="2254"/>
        <w:jc w:val="left"/>
        <w:rPr>
          <w:lang w:val="en-US"/>
        </w:rPr>
      </w:pPr>
      <w:r w:rsidRPr="00BA0AD1">
        <w:tab/>
      </w:r>
      <w:r w:rsidRPr="00BA0AD1">
        <w:tab/>
        <w:t xml:space="preserve">Статья 11. </w:t>
      </w:r>
      <w:r>
        <w:tab/>
      </w:r>
      <w:r w:rsidRPr="00BA0AD1">
        <w:t>Право на достойный уровень жизни</w:t>
      </w:r>
      <w:r w:rsidRPr="00BA0AD1">
        <w:tab/>
      </w:r>
      <w:r w:rsidRPr="00BA0AD1">
        <w:tab/>
        <w:t>155</w:t>
      </w:r>
      <w:r w:rsidR="002B7B9B">
        <w:t>−</w:t>
      </w:r>
      <w:r w:rsidR="00471F73">
        <w:t>220</w:t>
      </w:r>
      <w:r w:rsidR="00471F73">
        <w:tab/>
      </w:r>
      <w:r w:rsidR="00471F73">
        <w:rPr>
          <w:lang w:val="en-US"/>
        </w:rPr>
        <w:t>34</w:t>
      </w:r>
    </w:p>
    <w:p w:rsidR="00BA0AD1" w:rsidRPr="00471F73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2254"/>
          <w:tab w:val="left" w:leader="dot" w:pos="7654"/>
          <w:tab w:val="right" w:pos="8929"/>
          <w:tab w:val="right" w:pos="9638"/>
        </w:tabs>
        <w:suppressAutoHyphens/>
        <w:ind w:left="2254" w:right="0" w:hanging="2254"/>
        <w:jc w:val="left"/>
        <w:rPr>
          <w:lang w:val="en-US"/>
        </w:rPr>
      </w:pPr>
      <w:r w:rsidRPr="00BA0AD1">
        <w:tab/>
      </w:r>
      <w:r w:rsidRPr="00BA0AD1">
        <w:tab/>
        <w:t xml:space="preserve">Статья 12. </w:t>
      </w:r>
      <w:r>
        <w:tab/>
      </w:r>
      <w:r w:rsidRPr="00BA0AD1">
        <w:t xml:space="preserve">Право на бесплатное и качественное медицинское </w:t>
      </w:r>
      <w:r>
        <w:br/>
      </w:r>
      <w:r w:rsidRPr="00BA0AD1">
        <w:t>о</w:t>
      </w:r>
      <w:r w:rsidRPr="00BA0AD1">
        <w:t>б</w:t>
      </w:r>
      <w:r w:rsidRPr="00BA0AD1">
        <w:t>служивание</w:t>
      </w:r>
      <w:r w:rsidRPr="00BA0AD1">
        <w:tab/>
      </w:r>
      <w:r w:rsidRPr="00BA0AD1">
        <w:tab/>
        <w:t>221</w:t>
      </w:r>
      <w:r w:rsidR="002B7B9B">
        <w:t>−</w:t>
      </w:r>
      <w:r w:rsidR="00471F73">
        <w:t>332</w:t>
      </w:r>
      <w:r w:rsidR="00471F73">
        <w:tab/>
      </w:r>
      <w:r w:rsidR="00471F73">
        <w:rPr>
          <w:lang w:val="en-US"/>
        </w:rPr>
        <w:t>43</w:t>
      </w:r>
    </w:p>
    <w:p w:rsidR="00BA0AD1" w:rsidRPr="00471F73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2254"/>
          <w:tab w:val="left" w:leader="dot" w:pos="7654"/>
          <w:tab w:val="right" w:pos="8929"/>
          <w:tab w:val="right" w:pos="9638"/>
        </w:tabs>
        <w:suppressAutoHyphens/>
        <w:ind w:left="2254" w:right="0" w:hanging="2254"/>
        <w:jc w:val="left"/>
        <w:rPr>
          <w:lang w:val="en-US"/>
        </w:rPr>
      </w:pPr>
      <w:r w:rsidRPr="00BA0AD1">
        <w:tab/>
      </w:r>
      <w:r w:rsidRPr="00BA0AD1">
        <w:tab/>
        <w:t xml:space="preserve">Статья 13. </w:t>
      </w:r>
      <w:r w:rsidR="000F268F">
        <w:rPr>
          <w:lang w:val="en-US"/>
        </w:rPr>
        <w:tab/>
      </w:r>
      <w:r w:rsidRPr="00BA0AD1">
        <w:t>Право на образование</w:t>
      </w:r>
      <w:r w:rsidRPr="00BA0AD1">
        <w:tab/>
      </w:r>
      <w:r w:rsidRPr="00BA0AD1">
        <w:tab/>
        <w:t>333</w:t>
      </w:r>
      <w:r w:rsidR="002B7B9B">
        <w:t>−</w:t>
      </w:r>
      <w:r w:rsidR="00471F73">
        <w:t>363</w:t>
      </w:r>
      <w:r w:rsidR="00471F73">
        <w:tab/>
      </w:r>
      <w:r w:rsidR="00471F73">
        <w:rPr>
          <w:lang w:val="en-US"/>
        </w:rPr>
        <w:t>58</w:t>
      </w:r>
    </w:p>
    <w:p w:rsidR="00BA0AD1" w:rsidRPr="00471F73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2254"/>
          <w:tab w:val="left" w:leader="dot" w:pos="7654"/>
          <w:tab w:val="right" w:pos="8929"/>
          <w:tab w:val="right" w:pos="9638"/>
        </w:tabs>
        <w:suppressAutoHyphens/>
        <w:ind w:left="2254" w:right="0" w:hanging="2254"/>
        <w:jc w:val="left"/>
        <w:rPr>
          <w:lang w:val="en-US"/>
        </w:rPr>
      </w:pPr>
      <w:r w:rsidRPr="00BA0AD1">
        <w:tab/>
      </w:r>
      <w:r w:rsidRPr="00BA0AD1">
        <w:tab/>
        <w:t xml:space="preserve">Статья 14. </w:t>
      </w:r>
      <w:r w:rsidR="000F268F">
        <w:rPr>
          <w:lang w:val="en-US"/>
        </w:rPr>
        <w:tab/>
      </w:r>
      <w:r w:rsidRPr="00BA0AD1">
        <w:t>Обязательность и бесплатность начального образования</w:t>
      </w:r>
      <w:r w:rsidRPr="00BA0AD1">
        <w:tab/>
      </w:r>
      <w:r w:rsidRPr="00BA0AD1">
        <w:tab/>
        <w:t>364</w:t>
      </w:r>
      <w:r w:rsidR="002B7B9B">
        <w:t>−</w:t>
      </w:r>
      <w:r w:rsidR="00471F73">
        <w:t>376</w:t>
      </w:r>
      <w:r w:rsidR="00471F73">
        <w:tab/>
        <w:t>6</w:t>
      </w:r>
      <w:r w:rsidR="00471F73">
        <w:rPr>
          <w:lang w:val="en-US"/>
        </w:rPr>
        <w:t>4</w:t>
      </w:r>
    </w:p>
    <w:p w:rsidR="00BA0AD1" w:rsidRPr="00471F73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2254"/>
          <w:tab w:val="left" w:leader="dot" w:pos="7654"/>
          <w:tab w:val="right" w:pos="8929"/>
          <w:tab w:val="right" w:pos="9638"/>
        </w:tabs>
        <w:suppressAutoHyphens/>
        <w:ind w:left="2254" w:right="0" w:hanging="2254"/>
        <w:jc w:val="left"/>
        <w:rPr>
          <w:lang w:val="en-US"/>
        </w:rPr>
      </w:pPr>
      <w:r w:rsidRPr="00BA0AD1">
        <w:tab/>
      </w:r>
      <w:r w:rsidRPr="00BA0AD1">
        <w:tab/>
        <w:t xml:space="preserve">Статья 15. </w:t>
      </w:r>
      <w:r w:rsidR="000F268F">
        <w:rPr>
          <w:lang w:val="en-US"/>
        </w:rPr>
        <w:tab/>
      </w:r>
      <w:r w:rsidRPr="00BA0AD1">
        <w:t>Право на культуру</w:t>
      </w:r>
      <w:r w:rsidRPr="00BA0AD1">
        <w:tab/>
      </w:r>
      <w:r w:rsidRPr="00BA0AD1">
        <w:tab/>
        <w:t>377</w:t>
      </w:r>
      <w:r w:rsidR="002B7B9B">
        <w:t>−</w:t>
      </w:r>
      <w:r w:rsidR="00471F73">
        <w:t>433</w:t>
      </w:r>
      <w:r w:rsidR="00471F73">
        <w:tab/>
        <w:t>6</w:t>
      </w:r>
      <w:proofErr w:type="spellStart"/>
      <w:r w:rsidR="00471F73">
        <w:rPr>
          <w:lang w:val="en-US"/>
        </w:rPr>
        <w:t>6</w:t>
      </w:r>
      <w:proofErr w:type="spellEnd"/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BA0AD1">
        <w:tab/>
        <w:t>Приложения</w:t>
      </w:r>
      <w:r w:rsidRPr="00BA0AD1">
        <w:footnoteReference w:customMarkFollows="1" w:id="3"/>
        <w:t>***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A0AD1">
        <w:tab/>
        <w:t>I.</w:t>
      </w:r>
      <w:r w:rsidRPr="00BA0AD1">
        <w:tab/>
        <w:t xml:space="preserve">Данные о коренных народах, которым возвращаются их территории 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A0AD1">
        <w:tab/>
        <w:t>II.</w:t>
      </w:r>
      <w:r w:rsidRPr="00BA0AD1">
        <w:tab/>
        <w:t>Сферы сотрудничества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A0AD1">
        <w:tab/>
        <w:t>III.</w:t>
      </w:r>
      <w:r w:rsidRPr="00BA0AD1">
        <w:tab/>
        <w:t xml:space="preserve">Изменения, внесенные в Уголовный кодекс Парагвая (Закон </w:t>
      </w:r>
      <w:proofErr w:type="spellStart"/>
      <w:r w:rsidRPr="00BA0AD1">
        <w:t>Nº</w:t>
      </w:r>
      <w:proofErr w:type="spellEnd"/>
      <w:r w:rsidRPr="00BA0AD1">
        <w:t xml:space="preserve"> 3440/2008)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A0AD1">
        <w:tab/>
        <w:t>IV.</w:t>
      </w:r>
      <w:r w:rsidRPr="00BA0AD1">
        <w:tab/>
        <w:t>Дела, рассмотренные Управлением уполномоченного по правам ч</w:t>
      </w:r>
      <w:r w:rsidRPr="00BA0AD1">
        <w:t>е</w:t>
      </w:r>
      <w:r w:rsidRPr="00BA0AD1">
        <w:t xml:space="preserve">ловека, </w:t>
      </w:r>
      <w:r w:rsidR="00D66D01">
        <w:br/>
      </w:r>
      <w:r w:rsidRPr="00BA0AD1">
        <w:t xml:space="preserve">и принятые меры 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A0AD1">
        <w:tab/>
        <w:t>V.</w:t>
      </w:r>
      <w:r w:rsidRPr="00BA0AD1">
        <w:tab/>
        <w:t xml:space="preserve">Меры, принимаемые СДЖПР в сфере борьбы с </w:t>
      </w:r>
      <w:proofErr w:type="spellStart"/>
      <w:r w:rsidRPr="00BA0AD1">
        <w:t>гендерным</w:t>
      </w:r>
      <w:proofErr w:type="spellEnd"/>
      <w:r w:rsidRPr="00BA0AD1">
        <w:t>, быт</w:t>
      </w:r>
      <w:r w:rsidRPr="00BA0AD1">
        <w:t>о</w:t>
      </w:r>
      <w:r w:rsidRPr="00BA0AD1">
        <w:t xml:space="preserve">вым насилием </w:t>
      </w:r>
      <w:r w:rsidR="00D66D01">
        <w:br/>
      </w:r>
      <w:r w:rsidRPr="00BA0AD1">
        <w:t xml:space="preserve">и насилием в семье 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A0AD1">
        <w:tab/>
        <w:t>VI.</w:t>
      </w:r>
      <w:r w:rsidRPr="00BA0AD1">
        <w:tab/>
        <w:t>Действия судебных органов по борьбе с бытовым насилием и нас</w:t>
      </w:r>
      <w:r w:rsidRPr="00BA0AD1">
        <w:t>и</w:t>
      </w:r>
      <w:r w:rsidRPr="00BA0AD1">
        <w:t xml:space="preserve">лием в семье 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A0AD1">
        <w:tab/>
        <w:t>VII.</w:t>
      </w:r>
      <w:r w:rsidRPr="00BA0AD1">
        <w:tab/>
        <w:t>Программа "За работу, Парагвай"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A0AD1">
        <w:tab/>
        <w:t>VIII.</w:t>
      </w:r>
      <w:r w:rsidRPr="00BA0AD1">
        <w:tab/>
        <w:t xml:space="preserve">Средние доходы по видам деятельности 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A0AD1">
        <w:tab/>
        <w:t>IX.</w:t>
      </w:r>
      <w:r w:rsidRPr="00BA0AD1">
        <w:tab/>
        <w:t>Открытая безработица и занятое население, находящееся в ситу</w:t>
      </w:r>
      <w:r w:rsidRPr="00BA0AD1">
        <w:t>а</w:t>
      </w:r>
      <w:r w:rsidRPr="00BA0AD1">
        <w:t xml:space="preserve">ции </w:t>
      </w:r>
      <w:r w:rsidR="00D66D01">
        <w:br/>
      </w:r>
      <w:r w:rsidRPr="00BA0AD1">
        <w:t xml:space="preserve">крайней бедности 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A0AD1">
        <w:tab/>
        <w:t>X.</w:t>
      </w:r>
      <w:r w:rsidRPr="00BA0AD1">
        <w:tab/>
        <w:t xml:space="preserve">Доля женщин, занятых оплачиваемым несельскохозяйственным трудом </w:t>
      </w:r>
      <w:r w:rsidR="00D66D01">
        <w:br/>
      </w:r>
      <w:r w:rsidRPr="00BA0AD1">
        <w:t xml:space="preserve">(в процентах) 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A0AD1">
        <w:tab/>
        <w:t>XI.</w:t>
      </w:r>
      <w:r w:rsidRPr="00BA0AD1">
        <w:tab/>
        <w:t xml:space="preserve">Система социального страхования 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A0AD1">
        <w:tab/>
        <w:t>XII.</w:t>
      </w:r>
      <w:r w:rsidRPr="00BA0AD1">
        <w:tab/>
        <w:t>Судебная власть (программа ППРС)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A0AD1">
        <w:tab/>
        <w:t>XIII.</w:t>
      </w:r>
      <w:r w:rsidRPr="00BA0AD1">
        <w:tab/>
        <w:t>Бытовое насилие и насилие в семье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A0AD1">
        <w:tab/>
        <w:t>XIV.</w:t>
      </w:r>
      <w:r w:rsidRPr="00BA0AD1">
        <w:tab/>
        <w:t>Бедность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A0AD1">
        <w:tab/>
        <w:t>XV.</w:t>
      </w:r>
      <w:r w:rsidRPr="00BA0AD1">
        <w:tab/>
        <w:t>Жилье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A0AD1">
        <w:tab/>
        <w:t>XVI.</w:t>
      </w:r>
      <w:r w:rsidRPr="00BA0AD1">
        <w:tab/>
        <w:t>Обеспеченность водой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A0AD1">
        <w:tab/>
        <w:t>XVII.</w:t>
      </w:r>
      <w:r w:rsidRPr="00BA0AD1">
        <w:tab/>
        <w:t>Вредные привычки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A0AD1">
        <w:tab/>
        <w:t>XVIII.</w:t>
      </w:r>
      <w:r w:rsidRPr="00BA0AD1">
        <w:tab/>
        <w:t>ВИЧ/СПИД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A0AD1">
        <w:tab/>
        <w:t>XIX.</w:t>
      </w:r>
      <w:r w:rsidRPr="00BA0AD1">
        <w:tab/>
        <w:t>Демографические показатели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A0AD1">
        <w:tab/>
        <w:t>XX.</w:t>
      </w:r>
      <w:r w:rsidRPr="00BA0AD1">
        <w:tab/>
        <w:t>Охват прививками вакциной SPR детей в возрасте 1 года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A0AD1">
        <w:tab/>
        <w:t>XXI.</w:t>
      </w:r>
      <w:r w:rsidRPr="00BA0AD1">
        <w:tab/>
        <w:t>Школьное образование и ликвидация неграмотности</w:t>
      </w:r>
    </w:p>
    <w:p w:rsidR="00BA0AD1" w:rsidRPr="00BA0AD1" w:rsidRDefault="00BA0AD1" w:rsidP="00BA0AD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A0AD1">
        <w:tab/>
        <w:t>XXII.</w:t>
      </w:r>
      <w:r w:rsidRPr="00BA0AD1">
        <w:tab/>
        <w:t>Главы домохозяйств</w:t>
      </w:r>
    </w:p>
    <w:p w:rsidR="00BA0AD1" w:rsidRPr="00BA0AD1" w:rsidRDefault="00BA0AD1" w:rsidP="007713F6">
      <w:pPr>
        <w:pStyle w:val="H1GR"/>
      </w:pPr>
      <w:r w:rsidRPr="00BA0AD1">
        <w:br w:type="page"/>
      </w:r>
      <w:bookmarkStart w:id="3" w:name="_Toc368649094"/>
      <w:r w:rsidR="00D66D01">
        <w:tab/>
      </w:r>
      <w:r w:rsidR="00D66D01">
        <w:tab/>
      </w:r>
      <w:r w:rsidRPr="00BA0AD1">
        <w:t>Сокращения и аббревиатуры</w:t>
      </w:r>
      <w:bookmarkEnd w:id="3"/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АБИГРАП</w:t>
      </w:r>
      <w:r w:rsidRPr="00BA0AD1">
        <w:tab/>
        <w:t xml:space="preserve">Ассоциация профессиональных работников библиотек Парагвая 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 xml:space="preserve">АЖПВ </w:t>
      </w:r>
      <w:r w:rsidRPr="00BA0AD1">
        <w:tab/>
        <w:t>Ассоциация женщин пожилого возраста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АКН</w:t>
      </w:r>
      <w:r w:rsidRPr="00BA0AD1">
        <w:tab/>
        <w:t>Ассоциация коренных народов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 xml:space="preserve">АПА </w:t>
      </w:r>
      <w:r w:rsidRPr="00BA0AD1">
        <w:tab/>
        <w:t>Ассоциация парагвайских авторов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АПП</w:t>
      </w:r>
      <w:r w:rsidRPr="00BA0AD1">
        <w:tab/>
        <w:t>Ассоциация парагвайских писателей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БСХП</w:t>
      </w:r>
      <w:r w:rsidRPr="00BA0AD1">
        <w:tab/>
        <w:t>базовая сельскохозяйственная подготовка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  <w:rPr>
          <w:b/>
        </w:rPr>
      </w:pPr>
      <w:r w:rsidRPr="00BA0AD1">
        <w:t>ВВП</w:t>
      </w:r>
      <w:r w:rsidRPr="00BA0AD1">
        <w:tab/>
        <w:t>валовой внутренний продукт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ВИЧ</w:t>
      </w:r>
      <w:r w:rsidRPr="00BA0AD1">
        <w:tab/>
        <w:t xml:space="preserve">вирус иммунодефицита человека 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ВИЧ-ИЛ</w:t>
      </w:r>
      <w:r w:rsidRPr="00BA0AD1">
        <w:tab/>
        <w:t>ВИЧ-инфицированные лица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ВОЗ</w:t>
      </w:r>
      <w:r w:rsidRPr="00BA0AD1">
        <w:tab/>
        <w:t xml:space="preserve">Всемирная организация здравоохранения 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ВС</w:t>
      </w:r>
      <w:r w:rsidRPr="00BA0AD1">
        <w:tab/>
        <w:t>Верховный суд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ГИП</w:t>
      </w:r>
      <w:r w:rsidRPr="00BA0AD1">
        <w:tab/>
        <w:t>годовой инвестиционный план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ГМУ</w:t>
      </w:r>
      <w:r w:rsidRPr="00BA0AD1">
        <w:tab/>
        <w:t>Главное миграционное управление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ГННР</w:t>
      </w:r>
      <w:r w:rsidRPr="00BA0AD1">
        <w:tab/>
        <w:t>группы населения наибольшего риска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ГПР</w:t>
      </w:r>
      <w:r w:rsidRPr="00BA0AD1">
        <w:tab/>
        <w:t>Генеральная прокуратура Республики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ГСП</w:t>
      </w:r>
      <w:r w:rsidRPr="00BA0AD1">
        <w:tab/>
        <w:t>Генеральная судебная прокуратура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ГУСОП</w:t>
      </w:r>
      <w:r w:rsidRPr="00BA0AD1">
        <w:tab/>
        <w:t>Главное управление статистики, обследований и переписей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ГУШОКН</w:t>
      </w:r>
      <w:r w:rsidRPr="00BA0AD1">
        <w:tab/>
        <w:t>Главное управление по вопросам школьного образования коренных народов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ДППЧ</w:t>
      </w:r>
      <w:r w:rsidRPr="00BA0AD1">
        <w:tab/>
        <w:t xml:space="preserve">Департамент по вопросам правосудия и прав человека 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ЕПОД</w:t>
      </w:r>
      <w:r w:rsidRPr="00BA0AD1">
        <w:tab/>
        <w:t>ежегодный план оперативной деятельности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ЕС</w:t>
      </w:r>
      <w:r w:rsidRPr="00BA0AD1">
        <w:tab/>
        <w:t>Европейский союз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ЗВ</w:t>
      </w:r>
      <w:r w:rsidRPr="00BA0AD1">
        <w:tab/>
        <w:t>законодательная власть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 xml:space="preserve">ИАМСИР </w:t>
      </w:r>
      <w:r w:rsidRPr="00BA0AD1">
        <w:tab/>
        <w:t>Испанское агентство по международному сотрудничеству в интер</w:t>
      </w:r>
      <w:r w:rsidRPr="00BA0AD1">
        <w:t>е</w:t>
      </w:r>
      <w:r w:rsidRPr="00BA0AD1">
        <w:t xml:space="preserve">сах развития 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ИВ</w:t>
      </w:r>
      <w:r w:rsidRPr="00BA0AD1">
        <w:tab/>
        <w:t>исполнительная власть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ИВП</w:t>
      </w:r>
      <w:r w:rsidRPr="00BA0AD1">
        <w:tab/>
        <w:t>инактивированная вакцина против полиомиелита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ИККО</w:t>
      </w:r>
      <w:r w:rsidRPr="00BA0AD1">
        <w:tab/>
      </w:r>
      <w:proofErr w:type="spellStart"/>
      <w:r w:rsidRPr="00BA0AD1">
        <w:t>Межцерковная</w:t>
      </w:r>
      <w:proofErr w:type="spellEnd"/>
      <w:r w:rsidRPr="00BA0AD1">
        <w:t xml:space="preserve"> организация сотрудничества и развития 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ИНДЕРТ</w:t>
      </w:r>
      <w:r w:rsidRPr="00BA0AD1">
        <w:tab/>
        <w:t>Институт развития сельских районов и освоения земель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ИНДИ</w:t>
      </w:r>
      <w:r w:rsidRPr="00BA0AD1">
        <w:tab/>
        <w:t xml:space="preserve">Национальный институт по делам коренного населения 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ИНКОСУР</w:t>
      </w:r>
      <w:r w:rsidRPr="00BA0AD1">
        <w:tab/>
        <w:t xml:space="preserve">Инициатива стран Южного конуса 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ИНПРО</w:t>
      </w:r>
      <w:r w:rsidRPr="00BA0AD1">
        <w:tab/>
        <w:t>Институт по защите интересов лиц с особыми потребностями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ИСС</w:t>
      </w:r>
      <w:r w:rsidRPr="00BA0AD1">
        <w:tab/>
        <w:t>Институт социального страхования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КАМПРО</w:t>
      </w:r>
      <w:r w:rsidRPr="00BA0AD1">
        <w:tab/>
        <w:t xml:space="preserve">Парагвайская палата предприятий </w:t>
      </w:r>
      <w:r w:rsidR="002B7B9B">
        <w:t>−</w:t>
      </w:r>
      <w:r w:rsidRPr="00BA0AD1">
        <w:t xml:space="preserve"> производителей кино- и тел</w:t>
      </w:r>
      <w:r w:rsidRPr="00BA0AD1">
        <w:t>е</w:t>
      </w:r>
      <w:r w:rsidRPr="00BA0AD1">
        <w:t>визионной продукции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КАМС</w:t>
      </w:r>
      <w:r w:rsidRPr="00BA0AD1">
        <w:tab/>
        <w:t xml:space="preserve">Корейское агентство по международному сотрудничеству 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 xml:space="preserve">КЕПРА </w:t>
      </w:r>
      <w:r w:rsidRPr="00BA0AD1">
        <w:tab/>
        <w:t>Исполнительный координационный комитет по вопросам аграрной реформы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КИКСИ</w:t>
      </w:r>
      <w:r w:rsidRPr="00BA0AD1">
        <w:tab/>
        <w:t>Межведомственная комиссия по мониторингу дел, в отношении которых вынесены решения международных судебных органов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КОДЕНИС</w:t>
      </w:r>
      <w:r w:rsidRPr="00BA0AD1">
        <w:tab/>
        <w:t>консультативные советы по правам детей и подростков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proofErr w:type="spellStart"/>
      <w:r w:rsidRPr="00BA0AD1">
        <w:t>КОНАЕТИ-Пи</w:t>
      </w:r>
      <w:proofErr w:type="spellEnd"/>
      <w:r w:rsidRPr="00BA0AD1">
        <w:tab/>
        <w:t>Национальная комиссия по предупреждению и искоренению детского труда и охране труда взрослых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КОПРАЧЕП</w:t>
      </w:r>
      <w:r w:rsidRPr="00BA0AD1">
        <w:tab/>
        <w:t>Координатор по правам человека в Парагвае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МАБРР</w:t>
      </w:r>
      <w:r w:rsidRPr="00BA0AD1">
        <w:tab/>
        <w:t>Межамериканский банк реконструкции и развития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МАИССХ</w:t>
      </w:r>
      <w:r w:rsidRPr="00BA0AD1">
        <w:tab/>
        <w:t>Межамериканский институт по сотрудничеству в области сельского хозяйства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МАКПЧ</w:t>
      </w:r>
      <w:r w:rsidRPr="00BA0AD1">
        <w:tab/>
        <w:t>Межамериканская комиссия по правам человека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МАСПЧ</w:t>
      </w:r>
      <w:r w:rsidRPr="00BA0AD1">
        <w:tab/>
        <w:t>Межамериканский суд по правам человека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МВД</w:t>
      </w:r>
      <w:r w:rsidRPr="00BA0AD1">
        <w:tab/>
        <w:t>Министерство внутренних дел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МГС</w:t>
      </w:r>
      <w:r w:rsidRPr="00BA0AD1">
        <w:tab/>
        <w:t>Министерство государственной службы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МЕРКОСУР</w:t>
      </w:r>
      <w:r w:rsidRPr="00BA0AD1">
        <w:tab/>
        <w:t>Южноамериканский общий рынок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МЗСО</w:t>
      </w:r>
      <w:r w:rsidRPr="00BA0AD1">
        <w:tab/>
        <w:t>Министерство здравоохранения и социального обеспечения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МИД</w:t>
      </w:r>
      <w:r w:rsidRPr="00BA0AD1">
        <w:tab/>
        <w:t>Министерство иностранных дел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Минфин</w:t>
      </w:r>
      <w:r w:rsidRPr="00BA0AD1">
        <w:tab/>
        <w:t>Министерство финансов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МКН</w:t>
      </w:r>
      <w:r w:rsidRPr="00BA0AD1">
        <w:tab/>
        <w:t>Межведомственный комитет по народонаселению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МКСХ</w:t>
      </w:r>
      <w:r w:rsidRPr="00BA0AD1">
        <w:tab/>
        <w:t>Механизм кредитования сельского хозяйства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МОК</w:t>
      </w:r>
      <w:r w:rsidRPr="00BA0AD1">
        <w:tab/>
        <w:t>Министерство образования и культуры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МОТ</w:t>
      </w:r>
      <w:r w:rsidRPr="00BA0AD1">
        <w:tab/>
        <w:t>Международная организация труда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МПТ</w:t>
      </w:r>
      <w:r w:rsidRPr="00BA0AD1">
        <w:tab/>
        <w:t>Министерство промышленности и торговли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МСРИ</w:t>
      </w:r>
      <w:r w:rsidRPr="00BA0AD1">
        <w:tab/>
        <w:t xml:space="preserve">Модель социальной </w:t>
      </w:r>
      <w:proofErr w:type="spellStart"/>
      <w:r w:rsidRPr="00BA0AD1">
        <w:t>реинтеграции</w:t>
      </w:r>
      <w:proofErr w:type="spellEnd"/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МСХЖ</w:t>
      </w:r>
      <w:r w:rsidRPr="00BA0AD1">
        <w:tab/>
        <w:t>Министерство сельского хозяйства и животноводства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МЮТ</w:t>
      </w:r>
      <w:r w:rsidRPr="00BA0AD1">
        <w:tab/>
        <w:t>Министерство юстиции и труда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НИТС</w:t>
      </w:r>
      <w:r w:rsidRPr="00BA0AD1">
        <w:tab/>
        <w:t>Национальный институт технологии и стандартизации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НК</w:t>
      </w:r>
      <w:r w:rsidRPr="00BA0AD1">
        <w:tab/>
        <w:t xml:space="preserve">Национальная конституция 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НКК</w:t>
      </w:r>
      <w:r w:rsidRPr="00BA0AD1">
        <w:tab/>
        <w:t>Национальный комитет по культуре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 xml:space="preserve">НМПКЛДЗ </w:t>
      </w:r>
      <w:r w:rsidRPr="00BA0AD1">
        <w:tab/>
        <w:t>неотложная медицинская помощь в области комплексного лечения детских заболеваний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НПБМ</w:t>
      </w:r>
      <w:r w:rsidRPr="00BA0AD1">
        <w:tab/>
        <w:t>Национальная программа по борьбе с малярией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НПД</w:t>
      </w:r>
      <w:r w:rsidRPr="00BA0AD1">
        <w:tab/>
        <w:t xml:space="preserve">Национальный план действий 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НПО</w:t>
      </w:r>
      <w:r w:rsidRPr="00BA0AD1">
        <w:tab/>
        <w:t>неправительственная организация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НПОРВЖМ</w:t>
      </w:r>
      <w:r w:rsidRPr="00BA0AD1">
        <w:tab/>
        <w:t xml:space="preserve">Национальный план обеспечения равенства возможностей женщин и мужчин 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НПП</w:t>
      </w:r>
      <w:r w:rsidRPr="00BA0AD1">
        <w:tab/>
        <w:t>начальная профессиональная подготовка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НСДДП</w:t>
      </w:r>
      <w:r w:rsidRPr="00BA0AD1">
        <w:tab/>
        <w:t>Национальный секретариат по делам детей и подростков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НСЗРДП</w:t>
      </w:r>
      <w:r w:rsidRPr="00BA0AD1">
        <w:tab/>
        <w:t>Национальная система защиты и всестороннего развития детей и подростков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НСК</w:t>
      </w:r>
      <w:r w:rsidRPr="00BA0AD1">
        <w:tab/>
        <w:t>Национальный секретариат по культуре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НСОК</w:t>
      </w:r>
      <w:r w:rsidRPr="00BA0AD1">
        <w:tab/>
        <w:t>Национальный совет по образованию и культуре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НСОРОП</w:t>
      </w:r>
      <w:r w:rsidRPr="00BA0AD1">
        <w:tab/>
        <w:t>Национальная система оценки результативности образовательного процесса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НСОСБП</w:t>
      </w:r>
      <w:r w:rsidRPr="00BA0AD1">
        <w:tab/>
        <w:t>Национальная система обеспечения суверенитета и безопасности в области продовольствия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НСПП</w:t>
      </w:r>
      <w:r w:rsidRPr="00BA0AD1">
        <w:tab/>
        <w:t>Национальная служба производственной подготовки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НСППК</w:t>
      </w:r>
      <w:r w:rsidRPr="00BA0AD1">
        <w:tab/>
        <w:t>Национальный секретариат по повышению профессиональной кв</w:t>
      </w:r>
      <w:r w:rsidRPr="00BA0AD1">
        <w:t>а</w:t>
      </w:r>
      <w:r w:rsidRPr="00BA0AD1">
        <w:t>лификации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НСПТО</w:t>
      </w:r>
      <w:r w:rsidRPr="00BA0AD1">
        <w:tab/>
        <w:t>Национальная система профессионально-технического образования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НШО</w:t>
      </w:r>
      <w:r w:rsidRPr="00BA0AD1">
        <w:tab/>
        <w:t>начальное школьное образование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ОАГ</w:t>
      </w:r>
      <w:r w:rsidRPr="00BA0AD1">
        <w:tab/>
        <w:t xml:space="preserve">Организация американских государств 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ОИАГ</w:t>
      </w:r>
      <w:r w:rsidRPr="00BA0AD1">
        <w:tab/>
        <w:t xml:space="preserve">Организация </w:t>
      </w:r>
      <w:proofErr w:type="spellStart"/>
      <w:r w:rsidRPr="00BA0AD1">
        <w:t>ибероамериканских</w:t>
      </w:r>
      <w:proofErr w:type="spellEnd"/>
      <w:r w:rsidRPr="00BA0AD1">
        <w:t xml:space="preserve"> государств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ООПЧ</w:t>
      </w:r>
      <w:r w:rsidRPr="00BA0AD1">
        <w:tab/>
        <w:t xml:space="preserve">образование в области прав человека 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ОПОДТ</w:t>
      </w:r>
      <w:r w:rsidRPr="00BA0AD1">
        <w:tab/>
        <w:t>Обзор положения в области детского труда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ОПП</w:t>
      </w:r>
      <w:r w:rsidRPr="00BA0AD1">
        <w:tab/>
        <w:t>Общество парагвайских писателей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ОПРАП</w:t>
      </w:r>
      <w:r w:rsidRPr="00BA0AD1">
        <w:tab/>
        <w:t>Организация работников аудиовизуального сектора Парагвая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ОШО</w:t>
      </w:r>
      <w:r w:rsidRPr="00BA0AD1">
        <w:tab/>
        <w:t>основное школьное образование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ПАИ</w:t>
      </w:r>
      <w:r w:rsidRPr="00BA0AD1">
        <w:tab/>
        <w:t>Национальная программа по борьбе с заболеваниями, предотвращаемыми с помощью вакцинации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ПГПСР</w:t>
      </w:r>
      <w:r w:rsidRPr="00BA0AD1">
        <w:tab/>
        <w:t>Проект государственной политики социального развития "Парагвай для всех" на 2010</w:t>
      </w:r>
      <w:r w:rsidR="002B7B9B">
        <w:t>−</w:t>
      </w:r>
      <w:r w:rsidRPr="00BA0AD1">
        <w:t>2020годы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ПИНФА</w:t>
      </w:r>
      <w:r w:rsidRPr="00BA0AD1">
        <w:tab/>
        <w:t>Программа помещения ребенка в семью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ПКП</w:t>
      </w:r>
      <w:r w:rsidRPr="00BA0AD1">
        <w:tab/>
        <w:t xml:space="preserve">Парагвайская книжная палата 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ПЛАНАЛ</w:t>
      </w:r>
      <w:r w:rsidRPr="00BA0AD1">
        <w:tab/>
        <w:t>Национальный план обеспечения суверенитета и безопасности в области продовольствия и питания в</w:t>
      </w:r>
      <w:r w:rsidR="00D66D01">
        <w:t> </w:t>
      </w:r>
      <w:r w:rsidRPr="00BA0AD1">
        <w:t>Парагвае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ПМСП</w:t>
      </w:r>
      <w:r w:rsidRPr="00BA0AD1">
        <w:tab/>
        <w:t>первичная медико-санитарная помощь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ПОЛНА</w:t>
      </w:r>
      <w:r w:rsidRPr="00BA0AD1">
        <w:tab/>
        <w:t>Национальная политика в отношении детей и подростков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ПОПСКНЗ</w:t>
      </w:r>
      <w:r w:rsidRPr="00BA0AD1">
        <w:tab/>
        <w:t>Проект оформления прав собственности коренного населения на земли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ППИМР</w:t>
      </w:r>
      <w:r w:rsidRPr="00BA0AD1">
        <w:tab/>
        <w:t>предупреждение передачи инфекции от матери ребенку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ППОМ</w:t>
      </w:r>
      <w:r w:rsidRPr="00BA0AD1">
        <w:tab/>
        <w:t xml:space="preserve">Программа профессионального образования для молодежи 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ПППСП</w:t>
      </w:r>
      <w:r w:rsidRPr="00BA0AD1">
        <w:tab/>
        <w:t>Программа профессиональной подготовки сельских производителей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ПРОНАПИ</w:t>
      </w:r>
      <w:r w:rsidRPr="00BA0AD1">
        <w:tab/>
        <w:t xml:space="preserve">Программа поддержки коренных народов 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ПРОНАСИДА</w:t>
      </w:r>
      <w:r w:rsidRPr="00BA0AD1">
        <w:tab/>
        <w:t>Национальная программа по борьбе с ВИЧ/</w:t>
      </w:r>
      <w:proofErr w:type="spellStart"/>
      <w:r w:rsidRPr="00BA0AD1">
        <w:t>СПИДом</w:t>
      </w:r>
      <w:proofErr w:type="spellEnd"/>
      <w:r w:rsidRPr="00BA0AD1">
        <w:t xml:space="preserve">/ЗППП 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ПРОНАФ</w:t>
      </w:r>
      <w:r w:rsidRPr="00BA0AD1">
        <w:tab/>
        <w:t>Национальная программа поддержки семейных фермерских хозяйств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ПРООН</w:t>
      </w:r>
      <w:r w:rsidRPr="00BA0AD1">
        <w:tab/>
        <w:t>Программа развития Организации Объединенных Наций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ПСП</w:t>
      </w:r>
      <w:r w:rsidRPr="00BA0AD1">
        <w:tab/>
        <w:t>Промышленный союз Парагвая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ПТЦ</w:t>
      </w:r>
      <w:r w:rsidRPr="00BA0AD1">
        <w:tab/>
        <w:t>Парагвайский театральный центр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РАИ</w:t>
      </w:r>
      <w:r w:rsidRPr="00BA0AD1">
        <w:tab/>
        <w:t>комплексное реформирование сельского хозяйства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РЕАФ</w:t>
      </w:r>
      <w:r w:rsidRPr="00BA0AD1">
        <w:tab/>
        <w:t xml:space="preserve">Специальное совещание по проблемам семейного фермерства 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РЖМРМ</w:t>
      </w:r>
      <w:r w:rsidRPr="00BA0AD1">
        <w:tab/>
        <w:t>равноправие женщин и мужчин на рабочих местах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РОАМ</w:t>
      </w:r>
      <w:r w:rsidRPr="00BA0AD1">
        <w:tab/>
        <w:t>Сеть организаций по охране окружающей среды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СВС</w:t>
      </w:r>
      <w:r w:rsidRPr="00BA0AD1">
        <w:tab/>
        <w:t>Секретариат по вопросам спорта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СДЖПР</w:t>
      </w:r>
      <w:r w:rsidRPr="00BA0AD1">
        <w:tab/>
        <w:t>Секретариат по делам женщин при президенте Республики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СЕНАВИТАТ</w:t>
      </w:r>
      <w:r w:rsidRPr="00BA0AD1">
        <w:tab/>
        <w:t>Национальный секретариат по вопросам жилья и среды обитания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СЕНАДИ</w:t>
      </w:r>
      <w:r w:rsidRPr="00BA0AD1">
        <w:tab/>
        <w:t>Национальный центр помощи представителям коренного населения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СЕНАКСА</w:t>
      </w:r>
      <w:r w:rsidRPr="00BA0AD1">
        <w:tab/>
        <w:t>Национальная ветеринарная служба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СЕНАТУР</w:t>
      </w:r>
      <w:r w:rsidRPr="00BA0AD1">
        <w:tab/>
        <w:t xml:space="preserve">Национальный секретариат по туризму 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СЕНЕПА</w:t>
      </w:r>
      <w:r w:rsidRPr="00BA0AD1">
        <w:tab/>
        <w:t>Национальная служба борьбы с малярией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СЕПЕП</w:t>
      </w:r>
      <w:r w:rsidRPr="00BA0AD1">
        <w:tab/>
        <w:t>Обследование демографической ситуации и состояния сексуальн</w:t>
      </w:r>
      <w:r w:rsidRPr="00BA0AD1">
        <w:t>о</w:t>
      </w:r>
      <w:r w:rsidRPr="00BA0AD1">
        <w:t>го и репродуктивного здоровья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СЕРНЕСО</w:t>
      </w:r>
      <w:r w:rsidRPr="00BA0AD1">
        <w:tab/>
        <w:t>Центр по регулированию рекламной деятельности, стандартизации и исследованиям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СИВПЧ</w:t>
      </w:r>
      <w:r w:rsidRPr="00BA0AD1">
        <w:tab/>
        <w:t>Сеть исполнительной власти по правам человека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СИМПОК</w:t>
      </w:r>
      <w:r w:rsidRPr="00BA0AD1">
        <w:tab/>
        <w:t>Программа сбора информации, статистических данных и</w:t>
      </w:r>
      <w:r w:rsidR="00D66D01">
        <w:t> </w:t>
      </w:r>
      <w:r w:rsidRPr="00BA0AD1">
        <w:t>осущес</w:t>
      </w:r>
      <w:r w:rsidRPr="00BA0AD1">
        <w:t>т</w:t>
      </w:r>
      <w:r w:rsidRPr="00BA0AD1">
        <w:t>вления мониторинга в сфере детского труда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СКМП</w:t>
      </w:r>
      <w:r w:rsidRPr="00BA0AD1">
        <w:tab/>
        <w:t>службы комплексной медицинской помощи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СМСП</w:t>
      </w:r>
      <w:r w:rsidRPr="00BA0AD1">
        <w:tab/>
        <w:t>Секретариат по мерам социальной политики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СМСП</w:t>
      </w:r>
      <w:r w:rsidRPr="00BA0AD1">
        <w:tab/>
        <w:t>Секретариат по мерам социальной политики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СООС</w:t>
      </w:r>
      <w:r w:rsidRPr="00BA0AD1">
        <w:tab/>
        <w:t>Секретариат по охране окружающей среды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СПИД</w:t>
      </w:r>
      <w:r w:rsidRPr="00BA0AD1">
        <w:tab/>
        <w:t>синдром приобретенного иммунодефицита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СПНД</w:t>
      </w:r>
      <w:r w:rsidRPr="00BA0AD1">
        <w:tab/>
        <w:t>Стратегический план национальных действий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СРПУС</w:t>
      </w:r>
      <w:r w:rsidRPr="00BA0AD1">
        <w:tab/>
        <w:t>Секретариат по делам репатриированных и получивших убежище соотечественников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ССЭП</w:t>
      </w:r>
      <w:r w:rsidRPr="00BA0AD1">
        <w:tab/>
        <w:t>Стратегический социально-экономический план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УВКПЧ</w:t>
      </w:r>
      <w:r w:rsidRPr="00BA0AD1">
        <w:tab/>
        <w:t>Управление Верховного комиссара Организации Объединенных Наций по правам человека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УННПС</w:t>
      </w:r>
      <w:r w:rsidRPr="00BA0AD1">
        <w:tab/>
        <w:t xml:space="preserve">Управление по </w:t>
      </w:r>
      <w:proofErr w:type="spellStart"/>
      <w:r w:rsidRPr="00BA0AD1">
        <w:t>ненакопительным</w:t>
      </w:r>
      <w:proofErr w:type="spellEnd"/>
      <w:r w:rsidRPr="00BA0AD1">
        <w:t xml:space="preserve"> пенсионным схемам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УУПЧ</w:t>
      </w:r>
      <w:r w:rsidRPr="00BA0AD1">
        <w:tab/>
        <w:t>Управление уполномоченного по правам человека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ФАО</w:t>
      </w:r>
      <w:r w:rsidRPr="00BA0AD1">
        <w:tab/>
        <w:t>Продовольственная и сельскохозяйственная организация Объединенных Наций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ФОАР</w:t>
      </w:r>
      <w:r w:rsidRPr="00BA0AD1">
        <w:tab/>
        <w:t>Фонд сотрудничества Республики Аргентины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ФОСЕМ</w:t>
      </w:r>
      <w:r w:rsidRPr="00BA0AD1">
        <w:tab/>
        <w:t>Фонд структурной конвергенции МЕРКОСУР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ЦДИ</w:t>
      </w:r>
      <w:r w:rsidRPr="00BA0AD1">
        <w:tab/>
        <w:t>Центр документации и исследований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ЦДС</w:t>
      </w:r>
      <w:r w:rsidRPr="00BA0AD1">
        <w:tab/>
        <w:t>целевые денежные субсидии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ЦДТ</w:t>
      </w:r>
      <w:r w:rsidRPr="00BA0AD1">
        <w:tab/>
        <w:t>центры добровольного тестирования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ЦРТ</w:t>
      </w:r>
      <w:r w:rsidRPr="00BA0AD1">
        <w:tab/>
        <w:t>Цели развития тысячелетия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ЭРССАН</w:t>
      </w:r>
      <w:r w:rsidRPr="00BA0AD1">
        <w:tab/>
        <w:t>Управление по регулированию санитарных услуг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ЭСКИ</w:t>
      </w:r>
      <w:r w:rsidRPr="00BA0AD1">
        <w:tab/>
        <w:t xml:space="preserve">борьба с сексуальной эксплуатацией детей в коммерческих целях в зоне трехсторонней границы 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ЮНЕСКО</w:t>
      </w:r>
      <w:r w:rsidRPr="00BA0AD1">
        <w:tab/>
        <w:t>Организация Объединенных Наций по вопросам образования, на</w:t>
      </w:r>
      <w:r w:rsidRPr="00BA0AD1">
        <w:t>у</w:t>
      </w:r>
      <w:r w:rsidRPr="00BA0AD1">
        <w:t>ки и культуры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ЮНИСЕФ</w:t>
      </w:r>
      <w:r w:rsidRPr="00BA0AD1">
        <w:tab/>
        <w:t>Детский фонд Организации Объединенных Наций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ЮНЭЙДС</w:t>
      </w:r>
      <w:r w:rsidRPr="00BA0AD1">
        <w:tab/>
        <w:t>Объединенная программа Организации Объединенных Наций по ВИЧ/</w:t>
      </w:r>
      <w:proofErr w:type="spellStart"/>
      <w:r w:rsidRPr="00BA0AD1">
        <w:t>СПИДу</w:t>
      </w:r>
      <w:proofErr w:type="spellEnd"/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ЯАМС</w:t>
      </w:r>
      <w:r w:rsidRPr="00BA0AD1">
        <w:tab/>
        <w:t>Японское агентство по международному сотрудничеству</w:t>
      </w:r>
    </w:p>
    <w:p w:rsidR="00BA0AD1" w:rsidRPr="00BA0AD1" w:rsidRDefault="00BA0AD1" w:rsidP="00D66D01">
      <w:pPr>
        <w:pStyle w:val="SingleTxtGR"/>
        <w:tabs>
          <w:tab w:val="clear" w:pos="1701"/>
          <w:tab w:val="clear" w:pos="2268"/>
        </w:tabs>
        <w:suppressAutoHyphens/>
        <w:ind w:left="2835" w:hanging="1701"/>
        <w:jc w:val="left"/>
      </w:pPr>
      <w:r w:rsidRPr="00BA0AD1">
        <w:t>ЯФСР</w:t>
      </w:r>
      <w:r w:rsidRPr="00BA0AD1">
        <w:tab/>
        <w:t>Японский фонд социального развития</w:t>
      </w:r>
    </w:p>
    <w:p w:rsidR="00BA0AD1" w:rsidRPr="00BA0AD1" w:rsidRDefault="00BA0AD1" w:rsidP="00D66D01">
      <w:pPr>
        <w:pStyle w:val="HChGR"/>
      </w:pPr>
      <w:r w:rsidRPr="00BA0AD1">
        <w:br w:type="page"/>
      </w:r>
      <w:r w:rsidRPr="00BA0AD1">
        <w:tab/>
      </w:r>
      <w:bookmarkStart w:id="4" w:name="_Toc368649095"/>
      <w:r w:rsidRPr="00BA0AD1">
        <w:t>I.</w:t>
      </w:r>
      <w:r w:rsidRPr="00BA0AD1">
        <w:tab/>
        <w:t>Методология</w:t>
      </w:r>
      <w:bookmarkEnd w:id="4"/>
    </w:p>
    <w:p w:rsidR="00BA0AD1" w:rsidRPr="00BA0AD1" w:rsidRDefault="00BA0AD1" w:rsidP="00BA0AD1">
      <w:pPr>
        <w:pStyle w:val="SingleTxtGR"/>
      </w:pPr>
      <w:r w:rsidRPr="00BA0AD1">
        <w:t>1.</w:t>
      </w:r>
      <w:r w:rsidRPr="00BA0AD1">
        <w:tab/>
        <w:t>Координаторами подготовки доклада являлись Министерство здрав</w:t>
      </w:r>
      <w:r w:rsidRPr="00BA0AD1">
        <w:t>о</w:t>
      </w:r>
      <w:r w:rsidRPr="00BA0AD1">
        <w:t>охранения и социального обеспечения (МЗСО) и Министерство иностранных дел (МИД), проводившие эту работу совместно с Сетью исполнительной власти по правам человека (СИВПЧ), органами судебной власти, законодательной вл</w:t>
      </w:r>
      <w:r w:rsidRPr="00BA0AD1">
        <w:t>а</w:t>
      </w:r>
      <w:r w:rsidRPr="00BA0AD1">
        <w:t>сти, Прокуратурой и Управлением уполномоченного по правам человека (УУПЧ). Техническое содействие оказывало Управление Верховного комиссара Организации Объединенных Наций по правам человека (УВКПЧ ООН).</w:t>
      </w:r>
    </w:p>
    <w:p w:rsidR="00BA0AD1" w:rsidRPr="00BA0AD1" w:rsidRDefault="00BA0AD1" w:rsidP="00BA0AD1">
      <w:pPr>
        <w:pStyle w:val="SingleTxtGR"/>
      </w:pPr>
      <w:r w:rsidRPr="00BA0AD1">
        <w:t>2.</w:t>
      </w:r>
      <w:r w:rsidRPr="00BA0AD1">
        <w:tab/>
        <w:t>В процессе консультаций правительственные структуры и организации гражданского общества принимали участие путем представления своих докл</w:t>
      </w:r>
      <w:r w:rsidRPr="00BA0AD1">
        <w:t>а</w:t>
      </w:r>
      <w:r w:rsidRPr="00BA0AD1">
        <w:t xml:space="preserve">дов и изложения своих мнений и замечаний. </w:t>
      </w:r>
    </w:p>
    <w:p w:rsidR="00BA0AD1" w:rsidRPr="00BA0AD1" w:rsidRDefault="00BA0AD1" w:rsidP="00BA0AD1">
      <w:pPr>
        <w:pStyle w:val="SingleTxtGR"/>
      </w:pPr>
      <w:r w:rsidRPr="00BA0AD1">
        <w:t>3.</w:t>
      </w:r>
      <w:r w:rsidRPr="00BA0AD1">
        <w:tab/>
        <w:t>Новый вариант базового документа Парагвая был подготовлен в апреле 2010 года с учетом согласованных руководящих принципов подготовки докл</w:t>
      </w:r>
      <w:r w:rsidRPr="00BA0AD1">
        <w:t>а</w:t>
      </w:r>
      <w:r w:rsidRPr="00BA0AD1">
        <w:t>дов.</w:t>
      </w:r>
    </w:p>
    <w:p w:rsidR="00BA0AD1" w:rsidRPr="00BA0AD1" w:rsidRDefault="00BA0AD1" w:rsidP="00BA0AD1">
      <w:pPr>
        <w:pStyle w:val="SingleTxtGR"/>
      </w:pPr>
      <w:r w:rsidRPr="00BA0AD1">
        <w:t>4.</w:t>
      </w:r>
      <w:r w:rsidRPr="00BA0AD1">
        <w:tab/>
        <w:t>Настоящий доклад составлялся с использованием методических рекоме</w:t>
      </w:r>
      <w:r w:rsidRPr="00BA0AD1">
        <w:t>н</w:t>
      </w:r>
      <w:r w:rsidRPr="00BA0AD1">
        <w:t xml:space="preserve">даций УВКПЧ и при учете предложенных в них основных показателей </w:t>
      </w:r>
      <w:r w:rsidR="002B7B9B">
        <w:t>−</w:t>
      </w:r>
      <w:r w:rsidRPr="00BA0AD1">
        <w:t xml:space="preserve"> стру</w:t>
      </w:r>
      <w:r w:rsidRPr="00BA0AD1">
        <w:t>к</w:t>
      </w:r>
      <w:r w:rsidRPr="00BA0AD1">
        <w:t>турных, оперативных и итоговых. Особое внимание уделяется информации об основных направлениях осуществления мер государственной политики, иногда далеких от совершенства, однако дающих представление о том, как политич</w:t>
      </w:r>
      <w:r w:rsidRPr="00BA0AD1">
        <w:t>е</w:t>
      </w:r>
      <w:r w:rsidRPr="00BA0AD1">
        <w:t>ская воля находит свое проявление в стратегиях и мерах, осуществляемых при учете подхода с позиций защиты прав человека. Основные задачи, поставле</w:t>
      </w:r>
      <w:r w:rsidRPr="00BA0AD1">
        <w:t>н</w:t>
      </w:r>
      <w:r w:rsidRPr="00BA0AD1">
        <w:t>ные в Проекте государственной политики социального развития "Парагвай для всех" на 2010</w:t>
      </w:r>
      <w:r w:rsidR="002B7B9B">
        <w:t>−</w:t>
      </w:r>
      <w:r w:rsidRPr="00BA0AD1">
        <w:t>2020 годы (ПГПСР), имеют целью повышение эффективности мер по достижению Целей развития тысячелетия (ЦРТ) и предусматривают р</w:t>
      </w:r>
      <w:r w:rsidRPr="00BA0AD1">
        <w:t>а</w:t>
      </w:r>
      <w:r w:rsidRPr="00BA0AD1">
        <w:t>боту по десяти основным направлениям, причем предусмотренные здесь зад</w:t>
      </w:r>
      <w:r w:rsidRPr="00BA0AD1">
        <w:t>а</w:t>
      </w:r>
      <w:r w:rsidRPr="00BA0AD1">
        <w:t>чи, показатели, общие и конкретные меры направлены на достижение заданных ориентиров в сфере обеспечения экономических, социальных и культурных прав.</w:t>
      </w:r>
    </w:p>
    <w:p w:rsidR="00BA0AD1" w:rsidRPr="00BA0AD1" w:rsidRDefault="00BA0AD1" w:rsidP="00D66D01">
      <w:pPr>
        <w:pStyle w:val="HChGR"/>
      </w:pPr>
      <w:r w:rsidRPr="00BA0AD1">
        <w:tab/>
      </w:r>
      <w:bookmarkStart w:id="5" w:name="_Toc368649096"/>
      <w:r w:rsidRPr="00BA0AD1">
        <w:t>II.</w:t>
      </w:r>
      <w:r w:rsidRPr="00BA0AD1">
        <w:tab/>
        <w:t>Рекомендации Комитета и меры, принятые правительством</w:t>
      </w:r>
      <w:bookmarkEnd w:id="5"/>
      <w:r w:rsidRPr="00BA0AD1">
        <w:t xml:space="preserve"> 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120"/>
        <w:gridCol w:w="834"/>
        <w:gridCol w:w="3780"/>
        <w:gridCol w:w="1636"/>
      </w:tblGrid>
      <w:tr w:rsidR="00BA0AD1" w:rsidRPr="00D66D01" w:rsidTr="002B7B9B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bottom w:val="single" w:sz="12" w:space="0" w:color="auto"/>
            </w:tcBorders>
            <w:shd w:val="clear" w:color="auto" w:fill="auto"/>
            <w:vAlign w:val="top"/>
          </w:tcPr>
          <w:p w:rsidR="00BA0AD1" w:rsidRPr="00D66D01" w:rsidRDefault="00BA0AD1" w:rsidP="00D66D01">
            <w:pPr>
              <w:spacing w:before="80" w:after="80" w:line="200" w:lineRule="exact"/>
              <w:rPr>
                <w:i/>
                <w:sz w:val="16"/>
              </w:rPr>
            </w:pPr>
            <w:r w:rsidRPr="00D66D01">
              <w:rPr>
                <w:i/>
                <w:sz w:val="16"/>
              </w:rPr>
              <w:t>Статьи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BA0AD1" w:rsidRPr="00D66D01" w:rsidRDefault="00BA0AD1" w:rsidP="002B7B9B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66D01">
              <w:rPr>
                <w:i/>
                <w:sz w:val="16"/>
              </w:rPr>
              <w:t>Рекоме</w:t>
            </w:r>
            <w:r w:rsidRPr="00D66D01">
              <w:rPr>
                <w:i/>
                <w:sz w:val="16"/>
              </w:rPr>
              <w:t>н</w:t>
            </w:r>
            <w:r w:rsidRPr="00D66D01">
              <w:rPr>
                <w:i/>
                <w:sz w:val="16"/>
              </w:rPr>
              <w:t>дация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BA0AD1" w:rsidRPr="00D66D01" w:rsidRDefault="00BA0AD1" w:rsidP="00D66D01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66D01">
              <w:rPr>
                <w:i/>
                <w:sz w:val="16"/>
              </w:rPr>
              <w:t xml:space="preserve">Содержание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BA0AD1" w:rsidRPr="00D66D01" w:rsidRDefault="00BA0AD1" w:rsidP="00D66D01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66D01">
              <w:rPr>
                <w:i/>
                <w:sz w:val="16"/>
              </w:rPr>
              <w:t>Пункты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top w:val="single" w:sz="12" w:space="0" w:color="auto"/>
            </w:tcBorders>
            <w:vAlign w:val="top"/>
          </w:tcPr>
          <w:p w:rsidR="00BA0AD1" w:rsidRPr="00D66D01" w:rsidRDefault="00BA0AD1" w:rsidP="00D66D01">
            <w:r w:rsidRPr="00D66D01">
              <w:t>Статья 1</w:t>
            </w:r>
          </w:p>
        </w:tc>
        <w:tc>
          <w:tcPr>
            <w:tcW w:w="834" w:type="dxa"/>
            <w:tcBorders>
              <w:top w:val="single" w:sz="12" w:space="0" w:color="auto"/>
            </w:tcBorders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23 b)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Демаркация и возвращение исконных земель к</w:t>
            </w:r>
            <w:r w:rsidRPr="00D66D01">
              <w:t>о</w:t>
            </w:r>
            <w:r w:rsidRPr="00D66D01">
              <w:t xml:space="preserve">ренных народов 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5</w:t>
            </w:r>
            <w:r w:rsidR="002B7B9B">
              <w:t>−</w:t>
            </w:r>
            <w:r w:rsidRPr="00D66D01">
              <w:t>13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top"/>
          </w:tcPr>
          <w:p w:rsidR="00BA0AD1" w:rsidRPr="00D66D01" w:rsidRDefault="00BA0AD1" w:rsidP="00D66D01">
            <w:r w:rsidRPr="00D66D01">
              <w:t>Статья 1</w:t>
            </w:r>
          </w:p>
        </w:tc>
        <w:tc>
          <w:tcPr>
            <w:tcW w:w="834" w:type="dxa"/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34</w:t>
            </w:r>
          </w:p>
        </w:tc>
        <w:tc>
          <w:tcPr>
            <w:tcW w:w="3780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Возвращение исконных земель коренным нар</w:t>
            </w:r>
            <w:r w:rsidRPr="00D66D01">
              <w:t>о</w:t>
            </w:r>
            <w:r w:rsidRPr="00D66D01">
              <w:t>дам</w:t>
            </w:r>
          </w:p>
        </w:tc>
        <w:tc>
          <w:tcPr>
            <w:tcW w:w="1636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5</w:t>
            </w:r>
            <w:r w:rsidR="002B7B9B">
              <w:t>−</w:t>
            </w:r>
            <w:r w:rsidRPr="00D66D01">
              <w:t>13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top"/>
          </w:tcPr>
          <w:p w:rsidR="00BA0AD1" w:rsidRPr="00D66D01" w:rsidRDefault="00BA0AD1" w:rsidP="00D66D01">
            <w:r w:rsidRPr="00D66D01">
              <w:t>Статья 2</w:t>
            </w:r>
          </w:p>
        </w:tc>
        <w:tc>
          <w:tcPr>
            <w:tcW w:w="834" w:type="dxa"/>
            <w:tcBorders>
              <w:bottom w:val="nil"/>
            </w:tcBorders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28</w:t>
            </w:r>
          </w:p>
        </w:tc>
        <w:tc>
          <w:tcPr>
            <w:tcW w:w="3780" w:type="dxa"/>
            <w:tcBorders>
              <w:bottom w:val="nil"/>
            </w:tcBorders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 xml:space="preserve">Принятие мер законодательного характера 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17</w:t>
            </w:r>
            <w:r w:rsidR="002B7B9B">
              <w:t>−</w:t>
            </w:r>
            <w:r w:rsidRPr="00D66D01">
              <w:t>19, 34, 37, 38, 81</w:t>
            </w:r>
            <w:r w:rsidR="002B7B9B">
              <w:t>−</w:t>
            </w:r>
            <w:r w:rsidRPr="00D66D01">
              <w:t>83, 123, 125, 128, 130, 132, 136, 139, 202, 203, 226, 268</w:t>
            </w:r>
            <w:r w:rsidR="002B7B9B">
              <w:t>−</w:t>
            </w:r>
            <w:r w:rsidRPr="00D66D01">
              <w:t>270, 278, 339, 378</w:t>
            </w:r>
            <w:r w:rsidR="002B7B9B">
              <w:t>−</w:t>
            </w:r>
            <w:r w:rsidRPr="00D66D01">
              <w:t>382, 424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top w:val="nil"/>
            </w:tcBorders>
            <w:vAlign w:val="top"/>
          </w:tcPr>
          <w:p w:rsidR="00BA0AD1" w:rsidRPr="00D66D01" w:rsidRDefault="00BA0AD1" w:rsidP="00D66D01">
            <w:r w:rsidRPr="00D66D01">
              <w:t>Статья 2</w:t>
            </w:r>
          </w:p>
        </w:tc>
        <w:tc>
          <w:tcPr>
            <w:tcW w:w="834" w:type="dxa"/>
            <w:tcBorders>
              <w:top w:val="nil"/>
              <w:bottom w:val="nil"/>
            </w:tcBorders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29</w:t>
            </w:r>
          </w:p>
        </w:tc>
        <w:tc>
          <w:tcPr>
            <w:tcW w:w="3780" w:type="dxa"/>
            <w:tcBorders>
              <w:top w:val="nil"/>
              <w:bottom w:val="nil"/>
            </w:tcBorders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Принятие мер для оформления в законном п</w:t>
            </w:r>
            <w:r w:rsidRPr="00D66D01">
              <w:t>о</w:t>
            </w:r>
            <w:r w:rsidRPr="00D66D01">
              <w:t xml:space="preserve">рядке прав собственности на исконные земли 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5, 6, 9, 10, 11</w:t>
            </w:r>
            <w:r w:rsidR="002B7B9B">
              <w:t>−</w:t>
            </w:r>
            <w:r w:rsidRPr="00D66D01">
              <w:t xml:space="preserve">13 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top w:val="nil"/>
            </w:tcBorders>
            <w:vAlign w:val="top"/>
          </w:tcPr>
          <w:p w:rsidR="00BA0AD1" w:rsidRPr="00D66D01" w:rsidRDefault="00BA0AD1" w:rsidP="00D66D01">
            <w:r w:rsidRPr="00D66D01">
              <w:t>Статья 2</w:t>
            </w:r>
          </w:p>
        </w:tc>
        <w:tc>
          <w:tcPr>
            <w:tcW w:w="834" w:type="dxa"/>
            <w:tcBorders>
              <w:top w:val="nil"/>
            </w:tcBorders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35</w:t>
            </w:r>
          </w:p>
        </w:tc>
        <w:tc>
          <w:tcPr>
            <w:tcW w:w="3780" w:type="dxa"/>
            <w:tcBorders>
              <w:top w:val="nil"/>
            </w:tcBorders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Анализ деятельности Управления уполн</w:t>
            </w:r>
            <w:r w:rsidRPr="00D66D01">
              <w:t>о</w:t>
            </w:r>
            <w:r w:rsidRPr="00D66D01">
              <w:t>моче</w:t>
            </w:r>
            <w:r w:rsidRPr="00D66D01">
              <w:t>н</w:t>
            </w:r>
            <w:r w:rsidRPr="00D66D01">
              <w:t xml:space="preserve">ного по правам человека 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28</w:t>
            </w:r>
            <w:r w:rsidR="002B7B9B">
              <w:t>−</w:t>
            </w:r>
            <w:r w:rsidRPr="00D66D01">
              <w:t>31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top"/>
          </w:tcPr>
          <w:p w:rsidR="00BA0AD1" w:rsidRPr="00D66D01" w:rsidRDefault="00BA0AD1" w:rsidP="00D66D01">
            <w:r w:rsidRPr="00D66D01">
              <w:t xml:space="preserve">Статья 2 </w:t>
            </w:r>
          </w:p>
        </w:tc>
        <w:tc>
          <w:tcPr>
            <w:tcW w:w="834" w:type="dxa"/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36</w:t>
            </w:r>
          </w:p>
        </w:tc>
        <w:tc>
          <w:tcPr>
            <w:tcW w:w="3780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Расширение мандата Комиссии по правам чел</w:t>
            </w:r>
            <w:r w:rsidRPr="00D66D01">
              <w:t>о</w:t>
            </w:r>
            <w:r w:rsidRPr="00D66D01">
              <w:t xml:space="preserve">века </w:t>
            </w:r>
          </w:p>
        </w:tc>
        <w:tc>
          <w:tcPr>
            <w:tcW w:w="1636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31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top"/>
          </w:tcPr>
          <w:p w:rsidR="00BA0AD1" w:rsidRPr="00D66D01" w:rsidRDefault="00BA0AD1" w:rsidP="00D66D01">
            <w:r w:rsidRPr="00D66D01">
              <w:t>Статья 2</w:t>
            </w:r>
          </w:p>
        </w:tc>
        <w:tc>
          <w:tcPr>
            <w:tcW w:w="834" w:type="dxa"/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37</w:t>
            </w:r>
          </w:p>
        </w:tc>
        <w:tc>
          <w:tcPr>
            <w:tcW w:w="3780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Распространение информации о заключ</w:t>
            </w:r>
            <w:r w:rsidRPr="00D66D01">
              <w:t>и</w:t>
            </w:r>
            <w:r w:rsidRPr="00D66D01">
              <w:t xml:space="preserve">тельных замечаниях </w:t>
            </w:r>
          </w:p>
        </w:tc>
        <w:tc>
          <w:tcPr>
            <w:tcW w:w="1636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32, 33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top"/>
          </w:tcPr>
          <w:p w:rsidR="00BA0AD1" w:rsidRPr="00D66D01" w:rsidRDefault="00BA0AD1" w:rsidP="00D66D01">
            <w:r w:rsidRPr="00D66D01">
              <w:t>Статьи 2 и 3</w:t>
            </w:r>
          </w:p>
        </w:tc>
        <w:tc>
          <w:tcPr>
            <w:tcW w:w="834" w:type="dxa"/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25</w:t>
            </w:r>
          </w:p>
        </w:tc>
        <w:tc>
          <w:tcPr>
            <w:tcW w:w="3780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Принятие мер для устранения дискримин</w:t>
            </w:r>
            <w:r w:rsidRPr="00D66D01">
              <w:t>а</w:t>
            </w:r>
            <w:r w:rsidRPr="00D66D01">
              <w:t>ции, которой подвергаются женщины, нах</w:t>
            </w:r>
            <w:r w:rsidRPr="00D66D01">
              <w:t>о</w:t>
            </w:r>
            <w:r w:rsidRPr="00D66D01">
              <w:t>дящиеся в уя</w:t>
            </w:r>
            <w:r w:rsidRPr="00D66D01">
              <w:t>з</w:t>
            </w:r>
            <w:r w:rsidRPr="00D66D01">
              <w:t xml:space="preserve">вимом положении </w:t>
            </w:r>
          </w:p>
        </w:tc>
        <w:tc>
          <w:tcPr>
            <w:tcW w:w="1636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19</w:t>
            </w:r>
            <w:r w:rsidR="002B7B9B">
              <w:t>−</w:t>
            </w:r>
            <w:r w:rsidRPr="00D66D01">
              <w:t>25, 36, 39</w:t>
            </w:r>
            <w:r w:rsidR="002B7B9B">
              <w:t>−</w:t>
            </w:r>
            <w:r w:rsidRPr="00D66D01">
              <w:t>43, 45, 46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top"/>
          </w:tcPr>
          <w:p w:rsidR="00BA0AD1" w:rsidRPr="00D66D01" w:rsidRDefault="00BA0AD1" w:rsidP="00D66D01">
            <w:r w:rsidRPr="00D66D01">
              <w:t>Статьи 2 и 7</w:t>
            </w:r>
          </w:p>
        </w:tc>
        <w:tc>
          <w:tcPr>
            <w:tcW w:w="834" w:type="dxa"/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26</w:t>
            </w:r>
          </w:p>
        </w:tc>
        <w:tc>
          <w:tcPr>
            <w:tcW w:w="3780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Изменение Трудового кодекса в части, к</w:t>
            </w:r>
            <w:r w:rsidRPr="00D66D01">
              <w:t>а</w:t>
            </w:r>
            <w:r w:rsidRPr="00D66D01">
              <w:t xml:space="preserve">сающейся труда домашней прислуги </w:t>
            </w:r>
          </w:p>
        </w:tc>
        <w:tc>
          <w:tcPr>
            <w:tcW w:w="1636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20</w:t>
            </w:r>
            <w:r w:rsidR="002B7B9B">
              <w:t>−</w:t>
            </w:r>
            <w:r w:rsidRPr="00D66D01">
              <w:t>25, 62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top"/>
          </w:tcPr>
          <w:p w:rsidR="00BA0AD1" w:rsidRPr="00D66D01" w:rsidRDefault="00BA0AD1" w:rsidP="00D66D01">
            <w:r w:rsidRPr="00D66D01">
              <w:t>Статьи 2, 10.2 и 12</w:t>
            </w:r>
          </w:p>
        </w:tc>
        <w:tc>
          <w:tcPr>
            <w:tcW w:w="834" w:type="dxa"/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32</w:t>
            </w:r>
          </w:p>
        </w:tc>
        <w:tc>
          <w:tcPr>
            <w:tcW w:w="3780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Принятие мер законодательного характера для р</w:t>
            </w:r>
            <w:r w:rsidRPr="00D66D01">
              <w:t>е</w:t>
            </w:r>
            <w:r w:rsidRPr="00D66D01">
              <w:t xml:space="preserve">шения проблемы женской смертности </w:t>
            </w:r>
          </w:p>
        </w:tc>
        <w:tc>
          <w:tcPr>
            <w:tcW w:w="1636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125, 127, 226, 227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top"/>
          </w:tcPr>
          <w:p w:rsidR="00BA0AD1" w:rsidRPr="00D66D01" w:rsidRDefault="00BA0AD1" w:rsidP="00D66D01">
            <w:r w:rsidRPr="00D66D01">
              <w:t>Статья 3</w:t>
            </w:r>
          </w:p>
        </w:tc>
        <w:tc>
          <w:tcPr>
            <w:tcW w:w="834" w:type="dxa"/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 xml:space="preserve">23 </w:t>
            </w:r>
            <w:proofErr w:type="spellStart"/>
            <w:r w:rsidRPr="00D66D01">
              <w:t>d</w:t>
            </w:r>
            <w:proofErr w:type="spellEnd"/>
            <w:r w:rsidRPr="00D66D01">
              <w:t>)</w:t>
            </w:r>
          </w:p>
        </w:tc>
        <w:tc>
          <w:tcPr>
            <w:tcW w:w="3780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 xml:space="preserve">Ликвидация насилия в семье </w:t>
            </w:r>
          </w:p>
        </w:tc>
        <w:tc>
          <w:tcPr>
            <w:tcW w:w="1636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38, 40</w:t>
            </w:r>
            <w:r w:rsidR="002B7B9B">
              <w:t>−</w:t>
            </w:r>
            <w:r w:rsidRPr="00D66D01">
              <w:t>44, 152</w:t>
            </w:r>
            <w:r w:rsidR="002B7B9B">
              <w:t>−</w:t>
            </w:r>
            <w:r w:rsidRPr="00D66D01">
              <w:t>154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top"/>
          </w:tcPr>
          <w:p w:rsidR="00BA0AD1" w:rsidRPr="00D66D01" w:rsidRDefault="00BA0AD1" w:rsidP="00D66D01">
            <w:r w:rsidRPr="00D66D01">
              <w:t>Статьи 3, 7 a) и 13</w:t>
            </w:r>
          </w:p>
        </w:tc>
        <w:tc>
          <w:tcPr>
            <w:tcW w:w="834" w:type="dxa"/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24</w:t>
            </w:r>
          </w:p>
        </w:tc>
        <w:tc>
          <w:tcPr>
            <w:tcW w:w="3780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Равенство мужчин и женщин во всех сферах жи</w:t>
            </w:r>
            <w:r w:rsidRPr="00D66D01">
              <w:t>з</w:t>
            </w:r>
            <w:r w:rsidRPr="00D66D01">
              <w:t xml:space="preserve">ни </w:t>
            </w:r>
          </w:p>
        </w:tc>
        <w:tc>
          <w:tcPr>
            <w:tcW w:w="1636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36</w:t>
            </w:r>
            <w:r w:rsidR="002B7B9B">
              <w:t>−</w:t>
            </w:r>
            <w:r w:rsidRPr="00D66D01">
              <w:t>46, 63</w:t>
            </w:r>
            <w:r w:rsidR="002B7B9B">
              <w:t>−</w:t>
            </w:r>
            <w:r w:rsidRPr="00D66D01">
              <w:t>66, 71, 77</w:t>
            </w:r>
            <w:r w:rsidR="002B7B9B">
              <w:t>−</w:t>
            </w:r>
            <w:r w:rsidRPr="00D66D01">
              <w:t>79, 352, 353, 359</w:t>
            </w:r>
            <w:r w:rsidR="002B7B9B">
              <w:t>−</w:t>
            </w:r>
            <w:r w:rsidRPr="00D66D01">
              <w:t>363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top"/>
          </w:tcPr>
          <w:p w:rsidR="00BA0AD1" w:rsidRPr="00D66D01" w:rsidRDefault="00BA0AD1" w:rsidP="00D66D01">
            <w:r w:rsidRPr="00D66D01">
              <w:t>Статья 4</w:t>
            </w:r>
          </w:p>
        </w:tc>
        <w:tc>
          <w:tcPr>
            <w:tcW w:w="834" w:type="dxa"/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0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 xml:space="preserve">Ограничения на осуществление прав </w:t>
            </w:r>
          </w:p>
        </w:tc>
        <w:tc>
          <w:tcPr>
            <w:tcW w:w="1636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47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top"/>
          </w:tcPr>
          <w:p w:rsidR="00BA0AD1" w:rsidRPr="00D66D01" w:rsidRDefault="00BA0AD1" w:rsidP="00D66D01">
            <w:r w:rsidRPr="00D66D01">
              <w:t>Статья 5</w:t>
            </w:r>
          </w:p>
        </w:tc>
        <w:tc>
          <w:tcPr>
            <w:tcW w:w="834" w:type="dxa"/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0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 xml:space="preserve">Критерии интерпретации Пакта </w:t>
            </w:r>
          </w:p>
        </w:tc>
        <w:tc>
          <w:tcPr>
            <w:tcW w:w="1636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48, 49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top"/>
          </w:tcPr>
          <w:p w:rsidR="00BA0AD1" w:rsidRPr="00D66D01" w:rsidRDefault="00BA0AD1" w:rsidP="00D66D01">
            <w:r w:rsidRPr="00D66D01">
              <w:t>Статьи 6, 7 и 9</w:t>
            </w:r>
          </w:p>
        </w:tc>
        <w:tc>
          <w:tcPr>
            <w:tcW w:w="834" w:type="dxa"/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 xml:space="preserve">23 </w:t>
            </w:r>
            <w:proofErr w:type="spellStart"/>
            <w:r w:rsidRPr="00D66D01">
              <w:t>e</w:t>
            </w:r>
            <w:proofErr w:type="spellEnd"/>
            <w:r w:rsidRPr="00D66D01">
              <w:t>)</w:t>
            </w:r>
          </w:p>
        </w:tc>
        <w:tc>
          <w:tcPr>
            <w:tcW w:w="3780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 xml:space="preserve">Гарантии осуществления трудовых прав и прав на социальное обеспечение </w:t>
            </w:r>
          </w:p>
        </w:tc>
        <w:tc>
          <w:tcPr>
            <w:tcW w:w="1636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50</w:t>
            </w:r>
            <w:r w:rsidR="002B7B9B">
              <w:t>−</w:t>
            </w:r>
            <w:r w:rsidRPr="00D66D01">
              <w:t>65, 81</w:t>
            </w:r>
            <w:r w:rsidR="002B7B9B">
              <w:rPr>
                <w:lang w:val="en-US"/>
              </w:rPr>
              <w:t>−</w:t>
            </w:r>
            <w:r w:rsidRPr="00D66D01">
              <w:t>87, 91</w:t>
            </w:r>
            <w:r w:rsidR="002B7B9B">
              <w:t>−</w:t>
            </w:r>
            <w:r w:rsidRPr="00D66D01">
              <w:t>93, 95</w:t>
            </w:r>
            <w:r w:rsidR="002B7B9B">
              <w:t>−</w:t>
            </w:r>
            <w:r w:rsidRPr="00D66D01">
              <w:t>100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top"/>
          </w:tcPr>
          <w:p w:rsidR="00BA0AD1" w:rsidRPr="00D66D01" w:rsidRDefault="00BA0AD1" w:rsidP="00D66D01">
            <w:r w:rsidRPr="00D66D01">
              <w:t xml:space="preserve">Статья 7 a) </w:t>
            </w:r>
          </w:p>
        </w:tc>
        <w:tc>
          <w:tcPr>
            <w:tcW w:w="834" w:type="dxa"/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 xml:space="preserve">23 </w:t>
            </w:r>
            <w:proofErr w:type="spellStart"/>
            <w:r w:rsidRPr="00D66D01">
              <w:t>c</w:t>
            </w:r>
            <w:proofErr w:type="spellEnd"/>
            <w:r w:rsidRPr="00D66D01">
              <w:t>)</w:t>
            </w:r>
          </w:p>
        </w:tc>
        <w:tc>
          <w:tcPr>
            <w:tcW w:w="3780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 xml:space="preserve">Равенство в оплате труда мужчин и женщин </w:t>
            </w:r>
          </w:p>
        </w:tc>
        <w:tc>
          <w:tcPr>
            <w:tcW w:w="1636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63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top"/>
          </w:tcPr>
          <w:p w:rsidR="00BA0AD1" w:rsidRPr="00D66D01" w:rsidRDefault="00BA0AD1" w:rsidP="00D66D01">
            <w:r w:rsidRPr="00D66D01">
              <w:t>Статья 7 a)</w:t>
            </w:r>
          </w:p>
        </w:tc>
        <w:tc>
          <w:tcPr>
            <w:tcW w:w="834" w:type="dxa"/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 xml:space="preserve">23 </w:t>
            </w:r>
            <w:proofErr w:type="spellStart"/>
            <w:r w:rsidRPr="00D66D01">
              <w:t>g</w:t>
            </w:r>
            <w:proofErr w:type="spellEnd"/>
            <w:r w:rsidRPr="00D66D01">
              <w:t>)</w:t>
            </w:r>
          </w:p>
        </w:tc>
        <w:tc>
          <w:tcPr>
            <w:tcW w:w="3780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 xml:space="preserve">Адекватный уровень жизни семей </w:t>
            </w:r>
          </w:p>
        </w:tc>
        <w:tc>
          <w:tcPr>
            <w:tcW w:w="1636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67, 68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top"/>
          </w:tcPr>
          <w:p w:rsidR="00BA0AD1" w:rsidRPr="00D66D01" w:rsidRDefault="00BA0AD1" w:rsidP="00D66D01">
            <w:r w:rsidRPr="00D66D01">
              <w:t xml:space="preserve">Статья 8.1 </w:t>
            </w:r>
          </w:p>
        </w:tc>
        <w:tc>
          <w:tcPr>
            <w:tcW w:w="834" w:type="dxa"/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 xml:space="preserve">23 </w:t>
            </w:r>
            <w:proofErr w:type="spellStart"/>
            <w:r w:rsidRPr="00D66D01">
              <w:t>f</w:t>
            </w:r>
            <w:proofErr w:type="spellEnd"/>
            <w:r w:rsidRPr="00D66D01">
              <w:t>)</w:t>
            </w:r>
          </w:p>
        </w:tc>
        <w:tc>
          <w:tcPr>
            <w:tcW w:w="3780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 xml:space="preserve">Право на объединение в профсоюзы </w:t>
            </w:r>
          </w:p>
        </w:tc>
        <w:tc>
          <w:tcPr>
            <w:tcW w:w="1636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80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top"/>
          </w:tcPr>
          <w:p w:rsidR="00BA0AD1" w:rsidRPr="00D66D01" w:rsidRDefault="00BA0AD1" w:rsidP="00D66D01">
            <w:r w:rsidRPr="00D66D01">
              <w:t>Статья 10.3</w:t>
            </w:r>
          </w:p>
        </w:tc>
        <w:tc>
          <w:tcPr>
            <w:tcW w:w="834" w:type="dxa"/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 xml:space="preserve">23 </w:t>
            </w:r>
            <w:proofErr w:type="spellStart"/>
            <w:r w:rsidRPr="00D66D01">
              <w:t>h</w:t>
            </w:r>
            <w:proofErr w:type="spellEnd"/>
            <w:r w:rsidRPr="00D66D01">
              <w:t>)</w:t>
            </w:r>
          </w:p>
        </w:tc>
        <w:tc>
          <w:tcPr>
            <w:tcW w:w="3780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 xml:space="preserve">Ликвидация детского труда </w:t>
            </w:r>
          </w:p>
        </w:tc>
        <w:tc>
          <w:tcPr>
            <w:tcW w:w="1636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101</w:t>
            </w:r>
            <w:r w:rsidR="002B7B9B">
              <w:t>−</w:t>
            </w:r>
            <w:r w:rsidRPr="00D66D01">
              <w:t>123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top"/>
          </w:tcPr>
          <w:p w:rsidR="00BA0AD1" w:rsidRPr="00D66D01" w:rsidRDefault="00BA0AD1" w:rsidP="00D66D01">
            <w:r w:rsidRPr="00D66D01">
              <w:t>Статья 11.1</w:t>
            </w:r>
          </w:p>
        </w:tc>
        <w:tc>
          <w:tcPr>
            <w:tcW w:w="834" w:type="dxa"/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30</w:t>
            </w:r>
          </w:p>
        </w:tc>
        <w:tc>
          <w:tcPr>
            <w:tcW w:w="3780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 xml:space="preserve">Право на надлежащие жилищные условия </w:t>
            </w:r>
          </w:p>
        </w:tc>
        <w:tc>
          <w:tcPr>
            <w:tcW w:w="1636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138, 166, 191, 192, 195, 198, 213, 286, 309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top"/>
          </w:tcPr>
          <w:p w:rsidR="00BA0AD1" w:rsidRPr="00D66D01" w:rsidRDefault="00BA0AD1" w:rsidP="00D66D01">
            <w:r w:rsidRPr="00D66D01">
              <w:t>Статья 11.2</w:t>
            </w:r>
          </w:p>
        </w:tc>
        <w:tc>
          <w:tcPr>
            <w:tcW w:w="834" w:type="dxa"/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31</w:t>
            </w:r>
          </w:p>
        </w:tc>
        <w:tc>
          <w:tcPr>
            <w:tcW w:w="3780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Принятие мер по борьбе с голодом и недо</w:t>
            </w:r>
            <w:r w:rsidRPr="00D66D01">
              <w:t>е</w:t>
            </w:r>
            <w:r w:rsidRPr="00D66D01">
              <w:t>дан</w:t>
            </w:r>
            <w:r w:rsidRPr="00D66D01">
              <w:t>и</w:t>
            </w:r>
            <w:r w:rsidRPr="00D66D01">
              <w:t xml:space="preserve">ем </w:t>
            </w:r>
          </w:p>
        </w:tc>
        <w:tc>
          <w:tcPr>
            <w:tcW w:w="1636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168</w:t>
            </w:r>
            <w:r w:rsidR="002B7B9B">
              <w:t>−</w:t>
            </w:r>
            <w:r w:rsidRPr="00D66D01">
              <w:t>201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top"/>
          </w:tcPr>
          <w:p w:rsidR="00BA0AD1" w:rsidRPr="00D66D01" w:rsidRDefault="00BA0AD1" w:rsidP="00D66D01">
            <w:r w:rsidRPr="00D66D01">
              <w:t>Статья 12</w:t>
            </w:r>
          </w:p>
        </w:tc>
        <w:tc>
          <w:tcPr>
            <w:tcW w:w="834" w:type="dxa"/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 xml:space="preserve">23 </w:t>
            </w:r>
            <w:proofErr w:type="spellStart"/>
            <w:r w:rsidRPr="00D66D01">
              <w:t>i</w:t>
            </w:r>
            <w:proofErr w:type="spellEnd"/>
            <w:r w:rsidRPr="00D66D01">
              <w:t>)</w:t>
            </w:r>
          </w:p>
        </w:tc>
        <w:tc>
          <w:tcPr>
            <w:tcW w:w="3780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Право на бесплатное и качественное мед</w:t>
            </w:r>
            <w:r w:rsidRPr="00D66D01">
              <w:t>и</w:t>
            </w:r>
            <w:r w:rsidRPr="00D66D01">
              <w:t xml:space="preserve">цинское обслуживание </w:t>
            </w:r>
          </w:p>
        </w:tc>
        <w:tc>
          <w:tcPr>
            <w:tcW w:w="1636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221, 223</w:t>
            </w:r>
            <w:r w:rsidR="002B7B9B">
              <w:t>−</w:t>
            </w:r>
            <w:r w:rsidRPr="00D66D01">
              <w:t>230, 235</w:t>
            </w:r>
            <w:r w:rsidR="002B7B9B">
              <w:t>−</w:t>
            </w:r>
            <w:r w:rsidRPr="00D66D01">
              <w:t>240, 242</w:t>
            </w:r>
            <w:r w:rsidR="002B7B9B">
              <w:t>−</w:t>
            </w:r>
            <w:r w:rsidRPr="00D66D01">
              <w:t>247, 249</w:t>
            </w:r>
            <w:r w:rsidR="002B7B9B">
              <w:t>−</w:t>
            </w:r>
            <w:r w:rsidRPr="00D66D01">
              <w:t>251, 253</w:t>
            </w:r>
            <w:r w:rsidR="002B7B9B">
              <w:t>−</w:t>
            </w:r>
            <w:r w:rsidRPr="00D66D01">
              <w:t>260, 265</w:t>
            </w:r>
            <w:r w:rsidR="002B7B9B">
              <w:t>−</w:t>
            </w:r>
            <w:r w:rsidRPr="00D66D01">
              <w:t>268, 271</w:t>
            </w:r>
            <w:r w:rsidR="002B7B9B">
              <w:t>−</w:t>
            </w:r>
            <w:r w:rsidRPr="00D66D01">
              <w:t>276, 279</w:t>
            </w:r>
            <w:r w:rsidR="002B7B9B">
              <w:t>−</w:t>
            </w:r>
            <w:r w:rsidRPr="00D66D01">
              <w:t>285, 289, 305</w:t>
            </w:r>
            <w:r w:rsidR="002B7B9B">
              <w:t>−</w:t>
            </w:r>
            <w:r w:rsidRPr="00D66D01">
              <w:t>308, 310, 323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top"/>
          </w:tcPr>
          <w:p w:rsidR="00BA0AD1" w:rsidRPr="00D66D01" w:rsidRDefault="00BA0AD1" w:rsidP="00D66D01">
            <w:r w:rsidRPr="00D66D01">
              <w:t>Статья 12</w:t>
            </w:r>
          </w:p>
        </w:tc>
        <w:tc>
          <w:tcPr>
            <w:tcW w:w="834" w:type="dxa"/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33</w:t>
            </w:r>
          </w:p>
        </w:tc>
        <w:tc>
          <w:tcPr>
            <w:tcW w:w="3780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Улучшение состояния психического здор</w:t>
            </w:r>
            <w:r w:rsidRPr="00D66D01">
              <w:t>о</w:t>
            </w:r>
            <w:r w:rsidRPr="00D66D01">
              <w:t>вья лиц, проходящих курс нейропсихиатр</w:t>
            </w:r>
            <w:r w:rsidRPr="00D66D01">
              <w:t>и</w:t>
            </w:r>
            <w:r w:rsidRPr="00D66D01">
              <w:t xml:space="preserve">ческого лечения </w:t>
            </w:r>
          </w:p>
        </w:tc>
        <w:tc>
          <w:tcPr>
            <w:tcW w:w="1636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330</w:t>
            </w:r>
            <w:r w:rsidR="002B7B9B">
              <w:t>−</w:t>
            </w:r>
            <w:r w:rsidRPr="00D66D01">
              <w:t>332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top"/>
          </w:tcPr>
          <w:p w:rsidR="00BA0AD1" w:rsidRPr="00D66D01" w:rsidRDefault="00BA0AD1" w:rsidP="00D66D01">
            <w:r w:rsidRPr="00D66D01">
              <w:t>Статья 13</w:t>
            </w:r>
          </w:p>
        </w:tc>
        <w:tc>
          <w:tcPr>
            <w:tcW w:w="834" w:type="dxa"/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0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Право на образование</w:t>
            </w:r>
          </w:p>
        </w:tc>
        <w:tc>
          <w:tcPr>
            <w:tcW w:w="1636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333</w:t>
            </w:r>
            <w:r w:rsidR="002B7B9B">
              <w:t>−</w:t>
            </w:r>
            <w:r w:rsidRPr="00D66D01">
              <w:t>363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top"/>
          </w:tcPr>
          <w:p w:rsidR="00BA0AD1" w:rsidRPr="00D66D01" w:rsidRDefault="00BA0AD1" w:rsidP="00D66D01">
            <w:r w:rsidRPr="00D66D01">
              <w:t>Статья 14</w:t>
            </w:r>
          </w:p>
        </w:tc>
        <w:tc>
          <w:tcPr>
            <w:tcW w:w="834" w:type="dxa"/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0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Обязательное и бесплатное начальное обр</w:t>
            </w:r>
            <w:r w:rsidRPr="00D66D01">
              <w:t>а</w:t>
            </w:r>
            <w:r w:rsidRPr="00D66D01">
              <w:t>зов</w:t>
            </w:r>
            <w:r w:rsidRPr="00D66D01">
              <w:t>а</w:t>
            </w:r>
            <w:r w:rsidRPr="00D66D01">
              <w:t xml:space="preserve">ние </w:t>
            </w:r>
          </w:p>
        </w:tc>
        <w:tc>
          <w:tcPr>
            <w:tcW w:w="1636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364</w:t>
            </w:r>
            <w:r w:rsidR="002B7B9B">
              <w:t>−</w:t>
            </w:r>
            <w:r w:rsidRPr="00D66D01">
              <w:t>366, 368</w:t>
            </w:r>
            <w:r w:rsidR="002B7B9B">
              <w:t>−</w:t>
            </w:r>
            <w:r w:rsidRPr="00D66D01">
              <w:t>371, 375</w:t>
            </w:r>
          </w:p>
        </w:tc>
      </w:tr>
      <w:tr w:rsidR="00BA0AD1" w:rsidRPr="00D66D01" w:rsidTr="002B7B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top"/>
          </w:tcPr>
          <w:p w:rsidR="00BA0AD1" w:rsidRPr="00D66D01" w:rsidRDefault="00BA0AD1" w:rsidP="00D66D01">
            <w:r w:rsidRPr="00D66D01">
              <w:t>Статья 15</w:t>
            </w:r>
          </w:p>
        </w:tc>
        <w:tc>
          <w:tcPr>
            <w:tcW w:w="834" w:type="dxa"/>
            <w:vAlign w:val="top"/>
          </w:tcPr>
          <w:p w:rsidR="00BA0AD1" w:rsidRPr="00D66D01" w:rsidRDefault="00BA0AD1" w:rsidP="002B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0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Право на культуру</w:t>
            </w:r>
          </w:p>
        </w:tc>
        <w:tc>
          <w:tcPr>
            <w:tcW w:w="1636" w:type="dxa"/>
            <w:vAlign w:val="top"/>
          </w:tcPr>
          <w:p w:rsidR="00BA0AD1" w:rsidRPr="00D66D01" w:rsidRDefault="00BA0AD1" w:rsidP="00D66D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D01">
              <w:t>377</w:t>
            </w:r>
            <w:r w:rsidR="002B7B9B">
              <w:t>−</w:t>
            </w:r>
            <w:r w:rsidRPr="00D66D01">
              <w:t>433</w:t>
            </w:r>
          </w:p>
        </w:tc>
      </w:tr>
    </w:tbl>
    <w:p w:rsidR="00BA0AD1" w:rsidRPr="00BA0AD1" w:rsidRDefault="00BA0AD1" w:rsidP="002B7B9B">
      <w:pPr>
        <w:pStyle w:val="H1GR"/>
      </w:pPr>
      <w:r w:rsidRPr="00BA0AD1">
        <w:tab/>
      </w:r>
      <w:r w:rsidRPr="00BA0AD1">
        <w:tab/>
      </w:r>
      <w:bookmarkStart w:id="6" w:name="_Toc368649097"/>
      <w:r w:rsidRPr="00BA0AD1">
        <w:t>Статья 1</w:t>
      </w:r>
      <w:r w:rsidR="002B7B9B">
        <w:rPr>
          <w:lang w:val="en-US"/>
        </w:rPr>
        <w:br/>
      </w:r>
      <w:r w:rsidRPr="00BA0AD1">
        <w:t xml:space="preserve">Право на свободное самоопределение народов; </w:t>
      </w:r>
      <w:r w:rsidR="002B7B9B">
        <w:rPr>
          <w:lang w:val="en-US"/>
        </w:rPr>
        <w:br/>
      </w:r>
      <w:r w:rsidRPr="00BA0AD1">
        <w:t>возвращение коренным народам их исконных земель</w:t>
      </w:r>
      <w:bookmarkEnd w:id="6"/>
      <w:r w:rsidRPr="00BA0AD1">
        <w:t xml:space="preserve"> </w:t>
      </w:r>
    </w:p>
    <w:p w:rsidR="00BA0AD1" w:rsidRPr="00BA0AD1" w:rsidRDefault="00BA0AD1" w:rsidP="00BA0AD1">
      <w:pPr>
        <w:pStyle w:val="SingleTxtGR"/>
      </w:pPr>
      <w:r w:rsidRPr="00BA0AD1">
        <w:t>5.</w:t>
      </w:r>
      <w:r w:rsidRPr="00BA0AD1">
        <w:tab/>
        <w:t>Проведение мероприятий при участии Парагвайского института по делам коренного населения (ИНДИ) предусматривается в Плане-2020</w:t>
      </w:r>
      <w:r w:rsidRPr="007713F6">
        <w:rPr>
          <w:sz w:val="18"/>
          <w:szCs w:val="18"/>
          <w:vertAlign w:val="superscript"/>
        </w:rPr>
        <w:footnoteReference w:id="4"/>
      </w:r>
      <w:r w:rsidRPr="00BA0AD1">
        <w:rPr>
          <w:vertAlign w:val="superscript"/>
        </w:rPr>
        <w:t xml:space="preserve"> </w:t>
      </w:r>
      <w:r w:rsidRPr="00BA0AD1">
        <w:t>и среди цел</w:t>
      </w:r>
      <w:r w:rsidRPr="00BA0AD1">
        <w:t>е</w:t>
      </w:r>
      <w:r w:rsidRPr="00BA0AD1">
        <w:t>вых ориентиров на 2013 год</w:t>
      </w:r>
      <w:r w:rsidRPr="007713F6">
        <w:rPr>
          <w:sz w:val="18"/>
          <w:szCs w:val="18"/>
          <w:vertAlign w:val="superscript"/>
        </w:rPr>
        <w:footnoteReference w:id="5"/>
      </w:r>
      <w:r w:rsidRPr="00BA0AD1">
        <w:t>. Эти мероприятия включены в основные програ</w:t>
      </w:r>
      <w:r w:rsidRPr="00BA0AD1">
        <w:t>м</w:t>
      </w:r>
      <w:r w:rsidRPr="00BA0AD1">
        <w:t>мы</w:t>
      </w:r>
      <w:r w:rsidRPr="007713F6">
        <w:rPr>
          <w:sz w:val="18"/>
          <w:szCs w:val="18"/>
          <w:vertAlign w:val="superscript"/>
        </w:rPr>
        <w:footnoteReference w:id="6"/>
      </w:r>
      <w:r w:rsidRPr="00BA0AD1">
        <w:t xml:space="preserve"> и имеют целью возвращение коренным народом части их исконных земель.</w:t>
      </w:r>
    </w:p>
    <w:p w:rsidR="00BA0AD1" w:rsidRPr="00BA0AD1" w:rsidRDefault="00BA0AD1" w:rsidP="00BA0AD1">
      <w:pPr>
        <w:pStyle w:val="SingleTxtGR"/>
      </w:pPr>
      <w:r w:rsidRPr="00BA0AD1">
        <w:t>6.</w:t>
      </w:r>
      <w:r w:rsidRPr="00BA0AD1">
        <w:tab/>
        <w:t>Благодаря основной программе "Территория, участие и развитие: коре</w:t>
      </w:r>
      <w:r w:rsidRPr="00BA0AD1">
        <w:t>н</w:t>
      </w:r>
      <w:r w:rsidRPr="00BA0AD1">
        <w:t>ные народы защищают право на свои территории" (начало 2008 года) продо</w:t>
      </w:r>
      <w:r w:rsidRPr="00BA0AD1">
        <w:t>л</w:t>
      </w:r>
      <w:r w:rsidRPr="00BA0AD1">
        <w:t>жается работа по обеспечению коренным народам доступа к их общинным зе</w:t>
      </w:r>
      <w:r w:rsidRPr="00BA0AD1">
        <w:t>м</w:t>
      </w:r>
      <w:r w:rsidRPr="00BA0AD1">
        <w:t>лям и закреплению права собственности на эти земли, что является отправной точкой для процесса социального развития и улучшения качества жизни общин. Целевой ориентир на 2013 год предусматривает выполнение на 70</w:t>
      </w:r>
      <w:r w:rsidR="004849A7">
        <w:t xml:space="preserve">% </w:t>
      </w:r>
      <w:r w:rsidRPr="00BA0AD1">
        <w:t>работ по оформлению прав собственности на территории коренных народов. В</w:t>
      </w:r>
      <w:r w:rsidR="007D2776">
        <w:rPr>
          <w:lang w:val="en-US"/>
        </w:rPr>
        <w:t> </w:t>
      </w:r>
      <w:r w:rsidRPr="00BA0AD1">
        <w:t>число этих территорий входят и земли, относительно которых были поданы иски в международные органы.</w:t>
      </w:r>
    </w:p>
    <w:p w:rsidR="00BA0AD1" w:rsidRPr="00BA0AD1" w:rsidRDefault="00BA0AD1" w:rsidP="00BA0AD1">
      <w:pPr>
        <w:pStyle w:val="SingleTxtGR"/>
      </w:pPr>
      <w:r w:rsidRPr="00BA0AD1">
        <w:t>7.</w:t>
      </w:r>
      <w:r w:rsidRPr="00BA0AD1">
        <w:tab/>
        <w:t>Целевой показатель на 2010 год был осуществлен на 88</w:t>
      </w:r>
      <w:r w:rsidR="004849A7">
        <w:t>%</w:t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8.</w:t>
      </w:r>
      <w:r w:rsidRPr="00BA0AD1">
        <w:tab/>
        <w:t>Что касается хода работы по достижению целевых показателей на 2011</w:t>
      </w:r>
      <w:r w:rsidR="007D2776">
        <w:rPr>
          <w:lang w:val="en-US"/>
        </w:rPr>
        <w:t> </w:t>
      </w:r>
      <w:r w:rsidRPr="00BA0AD1">
        <w:t>год, то, согласно имеющимся сообщениям, ведутся переговоры о приобр</w:t>
      </w:r>
      <w:r w:rsidRPr="00BA0AD1">
        <w:t>е</w:t>
      </w:r>
      <w:r w:rsidRPr="00BA0AD1">
        <w:t>тении 105 тыс. гектаров земли главным образом при посредничестве Межв</w:t>
      </w:r>
      <w:r w:rsidRPr="00BA0AD1">
        <w:t>е</w:t>
      </w:r>
      <w:r w:rsidRPr="00BA0AD1">
        <w:t>домственной комиссии по мониторингу дел, в отношении которых вынесены решения международных судебных органов (КИКСИ)</w:t>
      </w:r>
      <w:r w:rsidRPr="007713F6">
        <w:rPr>
          <w:sz w:val="18"/>
          <w:szCs w:val="18"/>
          <w:vertAlign w:val="superscript"/>
        </w:rPr>
        <w:footnoteReference w:id="7"/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9.</w:t>
      </w:r>
      <w:r w:rsidRPr="00BA0AD1">
        <w:tab/>
        <w:t>В Реестр общин коренных народов, который ведет ИНДИ, внесены 550</w:t>
      </w:r>
      <w:r w:rsidR="007D2776">
        <w:rPr>
          <w:lang w:val="en-US"/>
        </w:rPr>
        <w:t> </w:t>
      </w:r>
      <w:r w:rsidRPr="00BA0AD1">
        <w:t>общин, 417 из которых являются юридическими лицами и имеют право в</w:t>
      </w:r>
      <w:r w:rsidRPr="00BA0AD1">
        <w:t>ы</w:t>
      </w:r>
      <w:r w:rsidRPr="00BA0AD1">
        <w:t>ступать в качестве собственников общинных земель. По имеющимся данным, около 60</w:t>
      </w:r>
      <w:r w:rsidR="004849A7">
        <w:t xml:space="preserve">% </w:t>
      </w:r>
      <w:r w:rsidRPr="00BA0AD1">
        <w:t>общин имеют права коллективной собственности. План приобрет</w:t>
      </w:r>
      <w:r w:rsidRPr="00BA0AD1">
        <w:t>е</w:t>
      </w:r>
      <w:r w:rsidRPr="00BA0AD1">
        <w:t>ния земель для общин коренных народов на 2010 год был выполнен.</w:t>
      </w:r>
    </w:p>
    <w:p w:rsidR="00BA0AD1" w:rsidRPr="00BA0AD1" w:rsidRDefault="00BA0AD1" w:rsidP="00BA0AD1">
      <w:pPr>
        <w:pStyle w:val="SingleTxtGR"/>
      </w:pPr>
      <w:r w:rsidRPr="00BA0AD1">
        <w:t>10.</w:t>
      </w:r>
      <w:r w:rsidRPr="00BA0AD1">
        <w:tab/>
        <w:t>В целях удовлетворения настоятельной потребности в земле и первооч</w:t>
      </w:r>
      <w:r w:rsidRPr="00BA0AD1">
        <w:t>е</w:t>
      </w:r>
      <w:r w:rsidRPr="00BA0AD1">
        <w:t>редного решения дел, которые были переданы на рассмотрение Межамерика</w:t>
      </w:r>
      <w:r w:rsidRPr="00BA0AD1">
        <w:t>н</w:t>
      </w:r>
      <w:r w:rsidRPr="00BA0AD1">
        <w:t xml:space="preserve">ского суда по правам человека (МАСПЧ) и по которым был подано обращение в Межамериканскую комиссию по правам человека (МАКПЧ), ИНДИ приобрел в 2011 году 8748 гектаров для расселения общины коренного населения </w:t>
      </w:r>
      <w:proofErr w:type="spellStart"/>
      <w:r w:rsidRPr="00BA0AD1">
        <w:t>Келье</w:t>
      </w:r>
      <w:r w:rsidRPr="00BA0AD1">
        <w:t>н</w:t>
      </w:r>
      <w:r w:rsidRPr="00BA0AD1">
        <w:t>магатегма</w:t>
      </w:r>
      <w:proofErr w:type="spellEnd"/>
      <w:r w:rsidRPr="00BA0AD1">
        <w:t xml:space="preserve"> (</w:t>
      </w:r>
      <w:proofErr w:type="spellStart"/>
      <w:r w:rsidRPr="00BA0AD1">
        <w:t>Пуэрто-Колон</w:t>
      </w:r>
      <w:proofErr w:type="spellEnd"/>
      <w:r w:rsidRPr="00BA0AD1">
        <w:t xml:space="preserve">), округ </w:t>
      </w:r>
      <w:proofErr w:type="spellStart"/>
      <w:r w:rsidRPr="00BA0AD1">
        <w:t>Вилья-Аэс</w:t>
      </w:r>
      <w:proofErr w:type="spellEnd"/>
      <w:r w:rsidRPr="00BA0AD1">
        <w:t xml:space="preserve">, департамент </w:t>
      </w:r>
      <w:proofErr w:type="spellStart"/>
      <w:r w:rsidRPr="00BA0AD1">
        <w:t>Пресиденте-Аэс</w:t>
      </w:r>
      <w:proofErr w:type="spellEnd"/>
      <w:r w:rsidRPr="00BA0AD1">
        <w:t>, п</w:t>
      </w:r>
      <w:r w:rsidRPr="00BA0AD1">
        <w:t>о</w:t>
      </w:r>
      <w:r w:rsidRPr="00BA0AD1">
        <w:t xml:space="preserve">селение </w:t>
      </w:r>
      <w:proofErr w:type="spellStart"/>
      <w:r w:rsidRPr="00BA0AD1">
        <w:t>Энксет</w:t>
      </w:r>
      <w:proofErr w:type="spellEnd"/>
      <w:r w:rsidRPr="00BA0AD1">
        <w:t xml:space="preserve"> − дело № 12629 (МАКПЧ) "Община коренного населения </w:t>
      </w:r>
      <w:proofErr w:type="spellStart"/>
      <w:r w:rsidRPr="00BA0AD1">
        <w:t>Кел</w:t>
      </w:r>
      <w:r w:rsidRPr="00BA0AD1">
        <w:t>ь</w:t>
      </w:r>
      <w:r w:rsidRPr="00BA0AD1">
        <w:t>енмагатегма</w:t>
      </w:r>
      <w:proofErr w:type="spellEnd"/>
      <w:r w:rsidRPr="00BA0AD1">
        <w:t xml:space="preserve"> (</w:t>
      </w:r>
      <w:proofErr w:type="spellStart"/>
      <w:r w:rsidRPr="00BA0AD1">
        <w:t>Пуэрто-Колон</w:t>
      </w:r>
      <w:proofErr w:type="spellEnd"/>
      <w:r w:rsidRPr="00BA0AD1">
        <w:t xml:space="preserve">) поселения </w:t>
      </w:r>
      <w:proofErr w:type="spellStart"/>
      <w:r w:rsidRPr="00BA0AD1">
        <w:t>Энксет</w:t>
      </w:r>
      <w:proofErr w:type="spellEnd"/>
      <w:r w:rsidRPr="00BA0AD1">
        <w:t>".</w:t>
      </w:r>
    </w:p>
    <w:p w:rsidR="00BA0AD1" w:rsidRPr="00BA0AD1" w:rsidRDefault="00BA0AD1" w:rsidP="00BA0AD1">
      <w:pPr>
        <w:pStyle w:val="SingleTxtGR"/>
      </w:pPr>
      <w:r w:rsidRPr="00BA0AD1">
        <w:t>11.</w:t>
      </w:r>
      <w:r w:rsidRPr="00BA0AD1">
        <w:tab/>
        <w:t xml:space="preserve">Кроме того, для общины коренного населения </w:t>
      </w:r>
      <w:proofErr w:type="spellStart"/>
      <w:r w:rsidRPr="00BA0AD1">
        <w:t>Арройо-Пора</w:t>
      </w:r>
      <w:proofErr w:type="spellEnd"/>
      <w:r w:rsidRPr="00BA0AD1">
        <w:t xml:space="preserve"> были прио</w:t>
      </w:r>
      <w:r w:rsidRPr="00BA0AD1">
        <w:t>б</w:t>
      </w:r>
      <w:r w:rsidRPr="00BA0AD1">
        <w:t xml:space="preserve">ретены 1246 гектаров земли в округе Корпус-Кристи, департамент </w:t>
      </w:r>
      <w:proofErr w:type="spellStart"/>
      <w:r w:rsidRPr="00BA0AD1">
        <w:t>Каниндейу</w:t>
      </w:r>
      <w:proofErr w:type="spellEnd"/>
      <w:r w:rsidRPr="00BA0AD1">
        <w:t xml:space="preserve">. </w:t>
      </w:r>
    </w:p>
    <w:p w:rsidR="00BA0AD1" w:rsidRPr="00BA0AD1" w:rsidRDefault="00BA0AD1" w:rsidP="00BA0AD1">
      <w:pPr>
        <w:pStyle w:val="SingleTxtGR"/>
      </w:pPr>
      <w:r w:rsidRPr="00BA0AD1">
        <w:t>12.</w:t>
      </w:r>
      <w:r w:rsidRPr="00BA0AD1">
        <w:tab/>
        <w:t>В 2010 году удалось приобрести 116 348 гектаров земли для коренного населения и оформить права собственности на нее. На рассмотрении в Главной правительственной канцелярии находятся документы о приобретении еще пр</w:t>
      </w:r>
      <w:r w:rsidRPr="00BA0AD1">
        <w:t>и</w:t>
      </w:r>
      <w:r w:rsidRPr="00BA0AD1">
        <w:t>мерно 140 013 гектаров</w:t>
      </w:r>
      <w:r w:rsidRPr="007713F6">
        <w:rPr>
          <w:sz w:val="18"/>
          <w:szCs w:val="18"/>
          <w:vertAlign w:val="superscript"/>
        </w:rPr>
        <w:footnoteReference w:id="8"/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13.</w:t>
      </w:r>
      <w:r w:rsidRPr="00BA0AD1">
        <w:tab/>
        <w:t>Таким образом, по состоянию на конец июня 2011 года в рамках выпо</w:t>
      </w:r>
      <w:r w:rsidRPr="00BA0AD1">
        <w:t>л</w:t>
      </w:r>
      <w:r w:rsidRPr="00BA0AD1">
        <w:t>нения целевых показателей на 2011 год было приобретено 9994 гектара, что вместе с территориями, приобретенными в 2010 году, составляет в общей сложности 161 302 гектара.</w:t>
      </w:r>
    </w:p>
    <w:p w:rsidR="00BA0AD1" w:rsidRPr="00BA0AD1" w:rsidRDefault="00BA0AD1" w:rsidP="00BA0AD1">
      <w:pPr>
        <w:pStyle w:val="SingleTxtGR"/>
      </w:pPr>
      <w:r w:rsidRPr="00BA0AD1">
        <w:t>14.</w:t>
      </w:r>
      <w:r w:rsidRPr="00BA0AD1">
        <w:tab/>
        <w:t>Основной задачей ИНДИ на 2011 год является привлечение к участию о</w:t>
      </w:r>
      <w:r w:rsidRPr="00BA0AD1">
        <w:t>р</w:t>
      </w:r>
      <w:r w:rsidRPr="00BA0AD1">
        <w:t xml:space="preserve">ганизаций коренного населения </w:t>
      </w:r>
      <w:r w:rsidR="002B7B9B">
        <w:t>−</w:t>
      </w:r>
      <w:r w:rsidRPr="00BA0AD1">
        <w:t xml:space="preserve"> "вернуть право голоса тем, кто его не имеет", и с этой целью проводится политика прямых консультаций. Институт подде</w:t>
      </w:r>
      <w:r w:rsidRPr="00BA0AD1">
        <w:t>р</w:t>
      </w:r>
      <w:r w:rsidRPr="00BA0AD1">
        <w:t>живает отношения с более чем 34 организациями коренного населения.</w:t>
      </w:r>
    </w:p>
    <w:p w:rsidR="00BA0AD1" w:rsidRPr="00BA0AD1" w:rsidRDefault="00BA0AD1" w:rsidP="00BA0AD1">
      <w:pPr>
        <w:pStyle w:val="SingleTxtGR"/>
      </w:pPr>
      <w:r w:rsidRPr="00BA0AD1">
        <w:t>15.</w:t>
      </w:r>
      <w:r w:rsidRPr="00BA0AD1">
        <w:tab/>
        <w:t>В 2010 году были зарегистрированы 116 общинных лидеров, в Реестр а</w:t>
      </w:r>
      <w:r w:rsidRPr="00BA0AD1">
        <w:t>к</w:t>
      </w:r>
      <w:r w:rsidRPr="00BA0AD1">
        <w:t>тов гражданского состояния внесены сведения о 4 тыс. новорожденных, пре</w:t>
      </w:r>
      <w:r w:rsidRPr="00BA0AD1">
        <w:t>д</w:t>
      </w:r>
      <w:r w:rsidRPr="00BA0AD1">
        <w:t>ставителям коренного населения выдано 10 047 удостоверений личности общ</w:t>
      </w:r>
      <w:r w:rsidRPr="00BA0AD1">
        <w:t>е</w:t>
      </w:r>
      <w:r w:rsidRPr="00BA0AD1">
        <w:t>гражданского образца и 12 600 удостоверений о принадлежности к коренному населению.</w:t>
      </w:r>
    </w:p>
    <w:p w:rsidR="00BA0AD1" w:rsidRPr="00BA0AD1" w:rsidRDefault="00BA0AD1" w:rsidP="00BA0AD1">
      <w:pPr>
        <w:pStyle w:val="SingleTxtGR"/>
      </w:pPr>
      <w:r w:rsidRPr="00BA0AD1">
        <w:t>16.</w:t>
      </w:r>
      <w:r w:rsidRPr="00BA0AD1">
        <w:tab/>
        <w:t>В 2010 году Ассамблеей представителей коренных народов была закре</w:t>
      </w:r>
      <w:r w:rsidRPr="00BA0AD1">
        <w:t>п</w:t>
      </w:r>
      <w:r w:rsidRPr="00BA0AD1">
        <w:t>лена норма об обязательном привлечении ИНДИ к любым консультациям с о</w:t>
      </w:r>
      <w:r w:rsidRPr="00BA0AD1">
        <w:t>б</w:t>
      </w:r>
      <w:r w:rsidRPr="00BA0AD1">
        <w:t xml:space="preserve">щинами коренных народов. </w:t>
      </w:r>
    </w:p>
    <w:p w:rsidR="00BA0AD1" w:rsidRPr="00BA0AD1" w:rsidRDefault="00BA0AD1" w:rsidP="007D2776">
      <w:pPr>
        <w:pStyle w:val="H1GR"/>
      </w:pPr>
      <w:r w:rsidRPr="00BA0AD1">
        <w:tab/>
      </w:r>
      <w:r w:rsidRPr="00BA0AD1">
        <w:tab/>
      </w:r>
      <w:bookmarkStart w:id="7" w:name="_Toc368649098"/>
      <w:r w:rsidRPr="00BA0AD1">
        <w:t>Статья 2</w:t>
      </w:r>
      <w:r w:rsidR="007D2776">
        <w:rPr>
          <w:lang w:val="en-US"/>
        </w:rPr>
        <w:br/>
      </w:r>
      <w:r w:rsidRPr="00BA0AD1">
        <w:t>Принятие мер и гарантии осуществления прав</w:t>
      </w:r>
      <w:bookmarkEnd w:id="7"/>
      <w:r w:rsidRPr="00BA0AD1">
        <w:t xml:space="preserve"> </w:t>
      </w:r>
    </w:p>
    <w:p w:rsidR="00BA0AD1" w:rsidRPr="00BA0AD1" w:rsidRDefault="00BA0AD1" w:rsidP="00BA0AD1">
      <w:pPr>
        <w:pStyle w:val="SingleTxtGR"/>
      </w:pPr>
      <w:r w:rsidRPr="00BA0AD1">
        <w:t>17.</w:t>
      </w:r>
      <w:r w:rsidRPr="00BA0AD1">
        <w:tab/>
        <w:t>Парагваем подписаны конвенции и соглашения об оказании помощи, а</w:t>
      </w:r>
      <w:r w:rsidR="007D2776">
        <w:rPr>
          <w:lang w:val="en-US"/>
        </w:rPr>
        <w:t> </w:t>
      </w:r>
      <w:r w:rsidRPr="00BA0AD1">
        <w:t>также об экономическом и техническом сотрудничестве со странами Европы, Азии и Америки, равно как и с международными и многосторонними организ</w:t>
      </w:r>
      <w:r w:rsidRPr="00BA0AD1">
        <w:t>а</w:t>
      </w:r>
      <w:r w:rsidRPr="00BA0AD1">
        <w:t>циями, прежде всего по таким вопросам, как займы для государственных инв</w:t>
      </w:r>
      <w:r w:rsidRPr="00BA0AD1">
        <w:t>е</w:t>
      </w:r>
      <w:r w:rsidRPr="00BA0AD1">
        <w:t>стиций, укрепление демократии, консолидация новой институциональной си</w:t>
      </w:r>
      <w:r w:rsidRPr="00BA0AD1">
        <w:t>с</w:t>
      </w:r>
      <w:r w:rsidRPr="00BA0AD1">
        <w:t>темы, поддержка социальных программ, техническое содействие, поставки оборудования и развитие людских ресурсов</w:t>
      </w:r>
      <w:r w:rsidRPr="007713F6">
        <w:rPr>
          <w:sz w:val="18"/>
          <w:szCs w:val="18"/>
          <w:vertAlign w:val="superscript"/>
        </w:rPr>
        <w:footnoteReference w:id="9"/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18.</w:t>
      </w:r>
      <w:r w:rsidRPr="00BA0AD1">
        <w:tab/>
        <w:t>В процессе осуществления находятся государственная бюджетная пол</w:t>
      </w:r>
      <w:r w:rsidRPr="00BA0AD1">
        <w:t>и</w:t>
      </w:r>
      <w:r w:rsidRPr="00BA0AD1">
        <w:t>тика и меры по совершенствованию сбора и обработки статистической инфо</w:t>
      </w:r>
      <w:r w:rsidRPr="00BA0AD1">
        <w:t>р</w:t>
      </w:r>
      <w:r w:rsidRPr="00BA0AD1">
        <w:t xml:space="preserve">мации с применением </w:t>
      </w:r>
      <w:proofErr w:type="spellStart"/>
      <w:r w:rsidRPr="00BA0AD1">
        <w:t>гендерного</w:t>
      </w:r>
      <w:proofErr w:type="spellEnd"/>
      <w:r w:rsidRPr="00BA0AD1">
        <w:t xml:space="preserve"> подхода. С помощью Межотраслевого совета проведены исследования, результаты которого нашли свое отражение в док</w:t>
      </w:r>
      <w:r w:rsidRPr="00BA0AD1">
        <w:t>у</w:t>
      </w:r>
      <w:r w:rsidRPr="00BA0AD1">
        <w:t xml:space="preserve">менте "Применение </w:t>
      </w:r>
      <w:proofErr w:type="spellStart"/>
      <w:r w:rsidRPr="00BA0AD1">
        <w:t>гендерного</w:t>
      </w:r>
      <w:proofErr w:type="spellEnd"/>
      <w:r w:rsidRPr="00BA0AD1">
        <w:t xml:space="preserve"> подхода при составлении государственного бюджета", предусматривающем повышение осведомленности государственных служащих в этой области. Результатом данной работы стало принятие Декрета № 6495/11 об основных направлениях разработки Ежегодного плана операти</w:t>
      </w:r>
      <w:r w:rsidRPr="00BA0AD1">
        <w:t>в</w:t>
      </w:r>
      <w:r w:rsidRPr="00BA0AD1">
        <w:t>ной деятельности (ЕПОД) и Годового инвестиционного плана (ГИП) для Н</w:t>
      </w:r>
      <w:r w:rsidRPr="00BA0AD1">
        <w:t>а</w:t>
      </w:r>
      <w:r w:rsidRPr="00BA0AD1">
        <w:t>ционального бюджета на 2012 год. Статья 26 Декрета посвящена непосредс</w:t>
      </w:r>
      <w:r w:rsidRPr="00BA0AD1">
        <w:t>т</w:t>
      </w:r>
      <w:r w:rsidRPr="00BA0AD1">
        <w:t>венно данному вопросу, и с этого года четвертым направлением деятельности правительства страны прямо предусматривается "обеспечение равенства, ли</w:t>
      </w:r>
      <w:r w:rsidRPr="00BA0AD1">
        <w:t>к</w:t>
      </w:r>
      <w:r w:rsidRPr="00BA0AD1">
        <w:t>видация дискриминации и искоренение насилия в отношении женщин". Кроме того, в план разработки этих документов для Национального бюджета включено требование о представлении данных в разбивке по полу.</w:t>
      </w:r>
    </w:p>
    <w:p w:rsidR="00BA0AD1" w:rsidRPr="00BA0AD1" w:rsidRDefault="00BA0AD1" w:rsidP="007D2776">
      <w:pPr>
        <w:pStyle w:val="H23GR"/>
      </w:pPr>
      <w:r w:rsidRPr="00BA0AD1">
        <w:tab/>
        <w:t>1.</w:t>
      </w:r>
      <w:r w:rsidRPr="00BA0AD1">
        <w:tab/>
        <w:t>Торговля людьми</w:t>
      </w:r>
    </w:p>
    <w:p w:rsidR="00BA0AD1" w:rsidRPr="00BA0AD1" w:rsidRDefault="00BA0AD1" w:rsidP="00BA0AD1">
      <w:pPr>
        <w:pStyle w:val="SingleTxtGR"/>
      </w:pPr>
      <w:r w:rsidRPr="00BA0AD1">
        <w:t>19.</w:t>
      </w:r>
      <w:r w:rsidRPr="00BA0AD1">
        <w:tab/>
        <w:t>В соответствии с рекомендацией № 25 были внесены изменения в пол</w:t>
      </w:r>
      <w:r w:rsidRPr="00BA0AD1">
        <w:t>о</w:t>
      </w:r>
      <w:r w:rsidRPr="00BA0AD1">
        <w:t>жения Уголовного кодекса, касающиеся торговли людьми. Ранее торговля людьми признавалась таковой лишь в том случае, если эксплуатация как вид такой торговли преследовала сексуальные цели. На основании внесенных изм</w:t>
      </w:r>
      <w:r w:rsidRPr="00BA0AD1">
        <w:t>е</w:t>
      </w:r>
      <w:r w:rsidRPr="00BA0AD1">
        <w:t>нений (Закон № 3440/08) проявлениями эксплуатации были признаны трудовая и личная эксплуатация, а также те ее формы, которые имеют целью извлечение органов и тканей человека. Эти изменения были внесены в соответствии с п</w:t>
      </w:r>
      <w:r w:rsidRPr="00BA0AD1">
        <w:t>о</w:t>
      </w:r>
      <w:r w:rsidRPr="00BA0AD1">
        <w:t xml:space="preserve">ложениями </w:t>
      </w:r>
      <w:proofErr w:type="spellStart"/>
      <w:r w:rsidRPr="00BA0AD1">
        <w:t>Палермского</w:t>
      </w:r>
      <w:proofErr w:type="spellEnd"/>
      <w:r w:rsidRPr="00BA0AD1">
        <w:t xml:space="preserve"> протокола и требованиями, содержащимися в резол</w:t>
      </w:r>
      <w:r w:rsidRPr="00BA0AD1">
        <w:t>ю</w:t>
      </w:r>
      <w:r w:rsidRPr="00BA0AD1">
        <w:t>ции 1373 Совета Безопасности Организации Объединенных Наций</w:t>
      </w:r>
      <w:r w:rsidRPr="007713F6">
        <w:rPr>
          <w:sz w:val="18"/>
          <w:szCs w:val="18"/>
          <w:vertAlign w:val="superscript"/>
        </w:rPr>
        <w:footnoteReference w:id="10"/>
      </w:r>
      <w:r w:rsidRPr="00BA0AD1">
        <w:t>.</w:t>
      </w:r>
      <w:r w:rsidRPr="00BA0AD1">
        <w:rPr>
          <w:vertAlign w:val="superscript"/>
        </w:rPr>
        <w:t xml:space="preserve"> </w:t>
      </w:r>
    </w:p>
    <w:p w:rsidR="00BA0AD1" w:rsidRPr="007D2776" w:rsidRDefault="00BA0AD1" w:rsidP="007D2776">
      <w:pPr>
        <w:pStyle w:val="H23GR"/>
      </w:pPr>
      <w:r w:rsidRPr="007D2776">
        <w:tab/>
        <w:t>2.</w:t>
      </w:r>
      <w:r w:rsidRPr="007D2776">
        <w:tab/>
        <w:t>Труд домашней прислуги</w:t>
      </w:r>
    </w:p>
    <w:p w:rsidR="00BA0AD1" w:rsidRPr="00BA0AD1" w:rsidRDefault="00BA0AD1" w:rsidP="00BA0AD1">
      <w:pPr>
        <w:pStyle w:val="SingleTxtGR"/>
      </w:pPr>
      <w:r w:rsidRPr="00BA0AD1">
        <w:t>20.</w:t>
      </w:r>
      <w:r w:rsidRPr="00BA0AD1">
        <w:tab/>
        <w:t>Национальная трехсторонняя комиссия в целях обеспечения равных во</w:t>
      </w:r>
      <w:r w:rsidRPr="00BA0AD1">
        <w:t>з</w:t>
      </w:r>
      <w:r w:rsidRPr="00BA0AD1">
        <w:t>можностей в сфере труда и изучения ситуации в этой области добилась вкл</w:t>
      </w:r>
      <w:r w:rsidRPr="00BA0AD1">
        <w:t>ю</w:t>
      </w:r>
      <w:r w:rsidRPr="00BA0AD1">
        <w:t>чения вопроса об оплачиваемом труде домашней прислуги в Национальную п</w:t>
      </w:r>
      <w:r w:rsidRPr="00BA0AD1">
        <w:t>о</w:t>
      </w:r>
      <w:r w:rsidRPr="00BA0AD1">
        <w:t>вестку дня и организовала проведение тематических совещаний по таким пр</w:t>
      </w:r>
      <w:r w:rsidRPr="00BA0AD1">
        <w:t>о</w:t>
      </w:r>
      <w:r w:rsidRPr="00BA0AD1">
        <w:t>блемам, как обеспечение занятости молодежи и координация деятельности гр</w:t>
      </w:r>
      <w:r w:rsidRPr="00BA0AD1">
        <w:t>а</w:t>
      </w:r>
      <w:r w:rsidRPr="00BA0AD1">
        <w:t>жданского общества и государственных учреждений. В ходе этих совещаний, проводившихся под эгидой Центра документации и исследований (ЦДИ), затр</w:t>
      </w:r>
      <w:r w:rsidRPr="00BA0AD1">
        <w:t>а</w:t>
      </w:r>
      <w:r w:rsidRPr="00BA0AD1">
        <w:t>гивались темы труда детей в качестве домашней прислуги, а также социально незащищенных групп молодежи, в том числе матерей-одиночек и домработниц. В поле зрения находятся также представители этнических групп и лица с инв</w:t>
      </w:r>
      <w:r w:rsidRPr="00BA0AD1">
        <w:t>а</w:t>
      </w:r>
      <w:r w:rsidRPr="00BA0AD1">
        <w:t xml:space="preserve">лидностью. </w:t>
      </w:r>
    </w:p>
    <w:p w:rsidR="00BA0AD1" w:rsidRPr="00BA0AD1" w:rsidRDefault="00BA0AD1" w:rsidP="00BA0AD1">
      <w:pPr>
        <w:pStyle w:val="SingleTxtGR"/>
      </w:pPr>
      <w:r w:rsidRPr="00BA0AD1">
        <w:t>21.</w:t>
      </w:r>
      <w:r w:rsidRPr="00BA0AD1">
        <w:tab/>
        <w:t>Министерство юстиции и труда (МЮТ) проводило консультации с лиц</w:t>
      </w:r>
      <w:r w:rsidRPr="00BA0AD1">
        <w:t>а</w:t>
      </w:r>
      <w:r w:rsidRPr="00BA0AD1">
        <w:t>ми, работающими в качестве домашней прислуги в столице, и распространяло среди них буклеты, в которых рассказывалось об их трудовых правах, а также о местах и порядке подачи жалоб. Кроме того, совместно с ЦДИ проводились с</w:t>
      </w:r>
      <w:r w:rsidRPr="00BA0AD1">
        <w:t>е</w:t>
      </w:r>
      <w:r w:rsidRPr="00BA0AD1">
        <w:t>минары для служащих, занимающихся вопросами трудовых отношений, рабо</w:t>
      </w:r>
      <w:r w:rsidRPr="00BA0AD1">
        <w:t>т</w:t>
      </w:r>
      <w:r w:rsidRPr="00BA0AD1">
        <w:t xml:space="preserve">ников трудовых инспекций и представителей служб занятости. </w:t>
      </w:r>
    </w:p>
    <w:p w:rsidR="00BA0AD1" w:rsidRPr="00BA0AD1" w:rsidRDefault="00BA0AD1" w:rsidP="00BA0AD1">
      <w:pPr>
        <w:pStyle w:val="SingleTxtGR"/>
      </w:pPr>
      <w:r w:rsidRPr="00BA0AD1">
        <w:t>22.</w:t>
      </w:r>
      <w:r w:rsidRPr="00BA0AD1">
        <w:tab/>
        <w:t xml:space="preserve">Секретариат по делам женщин при президенте Республики (СДЖПР) в рамках работы Специализированного женского совещания МЕРКОСУР и стран </w:t>
      </w:r>
      <w:proofErr w:type="spellStart"/>
      <w:r w:rsidRPr="00BA0AD1">
        <w:t>Ибероамерики</w:t>
      </w:r>
      <w:proofErr w:type="spellEnd"/>
      <w:r w:rsidRPr="00BA0AD1">
        <w:t xml:space="preserve"> и по рекомендации Международной конференции труда предст</w:t>
      </w:r>
      <w:r w:rsidRPr="00BA0AD1">
        <w:t>а</w:t>
      </w:r>
      <w:r w:rsidRPr="00BA0AD1">
        <w:t>вил Заявление о труде домашней прислуги, получившее поддержку министров и представителей высших органов власти, участвовавших в работе Совещания, и позднее переданное 100-й Всемирной конференции МОТ, которая приняла и обнародовала этот документ.</w:t>
      </w:r>
    </w:p>
    <w:p w:rsidR="00BA0AD1" w:rsidRPr="00BA0AD1" w:rsidRDefault="00BA0AD1" w:rsidP="00BA0AD1">
      <w:pPr>
        <w:pStyle w:val="SingleTxtGR"/>
      </w:pPr>
      <w:r w:rsidRPr="00BA0AD1">
        <w:t>23.</w:t>
      </w:r>
      <w:r w:rsidRPr="00BA0AD1">
        <w:tab/>
        <w:t>Проектом ПАРЕС (НПО "Альтер вида"), направленным на обеспечение равенства женщин на рабочих местах, предусматривается в числе прочего в</w:t>
      </w:r>
      <w:r w:rsidRPr="00BA0AD1">
        <w:t>ы</w:t>
      </w:r>
      <w:r w:rsidRPr="00BA0AD1">
        <w:t>несение проблем труда домашней прислуги в качестве наиболее насущных для обсуждения на общенациональном и региональном уровнях. В рамках работы по пропаганде и повышению уровня осведомленности был подготовлен коро</w:t>
      </w:r>
      <w:r w:rsidRPr="00BA0AD1">
        <w:t>т</w:t>
      </w:r>
      <w:r w:rsidRPr="00BA0AD1">
        <w:t>кометражный фильм о женщинах, работающих в качестве домашней прислуги, о примерах и правовых основах дискриминации, которой они подвергаются. Благодаря проекту удалось наладить диалог между государством и гражда</w:t>
      </w:r>
      <w:r w:rsidRPr="00BA0AD1">
        <w:t>н</w:t>
      </w:r>
      <w:r w:rsidRPr="00BA0AD1">
        <w:t>ским обществом в разных частях страны и внедрить позитивные модели труд</w:t>
      </w:r>
      <w:r w:rsidRPr="00BA0AD1">
        <w:t>о</w:t>
      </w:r>
      <w:r w:rsidRPr="00BA0AD1">
        <w:t>вых отношений на уровне муниципалитетов.</w:t>
      </w:r>
    </w:p>
    <w:p w:rsidR="00BA0AD1" w:rsidRPr="00BA0AD1" w:rsidRDefault="00BA0AD1" w:rsidP="00BA0AD1">
      <w:pPr>
        <w:pStyle w:val="SingleTxtGR"/>
      </w:pPr>
      <w:r w:rsidRPr="00BA0AD1">
        <w:t>24.</w:t>
      </w:r>
      <w:r w:rsidRPr="00BA0AD1">
        <w:tab/>
        <w:t>Организации гражданского общества подготовили ряд публикаций, в том числе "Это необходимо изменить: за правовое равенство женщин, работающих в качестве домашней прислуги" (ЦДИ/ПАРЕС/"Альтер вида"/ЕС/ИККО), "Ну</w:t>
      </w:r>
      <w:r w:rsidRPr="00BA0AD1">
        <w:t>ж</w:t>
      </w:r>
      <w:r w:rsidRPr="00BA0AD1">
        <w:t>ны, незаметны, подвергаются дискриминации: женщины, работающие в качес</w:t>
      </w:r>
      <w:r w:rsidRPr="00BA0AD1">
        <w:t>т</w:t>
      </w:r>
      <w:r w:rsidRPr="00BA0AD1">
        <w:t>ве домашней прислуги в Парагвае" (ЦДИ/МОТ). Органы власти страны в лице таких государственных учреждений, как Институт социального страхования (ИСС) и МЮТ, изучили выдвинутые требования, и ИСС своим Постановлением № 089-012/09 включил работающих в качестве домашней прислуги лиц в число тех, кто подпадает под действие общенациональной системы медицинского страхования.</w:t>
      </w:r>
    </w:p>
    <w:p w:rsidR="00BA0AD1" w:rsidRPr="00BA0AD1" w:rsidRDefault="00BA0AD1" w:rsidP="00BA0AD1">
      <w:pPr>
        <w:pStyle w:val="SingleTxtGR"/>
      </w:pPr>
      <w:r w:rsidRPr="00BA0AD1">
        <w:t>25.</w:t>
      </w:r>
      <w:r w:rsidRPr="00BA0AD1">
        <w:tab/>
        <w:t>В июле 2011 года с учетом поступивших в международные инстанции з</w:t>
      </w:r>
      <w:r w:rsidRPr="00BA0AD1">
        <w:t>а</w:t>
      </w:r>
      <w:r w:rsidRPr="00BA0AD1">
        <w:t xml:space="preserve">явлений о случаях обращения в кабалу за долги и </w:t>
      </w:r>
      <w:proofErr w:type="spellStart"/>
      <w:r w:rsidRPr="00BA0AD1">
        <w:t>маргинализации</w:t>
      </w:r>
      <w:proofErr w:type="spellEnd"/>
      <w:r w:rsidRPr="00BA0AD1">
        <w:t xml:space="preserve"> на сельск</w:t>
      </w:r>
      <w:r w:rsidRPr="00BA0AD1">
        <w:t>о</w:t>
      </w:r>
      <w:r w:rsidRPr="00BA0AD1">
        <w:t xml:space="preserve">хозяйственных предприятиях в парагвайской части района </w:t>
      </w:r>
      <w:proofErr w:type="spellStart"/>
      <w:r w:rsidRPr="00BA0AD1">
        <w:t>Чако</w:t>
      </w:r>
      <w:proofErr w:type="spellEnd"/>
      <w:r w:rsidRPr="00BA0AD1">
        <w:t xml:space="preserve"> была образов</w:t>
      </w:r>
      <w:r w:rsidRPr="00BA0AD1">
        <w:t>а</w:t>
      </w:r>
      <w:r w:rsidRPr="00BA0AD1">
        <w:t>на Подкомиссия по основным правам в сфере труда и предупреждению прин</w:t>
      </w:r>
      <w:r w:rsidRPr="00BA0AD1">
        <w:t>у</w:t>
      </w:r>
      <w:r w:rsidRPr="00BA0AD1">
        <w:t>дительного труда. Было создано региональное управление, проведены камп</w:t>
      </w:r>
      <w:r w:rsidRPr="00BA0AD1">
        <w:t>а</w:t>
      </w:r>
      <w:r w:rsidRPr="00BA0AD1">
        <w:t>нии по контролю за соблюдением норм в районах, о которых упоминалось в жалобах, приняты меры к распространению информации о нормах, защища</w:t>
      </w:r>
      <w:r w:rsidRPr="00BA0AD1">
        <w:t>ю</w:t>
      </w:r>
      <w:r w:rsidRPr="00BA0AD1">
        <w:t xml:space="preserve">щих трудящихся, и о международных конвенциях, подписанных Парагваем. Эта работа проводилась при участии МОТ. Планируется подготовить региональный план действий по защите этих прав. </w:t>
      </w:r>
    </w:p>
    <w:p w:rsidR="00BA0AD1" w:rsidRPr="007D2776" w:rsidRDefault="00BA0AD1" w:rsidP="007D2776">
      <w:pPr>
        <w:pStyle w:val="H23GR"/>
      </w:pPr>
      <w:r w:rsidRPr="007D2776">
        <w:tab/>
        <w:t>3.</w:t>
      </w:r>
      <w:r w:rsidRPr="007D2776">
        <w:tab/>
        <w:t>Коренные народы</w:t>
      </w:r>
    </w:p>
    <w:p w:rsidR="00BA0AD1" w:rsidRPr="00BA0AD1" w:rsidRDefault="00BA0AD1" w:rsidP="00BA0AD1">
      <w:pPr>
        <w:pStyle w:val="SingleTxtGR"/>
      </w:pPr>
      <w:r w:rsidRPr="00BA0AD1">
        <w:t>26.</w:t>
      </w:r>
      <w:r w:rsidRPr="00BA0AD1">
        <w:tab/>
        <w:t>Национальный институт по делам коренного населения (ИНДИ) участв</w:t>
      </w:r>
      <w:r w:rsidRPr="00BA0AD1">
        <w:t>у</w:t>
      </w:r>
      <w:r w:rsidRPr="00BA0AD1">
        <w:t>ет в принятии мер защиты, подавая ходатайства в суды в целях защиты прав к</w:t>
      </w:r>
      <w:r w:rsidRPr="00BA0AD1">
        <w:t>о</w:t>
      </w:r>
      <w:r w:rsidRPr="00BA0AD1">
        <w:t>ренных народов. Институт занимается делами, в которых, по его мнению, имеет место угроза целостности и безопасности этих народов, и в первую очередь д</w:t>
      </w:r>
      <w:r w:rsidRPr="00BA0AD1">
        <w:t>е</w:t>
      </w:r>
      <w:r w:rsidRPr="00BA0AD1">
        <w:t>лами о выселениях или насильственных перемещениях общин коренных нар</w:t>
      </w:r>
      <w:r w:rsidRPr="00BA0AD1">
        <w:t>о</w:t>
      </w:r>
      <w:r w:rsidRPr="00BA0AD1">
        <w:t>дов землевладельцами, владельцами крупных имений, владельцами соевых плантаций и крестьянами.</w:t>
      </w:r>
    </w:p>
    <w:p w:rsidR="00BA0AD1" w:rsidRPr="00BA0AD1" w:rsidRDefault="00BA0AD1" w:rsidP="00BA0AD1">
      <w:pPr>
        <w:pStyle w:val="SingleTxtGR"/>
      </w:pPr>
      <w:r w:rsidRPr="00BA0AD1">
        <w:t>27.</w:t>
      </w:r>
      <w:r w:rsidRPr="00BA0AD1">
        <w:tab/>
        <w:t>В 2010 году был создан Национальный центр помощи представителям коренного населения (СЕНАДИ), задача которого заключается в удовлетвор</w:t>
      </w:r>
      <w:r w:rsidRPr="00BA0AD1">
        <w:t>е</w:t>
      </w:r>
      <w:r w:rsidRPr="00BA0AD1">
        <w:t>нии особых потребностей представителей, лидеров и общин коренного насел</w:t>
      </w:r>
      <w:r w:rsidRPr="00BA0AD1">
        <w:t>е</w:t>
      </w:r>
      <w:r w:rsidRPr="00BA0AD1">
        <w:t>ния и передаче по инстанциям их запросов, а также в осуществлении монит</w:t>
      </w:r>
      <w:r w:rsidRPr="00BA0AD1">
        <w:t>о</w:t>
      </w:r>
      <w:r w:rsidRPr="00BA0AD1">
        <w:t>ринга и регистрации получаемых ответов.</w:t>
      </w:r>
    </w:p>
    <w:p w:rsidR="00BA0AD1" w:rsidRPr="007D2776" w:rsidRDefault="00BA0AD1" w:rsidP="007D2776">
      <w:pPr>
        <w:pStyle w:val="H23GR"/>
      </w:pPr>
      <w:r w:rsidRPr="007D2776">
        <w:tab/>
        <w:t>4.</w:t>
      </w:r>
      <w:r w:rsidRPr="007D2776">
        <w:tab/>
        <w:t>Управление уполномоченного по правам человека</w:t>
      </w:r>
      <w:r w:rsidRPr="007D2776">
        <w:rPr>
          <w:b w:val="0"/>
          <w:sz w:val="18"/>
          <w:szCs w:val="18"/>
          <w:vertAlign w:val="superscript"/>
        </w:rPr>
        <w:footnoteReference w:id="11"/>
      </w:r>
    </w:p>
    <w:p w:rsidR="00BA0AD1" w:rsidRPr="00BA0AD1" w:rsidRDefault="00BA0AD1" w:rsidP="00BA0AD1">
      <w:pPr>
        <w:pStyle w:val="SingleTxtGR"/>
      </w:pPr>
      <w:r w:rsidRPr="00BA0AD1">
        <w:t>28.</w:t>
      </w:r>
      <w:r w:rsidRPr="00BA0AD1">
        <w:tab/>
        <w:t>В период с 2008 по 2010 год Управление уполномоченного по правам ч</w:t>
      </w:r>
      <w:r w:rsidRPr="00BA0AD1">
        <w:t>е</w:t>
      </w:r>
      <w:r w:rsidRPr="00BA0AD1">
        <w:t>ловека совместно с МОК, МЗСО, МВД, МИД, Минфином, МЮТ и муницип</w:t>
      </w:r>
      <w:r w:rsidRPr="00BA0AD1">
        <w:t>а</w:t>
      </w:r>
      <w:r w:rsidRPr="00BA0AD1">
        <w:t>литетом Асунсьона проводило мероприятия, направленные на защиту права на здоровье, трудовых прав, прав на образование, на социальное обеспечение и на жилье.</w:t>
      </w:r>
    </w:p>
    <w:p w:rsidR="00BA0AD1" w:rsidRPr="00BA0AD1" w:rsidRDefault="00BA0AD1" w:rsidP="00BA0AD1">
      <w:pPr>
        <w:pStyle w:val="SingleTxtGR"/>
      </w:pPr>
      <w:r w:rsidRPr="00BA0AD1">
        <w:t>29.</w:t>
      </w:r>
      <w:r w:rsidRPr="00BA0AD1">
        <w:tab/>
        <w:t>Управление имеет свои представительства в центрах департаментов пар</w:t>
      </w:r>
      <w:r w:rsidRPr="00BA0AD1">
        <w:t>а</w:t>
      </w:r>
      <w:r w:rsidRPr="00BA0AD1">
        <w:t>гвайского государства и проводит мероприятия, скоординированные с госуда</w:t>
      </w:r>
      <w:r w:rsidRPr="00BA0AD1">
        <w:t>р</w:t>
      </w:r>
      <w:r w:rsidRPr="00BA0AD1">
        <w:t xml:space="preserve">ственными учреждениями. </w:t>
      </w:r>
    </w:p>
    <w:p w:rsidR="00BA0AD1" w:rsidRPr="00BA0AD1" w:rsidRDefault="00BA0AD1" w:rsidP="007D2776">
      <w:pPr>
        <w:pStyle w:val="SingleTxtGR"/>
        <w:keepLines/>
      </w:pPr>
      <w:r w:rsidRPr="00BA0AD1">
        <w:t>30.</w:t>
      </w:r>
      <w:r w:rsidRPr="00BA0AD1">
        <w:tab/>
        <w:t>В соответствии с пунктом 35 заключительных замечаний Комитета отн</w:t>
      </w:r>
      <w:r w:rsidRPr="00BA0AD1">
        <w:t>о</w:t>
      </w:r>
      <w:r w:rsidRPr="00BA0AD1">
        <w:t>сительно третьего периодического доклада Парагвая (E/C.12/PRY/CO/3) в пр</w:t>
      </w:r>
      <w:r w:rsidRPr="00BA0AD1">
        <w:t>и</w:t>
      </w:r>
      <w:r w:rsidRPr="00BA0AD1">
        <w:t>ложении дается подробная информация о делах, рассмотренных Управлением уполномоченного по правам человека, и о мерах, принятых УУПЧ в 2008, 2009 и 2010 годах</w:t>
      </w:r>
      <w:r w:rsidRPr="007713F6">
        <w:rPr>
          <w:sz w:val="18"/>
          <w:szCs w:val="18"/>
          <w:vertAlign w:val="superscript"/>
        </w:rPr>
        <w:footnoteReference w:id="12"/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31.</w:t>
      </w:r>
      <w:r w:rsidRPr="00BA0AD1">
        <w:tab/>
        <w:t>В соответствии с пунктом 36 заключительных замечаний Комитета К</w:t>
      </w:r>
      <w:r w:rsidRPr="00BA0AD1">
        <w:t>о</w:t>
      </w:r>
      <w:r w:rsidRPr="00BA0AD1">
        <w:t>миссию по правам человека сменила СИВПЧ</w:t>
      </w:r>
      <w:r w:rsidRPr="007713F6">
        <w:rPr>
          <w:sz w:val="18"/>
          <w:szCs w:val="18"/>
          <w:vertAlign w:val="superscript"/>
        </w:rPr>
        <w:footnoteReference w:id="13"/>
      </w:r>
      <w:r w:rsidRPr="00BA0AD1">
        <w:t>, созданная в 2009 году. Коорд</w:t>
      </w:r>
      <w:r w:rsidRPr="00BA0AD1">
        <w:t>и</w:t>
      </w:r>
      <w:r w:rsidRPr="00BA0AD1">
        <w:t>нацию ее деятельности осуществляет МЮТ. Сеть занимается координацией и согласованием политики, планов и программ, разрабатываемых органами и</w:t>
      </w:r>
      <w:r w:rsidRPr="00BA0AD1">
        <w:t>с</w:t>
      </w:r>
      <w:r w:rsidRPr="00BA0AD1">
        <w:t>полнительной власти и направленных на совершенствование механизмов поо</w:t>
      </w:r>
      <w:r w:rsidRPr="00BA0AD1">
        <w:t>щ</w:t>
      </w:r>
      <w:r w:rsidRPr="00BA0AD1">
        <w:t>рения, защиты и осуществления прав человека, обеспечивая убедительность мероприятий, проводимых на основе учета прав человека. Благодаря работе С</w:t>
      </w:r>
      <w:r w:rsidRPr="00BA0AD1">
        <w:t>е</w:t>
      </w:r>
      <w:r w:rsidRPr="00BA0AD1">
        <w:t>ти ряд государственных учреждений создали в своих структурах отделы по правам человека.</w:t>
      </w:r>
    </w:p>
    <w:p w:rsidR="00BA0AD1" w:rsidRPr="007D2776" w:rsidRDefault="00BA0AD1" w:rsidP="007D2776">
      <w:pPr>
        <w:pStyle w:val="H23GR"/>
      </w:pPr>
      <w:r w:rsidRPr="007D2776">
        <w:tab/>
        <w:t>5.</w:t>
      </w:r>
      <w:r w:rsidRPr="007D2776">
        <w:tab/>
        <w:t xml:space="preserve">Распространение заключительных замечаний Комитета </w:t>
      </w:r>
    </w:p>
    <w:p w:rsidR="00BA0AD1" w:rsidRPr="00BA0AD1" w:rsidRDefault="00BA0AD1" w:rsidP="00BA0AD1">
      <w:pPr>
        <w:pStyle w:val="SingleTxtGR"/>
      </w:pPr>
      <w:r w:rsidRPr="00BA0AD1">
        <w:t>32.</w:t>
      </w:r>
      <w:r w:rsidRPr="00BA0AD1">
        <w:tab/>
        <w:t>Государство осознает необходимость распространять на всех уровнях и осуществлять на практике рекомендации и заключительные замечания Комит</w:t>
      </w:r>
      <w:r w:rsidRPr="00BA0AD1">
        <w:t>е</w:t>
      </w:r>
      <w:r w:rsidRPr="00BA0AD1">
        <w:t>та на всех упомянутых уровнях. В настоящем докладе приводятся сведения о деятельности государства по надлежащему выполнению этих рекомендаций и замечаний.</w:t>
      </w:r>
    </w:p>
    <w:p w:rsidR="00BA0AD1" w:rsidRPr="00BA0AD1" w:rsidRDefault="00BA0AD1" w:rsidP="00BA0AD1">
      <w:pPr>
        <w:pStyle w:val="SingleTxtGR"/>
      </w:pPr>
      <w:r w:rsidRPr="00BA0AD1">
        <w:t>33.</w:t>
      </w:r>
      <w:r w:rsidRPr="00BA0AD1">
        <w:tab/>
        <w:t>Кроме того, создание СИВПЧ открывает отличные возможности для ди</w:t>
      </w:r>
      <w:r w:rsidRPr="00BA0AD1">
        <w:t>а</w:t>
      </w:r>
      <w:r w:rsidRPr="00BA0AD1">
        <w:t>лога между государственными учреждениями и гражданским обществом в ц</w:t>
      </w:r>
      <w:r w:rsidRPr="00BA0AD1">
        <w:t>е</w:t>
      </w:r>
      <w:r w:rsidRPr="00BA0AD1">
        <w:t>лях совместной выработки мер, необходимых для полного осуществления Ко</w:t>
      </w:r>
      <w:r w:rsidRPr="00BA0AD1">
        <w:t>н</w:t>
      </w:r>
      <w:r w:rsidRPr="00BA0AD1">
        <w:t>венции, а также замечаний и рекомендаций Комитета относительно принима</w:t>
      </w:r>
      <w:r w:rsidRPr="00BA0AD1">
        <w:t>е</w:t>
      </w:r>
      <w:r w:rsidRPr="00BA0AD1">
        <w:t>мых государством мер с целью реального осуществления экономических, соц</w:t>
      </w:r>
      <w:r w:rsidRPr="00BA0AD1">
        <w:t>и</w:t>
      </w:r>
      <w:r w:rsidRPr="00BA0AD1">
        <w:t xml:space="preserve">альных и культурных прав своих граждан. </w:t>
      </w:r>
    </w:p>
    <w:p w:rsidR="00BA0AD1" w:rsidRPr="007D2776" w:rsidRDefault="00BA0AD1" w:rsidP="007D2776">
      <w:pPr>
        <w:pStyle w:val="H23GR"/>
      </w:pPr>
      <w:r w:rsidRPr="007D2776">
        <w:tab/>
        <w:t>6.</w:t>
      </w:r>
      <w:r w:rsidRPr="007D2776">
        <w:tab/>
        <w:t>Законодательная власть</w:t>
      </w:r>
    </w:p>
    <w:p w:rsidR="00BA0AD1" w:rsidRPr="00BA0AD1" w:rsidRDefault="00BA0AD1" w:rsidP="00BA0AD1">
      <w:pPr>
        <w:pStyle w:val="SingleTxtGR"/>
      </w:pPr>
      <w:r w:rsidRPr="00BA0AD1">
        <w:t>34.</w:t>
      </w:r>
      <w:r w:rsidRPr="00BA0AD1">
        <w:tab/>
        <w:t>Проект Закона о защите сексуального, репродуктивного и материнского здоровья был направлен в комиссии по законодательству, кодификации, юст</w:t>
      </w:r>
      <w:r w:rsidRPr="00BA0AD1">
        <w:t>и</w:t>
      </w:r>
      <w:r w:rsidRPr="00BA0AD1">
        <w:t>ции и труду. Проект Закона о борьбе со всеми формами дискриминации напра</w:t>
      </w:r>
      <w:r w:rsidRPr="00BA0AD1">
        <w:t>в</w:t>
      </w:r>
      <w:r w:rsidRPr="00BA0AD1">
        <w:t>лен в комиссии по конституционным вопросам, по национальной обороне и правоохранительным органам. Свое мнение в отношении обоих законопроектов должна высказать и Комиссия по правам человека.</w:t>
      </w:r>
    </w:p>
    <w:p w:rsidR="00BA0AD1" w:rsidRPr="00BA0AD1" w:rsidRDefault="00BA0AD1" w:rsidP="00BA0AD1">
      <w:pPr>
        <w:pStyle w:val="SingleTxtGR"/>
      </w:pPr>
      <w:r w:rsidRPr="00BA0AD1">
        <w:t>35.</w:t>
      </w:r>
      <w:r w:rsidRPr="00BA0AD1">
        <w:tab/>
        <w:t>Своим Постановлением № 35635 от 21 сентября 2011 года МОК отказ</w:t>
      </w:r>
      <w:r w:rsidRPr="00BA0AD1">
        <w:t>а</w:t>
      </w:r>
      <w:r w:rsidRPr="00BA0AD1">
        <w:t>лось осуществлять меры по пропаганде и реализации Педагогической програ</w:t>
      </w:r>
      <w:r w:rsidRPr="00BA0AD1">
        <w:t>м</w:t>
      </w:r>
      <w:r w:rsidRPr="00BA0AD1">
        <w:t>мы комплексного сексуального воспитания, которые должны были начать пр</w:t>
      </w:r>
      <w:r w:rsidRPr="00BA0AD1">
        <w:t>и</w:t>
      </w:r>
      <w:r w:rsidRPr="00BA0AD1">
        <w:t>меняться после рассмотрения данной программы соответствующими органами национальной системы образования. Вместо этого Министерство поручило специальной комиссии разработать в течение восьми месяцев ориентировочный документ. Организации, занимающиеся защитой прав человека, осудили это решение и выступили с заявлением, в котором министру образования и культ</w:t>
      </w:r>
      <w:r w:rsidRPr="00BA0AD1">
        <w:t>у</w:t>
      </w:r>
      <w:r w:rsidRPr="00BA0AD1">
        <w:t>ры предлагается осознать свою ответственность и пересмотреть принятые р</w:t>
      </w:r>
      <w:r w:rsidRPr="00BA0AD1">
        <w:t>е</w:t>
      </w:r>
      <w:r w:rsidRPr="00BA0AD1">
        <w:t>шения, оказав содействие в работе по пропаганде и осуществлению Педагог</w:t>
      </w:r>
      <w:r w:rsidRPr="00BA0AD1">
        <w:t>и</w:t>
      </w:r>
      <w:r w:rsidRPr="00BA0AD1">
        <w:t>ческой программы в 2012 году.</w:t>
      </w:r>
    </w:p>
    <w:p w:rsidR="00BA0AD1" w:rsidRPr="00BA0AD1" w:rsidRDefault="00BA0AD1" w:rsidP="007D2776">
      <w:pPr>
        <w:pStyle w:val="H1GR"/>
      </w:pPr>
      <w:r w:rsidRPr="00BA0AD1">
        <w:tab/>
      </w:r>
      <w:r w:rsidRPr="00BA0AD1">
        <w:tab/>
      </w:r>
      <w:bookmarkStart w:id="8" w:name="_Toc368649099"/>
      <w:r w:rsidRPr="00BA0AD1">
        <w:t>Статья 3</w:t>
      </w:r>
      <w:r w:rsidR="007D2776">
        <w:rPr>
          <w:lang w:val="en-US"/>
        </w:rPr>
        <w:br/>
      </w:r>
      <w:r w:rsidRPr="00BA0AD1">
        <w:t>Равенство мужчин и женщин</w:t>
      </w:r>
      <w:bookmarkEnd w:id="8"/>
      <w:r w:rsidRPr="00BA0AD1">
        <w:t xml:space="preserve"> </w:t>
      </w:r>
    </w:p>
    <w:p w:rsidR="00BA0AD1" w:rsidRPr="00BA0AD1" w:rsidRDefault="00BA0AD1" w:rsidP="00BA0AD1">
      <w:pPr>
        <w:pStyle w:val="SingleTxtGR"/>
      </w:pPr>
      <w:r w:rsidRPr="00BA0AD1">
        <w:t>36.</w:t>
      </w:r>
      <w:r w:rsidRPr="00BA0AD1">
        <w:tab/>
        <w:t>Секретариат по делам женщин при президенте Республики (СДЖПР) в</w:t>
      </w:r>
      <w:r w:rsidRPr="00BA0AD1">
        <w:t>ы</w:t>
      </w:r>
      <w:r w:rsidRPr="00BA0AD1">
        <w:t>ступил инициатором создания Межведомственного совета по мониторингу хода осуществления Конвенции о ликвидации всех форм дискриминации в отнош</w:t>
      </w:r>
      <w:r w:rsidRPr="00BA0AD1">
        <w:t>е</w:t>
      </w:r>
      <w:r w:rsidRPr="00BA0AD1">
        <w:t>нии женщин, в задачи которого входит содействие в выполнении положений Конвенции и надзор за этой работой.</w:t>
      </w:r>
    </w:p>
    <w:p w:rsidR="00BA0AD1" w:rsidRPr="00BA0AD1" w:rsidRDefault="00BA0AD1" w:rsidP="00BA0AD1">
      <w:pPr>
        <w:pStyle w:val="SingleTxtGR"/>
      </w:pPr>
      <w:r w:rsidRPr="00BA0AD1">
        <w:t>37.</w:t>
      </w:r>
      <w:r w:rsidRPr="00BA0AD1">
        <w:tab/>
        <w:t>Законом № 3338/07 Республика Парагвай ратифицировала Конвенцию №</w:t>
      </w:r>
      <w:r w:rsidR="007D2776">
        <w:rPr>
          <w:lang w:val="en-US"/>
        </w:rPr>
        <w:t> </w:t>
      </w:r>
      <w:r w:rsidRPr="00BA0AD1">
        <w:t>156 МОТ 1981 года о равном обращении и равных возможностях для рабо</w:t>
      </w:r>
      <w:r w:rsidRPr="00BA0AD1">
        <w:t>т</w:t>
      </w:r>
      <w:r w:rsidRPr="00BA0AD1">
        <w:t xml:space="preserve">ников </w:t>
      </w:r>
      <w:r w:rsidR="002B7B9B">
        <w:t>−</w:t>
      </w:r>
      <w:r w:rsidRPr="00BA0AD1">
        <w:t xml:space="preserve"> мужчин и женщин с семейными обязанностями.</w:t>
      </w:r>
    </w:p>
    <w:p w:rsidR="00BA0AD1" w:rsidRPr="00BA0AD1" w:rsidRDefault="00BA0AD1" w:rsidP="00BA0AD1">
      <w:pPr>
        <w:pStyle w:val="SingleTxtGR"/>
      </w:pPr>
      <w:r w:rsidRPr="00BA0AD1">
        <w:t>38.</w:t>
      </w:r>
      <w:r w:rsidRPr="00BA0AD1">
        <w:tab/>
        <w:t>В соответствии с рекомендацией, содержащейся в пункте 23 </w:t>
      </w:r>
      <w:proofErr w:type="spellStart"/>
      <w:r w:rsidRPr="00BA0AD1">
        <w:t>d</w:t>
      </w:r>
      <w:proofErr w:type="spellEnd"/>
      <w:r w:rsidRPr="00BA0AD1">
        <w:t>) заключ</w:t>
      </w:r>
      <w:r w:rsidRPr="00BA0AD1">
        <w:t>и</w:t>
      </w:r>
      <w:r w:rsidRPr="00BA0AD1">
        <w:t>тельных замечаний Комитета, и на основании Закона № 3440/2008 о внесении дополнений и изменений в Закон № 1160/97 (Уголовный кодекс) в статью 229 о насилии в семье было введено понятие психологического насилия, и в качестве меры наказания предусматривается лишение свободы на срок до двух лет. Ранее речь шла только о физическом насилии, а меры наказания ограничивались штрафом.</w:t>
      </w:r>
    </w:p>
    <w:p w:rsidR="00BA0AD1" w:rsidRPr="00BA0AD1" w:rsidRDefault="00BA0AD1" w:rsidP="00BA0AD1">
      <w:pPr>
        <w:pStyle w:val="SingleTxtGR"/>
      </w:pPr>
      <w:r w:rsidRPr="00BA0AD1">
        <w:t>39.</w:t>
      </w:r>
      <w:r w:rsidRPr="00BA0AD1">
        <w:tab/>
        <w:t>В рамках Национального плана обеспечения равенства возможностей женщин и мужчин (НПОРВЖМ) на 2008</w:t>
      </w:r>
      <w:r w:rsidR="002B7B9B">
        <w:t>−</w:t>
      </w:r>
      <w:r w:rsidRPr="00BA0AD1">
        <w:t>2017 годы МЮТ с помощью Наци</w:t>
      </w:r>
      <w:r w:rsidRPr="00BA0AD1">
        <w:t>о</w:t>
      </w:r>
      <w:r w:rsidRPr="00BA0AD1">
        <w:t>нальной системы профессионально-технического образования (НСПТО) пров</w:t>
      </w:r>
      <w:r w:rsidRPr="00BA0AD1">
        <w:t>е</w:t>
      </w:r>
      <w:r w:rsidRPr="00BA0AD1">
        <w:t xml:space="preserve">ло в 14 департаментах страны 39 курсов по подготовке женщин, управляющих домашним хозяйством. </w:t>
      </w:r>
    </w:p>
    <w:p w:rsidR="00BA0AD1" w:rsidRPr="00BA0AD1" w:rsidRDefault="00BA0AD1" w:rsidP="00BA0AD1">
      <w:pPr>
        <w:pStyle w:val="SingleTxtGR"/>
      </w:pPr>
      <w:r w:rsidRPr="00BA0AD1">
        <w:t>40.</w:t>
      </w:r>
      <w:r w:rsidRPr="00BA0AD1">
        <w:tab/>
        <w:t>Для учреждений были подготовлены информационные материалы по проблемам насилия в отношении женщин, применявшиеся при проведении кампаний, а также при реализации программ и проектов, о которых подробнее говорится в приложении V.</w:t>
      </w:r>
    </w:p>
    <w:p w:rsidR="00BA0AD1" w:rsidRPr="00BA0AD1" w:rsidRDefault="00BA0AD1" w:rsidP="00BA0AD1">
      <w:pPr>
        <w:pStyle w:val="SingleTxtGR"/>
      </w:pPr>
      <w:r w:rsidRPr="00BA0AD1">
        <w:t>41.</w:t>
      </w:r>
      <w:r w:rsidRPr="00BA0AD1">
        <w:tab/>
        <w:t>В структуре СДЖПР был создан и приступил к работе Совет по наблюд</w:t>
      </w:r>
      <w:r w:rsidRPr="00BA0AD1">
        <w:t>е</w:t>
      </w:r>
      <w:r w:rsidRPr="00BA0AD1">
        <w:t>нию за средствами массовой информации (2009 год), задачей которого является содействие, совместно с Испанским агентством по международному сотрудн</w:t>
      </w:r>
      <w:r w:rsidRPr="00BA0AD1">
        <w:t>и</w:t>
      </w:r>
      <w:r w:rsidRPr="00BA0AD1">
        <w:t xml:space="preserve">честву в интересах развития (ИАМСИР), изменению </w:t>
      </w:r>
      <w:proofErr w:type="spellStart"/>
      <w:r w:rsidRPr="00BA0AD1">
        <w:t>социокультурных</w:t>
      </w:r>
      <w:proofErr w:type="spellEnd"/>
      <w:r w:rsidRPr="00BA0AD1">
        <w:t xml:space="preserve"> стере</w:t>
      </w:r>
      <w:r w:rsidRPr="00BA0AD1">
        <w:t>о</w:t>
      </w:r>
      <w:r w:rsidRPr="00BA0AD1">
        <w:t>типов, способствующих дискриминации и насилию в отношении женщин.</w:t>
      </w:r>
    </w:p>
    <w:p w:rsidR="00BA0AD1" w:rsidRPr="007D2776" w:rsidRDefault="00BA0AD1" w:rsidP="007D2776">
      <w:pPr>
        <w:pStyle w:val="H23GR"/>
      </w:pPr>
      <w:r w:rsidRPr="007D2776">
        <w:tab/>
        <w:t>1.</w:t>
      </w:r>
      <w:r w:rsidRPr="007D2776">
        <w:tab/>
        <w:t>Доступ к правосудию</w:t>
      </w:r>
    </w:p>
    <w:p w:rsidR="00BA0AD1" w:rsidRPr="00BA0AD1" w:rsidRDefault="00BA0AD1" w:rsidP="00BA0AD1">
      <w:pPr>
        <w:pStyle w:val="SingleTxtGR"/>
      </w:pPr>
      <w:r w:rsidRPr="00BA0AD1">
        <w:t>42.</w:t>
      </w:r>
      <w:r w:rsidRPr="00BA0AD1">
        <w:tab/>
        <w:t>Основным достижением судебной власти стало создание в рамках Ве</w:t>
      </w:r>
      <w:r w:rsidRPr="00BA0AD1">
        <w:t>р</w:t>
      </w:r>
      <w:r w:rsidRPr="00BA0AD1">
        <w:t xml:space="preserve">ховного суда (ВС) Секретариата по </w:t>
      </w:r>
      <w:proofErr w:type="spellStart"/>
      <w:r w:rsidRPr="00BA0AD1">
        <w:t>гендерным</w:t>
      </w:r>
      <w:proofErr w:type="spellEnd"/>
      <w:r w:rsidRPr="00BA0AD1">
        <w:t xml:space="preserve"> вопросам (2010 год), который занимается обеспечением прав человека женщин при отправлении правосудия, определяет сферы и меры стратегического характера для обеспечения </w:t>
      </w:r>
      <w:proofErr w:type="spellStart"/>
      <w:r w:rsidRPr="00BA0AD1">
        <w:t>генде</w:t>
      </w:r>
      <w:r w:rsidRPr="00BA0AD1">
        <w:t>р</w:t>
      </w:r>
      <w:r w:rsidRPr="00BA0AD1">
        <w:t>ного</w:t>
      </w:r>
      <w:proofErr w:type="spellEnd"/>
      <w:r w:rsidRPr="00BA0AD1">
        <w:t xml:space="preserve"> равенства и равных возможностей для лиц, обращающихся в органы пр</w:t>
      </w:r>
      <w:r w:rsidRPr="00BA0AD1">
        <w:t>а</w:t>
      </w:r>
      <w:r w:rsidRPr="00BA0AD1">
        <w:t xml:space="preserve">восудия, и для сотрудников этих органов, содействуя тем самым разработке комплексной </w:t>
      </w:r>
      <w:proofErr w:type="spellStart"/>
      <w:r w:rsidRPr="00BA0AD1">
        <w:t>гендерной</w:t>
      </w:r>
      <w:proofErr w:type="spellEnd"/>
      <w:r w:rsidRPr="00BA0AD1">
        <w:t xml:space="preserve"> политики для системы судебной власти.</w:t>
      </w:r>
    </w:p>
    <w:p w:rsidR="00BA0AD1" w:rsidRPr="00BA0AD1" w:rsidRDefault="00BA0AD1" w:rsidP="00BA0AD1">
      <w:pPr>
        <w:pStyle w:val="SingleTxtGR"/>
      </w:pPr>
      <w:r w:rsidRPr="00BA0AD1">
        <w:t>43.</w:t>
      </w:r>
      <w:r w:rsidRPr="00BA0AD1">
        <w:tab/>
        <w:t>ВС принял решение о создании Отдела постоянной помощи (2010 год), который будет принимать заявления о случаях насилия в семье в то время, когда в соответствии со своим графиком обычные органы по работе с населением не функционируют.</w:t>
      </w:r>
    </w:p>
    <w:p w:rsidR="00BA0AD1" w:rsidRPr="00BA0AD1" w:rsidRDefault="00BA0AD1" w:rsidP="00BA0AD1">
      <w:pPr>
        <w:pStyle w:val="SingleTxtGR"/>
      </w:pPr>
      <w:r w:rsidRPr="00BA0AD1">
        <w:t>44.</w:t>
      </w:r>
      <w:r w:rsidRPr="00BA0AD1">
        <w:tab/>
        <w:t>В приложении VI приведены графики, на которых отражена деятельность органов судебной власти по борьбе с бытовым насилием и насилием в семье.</w:t>
      </w:r>
    </w:p>
    <w:p w:rsidR="00BA0AD1" w:rsidRPr="007D2776" w:rsidRDefault="00BA0AD1" w:rsidP="007D2776">
      <w:pPr>
        <w:pStyle w:val="H23GR"/>
      </w:pPr>
      <w:r w:rsidRPr="007D2776">
        <w:tab/>
        <w:t>2.</w:t>
      </w:r>
      <w:r w:rsidRPr="007D2776">
        <w:tab/>
        <w:t>Право на пенсионное обеспечение</w:t>
      </w:r>
    </w:p>
    <w:p w:rsidR="00BA0AD1" w:rsidRPr="00BA0AD1" w:rsidRDefault="00BA0AD1" w:rsidP="00BA0AD1">
      <w:pPr>
        <w:pStyle w:val="SingleTxtGR"/>
      </w:pPr>
      <w:r w:rsidRPr="00BA0AD1">
        <w:t>45.</w:t>
      </w:r>
      <w:r w:rsidRPr="00BA0AD1">
        <w:tab/>
        <w:t>Правовые нормы, на которых основана деятельность Института социал</w:t>
      </w:r>
      <w:r w:rsidRPr="00BA0AD1">
        <w:t>ь</w:t>
      </w:r>
      <w:r w:rsidRPr="00BA0AD1">
        <w:t>ного страхования (ИСС), не предусматривают различий по признаку пола и возраста в отношении требований к взносам и при получении долгосрочных пособий, однако такие различия существуют в отношении доступа к социал</w:t>
      </w:r>
      <w:r w:rsidRPr="00BA0AD1">
        <w:t>ь</w:t>
      </w:r>
      <w:r w:rsidRPr="00BA0AD1">
        <w:t>ному обеспечению, поскольку, для того чтобы получить соответствующее пос</w:t>
      </w:r>
      <w:r w:rsidRPr="00BA0AD1">
        <w:t>о</w:t>
      </w:r>
      <w:r w:rsidRPr="00BA0AD1">
        <w:t>бие, мужчина обязан доказать свою неплатежеспособность и материальную з</w:t>
      </w:r>
      <w:r w:rsidRPr="00BA0AD1">
        <w:t>а</w:t>
      </w:r>
      <w:r w:rsidRPr="00BA0AD1">
        <w:t>висимость от женщины, тогда как в отношении женщин подобное требование не выдвигается, что свидетельствует о том, что женщину не считают лицом, м</w:t>
      </w:r>
      <w:r w:rsidRPr="00BA0AD1">
        <w:t>а</w:t>
      </w:r>
      <w:r w:rsidRPr="00BA0AD1">
        <w:t>териально обеспечивающим домохозяйство.</w:t>
      </w:r>
    </w:p>
    <w:p w:rsidR="00BA0AD1" w:rsidRPr="00BA0AD1" w:rsidRDefault="00BA0AD1" w:rsidP="00BA0AD1">
      <w:pPr>
        <w:pStyle w:val="SingleTxtGR"/>
      </w:pPr>
      <w:r w:rsidRPr="00BA0AD1">
        <w:t>46.</w:t>
      </w:r>
      <w:r w:rsidRPr="00BA0AD1">
        <w:tab/>
        <w:t xml:space="preserve">В 2011 году СДЖПР и Министерство национальной обороны подписали соглашение с целью институционализации применения </w:t>
      </w:r>
      <w:proofErr w:type="spellStart"/>
      <w:r w:rsidRPr="00BA0AD1">
        <w:t>гендерного</w:t>
      </w:r>
      <w:proofErr w:type="spellEnd"/>
      <w:r w:rsidRPr="00BA0AD1">
        <w:t xml:space="preserve"> подхода в политике и деятельности этого Министерства, вооруженных сил, учебных зав</w:t>
      </w:r>
      <w:r w:rsidRPr="00BA0AD1">
        <w:t>е</w:t>
      </w:r>
      <w:r w:rsidRPr="00BA0AD1">
        <w:t xml:space="preserve">дений вооруженных сил; предусматривается также создание в структуре этого Министерства Отдела по </w:t>
      </w:r>
      <w:proofErr w:type="spellStart"/>
      <w:r w:rsidRPr="00BA0AD1">
        <w:t>гендерным</w:t>
      </w:r>
      <w:proofErr w:type="spellEnd"/>
      <w:r w:rsidRPr="00BA0AD1">
        <w:t xml:space="preserve"> вопросам.</w:t>
      </w:r>
    </w:p>
    <w:p w:rsidR="00BA0AD1" w:rsidRPr="00BA0AD1" w:rsidRDefault="00BA0AD1" w:rsidP="007D2776">
      <w:pPr>
        <w:pStyle w:val="H1GR"/>
      </w:pPr>
      <w:r w:rsidRPr="00BA0AD1">
        <w:tab/>
      </w:r>
      <w:r w:rsidRPr="00BA0AD1">
        <w:tab/>
      </w:r>
      <w:bookmarkStart w:id="9" w:name="_Toc368649100"/>
      <w:r w:rsidRPr="00BA0AD1">
        <w:t>Статья 4</w:t>
      </w:r>
      <w:r w:rsidR="007D2776">
        <w:rPr>
          <w:lang w:val="en-US"/>
        </w:rPr>
        <w:br/>
      </w:r>
      <w:r w:rsidRPr="00BA0AD1">
        <w:t>Ограничения на осуществление прав</w:t>
      </w:r>
      <w:bookmarkEnd w:id="9"/>
      <w:r w:rsidRPr="00BA0AD1">
        <w:t xml:space="preserve"> </w:t>
      </w:r>
    </w:p>
    <w:p w:rsidR="00BA0AD1" w:rsidRPr="00BA0AD1" w:rsidRDefault="00BA0AD1" w:rsidP="00BA0AD1">
      <w:pPr>
        <w:pStyle w:val="SingleTxtGR"/>
        <w:rPr>
          <w:b/>
        </w:rPr>
      </w:pPr>
      <w:r w:rsidRPr="00BA0AD1">
        <w:t>47.</w:t>
      </w:r>
      <w:r w:rsidRPr="00BA0AD1">
        <w:tab/>
        <w:t>С 2008 года по настоящее время никакие положения международных д</w:t>
      </w:r>
      <w:r w:rsidRPr="00BA0AD1">
        <w:t>о</w:t>
      </w:r>
      <w:r w:rsidRPr="00BA0AD1">
        <w:t>говоров, ратифицированных Республикой Парагвай, не были отменены, сокр</w:t>
      </w:r>
      <w:r w:rsidRPr="00BA0AD1">
        <w:t>а</w:t>
      </w:r>
      <w:r w:rsidRPr="00BA0AD1">
        <w:t xml:space="preserve">щены или ограничены. </w:t>
      </w:r>
    </w:p>
    <w:p w:rsidR="00BA0AD1" w:rsidRPr="00BA0AD1" w:rsidRDefault="00BA0AD1" w:rsidP="007D2776">
      <w:pPr>
        <w:pStyle w:val="H1GR"/>
      </w:pPr>
      <w:r w:rsidRPr="00BA0AD1">
        <w:tab/>
      </w:r>
      <w:r w:rsidRPr="00BA0AD1">
        <w:tab/>
      </w:r>
      <w:bookmarkStart w:id="10" w:name="_Toc368649101"/>
      <w:r w:rsidRPr="00BA0AD1">
        <w:t>Статья 5</w:t>
      </w:r>
      <w:r w:rsidR="007D2776">
        <w:rPr>
          <w:lang w:val="en-US"/>
        </w:rPr>
        <w:br/>
      </w:r>
      <w:r w:rsidRPr="00BA0AD1">
        <w:t>Критерии толкования Пакта</w:t>
      </w:r>
      <w:bookmarkEnd w:id="10"/>
      <w:r w:rsidRPr="00BA0AD1">
        <w:t xml:space="preserve"> </w:t>
      </w:r>
    </w:p>
    <w:p w:rsidR="00BA0AD1" w:rsidRPr="00BA0AD1" w:rsidRDefault="00BA0AD1" w:rsidP="00BA0AD1">
      <w:pPr>
        <w:pStyle w:val="SingleTxtGR"/>
      </w:pPr>
      <w:r w:rsidRPr="00BA0AD1">
        <w:t>48.</w:t>
      </w:r>
      <w:r w:rsidRPr="00BA0AD1">
        <w:tab/>
        <w:t>Во втором разделе статьи 1 Национальной конституции (НК), в которой провозглашается признание человеческого достоинства, закрепляется подход, ориентированный на интересы личности. Равным образом, в соответствии с т</w:t>
      </w:r>
      <w:r w:rsidRPr="00BA0AD1">
        <w:t>а</w:t>
      </w:r>
      <w:r w:rsidRPr="00BA0AD1">
        <w:t>ким подходом в статье 45 предусматривается, что отсутствие нормы, закре</w:t>
      </w:r>
      <w:r w:rsidRPr="00BA0AD1">
        <w:t>п</w:t>
      </w:r>
      <w:r w:rsidRPr="00BA0AD1">
        <w:t>ляющей право, не означает его непризнания. Кроме того, отсутствие регламе</w:t>
      </w:r>
      <w:r w:rsidRPr="00BA0AD1">
        <w:t>н</w:t>
      </w:r>
      <w:r w:rsidRPr="00BA0AD1">
        <w:t xml:space="preserve">тирующего закона не может служить предлогом для отрицания или ущемления какого бы то ни было права или гарантии. </w:t>
      </w:r>
    </w:p>
    <w:p w:rsidR="00BA0AD1" w:rsidRPr="00BA0AD1" w:rsidRDefault="00BA0AD1" w:rsidP="00BA0AD1">
      <w:pPr>
        <w:pStyle w:val="SingleTxtGR"/>
      </w:pPr>
      <w:r w:rsidRPr="00BA0AD1">
        <w:t>49.</w:t>
      </w:r>
      <w:r w:rsidRPr="00BA0AD1">
        <w:tab/>
        <w:t>НК признает наднациональную правовую систему в качестве верховной юрисдикции для надзора за реальным обеспечением прав человека (статья 145).</w:t>
      </w:r>
    </w:p>
    <w:p w:rsidR="00BA0AD1" w:rsidRPr="00BA0AD1" w:rsidRDefault="00BA0AD1" w:rsidP="007D2776">
      <w:pPr>
        <w:pStyle w:val="H1GR"/>
      </w:pPr>
      <w:r w:rsidRPr="00BA0AD1">
        <w:tab/>
      </w:r>
      <w:r w:rsidRPr="00BA0AD1">
        <w:tab/>
      </w:r>
      <w:bookmarkStart w:id="11" w:name="_Toc368649102"/>
      <w:r w:rsidRPr="00BA0AD1">
        <w:t>Статья 6</w:t>
      </w:r>
      <w:r w:rsidR="007D2776">
        <w:rPr>
          <w:lang w:val="en-US"/>
        </w:rPr>
        <w:br/>
      </w:r>
      <w:r w:rsidRPr="00BA0AD1">
        <w:t>Право на труд</w:t>
      </w:r>
      <w:bookmarkEnd w:id="11"/>
      <w:r w:rsidRPr="00BA0AD1">
        <w:t xml:space="preserve"> </w:t>
      </w:r>
    </w:p>
    <w:p w:rsidR="00BA0AD1" w:rsidRPr="00BA0AD1" w:rsidRDefault="00BA0AD1" w:rsidP="00BA0AD1">
      <w:pPr>
        <w:pStyle w:val="SingleTxtGR"/>
      </w:pPr>
      <w:r w:rsidRPr="00BA0AD1">
        <w:t>50.</w:t>
      </w:r>
      <w:r w:rsidRPr="00BA0AD1">
        <w:tab/>
        <w:t>Основная программа обеспечения временной занятости "</w:t>
      </w:r>
      <w:proofErr w:type="spellStart"/>
      <w:r w:rsidRPr="00BA0AD1">
        <w:t>Ньямба’апо</w:t>
      </w:r>
      <w:proofErr w:type="spellEnd"/>
      <w:r w:rsidRPr="00BA0AD1">
        <w:t xml:space="preserve"> П</w:t>
      </w:r>
      <w:r w:rsidRPr="00BA0AD1">
        <w:t>а</w:t>
      </w:r>
      <w:r w:rsidRPr="00BA0AD1">
        <w:t>рагвай" ("За работу, Парагвай") предоставляет лицам, имеющим проблемы с трудоустройством, возможности для формирования или совершенствования своих трудовых навыков и последующего устройства на работу, предусматривая с этой целью осуществление социальных и образовательных стратегий, обесп</w:t>
      </w:r>
      <w:r w:rsidRPr="00BA0AD1">
        <w:t>е</w:t>
      </w:r>
      <w:r w:rsidRPr="00BA0AD1">
        <w:t>чивающих достойную работу с учетом потребностей местного развития. Ос</w:t>
      </w:r>
      <w:r w:rsidRPr="00BA0AD1">
        <w:t>о</w:t>
      </w:r>
      <w:r w:rsidRPr="00BA0AD1">
        <w:t>бое внимание при этом уделяется профессиональному обучению участников данной программы и заключению трудовых соглашений с предприятиями</w:t>
      </w:r>
      <w:r w:rsidRPr="007713F6">
        <w:rPr>
          <w:sz w:val="18"/>
          <w:szCs w:val="18"/>
          <w:vertAlign w:val="superscript"/>
        </w:rPr>
        <w:footnoteReference w:id="14"/>
      </w:r>
      <w:r w:rsidRPr="00BA0AD1">
        <w:t xml:space="preserve">. </w:t>
      </w:r>
    </w:p>
    <w:p w:rsidR="00BA0AD1" w:rsidRPr="00BA0AD1" w:rsidRDefault="00BA0AD1" w:rsidP="00BA0AD1">
      <w:pPr>
        <w:pStyle w:val="SingleTxtGR"/>
      </w:pPr>
      <w:r w:rsidRPr="00BA0AD1">
        <w:t>51.</w:t>
      </w:r>
      <w:r w:rsidRPr="00BA0AD1">
        <w:tab/>
        <w:t xml:space="preserve">В 2010 году и первом полугодии 2012 года СДЖПР и МСХЖ провели курс обучения по </w:t>
      </w:r>
      <w:proofErr w:type="spellStart"/>
      <w:r w:rsidRPr="00BA0AD1">
        <w:t>гендерной</w:t>
      </w:r>
      <w:proofErr w:type="spellEnd"/>
      <w:r w:rsidRPr="00BA0AD1">
        <w:t xml:space="preserve"> проблематике для 512 сотрудников МСХЖ и 300 технических работников Механизма кредитования сельского хозяйства (МКСХ), специалистов по вопросам развития сельского хозяйства, плановых и руководящих работников, региональных координаторов и 50 специалистов по вопросам развития сельского хозяйства, работающих на местах.</w:t>
      </w:r>
    </w:p>
    <w:p w:rsidR="00BA0AD1" w:rsidRPr="00BA0AD1" w:rsidRDefault="00BA0AD1" w:rsidP="00BA0AD1">
      <w:pPr>
        <w:pStyle w:val="SingleTxtGR"/>
      </w:pPr>
      <w:r w:rsidRPr="00BA0AD1">
        <w:t>52.</w:t>
      </w:r>
      <w:r w:rsidRPr="00BA0AD1">
        <w:tab/>
        <w:t>СДЖПР в рамках финансируемого ФАО Проекта технического содейс</w:t>
      </w:r>
      <w:r w:rsidRPr="00BA0AD1">
        <w:t>т</w:t>
      </w:r>
      <w:r w:rsidRPr="00BA0AD1">
        <w:t>вия в привлечении сельских женщин к развитию сельского хозяйства и обесп</w:t>
      </w:r>
      <w:r w:rsidRPr="00BA0AD1">
        <w:t>е</w:t>
      </w:r>
      <w:r w:rsidRPr="00BA0AD1">
        <w:t xml:space="preserve">чению продовольственной безопасности Парагвая обеспечивает осуществление Региональной </w:t>
      </w:r>
      <w:proofErr w:type="spellStart"/>
      <w:r w:rsidRPr="00BA0AD1">
        <w:t>гендерной</w:t>
      </w:r>
      <w:proofErr w:type="spellEnd"/>
      <w:r w:rsidRPr="00BA0AD1">
        <w:t xml:space="preserve"> программы Специального совещания по проблемам семейного фермерства (РЕАФ) МЕРКОСУР.</w:t>
      </w:r>
    </w:p>
    <w:p w:rsidR="00BA0AD1" w:rsidRPr="00BA0AD1" w:rsidRDefault="00BA0AD1" w:rsidP="00BA0AD1">
      <w:pPr>
        <w:pStyle w:val="SingleTxtGR"/>
      </w:pPr>
      <w:r w:rsidRPr="00BA0AD1">
        <w:t>53.</w:t>
      </w:r>
      <w:r w:rsidRPr="00BA0AD1">
        <w:tab/>
        <w:t xml:space="preserve">В Асунсьоне и в Центральном департаменте </w:t>
      </w:r>
      <w:proofErr w:type="spellStart"/>
      <w:r w:rsidRPr="00BA0AD1">
        <w:t>микрокредиты</w:t>
      </w:r>
      <w:proofErr w:type="spellEnd"/>
      <w:r w:rsidRPr="00BA0AD1">
        <w:t xml:space="preserve"> получили в общей сложности 2424 женщины (Соглашение между СДЖПР и Фондом </w:t>
      </w:r>
      <w:proofErr w:type="spellStart"/>
      <w:r w:rsidRPr="00BA0AD1">
        <w:t>Ми</w:t>
      </w:r>
      <w:r w:rsidRPr="00BA0AD1">
        <w:t>к</w:t>
      </w:r>
      <w:r w:rsidRPr="00BA0AD1">
        <w:t>росоль</w:t>
      </w:r>
      <w:proofErr w:type="spellEnd"/>
      <w:r w:rsidRPr="00BA0AD1">
        <w:t>/</w:t>
      </w:r>
      <w:proofErr w:type="spellStart"/>
      <w:r w:rsidRPr="00BA0AD1">
        <w:t>Хогераа</w:t>
      </w:r>
      <w:proofErr w:type="spellEnd"/>
      <w:r w:rsidRPr="00BA0AD1">
        <w:t>).</w:t>
      </w:r>
    </w:p>
    <w:p w:rsidR="00BA0AD1" w:rsidRPr="00BA0AD1" w:rsidRDefault="00BA0AD1" w:rsidP="00BA0AD1">
      <w:pPr>
        <w:pStyle w:val="SingleTxtGR"/>
        <w:rPr>
          <w:bCs/>
        </w:rPr>
      </w:pPr>
      <w:r w:rsidRPr="00BA0AD1">
        <w:t>54.</w:t>
      </w:r>
      <w:r w:rsidRPr="00BA0AD1">
        <w:tab/>
        <w:t>СДЖПР, МПТ и Фонд структурной конвергенции МЕРКОСУР (ФОСЕМ) содействовали наращиванию потенциала четырех женских организаций ("Же</w:t>
      </w:r>
      <w:r w:rsidRPr="00BA0AD1">
        <w:t>н</w:t>
      </w:r>
      <w:r w:rsidRPr="00BA0AD1">
        <w:t xml:space="preserve">щины-швеи </w:t>
      </w:r>
      <w:proofErr w:type="spellStart"/>
      <w:r w:rsidRPr="00BA0AD1">
        <w:t>Вальеми</w:t>
      </w:r>
      <w:proofErr w:type="spellEnd"/>
      <w:r w:rsidRPr="00BA0AD1">
        <w:t xml:space="preserve">", "Народная женская ассоциация", "Комитет женщин </w:t>
      </w:r>
      <w:proofErr w:type="spellStart"/>
      <w:r w:rsidRPr="00BA0AD1">
        <w:t>К</w:t>
      </w:r>
      <w:r w:rsidRPr="00BA0AD1">
        <w:t>у</w:t>
      </w:r>
      <w:r w:rsidRPr="00BA0AD1">
        <w:t>нья-Гуапа</w:t>
      </w:r>
      <w:proofErr w:type="spellEnd"/>
      <w:r w:rsidRPr="00BA0AD1">
        <w:t xml:space="preserve">" и "Женская комиссия </w:t>
      </w:r>
      <w:proofErr w:type="spellStart"/>
      <w:r w:rsidRPr="00BA0AD1">
        <w:t>Ирибукуа</w:t>
      </w:r>
      <w:proofErr w:type="spellEnd"/>
      <w:r w:rsidRPr="00BA0AD1">
        <w:t xml:space="preserve">") и в закупке оборудования для швейных цехов в городах </w:t>
      </w:r>
      <w:proofErr w:type="spellStart"/>
      <w:r w:rsidRPr="00BA0AD1">
        <w:t>Консепсьон</w:t>
      </w:r>
      <w:proofErr w:type="spellEnd"/>
      <w:r w:rsidRPr="00BA0AD1">
        <w:t xml:space="preserve"> и Сан-Педро.</w:t>
      </w:r>
    </w:p>
    <w:p w:rsidR="00BA0AD1" w:rsidRPr="00BA0AD1" w:rsidRDefault="00BA0AD1" w:rsidP="00BA0AD1">
      <w:pPr>
        <w:pStyle w:val="SingleTxtGR"/>
      </w:pPr>
      <w:r w:rsidRPr="00BA0AD1">
        <w:t>55.</w:t>
      </w:r>
      <w:r w:rsidRPr="00BA0AD1">
        <w:tab/>
        <w:t>ИНДИ с помощью своего Управления по развитию этнических общин и на основании договоренностей с общинами оказывает содействие в развитии производительного труда семей коренного населения. Институт помогает о</w:t>
      </w:r>
      <w:r w:rsidRPr="00BA0AD1">
        <w:t>б</w:t>
      </w:r>
      <w:r w:rsidRPr="00BA0AD1">
        <w:t>щинным организациям генерировать доходы, разрабатывает конкретные пр</w:t>
      </w:r>
      <w:r w:rsidRPr="00BA0AD1">
        <w:t>о</w:t>
      </w:r>
      <w:r w:rsidRPr="00BA0AD1">
        <w:t>граммы для каждого коренного народа в сельских и в городских районах и пр</w:t>
      </w:r>
      <w:r w:rsidRPr="00BA0AD1">
        <w:t>о</w:t>
      </w:r>
      <w:r w:rsidRPr="00BA0AD1">
        <w:t>водит ярмарки кустарных промыслов.</w:t>
      </w:r>
    </w:p>
    <w:p w:rsidR="00BA0AD1" w:rsidRPr="00BA0AD1" w:rsidRDefault="00BA0AD1" w:rsidP="00BA0AD1">
      <w:pPr>
        <w:pStyle w:val="SingleTxtGR"/>
      </w:pPr>
      <w:r w:rsidRPr="00BA0AD1">
        <w:t>56.</w:t>
      </w:r>
      <w:r w:rsidRPr="00BA0AD1">
        <w:tab/>
        <w:t>МЮТ при поддержке со стороны Организации Объединенных Наций ра</w:t>
      </w:r>
      <w:r w:rsidRPr="00BA0AD1">
        <w:t>з</w:t>
      </w:r>
      <w:r w:rsidRPr="00BA0AD1">
        <w:t>рабатывает политические программы, направленные на искоренение принуд</w:t>
      </w:r>
      <w:r w:rsidRPr="00BA0AD1">
        <w:t>и</w:t>
      </w:r>
      <w:r w:rsidRPr="00BA0AD1">
        <w:t>тельного труда и других форм рабства. В рамках программы наращивания п</w:t>
      </w:r>
      <w:r w:rsidRPr="00BA0AD1">
        <w:t>о</w:t>
      </w:r>
      <w:r w:rsidRPr="00BA0AD1">
        <w:t>тенциала Национального центра помощи представителям коренного населения (СЕНАДИ) организованы прием и передача по инстанциям жалоб, заявлений и предложений представителей коренного населения.</w:t>
      </w:r>
    </w:p>
    <w:p w:rsidR="00BA0AD1" w:rsidRPr="00BA0AD1" w:rsidRDefault="00BA0AD1" w:rsidP="007D2776">
      <w:pPr>
        <w:pStyle w:val="SingleTxtGR"/>
        <w:keepLines/>
      </w:pPr>
      <w:r w:rsidRPr="00BA0AD1">
        <w:t>57.</w:t>
      </w:r>
      <w:r w:rsidRPr="00BA0AD1">
        <w:tab/>
        <w:t>В 2010 году, после создания в структуре МЮТ Межведомственной к</w:t>
      </w:r>
      <w:r w:rsidRPr="00BA0AD1">
        <w:t>о</w:t>
      </w:r>
      <w:r w:rsidRPr="00BA0AD1">
        <w:t>миссии по борьбе с принудительным трудом, была принята Национальная стр</w:t>
      </w:r>
      <w:r w:rsidRPr="00BA0AD1">
        <w:t>а</w:t>
      </w:r>
      <w:r w:rsidRPr="00BA0AD1">
        <w:t>тегия искоренения детского труда и защиты подростков, которая решает п</w:t>
      </w:r>
      <w:r w:rsidRPr="00BA0AD1">
        <w:t>о</w:t>
      </w:r>
      <w:r w:rsidRPr="00BA0AD1">
        <w:t>ставленные перед ней задачи совместно с Национальным секретариатом по д</w:t>
      </w:r>
      <w:r w:rsidRPr="00BA0AD1">
        <w:t>е</w:t>
      </w:r>
      <w:r w:rsidRPr="00BA0AD1">
        <w:t>лам детей и подростков (НСДДП) и ИНДИ.</w:t>
      </w:r>
    </w:p>
    <w:p w:rsidR="00BA0AD1" w:rsidRPr="007D2776" w:rsidRDefault="00BA0AD1" w:rsidP="007D2776">
      <w:pPr>
        <w:pStyle w:val="H23GR"/>
      </w:pPr>
      <w:r w:rsidRPr="007D2776">
        <w:tab/>
        <w:t>1.</w:t>
      </w:r>
      <w:r w:rsidRPr="007D2776">
        <w:tab/>
        <w:t>Доступ к труду для лиц с инвалидностью</w:t>
      </w:r>
    </w:p>
    <w:p w:rsidR="00BA0AD1" w:rsidRPr="00BA0AD1" w:rsidRDefault="00BA0AD1" w:rsidP="00BA0AD1">
      <w:pPr>
        <w:pStyle w:val="SingleTxtGR"/>
      </w:pPr>
      <w:r w:rsidRPr="00BA0AD1">
        <w:rPr>
          <w:bCs/>
        </w:rPr>
        <w:t>58.</w:t>
      </w:r>
      <w:r w:rsidRPr="00BA0AD1">
        <w:rPr>
          <w:bCs/>
        </w:rPr>
        <w:tab/>
        <w:t xml:space="preserve">В 2009 году на </w:t>
      </w:r>
      <w:r w:rsidRPr="00BA0AD1">
        <w:t>МГС была возложена ответственность за осуществление Закона № 3585/08 о внесении изменений и дополнений в Закон № 2479/04, пр</w:t>
      </w:r>
      <w:r w:rsidRPr="00BA0AD1">
        <w:t>е</w:t>
      </w:r>
      <w:r w:rsidRPr="00BA0AD1">
        <w:t>дусматривающий обязательность приема инвалидов на работу в государстве</w:t>
      </w:r>
      <w:r w:rsidRPr="00BA0AD1">
        <w:t>н</w:t>
      </w:r>
      <w:r w:rsidRPr="00BA0AD1">
        <w:t xml:space="preserve">ные учреждения. </w:t>
      </w:r>
    </w:p>
    <w:p w:rsidR="00BA0AD1" w:rsidRPr="00BA0AD1" w:rsidRDefault="00BA0AD1" w:rsidP="00BA0AD1">
      <w:pPr>
        <w:pStyle w:val="SingleTxtGR"/>
      </w:pPr>
      <w:r w:rsidRPr="00BA0AD1">
        <w:t>59.</w:t>
      </w:r>
      <w:r w:rsidRPr="00BA0AD1">
        <w:tab/>
        <w:t>МГС запросило для 66 учреждений бюджетные ассигнования, с тем чт</w:t>
      </w:r>
      <w:r w:rsidRPr="00BA0AD1">
        <w:t>о</w:t>
      </w:r>
      <w:r w:rsidRPr="00BA0AD1">
        <w:t>бы в соответствии с упомянутой выше нормой инвалиды составляли 5</w:t>
      </w:r>
      <w:r w:rsidR="004849A7">
        <w:t xml:space="preserve">% </w:t>
      </w:r>
      <w:r w:rsidRPr="00BA0AD1">
        <w:t>шт</w:t>
      </w:r>
      <w:r w:rsidRPr="00BA0AD1">
        <w:t>а</w:t>
      </w:r>
      <w:r w:rsidRPr="00BA0AD1">
        <w:t>та их сотрудников. В августе 2008 года на государственной службе состояли 186 лиц с инвалидностью, а в марте 2010 года общая численность инвалидов среди государственных служащих составила 553, и, таким образом, за 18 мес</w:t>
      </w:r>
      <w:r w:rsidRPr="00BA0AD1">
        <w:t>я</w:t>
      </w:r>
      <w:r w:rsidRPr="00BA0AD1">
        <w:t>цев этот показатель вырос более чем на 200</w:t>
      </w:r>
      <w:r w:rsidR="004849A7">
        <w:t>%</w:t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60.</w:t>
      </w:r>
      <w:r w:rsidRPr="00BA0AD1">
        <w:tab/>
        <w:t>Верховный суд и Фонд Сараки намерены подписать в 2011 году соглаш</w:t>
      </w:r>
      <w:r w:rsidRPr="00BA0AD1">
        <w:t>е</w:t>
      </w:r>
      <w:r w:rsidRPr="00BA0AD1">
        <w:t>ние о начале осуществления Программы реального трудоустройства, которая позволила бы довести долю лиц с инвалидностью среди сотрудников ВС до предусмотренных законом 5</w:t>
      </w:r>
      <w:r w:rsidR="004849A7">
        <w:t>%</w:t>
      </w:r>
      <w:r w:rsidRPr="00BA0AD1">
        <w:t>.</w:t>
      </w:r>
    </w:p>
    <w:p w:rsidR="00BA0AD1" w:rsidRPr="007D2776" w:rsidRDefault="00BA0AD1" w:rsidP="007D2776">
      <w:pPr>
        <w:pStyle w:val="H23GR"/>
      </w:pPr>
      <w:r w:rsidRPr="007D2776">
        <w:tab/>
        <w:t>2.</w:t>
      </w:r>
      <w:r w:rsidRPr="007D2776">
        <w:tab/>
        <w:t>Интеграция пожилых людей</w:t>
      </w:r>
    </w:p>
    <w:p w:rsidR="00BA0AD1" w:rsidRPr="00BA0AD1" w:rsidRDefault="00BA0AD1" w:rsidP="00BA0AD1">
      <w:pPr>
        <w:pStyle w:val="SingleTxtGR"/>
        <w:rPr>
          <w:b/>
        </w:rPr>
      </w:pPr>
      <w:r w:rsidRPr="00BA0AD1">
        <w:t>61.</w:t>
      </w:r>
      <w:r w:rsidRPr="00BA0AD1">
        <w:tab/>
        <w:t>В рамках Проекта поддержки и социальной интеграции пожилых людей, реализация которого началось в 2009 году, осуществляется финансирование 14 социальных проектов, имеющих целью привлечение таких находящихся в неблагоприятном положении людей к участию в жизни своих общин и к выпо</w:t>
      </w:r>
      <w:r w:rsidRPr="00BA0AD1">
        <w:t>л</w:t>
      </w:r>
      <w:r w:rsidRPr="00BA0AD1">
        <w:t>нению новых социальных ролей. Кроме того, налажено предоставление мал</w:t>
      </w:r>
      <w:r w:rsidRPr="00BA0AD1">
        <w:t>о</w:t>
      </w:r>
      <w:r w:rsidRPr="00BA0AD1">
        <w:t>обеспеченным людям и иждивенцам социальных услуг по охране здоровья. П</w:t>
      </w:r>
      <w:r w:rsidRPr="00BA0AD1">
        <w:t>о</w:t>
      </w:r>
      <w:r w:rsidRPr="00BA0AD1">
        <w:t>тенциальное число бенефициаров этого проекта достигает 7700 человек.</w:t>
      </w:r>
    </w:p>
    <w:p w:rsidR="00BA0AD1" w:rsidRPr="00BA0AD1" w:rsidRDefault="00BA0AD1" w:rsidP="007D2776">
      <w:pPr>
        <w:pStyle w:val="H1GR"/>
      </w:pPr>
      <w:r w:rsidRPr="00BA0AD1">
        <w:tab/>
      </w:r>
      <w:r w:rsidRPr="00BA0AD1">
        <w:tab/>
      </w:r>
      <w:bookmarkStart w:id="12" w:name="_Toc368649103"/>
      <w:r w:rsidRPr="00BA0AD1">
        <w:t>Статья 7</w:t>
      </w:r>
      <w:r w:rsidR="007D2776">
        <w:rPr>
          <w:lang w:val="en-US"/>
        </w:rPr>
        <w:br/>
      </w:r>
      <w:r w:rsidRPr="00BA0AD1">
        <w:t>Условия труда</w:t>
      </w:r>
      <w:bookmarkEnd w:id="12"/>
    </w:p>
    <w:p w:rsidR="00BA0AD1" w:rsidRPr="00BA0AD1" w:rsidRDefault="00BA0AD1" w:rsidP="00BA0AD1">
      <w:pPr>
        <w:pStyle w:val="SingleTxtGR"/>
        <w:rPr>
          <w:b/>
          <w:bCs/>
        </w:rPr>
      </w:pPr>
      <w:r w:rsidRPr="00BA0AD1">
        <w:t>62.</w:t>
      </w:r>
      <w:r w:rsidRPr="00BA0AD1">
        <w:tab/>
        <w:t>Работники трудовой инспекции, посредники и ревизоры прошли подг</w:t>
      </w:r>
      <w:r w:rsidRPr="00BA0AD1">
        <w:t>о</w:t>
      </w:r>
      <w:r w:rsidRPr="00BA0AD1">
        <w:t>товку по нормативам, регулирующим труд домашней прислуги и детский труд в опасных условиях. В соответствии с Конвенциями № 138 и № 182 МОТ среди персонала Промышленного союза Парагвая (ПСП) проведена разъяснительная работа по проблемам детского труда в опасных условиях и Закона № 1657/01 о ратификации Конвенции № 182 и Рекомендации о</w:t>
      </w:r>
      <w:r w:rsidRPr="00BA0AD1">
        <w:rPr>
          <w:bCs/>
        </w:rPr>
        <w:t xml:space="preserve"> запрещении и немедленных мерах по искоренению наихудших форм детского труда. Декретом № </w:t>
      </w:r>
      <w:r w:rsidRPr="00BA0AD1">
        <w:t>4951/2005 принят Регламент к Закону № 1657/01 и перечень форм детского труда в опа</w:t>
      </w:r>
      <w:r w:rsidRPr="00BA0AD1">
        <w:t>с</w:t>
      </w:r>
      <w:r w:rsidRPr="00BA0AD1">
        <w:t xml:space="preserve">ных условиях. Были усилены меры контроля в известняковых карьерах </w:t>
      </w:r>
      <w:proofErr w:type="spellStart"/>
      <w:r w:rsidRPr="00BA0AD1">
        <w:t>Валь</w:t>
      </w:r>
      <w:r w:rsidRPr="00BA0AD1">
        <w:t>е</w:t>
      </w:r>
      <w:r w:rsidRPr="00BA0AD1">
        <w:t>ми</w:t>
      </w:r>
      <w:proofErr w:type="spellEnd"/>
      <w:r w:rsidRPr="00BA0AD1">
        <w:t xml:space="preserve">, мраморных карьерах в </w:t>
      </w:r>
      <w:proofErr w:type="spellStart"/>
      <w:r w:rsidRPr="00BA0AD1">
        <w:t>Тобати</w:t>
      </w:r>
      <w:proofErr w:type="spellEnd"/>
      <w:r w:rsidRPr="00BA0AD1">
        <w:t xml:space="preserve"> и на плантациях сахарного тростника.</w:t>
      </w:r>
    </w:p>
    <w:p w:rsidR="00BA0AD1" w:rsidRPr="00BA0AD1" w:rsidRDefault="00BA0AD1" w:rsidP="00BA0AD1">
      <w:pPr>
        <w:pStyle w:val="SingleTxtGR"/>
      </w:pPr>
      <w:r w:rsidRPr="00BA0AD1">
        <w:t>63.</w:t>
      </w:r>
      <w:r w:rsidRPr="00BA0AD1">
        <w:tab/>
        <w:t>Проблемы участия женщин в структурированном рынке труда и сохр</w:t>
      </w:r>
      <w:r w:rsidRPr="00BA0AD1">
        <w:t>а</w:t>
      </w:r>
      <w:r w:rsidRPr="00BA0AD1">
        <w:t>няющиеся диспропорции в уровне оплаты их труда в сравнении с мужчинами стали предметом диалога между предпринимателями, профсоюзами и гражда</w:t>
      </w:r>
      <w:r w:rsidRPr="00BA0AD1">
        <w:t>н</w:t>
      </w:r>
      <w:r w:rsidRPr="00BA0AD1">
        <w:t>ским обществом в процессе ратификации Конвенции № 156 МОТ.</w:t>
      </w:r>
    </w:p>
    <w:p w:rsidR="00BA0AD1" w:rsidRPr="00BA0AD1" w:rsidRDefault="00BA0AD1" w:rsidP="00BA0AD1">
      <w:pPr>
        <w:pStyle w:val="SingleTxtGR"/>
      </w:pPr>
      <w:r w:rsidRPr="00BA0AD1">
        <w:t>64.</w:t>
      </w:r>
      <w:r w:rsidRPr="00BA0AD1">
        <w:tab/>
        <w:t>В целях выполнения нормы, предусматривающей обязательное создание детских яслей на предприятиях с числом работающих (как мужчин, так и же</w:t>
      </w:r>
      <w:r w:rsidRPr="00BA0AD1">
        <w:t>н</w:t>
      </w:r>
      <w:r w:rsidRPr="00BA0AD1">
        <w:t>щин) не менее 50 человек, был образован межведомственный орган, в состав которого вошли МЮТ, СДЖПР, МОК и МЗСО.</w:t>
      </w:r>
    </w:p>
    <w:p w:rsidR="00BA0AD1" w:rsidRPr="00BA0AD1" w:rsidRDefault="00BA0AD1" w:rsidP="00BA0AD1">
      <w:pPr>
        <w:pStyle w:val="SingleTxtGR"/>
      </w:pPr>
      <w:r w:rsidRPr="00BA0AD1">
        <w:t>65.</w:t>
      </w:r>
      <w:r w:rsidRPr="00BA0AD1">
        <w:tab/>
        <w:t>В рамках соглашения между СДЖПР и ИСС в 2009 году удалось расш</w:t>
      </w:r>
      <w:r w:rsidRPr="00BA0AD1">
        <w:t>и</w:t>
      </w:r>
      <w:r w:rsidRPr="00BA0AD1">
        <w:t xml:space="preserve">рить по всей стране охват медицинскими услугами, услугами стоматологов, больничным лечением, предоставлением лекарств, протезов и ортопедических приспособлений, а для женщин </w:t>
      </w:r>
      <w:r w:rsidR="002B7B9B">
        <w:t>−</w:t>
      </w:r>
      <w:r w:rsidRPr="00BA0AD1">
        <w:t xml:space="preserve"> услугами дородового патронажа, родовсп</w:t>
      </w:r>
      <w:r w:rsidRPr="00BA0AD1">
        <w:t>о</w:t>
      </w:r>
      <w:r w:rsidRPr="00BA0AD1">
        <w:t>можения и обеспечения молоком в случае проблем с грудным вскармливанием. Согласно имеющимся данным, в 2011 году были застрахованы 13 640 работа</w:t>
      </w:r>
      <w:r w:rsidRPr="00BA0AD1">
        <w:t>ю</w:t>
      </w:r>
      <w:r w:rsidRPr="00BA0AD1">
        <w:t xml:space="preserve">щих женщин и члены их семей </w:t>
      </w:r>
      <w:r w:rsidR="002B7B9B">
        <w:t>−</w:t>
      </w:r>
      <w:r w:rsidRPr="00BA0AD1">
        <w:t xml:space="preserve"> в общей сложности 26 377 человек. Нереше</w:t>
      </w:r>
      <w:r w:rsidRPr="00BA0AD1">
        <w:t>н</w:t>
      </w:r>
      <w:r w:rsidRPr="00BA0AD1">
        <w:t>ной остается проблема расширения охвата пенсионным обеспечением, равно как и охвата более 150 тыс. трудящихся системой социального страхования.</w:t>
      </w:r>
    </w:p>
    <w:p w:rsidR="00BA0AD1" w:rsidRPr="00BA0AD1" w:rsidRDefault="00BA0AD1" w:rsidP="00BA0AD1">
      <w:pPr>
        <w:pStyle w:val="SingleTxtGR"/>
      </w:pPr>
      <w:r w:rsidRPr="00BA0AD1">
        <w:t>66.</w:t>
      </w:r>
      <w:r w:rsidRPr="00BA0AD1">
        <w:tab/>
        <w:t>В приложении VIII приведены таблицы с данными об уровне экономич</w:t>
      </w:r>
      <w:r w:rsidRPr="00BA0AD1">
        <w:t>е</w:t>
      </w:r>
      <w:r w:rsidRPr="00BA0AD1">
        <w:t xml:space="preserve">ской активности, уровне занятости, уровне зарегистрированной безработицы, доле </w:t>
      </w:r>
      <w:proofErr w:type="spellStart"/>
      <w:r w:rsidRPr="00BA0AD1">
        <w:t>самозанятого</w:t>
      </w:r>
      <w:proofErr w:type="spellEnd"/>
      <w:r w:rsidRPr="00BA0AD1">
        <w:t xml:space="preserve"> работающего населения, а также дополнительные таблицы по темам, которые будут рассмотрены ниже.</w:t>
      </w:r>
    </w:p>
    <w:p w:rsidR="00BA0AD1" w:rsidRPr="007D2776" w:rsidRDefault="00BA0AD1" w:rsidP="007D2776">
      <w:pPr>
        <w:pStyle w:val="H23GR"/>
      </w:pPr>
      <w:r w:rsidRPr="007D2776">
        <w:tab/>
        <w:t>1.</w:t>
      </w:r>
      <w:r w:rsidRPr="007D2776">
        <w:tab/>
        <w:t>Уровень экономической активности населения в возрасте 10 лет и старше</w:t>
      </w:r>
      <w:r w:rsidRPr="007D2776">
        <w:rPr>
          <w:b w:val="0"/>
          <w:sz w:val="18"/>
          <w:szCs w:val="18"/>
          <w:vertAlign w:val="superscript"/>
        </w:rPr>
        <w:footnoteReference w:id="15"/>
      </w:r>
    </w:p>
    <w:p w:rsidR="00BA0AD1" w:rsidRPr="00BA0AD1" w:rsidRDefault="00BA0AD1" w:rsidP="00BA0AD1">
      <w:pPr>
        <w:pStyle w:val="SingleTxtGR"/>
      </w:pPr>
      <w:r w:rsidRPr="00BA0AD1">
        <w:t>67.</w:t>
      </w:r>
      <w:r w:rsidRPr="00BA0AD1">
        <w:tab/>
        <w:t>В период между 1997/98 и 2009 годами общий показатель экономической активности вырос с 57,9 до 62,9</w:t>
      </w:r>
      <w:r w:rsidR="004849A7">
        <w:t>%</w:t>
      </w:r>
      <w:r w:rsidRPr="00BA0AD1">
        <w:t>. Этот рост свидетельствует о том, что все больше людей занимаются поисками работы. С 2003 года</w:t>
      </w:r>
      <w:r w:rsidRPr="007713F6">
        <w:rPr>
          <w:sz w:val="18"/>
          <w:szCs w:val="18"/>
          <w:vertAlign w:val="superscript"/>
        </w:rPr>
        <w:footnoteReference w:id="16"/>
      </w:r>
      <w:r w:rsidRPr="00BA0AD1">
        <w:rPr>
          <w:vertAlign w:val="superscript"/>
        </w:rPr>
        <w:t xml:space="preserve"> </w:t>
      </w:r>
      <w:r w:rsidRPr="00BA0AD1">
        <w:t>в Парагвае имеет место устойчивый рост валового внутреннего продукта</w:t>
      </w:r>
      <w:r w:rsidRPr="007713F6">
        <w:rPr>
          <w:sz w:val="18"/>
          <w:szCs w:val="18"/>
          <w:vertAlign w:val="superscript"/>
        </w:rPr>
        <w:footnoteReference w:id="17"/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68.</w:t>
      </w:r>
      <w:r w:rsidRPr="00BA0AD1">
        <w:tab/>
        <w:t>Рост общего показателя экономической активности имел место как в г</w:t>
      </w:r>
      <w:r w:rsidRPr="00BA0AD1">
        <w:t>о</w:t>
      </w:r>
      <w:r w:rsidRPr="00BA0AD1">
        <w:t>родах, так и в сельских районах, хотя в последнем случае он был более знач</w:t>
      </w:r>
      <w:r w:rsidRPr="00BA0AD1">
        <w:t>и</w:t>
      </w:r>
      <w:r w:rsidRPr="00BA0AD1">
        <w:t>тельным: этот показатель вырос здесь с 54,4 до 63,8</w:t>
      </w:r>
      <w:r w:rsidR="004849A7">
        <w:t>%</w:t>
      </w:r>
      <w:r w:rsidRPr="00BA0AD1">
        <w:t xml:space="preserve">, тогда как в городах </w:t>
      </w:r>
      <w:r w:rsidR="002B7B9B">
        <w:t>−</w:t>
      </w:r>
      <w:r w:rsidRPr="00BA0AD1">
        <w:t xml:space="preserve"> с</w:t>
      </w:r>
      <w:r w:rsidR="004849A7">
        <w:t> </w:t>
      </w:r>
      <w:r w:rsidRPr="00BA0AD1">
        <w:t>60,6 до 62,3</w:t>
      </w:r>
      <w:r w:rsidR="004849A7">
        <w:t>%</w:t>
      </w:r>
      <w:r w:rsidRPr="00BA0AD1">
        <w:t>. Анализ в разбивке по полу показывает, что доля работающих росла как среди мужчин (с 74,4 до 75,9</w:t>
      </w:r>
      <w:r w:rsidR="004849A7">
        <w:t>%</w:t>
      </w:r>
      <w:r w:rsidRPr="00BA0AD1">
        <w:t>), так и среди женщин, для которых этот рост был более значительным (с 41,4 до 49,7</w:t>
      </w:r>
      <w:r w:rsidR="004849A7">
        <w:t>%</w:t>
      </w:r>
      <w:r w:rsidRPr="00BA0AD1">
        <w:t>); вместе с тем доля раб</w:t>
      </w:r>
      <w:r w:rsidRPr="00BA0AD1">
        <w:t>о</w:t>
      </w:r>
      <w:r w:rsidRPr="00BA0AD1">
        <w:t>тающих среди мужчин традиционно остается гораздо более высокой, чем среди женщин.</w:t>
      </w:r>
    </w:p>
    <w:p w:rsidR="00BA0AD1" w:rsidRPr="00BA0AD1" w:rsidRDefault="00BA0AD1" w:rsidP="007D2776">
      <w:pPr>
        <w:pStyle w:val="H23GR"/>
      </w:pPr>
      <w:r w:rsidRPr="007D2776">
        <w:tab/>
        <w:t>2.</w:t>
      </w:r>
      <w:r w:rsidRPr="007D2776">
        <w:tab/>
        <w:t>Уровень занятости населения в возрасте 10 лет и старше</w:t>
      </w:r>
      <w:r w:rsidRPr="007D2776">
        <w:rPr>
          <w:b w:val="0"/>
          <w:sz w:val="18"/>
          <w:szCs w:val="18"/>
          <w:vertAlign w:val="superscript"/>
        </w:rPr>
        <w:footnoteReference w:id="18"/>
      </w:r>
    </w:p>
    <w:p w:rsidR="00BA0AD1" w:rsidRPr="00BA0AD1" w:rsidRDefault="00BA0AD1" w:rsidP="00BA0AD1">
      <w:pPr>
        <w:pStyle w:val="SingleTxtGR"/>
      </w:pPr>
      <w:r w:rsidRPr="00BA0AD1">
        <w:t>69.</w:t>
      </w:r>
      <w:r w:rsidRPr="00BA0AD1">
        <w:tab/>
        <w:t>Уровень занятости в период с 1997/1998 по 2002 год постоянно снижался, став наименьшим в 2002 году, когда в Парагвае наблюдался также наибольший рост уровня бедности</w:t>
      </w:r>
      <w:r w:rsidRPr="007713F6">
        <w:rPr>
          <w:sz w:val="18"/>
          <w:szCs w:val="18"/>
          <w:vertAlign w:val="superscript"/>
        </w:rPr>
        <w:footnoteReference w:id="19"/>
      </w:r>
      <w:r w:rsidRPr="00BA0AD1">
        <w:t>. С 2003 года уровень занятости начал расти и в 2005 г</w:t>
      </w:r>
      <w:r w:rsidRPr="00BA0AD1">
        <w:t>о</w:t>
      </w:r>
      <w:r w:rsidRPr="00BA0AD1">
        <w:t>ду приблизился к уровню 1997/98 года. С 2005 года уровень занятости постоя</w:t>
      </w:r>
      <w:r w:rsidRPr="00BA0AD1">
        <w:t>н</w:t>
      </w:r>
      <w:r w:rsidRPr="00BA0AD1">
        <w:t>но превышал 93</w:t>
      </w:r>
      <w:r w:rsidR="004849A7">
        <w:t>%</w:t>
      </w:r>
      <w:r w:rsidRPr="00BA0AD1">
        <w:t>. В 2007 году, когда экономика Парагвая вышла на самый в</w:t>
      </w:r>
      <w:r w:rsidRPr="00BA0AD1">
        <w:t>ы</w:t>
      </w:r>
      <w:r w:rsidRPr="00BA0AD1">
        <w:t>сокий за последние 26 лет уровень, показатель занятости достиг 94,5</w:t>
      </w:r>
      <w:r w:rsidR="004849A7">
        <w:t>%</w:t>
      </w:r>
      <w:r w:rsidRPr="00BA0AD1">
        <w:t>. В</w:t>
      </w:r>
      <w:r w:rsidR="004849A7">
        <w:t> </w:t>
      </w:r>
      <w:r w:rsidRPr="00BA0AD1">
        <w:t>2009</w:t>
      </w:r>
      <w:r w:rsidR="004849A7">
        <w:t> </w:t>
      </w:r>
      <w:r w:rsidRPr="00BA0AD1">
        <w:t>году этот показатель составлял 93,6</w:t>
      </w:r>
      <w:r w:rsidR="004849A7">
        <w:t>%</w:t>
      </w:r>
      <w:r w:rsidRPr="00BA0AD1">
        <w:t>.</w:t>
      </w:r>
    </w:p>
    <w:p w:rsidR="00BA0AD1" w:rsidRPr="00BA0AD1" w:rsidRDefault="00BA0AD1" w:rsidP="007D2776">
      <w:pPr>
        <w:pStyle w:val="SingleTxtGR"/>
        <w:keepLines/>
      </w:pPr>
      <w:r w:rsidRPr="00BA0AD1">
        <w:t>70.</w:t>
      </w:r>
      <w:r w:rsidRPr="00BA0AD1">
        <w:tab/>
        <w:t>При изучении данных за период между 1997/98 и 2009 годами заметных различий между изменениями этого показателя в городах и в сельских районах не наблюдается, хотя уровень занятости в городах снизился чуть больше, чем в сельских районах (на 1,3 и 0,5 процентных пункта соответственно). Аналоги</w:t>
      </w:r>
      <w:r w:rsidRPr="00BA0AD1">
        <w:t>ч</w:t>
      </w:r>
      <w:r w:rsidRPr="00BA0AD1">
        <w:t>ная тенденция наблюдалась и при сравнении малообеспеченных и обеспече</w:t>
      </w:r>
      <w:r w:rsidRPr="00BA0AD1">
        <w:t>н</w:t>
      </w:r>
      <w:r w:rsidRPr="00BA0AD1">
        <w:t>ных категорий населения. Для первой уровень занятости снизился на 2 пр</w:t>
      </w:r>
      <w:r w:rsidRPr="00BA0AD1">
        <w:t>о</w:t>
      </w:r>
      <w:r w:rsidRPr="00BA0AD1">
        <w:t>центных пункта, тогда как для обеспеченного населения </w:t>
      </w:r>
      <w:r w:rsidR="002B7B9B">
        <w:t>−</w:t>
      </w:r>
      <w:r w:rsidRPr="00BA0AD1">
        <w:t xml:space="preserve"> лишь незначительно (на 0,5 процентных пункта).</w:t>
      </w:r>
    </w:p>
    <w:p w:rsidR="00BA0AD1" w:rsidRPr="00BA0AD1" w:rsidRDefault="00BA0AD1" w:rsidP="00BA0AD1">
      <w:pPr>
        <w:pStyle w:val="SingleTxtGR"/>
      </w:pPr>
      <w:r w:rsidRPr="00BA0AD1">
        <w:t>71.</w:t>
      </w:r>
      <w:r w:rsidRPr="00BA0AD1">
        <w:tab/>
        <w:t>Анализ этого показателя в разбивке по полу показывает, что уровень з</w:t>
      </w:r>
      <w:r w:rsidRPr="00BA0AD1">
        <w:t>а</w:t>
      </w:r>
      <w:r w:rsidRPr="00BA0AD1">
        <w:t>нятости как женщин, так и мужчин снизился на 1 процентный пункт. Что кас</w:t>
      </w:r>
      <w:r w:rsidRPr="00BA0AD1">
        <w:t>а</w:t>
      </w:r>
      <w:r w:rsidRPr="00BA0AD1">
        <w:t>ется женщин, то этот показатель составил 93,2</w:t>
      </w:r>
      <w:r w:rsidR="004849A7">
        <w:t xml:space="preserve">% </w:t>
      </w:r>
      <w:r w:rsidRPr="00BA0AD1">
        <w:t>в 1997/98 году и 92,2</w:t>
      </w:r>
      <w:r w:rsidR="004849A7">
        <w:t xml:space="preserve">% </w:t>
      </w:r>
      <w:r w:rsidRPr="00BA0AD1">
        <w:t>в 2009 году, а для мужчин он снизился с 95,5</w:t>
      </w:r>
      <w:r w:rsidR="004849A7">
        <w:t xml:space="preserve">% </w:t>
      </w:r>
      <w:r w:rsidRPr="00BA0AD1">
        <w:t>до 94,5</w:t>
      </w:r>
      <w:r w:rsidR="004849A7">
        <w:t>%</w:t>
      </w:r>
      <w:r w:rsidRPr="00BA0AD1">
        <w:t>.</w:t>
      </w:r>
    </w:p>
    <w:p w:rsidR="00BA0AD1" w:rsidRPr="007D2776" w:rsidRDefault="00BA0AD1" w:rsidP="007D2776">
      <w:pPr>
        <w:pStyle w:val="H23GR"/>
      </w:pPr>
      <w:r w:rsidRPr="007D2776">
        <w:tab/>
        <w:t>3.</w:t>
      </w:r>
      <w:r w:rsidRPr="007D2776">
        <w:tab/>
        <w:t>Уровень зарегистрированной безработицы среди населения в возрасте от</w:t>
      </w:r>
      <w:r w:rsidR="009F276B">
        <w:t> </w:t>
      </w:r>
      <w:r w:rsidRPr="007D2776">
        <w:t>15 до 24 лет</w:t>
      </w:r>
      <w:r w:rsidRPr="009F276B">
        <w:rPr>
          <w:b w:val="0"/>
          <w:sz w:val="18"/>
          <w:szCs w:val="18"/>
          <w:vertAlign w:val="superscript"/>
        </w:rPr>
        <w:footnoteReference w:id="20"/>
      </w:r>
    </w:p>
    <w:p w:rsidR="00BA0AD1" w:rsidRPr="00BA0AD1" w:rsidRDefault="00BA0AD1" w:rsidP="00BA0AD1">
      <w:pPr>
        <w:pStyle w:val="SingleTxtGR"/>
      </w:pPr>
      <w:r w:rsidRPr="00BA0AD1">
        <w:t>72.</w:t>
      </w:r>
      <w:r w:rsidRPr="00BA0AD1">
        <w:tab/>
        <w:t>Уровень зарегистрированной безработицы, представляющий собой долю рабочей силы, не имеющей работы, но желающей работать и предпринима</w:t>
      </w:r>
      <w:r w:rsidRPr="00BA0AD1">
        <w:t>ю</w:t>
      </w:r>
      <w:r w:rsidRPr="00BA0AD1">
        <w:t xml:space="preserve">щей попытки трудоустройства, </w:t>
      </w:r>
      <w:proofErr w:type="spellStart"/>
      <w:r w:rsidRPr="00BA0AD1">
        <w:t>коррелирует</w:t>
      </w:r>
      <w:proofErr w:type="spellEnd"/>
      <w:r w:rsidRPr="00BA0AD1">
        <w:t xml:space="preserve"> с уровнем занятости; в период с 1997/98 по 2002 год, как показывает график, уровень зарегистрированной бе</w:t>
      </w:r>
      <w:r w:rsidRPr="00BA0AD1">
        <w:t>з</w:t>
      </w:r>
      <w:r w:rsidRPr="00BA0AD1">
        <w:t>работицы увеличился с 10,3 до 18,6</w:t>
      </w:r>
      <w:r w:rsidR="004849A7">
        <w:t>%</w:t>
      </w:r>
      <w:r w:rsidRPr="00BA0AD1">
        <w:t>, а затем с 2003 года медленно пошел на спад и в 2008 году составил 11,9</w:t>
      </w:r>
      <w:r w:rsidR="004849A7">
        <w:t>%</w:t>
      </w:r>
      <w:r w:rsidRPr="00BA0AD1">
        <w:t>. В 2009 году уровень безработицы вновь п</w:t>
      </w:r>
      <w:r w:rsidRPr="00BA0AD1">
        <w:t>о</w:t>
      </w:r>
      <w:r w:rsidRPr="00BA0AD1">
        <w:t>шел вверх и в конце года достиг 13,4</w:t>
      </w:r>
      <w:r w:rsidR="004849A7">
        <w:t xml:space="preserve">% </w:t>
      </w:r>
      <w:r w:rsidRPr="00BA0AD1">
        <w:t>при снижении ВВП на 3,8</w:t>
      </w:r>
      <w:r w:rsidR="004849A7">
        <w:t xml:space="preserve">% </w:t>
      </w:r>
      <w:r w:rsidRPr="00BA0AD1">
        <w:t>по сравн</w:t>
      </w:r>
      <w:r w:rsidRPr="00BA0AD1">
        <w:t>е</w:t>
      </w:r>
      <w:r w:rsidRPr="00BA0AD1">
        <w:t>нию с уровнем 2008 года.</w:t>
      </w:r>
    </w:p>
    <w:p w:rsidR="00BA0AD1" w:rsidRPr="00BA0AD1" w:rsidRDefault="00BA0AD1" w:rsidP="00BA0AD1">
      <w:pPr>
        <w:pStyle w:val="SingleTxtGR"/>
      </w:pPr>
      <w:r w:rsidRPr="00BA0AD1">
        <w:t>73.</w:t>
      </w:r>
      <w:r w:rsidRPr="00BA0AD1">
        <w:tab/>
        <w:t>В рассматриваемый период в наибольшей степени от безработицы стр</w:t>
      </w:r>
      <w:r w:rsidRPr="00BA0AD1">
        <w:t>а</w:t>
      </w:r>
      <w:r w:rsidRPr="00BA0AD1">
        <w:t xml:space="preserve">дали города: здесь этот показатель вырос на 4,4 процентных пункта </w:t>
      </w:r>
      <w:r w:rsidR="002B7B9B">
        <w:t>−</w:t>
      </w:r>
      <w:r w:rsidRPr="00BA0AD1">
        <w:t xml:space="preserve"> с 12,7 до 17,1</w:t>
      </w:r>
      <w:r w:rsidR="004849A7">
        <w:t>%</w:t>
      </w:r>
      <w:r w:rsidRPr="00BA0AD1">
        <w:t>; в сельских районах этот показатель увеличился с 6,6 до 7,7</w:t>
      </w:r>
      <w:r w:rsidR="004849A7">
        <w:t>%</w:t>
      </w:r>
      <w:r w:rsidRPr="00BA0AD1">
        <w:t>. Рассмо</w:t>
      </w:r>
      <w:r w:rsidRPr="00BA0AD1">
        <w:t>т</w:t>
      </w:r>
      <w:r w:rsidRPr="00BA0AD1">
        <w:t>рение этого показателя с учетом социально-экономического положения и пола показывает, что больше всего зарегистрированных безработных было среди м</w:t>
      </w:r>
      <w:r w:rsidRPr="00BA0AD1">
        <w:t>а</w:t>
      </w:r>
      <w:r w:rsidRPr="00BA0AD1">
        <w:t>лообеспеченного населения и среди женщин: эти показатели увеличились соо</w:t>
      </w:r>
      <w:r w:rsidRPr="00BA0AD1">
        <w:t>т</w:t>
      </w:r>
      <w:r w:rsidRPr="00BA0AD1">
        <w:t>ветственно с 12,0 до 16,7</w:t>
      </w:r>
      <w:r w:rsidR="004849A7">
        <w:t xml:space="preserve">% </w:t>
      </w:r>
      <w:r w:rsidRPr="00BA0AD1">
        <w:t>и с 12,3 до 17,9</w:t>
      </w:r>
      <w:r w:rsidR="004849A7">
        <w:t>%</w:t>
      </w:r>
      <w:r w:rsidRPr="007713F6">
        <w:rPr>
          <w:sz w:val="18"/>
          <w:szCs w:val="18"/>
          <w:vertAlign w:val="superscript"/>
        </w:rPr>
        <w:footnoteReference w:id="21"/>
      </w:r>
      <w:r w:rsidRPr="00BA0AD1">
        <w:t>.</w:t>
      </w:r>
    </w:p>
    <w:p w:rsidR="00BA0AD1" w:rsidRPr="00BA0AD1" w:rsidRDefault="00BA0AD1" w:rsidP="00BA0AD1">
      <w:pPr>
        <w:pStyle w:val="SingleTxtGR"/>
        <w:rPr>
          <w:b/>
          <w:bCs/>
        </w:rPr>
      </w:pPr>
      <w:r w:rsidRPr="00BA0AD1">
        <w:t>74.</w:t>
      </w:r>
      <w:r w:rsidRPr="00BA0AD1">
        <w:tab/>
        <w:t xml:space="preserve">Доля малообеспеченных среди работающих выросла в период с 1997/98 по 2009 год на 2,4 процентных пункта </w:t>
      </w:r>
      <w:r w:rsidR="002B7B9B">
        <w:t>−</w:t>
      </w:r>
      <w:r w:rsidRPr="00BA0AD1">
        <w:t xml:space="preserve"> с 12,1 до 14,5</w:t>
      </w:r>
      <w:r w:rsidR="004849A7">
        <w:t xml:space="preserve">% </w:t>
      </w:r>
      <w:r w:rsidRPr="00BA0AD1">
        <w:t>(прирост составил 20</w:t>
      </w:r>
      <w:r w:rsidR="004849A7">
        <w:t>%</w:t>
      </w:r>
      <w:r w:rsidRPr="00BA0AD1">
        <w:t>). Наибольший рост наблюдался в сельских районах: здесь он составил 4,1</w:t>
      </w:r>
      <w:r w:rsidR="004849A7">
        <w:t> </w:t>
      </w:r>
      <w:r w:rsidRPr="00BA0AD1">
        <w:t xml:space="preserve">процентных пункта </w:t>
      </w:r>
      <w:r w:rsidR="002B7B9B">
        <w:t>−</w:t>
      </w:r>
      <w:r w:rsidRPr="00BA0AD1">
        <w:t xml:space="preserve"> с 23,2 до 27,3</w:t>
      </w:r>
      <w:r w:rsidR="004849A7">
        <w:t>%</w:t>
      </w:r>
      <w:r w:rsidRPr="00BA0AD1">
        <w:t>. Анализ в разбивке по полу показыв</w:t>
      </w:r>
      <w:r w:rsidRPr="00BA0AD1">
        <w:t>а</w:t>
      </w:r>
      <w:r w:rsidRPr="00BA0AD1">
        <w:t xml:space="preserve">ет, что наиболее значительным прирост этого показателя был у женщин </w:t>
      </w:r>
      <w:r w:rsidR="002B7B9B">
        <w:t>−</w:t>
      </w:r>
      <w:r w:rsidRPr="00BA0AD1">
        <w:t xml:space="preserve"> в</w:t>
      </w:r>
      <w:r w:rsidR="009F276B">
        <w:t> </w:t>
      </w:r>
      <w:r w:rsidRPr="00BA0AD1">
        <w:t>2009</w:t>
      </w:r>
      <w:r w:rsidR="004849A7">
        <w:t> </w:t>
      </w:r>
      <w:r w:rsidRPr="00BA0AD1">
        <w:t>году он увеличился по сравнению с 1997/98 годом на 69,6</w:t>
      </w:r>
      <w:r w:rsidR="004849A7">
        <w:t>%</w:t>
      </w:r>
      <w:r w:rsidRPr="00BA0AD1">
        <w:t>. Это соо</w:t>
      </w:r>
      <w:r w:rsidRPr="00BA0AD1">
        <w:t>т</w:t>
      </w:r>
      <w:r w:rsidRPr="00BA0AD1">
        <w:t>ветствует росту с 7,1 до 12,1</w:t>
      </w:r>
      <w:r w:rsidR="004849A7">
        <w:t>%</w:t>
      </w:r>
      <w:r w:rsidRPr="00BA0AD1">
        <w:t>. С другой стороны, у мужчин этот показатель вырос на 1,3</w:t>
      </w:r>
      <w:r w:rsidR="004849A7">
        <w:t> </w:t>
      </w:r>
      <w:r w:rsidRPr="00BA0AD1">
        <w:t xml:space="preserve">процентных пункта </w:t>
      </w:r>
      <w:r w:rsidR="002B7B9B">
        <w:t>−</w:t>
      </w:r>
      <w:r w:rsidRPr="00BA0AD1">
        <w:t xml:space="preserve"> с 14,6 до 15,9</w:t>
      </w:r>
      <w:r w:rsidR="004849A7">
        <w:t>%</w:t>
      </w:r>
      <w:r w:rsidRPr="007713F6">
        <w:rPr>
          <w:sz w:val="18"/>
          <w:szCs w:val="18"/>
          <w:vertAlign w:val="superscript"/>
        </w:rPr>
        <w:footnoteReference w:id="22"/>
      </w:r>
      <w:r w:rsidRPr="00BA0AD1">
        <w:t>.</w:t>
      </w:r>
    </w:p>
    <w:p w:rsidR="00BA0AD1" w:rsidRPr="007D2776" w:rsidRDefault="00BA0AD1" w:rsidP="007D2776">
      <w:pPr>
        <w:pStyle w:val="H23GR"/>
      </w:pPr>
      <w:r w:rsidRPr="007D2776">
        <w:tab/>
        <w:t>4.</w:t>
      </w:r>
      <w:r w:rsidRPr="007D2776">
        <w:tab/>
        <w:t xml:space="preserve">Процентная доля занятого населения, работающего в качестве </w:t>
      </w:r>
      <w:proofErr w:type="spellStart"/>
      <w:r w:rsidRPr="007D2776">
        <w:t>самозанятых</w:t>
      </w:r>
      <w:proofErr w:type="spellEnd"/>
      <w:r w:rsidRPr="007D2776">
        <w:t xml:space="preserve"> или</w:t>
      </w:r>
      <w:r w:rsidR="009F276B">
        <w:t xml:space="preserve"> </w:t>
      </w:r>
      <w:r w:rsidRPr="007D2776">
        <w:t>выполняющего неоплачиваемый труд по дому</w:t>
      </w:r>
      <w:r w:rsidRPr="004849A7">
        <w:rPr>
          <w:b w:val="0"/>
          <w:sz w:val="18"/>
          <w:szCs w:val="18"/>
          <w:vertAlign w:val="superscript"/>
        </w:rPr>
        <w:footnoteReference w:id="23"/>
      </w:r>
    </w:p>
    <w:p w:rsidR="00BA0AD1" w:rsidRPr="00BA0AD1" w:rsidRDefault="00BA0AD1" w:rsidP="00BA0AD1">
      <w:pPr>
        <w:pStyle w:val="SingleTxtGR"/>
      </w:pPr>
      <w:r w:rsidRPr="00BA0AD1">
        <w:t>75.</w:t>
      </w:r>
      <w:r w:rsidRPr="00BA0AD1">
        <w:tab/>
        <w:t xml:space="preserve">Доля </w:t>
      </w:r>
      <w:proofErr w:type="spellStart"/>
      <w:r w:rsidRPr="00BA0AD1">
        <w:t>самозанятых</w:t>
      </w:r>
      <w:proofErr w:type="spellEnd"/>
      <w:r w:rsidRPr="00BA0AD1">
        <w:t xml:space="preserve"> или выполняющих неоплачиваемый труд по дому с</w:t>
      </w:r>
      <w:r w:rsidRPr="00BA0AD1">
        <w:t>о</w:t>
      </w:r>
      <w:r w:rsidRPr="00BA0AD1">
        <w:t>кратилась в период с 1997/98 по 2009 год с 48,6 до 46,2</w:t>
      </w:r>
      <w:r w:rsidR="004849A7">
        <w:t>%</w:t>
      </w:r>
      <w:r w:rsidRPr="00BA0AD1">
        <w:t xml:space="preserve">, </w:t>
      </w:r>
      <w:r w:rsidR="009F276B">
        <w:t>т.е.</w:t>
      </w:r>
      <w:r w:rsidRPr="00BA0AD1">
        <w:t xml:space="preserve"> на 2,5 процентных пункта. Вместе с тем в 2009 году доля </w:t>
      </w:r>
      <w:proofErr w:type="spellStart"/>
      <w:r w:rsidRPr="00BA0AD1">
        <w:t>самозанятых</w:t>
      </w:r>
      <w:proofErr w:type="spellEnd"/>
      <w:r w:rsidRPr="00BA0AD1">
        <w:t xml:space="preserve"> или выпо</w:t>
      </w:r>
      <w:r w:rsidRPr="00BA0AD1">
        <w:t>л</w:t>
      </w:r>
      <w:r w:rsidRPr="00BA0AD1">
        <w:t>няющих неоплачиваемый труд по дому в сельских районах (67,8</w:t>
      </w:r>
      <w:r w:rsidR="004849A7">
        <w:t>%</w:t>
      </w:r>
      <w:r w:rsidRPr="00BA0AD1">
        <w:t>) б</w:t>
      </w:r>
      <w:r w:rsidRPr="00BA0AD1">
        <w:t>ы</w:t>
      </w:r>
      <w:r w:rsidRPr="00BA0AD1">
        <w:t>ла почти вдвое выше, нежели среди городских жителей, относящихся к тем же категор</w:t>
      </w:r>
      <w:r w:rsidRPr="00BA0AD1">
        <w:t>и</w:t>
      </w:r>
      <w:r w:rsidRPr="00BA0AD1">
        <w:t>ям (30,5</w:t>
      </w:r>
      <w:r w:rsidR="004849A7">
        <w:t>%</w:t>
      </w:r>
      <w:r w:rsidRPr="00BA0AD1">
        <w:t xml:space="preserve">). </w:t>
      </w:r>
    </w:p>
    <w:p w:rsidR="00BA0AD1" w:rsidRPr="00BA0AD1" w:rsidRDefault="00BA0AD1" w:rsidP="00BA0AD1">
      <w:pPr>
        <w:pStyle w:val="SingleTxtGR"/>
        <w:rPr>
          <w:b/>
        </w:rPr>
      </w:pPr>
      <w:r w:rsidRPr="00BA0AD1">
        <w:t>76.</w:t>
      </w:r>
      <w:r w:rsidRPr="00BA0AD1">
        <w:tab/>
        <w:t xml:space="preserve">В плане социально-экономического положения среди малообеспеченных доля </w:t>
      </w:r>
      <w:proofErr w:type="spellStart"/>
      <w:r w:rsidRPr="00BA0AD1">
        <w:t>самозанятых</w:t>
      </w:r>
      <w:proofErr w:type="spellEnd"/>
      <w:r w:rsidRPr="00BA0AD1">
        <w:t xml:space="preserve"> снизилась на 3,1 процентного пункта, тогда как среди обе</w:t>
      </w:r>
      <w:r w:rsidRPr="00BA0AD1">
        <w:t>с</w:t>
      </w:r>
      <w:r w:rsidRPr="00BA0AD1">
        <w:t xml:space="preserve">печенного населения этот показатель сократился на 4,2 процентных пункта. Анализ в разбивке по полу показывает, что доля </w:t>
      </w:r>
      <w:proofErr w:type="spellStart"/>
      <w:r w:rsidRPr="00BA0AD1">
        <w:t>самозанятых</w:t>
      </w:r>
      <w:proofErr w:type="spellEnd"/>
      <w:r w:rsidRPr="00BA0AD1">
        <w:t xml:space="preserve"> или занимающи</w:t>
      </w:r>
      <w:r w:rsidRPr="00BA0AD1">
        <w:t>х</w:t>
      </w:r>
      <w:r w:rsidRPr="00BA0AD1">
        <w:t>ся неоплачиваемой работой по дому среди мужчин снизилась на 3,9 процентных пункта, тогда как для женщин спад за изучаемый период сост</w:t>
      </w:r>
      <w:r w:rsidRPr="00BA0AD1">
        <w:t>а</w:t>
      </w:r>
      <w:r w:rsidRPr="00BA0AD1">
        <w:t>вил лишь 0,2 процентных пункта</w:t>
      </w:r>
      <w:r w:rsidRPr="007713F6">
        <w:rPr>
          <w:sz w:val="18"/>
          <w:szCs w:val="18"/>
          <w:vertAlign w:val="superscript"/>
        </w:rPr>
        <w:footnoteReference w:id="24"/>
      </w:r>
      <w:r w:rsidRPr="00BA0AD1">
        <w:t>.</w:t>
      </w:r>
    </w:p>
    <w:p w:rsidR="00BA0AD1" w:rsidRPr="007D2776" w:rsidRDefault="00BA0AD1" w:rsidP="007D2776">
      <w:pPr>
        <w:pStyle w:val="H23GR"/>
      </w:pPr>
      <w:r w:rsidRPr="007D2776">
        <w:tab/>
        <w:t>5.</w:t>
      </w:r>
      <w:r w:rsidRPr="007D2776">
        <w:tab/>
        <w:t>Процентная доля женщин, занимающихся оплачиваемым несельскохозяйственным трудом</w:t>
      </w:r>
      <w:r w:rsidRPr="009F276B">
        <w:rPr>
          <w:b w:val="0"/>
          <w:sz w:val="18"/>
          <w:szCs w:val="18"/>
          <w:vertAlign w:val="superscript"/>
        </w:rPr>
        <w:footnoteReference w:id="25"/>
      </w:r>
    </w:p>
    <w:p w:rsidR="00BA0AD1" w:rsidRPr="00BA0AD1" w:rsidRDefault="00BA0AD1" w:rsidP="00BA0AD1">
      <w:pPr>
        <w:pStyle w:val="SingleTxtGR"/>
      </w:pPr>
      <w:r w:rsidRPr="00BA0AD1">
        <w:t>77.</w:t>
      </w:r>
      <w:r w:rsidRPr="00BA0AD1">
        <w:tab/>
        <w:t>На общенациональном уровне в период с 2005 по 2009 год доля женщин, занимающихся оплачиваемым несельскохозяйственным трудом, снизилась с</w:t>
      </w:r>
      <w:r w:rsidRPr="00BA0AD1">
        <w:t>о</w:t>
      </w:r>
      <w:r w:rsidRPr="00BA0AD1">
        <w:t>ответственно с 42,9 до 40,1</w:t>
      </w:r>
      <w:r w:rsidR="004849A7">
        <w:t>%</w:t>
      </w:r>
      <w:r w:rsidRPr="00BA0AD1">
        <w:t xml:space="preserve">. Показатель занятости в этом секторе снизился и для городских женщин </w:t>
      </w:r>
      <w:r w:rsidR="002B7B9B">
        <w:t>−</w:t>
      </w:r>
      <w:r w:rsidRPr="00BA0AD1">
        <w:t xml:space="preserve"> с 43,9</w:t>
      </w:r>
      <w:r w:rsidR="004849A7">
        <w:t xml:space="preserve">% </w:t>
      </w:r>
      <w:r w:rsidRPr="00BA0AD1">
        <w:t>в 2005 году до 40,6</w:t>
      </w:r>
      <w:r w:rsidR="004849A7">
        <w:t xml:space="preserve">% </w:t>
      </w:r>
      <w:r w:rsidRPr="00BA0AD1">
        <w:t>в 2009 году. В сельских районах доля женщин, занимающихся оплачиваемым несельскохозяйс</w:t>
      </w:r>
      <w:r w:rsidRPr="00BA0AD1">
        <w:t>т</w:t>
      </w:r>
      <w:r w:rsidRPr="00BA0AD1">
        <w:t>венным трудом, снизилась с 38,7</w:t>
      </w:r>
      <w:r w:rsidR="004849A7">
        <w:t xml:space="preserve">% </w:t>
      </w:r>
      <w:r w:rsidRPr="00BA0AD1">
        <w:t>в 2005 году до 38,1</w:t>
      </w:r>
      <w:r w:rsidR="004849A7">
        <w:t xml:space="preserve">% </w:t>
      </w:r>
      <w:r w:rsidRPr="00BA0AD1">
        <w:t>в 2009 году</w:t>
      </w:r>
      <w:r w:rsidRPr="007713F6">
        <w:rPr>
          <w:sz w:val="18"/>
          <w:szCs w:val="18"/>
          <w:vertAlign w:val="superscript"/>
        </w:rPr>
        <w:footnoteReference w:id="26"/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78.</w:t>
      </w:r>
      <w:r w:rsidRPr="00BA0AD1">
        <w:tab/>
        <w:t>Анализ с точки зрения социально-экономического положения показывает, что за рассматриваемый период доля обеспеченных женщин, занимающихся оплачиваемым несельскохозяйственным трудом, снизилась с 39,9</w:t>
      </w:r>
      <w:r w:rsidR="004849A7">
        <w:t xml:space="preserve">% </w:t>
      </w:r>
      <w:r w:rsidRPr="00BA0AD1">
        <w:t>в 2005 году до 39,2</w:t>
      </w:r>
      <w:r w:rsidR="004849A7">
        <w:t xml:space="preserve">% </w:t>
      </w:r>
      <w:r w:rsidRPr="00BA0AD1">
        <w:t>в 2009 году. Аналогичным образом, снизилась и доля малообеспече</w:t>
      </w:r>
      <w:r w:rsidRPr="00BA0AD1">
        <w:t>н</w:t>
      </w:r>
      <w:r w:rsidRPr="00BA0AD1">
        <w:t xml:space="preserve">ных женщин, работающих в этом секторе, </w:t>
      </w:r>
      <w:r w:rsidR="002B7B9B">
        <w:t>−</w:t>
      </w:r>
      <w:r w:rsidRPr="00BA0AD1">
        <w:t xml:space="preserve"> с 40,5</w:t>
      </w:r>
      <w:r w:rsidR="004849A7">
        <w:t xml:space="preserve">% </w:t>
      </w:r>
      <w:r w:rsidRPr="00BA0AD1">
        <w:t>в 2005 году до 37,4</w:t>
      </w:r>
      <w:r w:rsidR="004849A7">
        <w:t xml:space="preserve">% </w:t>
      </w:r>
      <w:r w:rsidRPr="00BA0AD1">
        <w:t xml:space="preserve">в 2009 году. </w:t>
      </w:r>
    </w:p>
    <w:p w:rsidR="00BA0AD1" w:rsidRPr="00BA0AD1" w:rsidRDefault="00BA0AD1" w:rsidP="00BA0AD1">
      <w:pPr>
        <w:pStyle w:val="SingleTxtGR"/>
      </w:pPr>
      <w:r w:rsidRPr="00BA0AD1">
        <w:t>79.</w:t>
      </w:r>
      <w:r w:rsidRPr="00BA0AD1">
        <w:tab/>
        <w:t>В последнее десятилетие в стране постепенно росла доля женщин, зан</w:t>
      </w:r>
      <w:r w:rsidRPr="00BA0AD1">
        <w:t>и</w:t>
      </w:r>
      <w:r w:rsidRPr="00BA0AD1">
        <w:t>мающихся оплачиваемым несельскохозяйственным трудом, однако среди эк</w:t>
      </w:r>
      <w:r w:rsidRPr="00BA0AD1">
        <w:t>о</w:t>
      </w:r>
      <w:r w:rsidRPr="00BA0AD1">
        <w:t>номически активных женщин доля тех, кто занимается таким видом деятельн</w:t>
      </w:r>
      <w:r w:rsidRPr="00BA0AD1">
        <w:t>о</w:t>
      </w:r>
      <w:r w:rsidRPr="00BA0AD1">
        <w:t>сти, не превышает 50</w:t>
      </w:r>
      <w:r w:rsidR="004849A7">
        <w:t>%</w:t>
      </w:r>
      <w:r w:rsidRPr="00BA0AD1">
        <w:t>. Кроме того, этот показатель необходимо рассматр</w:t>
      </w:r>
      <w:r w:rsidRPr="00BA0AD1">
        <w:t>и</w:t>
      </w:r>
      <w:r w:rsidRPr="00BA0AD1">
        <w:t>вать в совокупности с другими показателями, позволяющими оценить качество и к</w:t>
      </w:r>
      <w:r w:rsidRPr="00BA0AD1">
        <w:t>а</w:t>
      </w:r>
      <w:r w:rsidRPr="00BA0AD1">
        <w:t>тегории неоплачиваемых видов занятости, которыми занимаются женщины, прежде всего, малообеспеченные и сельские.</w:t>
      </w:r>
    </w:p>
    <w:p w:rsidR="00BA0AD1" w:rsidRPr="00BA0AD1" w:rsidRDefault="00BA0AD1" w:rsidP="009F276B">
      <w:pPr>
        <w:pStyle w:val="H1GR"/>
      </w:pPr>
      <w:r w:rsidRPr="00BA0AD1">
        <w:tab/>
      </w:r>
      <w:r w:rsidRPr="00BA0AD1">
        <w:tab/>
      </w:r>
      <w:bookmarkStart w:id="13" w:name="_Toc368649104"/>
      <w:r w:rsidRPr="00BA0AD1">
        <w:t>Статья 8</w:t>
      </w:r>
      <w:r w:rsidR="009F276B">
        <w:br/>
      </w:r>
      <w:r w:rsidRPr="00BA0AD1">
        <w:t>Право на объединение в профсоюзы и на забастовку</w:t>
      </w:r>
      <w:bookmarkEnd w:id="13"/>
    </w:p>
    <w:p w:rsidR="00BA0AD1" w:rsidRPr="00BA0AD1" w:rsidRDefault="00BA0AD1" w:rsidP="00BA0AD1">
      <w:pPr>
        <w:pStyle w:val="SingleTxtGR"/>
      </w:pPr>
      <w:r w:rsidRPr="00BA0AD1">
        <w:t>80.</w:t>
      </w:r>
      <w:r w:rsidRPr="00BA0AD1">
        <w:tab/>
        <w:t xml:space="preserve">Были созданы благоприятные условия для создания профессиональных союзов, и в настоящее время в стране действуют 136 профсоюзов </w:t>
      </w:r>
      <w:r w:rsidR="002B7B9B">
        <w:t>−</w:t>
      </w:r>
      <w:r w:rsidRPr="00BA0AD1">
        <w:t xml:space="preserve"> 82</w:t>
      </w:r>
      <w:r w:rsidR="004849A7">
        <w:t xml:space="preserve">% </w:t>
      </w:r>
      <w:r w:rsidRPr="00BA0AD1">
        <w:t>из них в частном секторе и 18</w:t>
      </w:r>
      <w:r w:rsidR="004849A7">
        <w:t xml:space="preserve">% </w:t>
      </w:r>
      <w:r w:rsidR="002B7B9B">
        <w:t>−</w:t>
      </w:r>
      <w:r w:rsidRPr="00BA0AD1">
        <w:t xml:space="preserve"> в государственном</w:t>
      </w:r>
      <w:r w:rsidRPr="007713F6">
        <w:rPr>
          <w:sz w:val="18"/>
          <w:szCs w:val="18"/>
          <w:vertAlign w:val="superscript"/>
        </w:rPr>
        <w:footnoteReference w:id="27"/>
      </w:r>
      <w:r w:rsidRPr="00BA0AD1">
        <w:t>.</w:t>
      </w:r>
    </w:p>
    <w:p w:rsidR="00BA0AD1" w:rsidRPr="00BA0AD1" w:rsidRDefault="00BA0AD1" w:rsidP="009F276B">
      <w:pPr>
        <w:pStyle w:val="H1GR"/>
      </w:pPr>
      <w:r w:rsidRPr="00BA0AD1">
        <w:tab/>
      </w:r>
      <w:r w:rsidRPr="00BA0AD1">
        <w:tab/>
      </w:r>
      <w:bookmarkStart w:id="14" w:name="_Toc368649105"/>
      <w:r w:rsidRPr="00BA0AD1">
        <w:t>Статья 9</w:t>
      </w:r>
      <w:r w:rsidR="009F276B">
        <w:br/>
      </w:r>
      <w:r w:rsidRPr="00BA0AD1">
        <w:t>Право на социальное обеспечение</w:t>
      </w:r>
      <w:bookmarkEnd w:id="14"/>
    </w:p>
    <w:p w:rsidR="00BA0AD1" w:rsidRPr="00BA0AD1" w:rsidRDefault="00BA0AD1" w:rsidP="009F276B">
      <w:pPr>
        <w:pStyle w:val="SingleTxtGR"/>
        <w:keepLines/>
      </w:pPr>
      <w:r w:rsidRPr="00BA0AD1">
        <w:t>81.</w:t>
      </w:r>
      <w:r w:rsidRPr="00BA0AD1">
        <w:tab/>
        <w:t>ИСС внес изменения в свой внутренний регламент, с тем чтобы распр</w:t>
      </w:r>
      <w:r w:rsidRPr="00BA0AD1">
        <w:t>о</w:t>
      </w:r>
      <w:r w:rsidRPr="00BA0AD1">
        <w:t>странить систему медицинского страхования на работающих в качестве дома</w:t>
      </w:r>
      <w:r w:rsidRPr="00BA0AD1">
        <w:t>ш</w:t>
      </w:r>
      <w:r w:rsidRPr="00BA0AD1">
        <w:t>ней прислуги; кроме того, он внес в органы законодательной власти законопр</w:t>
      </w:r>
      <w:r w:rsidRPr="00BA0AD1">
        <w:t>о</w:t>
      </w:r>
      <w:r w:rsidRPr="00BA0AD1">
        <w:t>екты, направленные на защиту их прав на социальное обеспечение. Снятие в соответствии с Постановлением № 089-012/09 ограничений на социальное страхование лиц, работающих в качестве домашней прислуги, на всей террит</w:t>
      </w:r>
      <w:r w:rsidRPr="00BA0AD1">
        <w:t>о</w:t>
      </w:r>
      <w:r w:rsidRPr="00BA0AD1">
        <w:t xml:space="preserve">рии страны дает 230 тыс. работников этого сектора и примерно 400 тыс. членов их семей возможность воспользоваться услугами медицинского страхования, предоставляемыми ИСС. </w:t>
      </w:r>
    </w:p>
    <w:p w:rsidR="00BA0AD1" w:rsidRPr="00BA0AD1" w:rsidRDefault="00BA0AD1" w:rsidP="00BA0AD1">
      <w:pPr>
        <w:pStyle w:val="SingleTxtGR"/>
      </w:pPr>
      <w:r w:rsidRPr="00BA0AD1">
        <w:t>82.</w:t>
      </w:r>
      <w:r w:rsidRPr="00BA0AD1">
        <w:tab/>
        <w:t>Благодаря Закону № 3856/09 удалось добиться признания пенсионными фондами, входящими в Парагвайскую систему социального обеспечения, в</w:t>
      </w:r>
      <w:r w:rsidRPr="00BA0AD1">
        <w:t>ы</w:t>
      </w:r>
      <w:r w:rsidRPr="00BA0AD1">
        <w:t xml:space="preserve">слуги лет, благодаря чему жители страны, до принятия закона не подпадавшие под действие системы социального страхования, теперь могут получать пенсии по достижении установленного возраста и при условии выплаты необходимых взносов. Этот закон и бюджетная норма, согласно которой минимальная сумма взносов, дающих право на получение пенсии, составляет 300 тыс. </w:t>
      </w:r>
      <w:proofErr w:type="spellStart"/>
      <w:r w:rsidRPr="00BA0AD1">
        <w:t>гуарани</w:t>
      </w:r>
      <w:proofErr w:type="spellEnd"/>
      <w:r w:rsidRPr="00BA0AD1">
        <w:t>, я</w:t>
      </w:r>
      <w:r w:rsidRPr="00BA0AD1">
        <w:t>в</w:t>
      </w:r>
      <w:r w:rsidRPr="00BA0AD1">
        <w:t>ляются единственными действующими в настоящее время в Республике прав</w:t>
      </w:r>
      <w:r w:rsidRPr="00BA0AD1">
        <w:t>о</w:t>
      </w:r>
      <w:r w:rsidRPr="00BA0AD1">
        <w:t>выми нормами по данному вопросу.</w:t>
      </w:r>
    </w:p>
    <w:p w:rsidR="00BA0AD1" w:rsidRPr="00BA0AD1" w:rsidRDefault="00BA0AD1" w:rsidP="00BA0AD1">
      <w:pPr>
        <w:pStyle w:val="SingleTxtGR"/>
      </w:pPr>
      <w:r w:rsidRPr="00BA0AD1">
        <w:t>83.</w:t>
      </w:r>
      <w:r w:rsidRPr="00BA0AD1">
        <w:tab/>
        <w:t>Законом № 3990/10 действие системы Комплексного медицинского и пе</w:t>
      </w:r>
      <w:r w:rsidRPr="00BA0AD1">
        <w:t>н</w:t>
      </w:r>
      <w:r w:rsidRPr="00BA0AD1">
        <w:t>сионного страхования было распространено на преподавателей частных уче</w:t>
      </w:r>
      <w:r w:rsidRPr="00BA0AD1">
        <w:t>б</w:t>
      </w:r>
      <w:r w:rsidRPr="00BA0AD1">
        <w:t>ных заведений, благодаря чему 15 тыс. таких преподавателей, достигших уст</w:t>
      </w:r>
      <w:r w:rsidRPr="00BA0AD1">
        <w:t>а</w:t>
      </w:r>
      <w:r w:rsidRPr="00BA0AD1">
        <w:t>новленного возраста и имеющих установленный стаж работы, смогли получить пенсии.</w:t>
      </w:r>
    </w:p>
    <w:p w:rsidR="00BA0AD1" w:rsidRPr="00BA0AD1" w:rsidRDefault="00BA0AD1" w:rsidP="00BA0AD1">
      <w:pPr>
        <w:pStyle w:val="SingleTxtGR"/>
      </w:pPr>
      <w:r w:rsidRPr="00BA0AD1">
        <w:t>84.</w:t>
      </w:r>
      <w:r w:rsidRPr="00BA0AD1">
        <w:tab/>
        <w:t>ИСС усилил меру по контролю над работодателями с целью правового оформления статуса работающих и обеспечения им возможности реализов</w:t>
      </w:r>
      <w:r w:rsidRPr="00BA0AD1">
        <w:t>ы</w:t>
      </w:r>
      <w:r w:rsidRPr="00BA0AD1">
        <w:t>вать свои права на социальное обеспечение. В период с июня 2009 по май 2010</w:t>
      </w:r>
      <w:r w:rsidR="009F276B">
        <w:t> </w:t>
      </w:r>
      <w:r w:rsidRPr="00BA0AD1">
        <w:t>года проверки прошли на 1666 предприятиях, благодаря чему удалось расширить охват услугами социального страхования для 43 147 работников, выплач</w:t>
      </w:r>
      <w:r w:rsidRPr="00BA0AD1">
        <w:t>и</w:t>
      </w:r>
      <w:r w:rsidRPr="00BA0AD1">
        <w:t>вающих взносы и ставших членами ИСС в 2009 году. В период с января по май 2010 года членами ИСС стали еще 14 601 человек, и общее число его членов достигло 500 415.</w:t>
      </w:r>
    </w:p>
    <w:p w:rsidR="00BA0AD1" w:rsidRPr="00BA0AD1" w:rsidRDefault="00BA0AD1" w:rsidP="00BA0AD1">
      <w:pPr>
        <w:pStyle w:val="SingleTxtGR"/>
      </w:pPr>
      <w:r w:rsidRPr="00BA0AD1">
        <w:t>85.</w:t>
      </w:r>
      <w:r w:rsidRPr="00BA0AD1">
        <w:tab/>
        <w:t>После того как право на получение пособий было распространено на членов семей тех, кто был застрахован в системе медицинского страхования ИСС, число участников Системы социального страхования достигло 992 тыс., что составляет 24</w:t>
      </w:r>
      <w:r w:rsidR="004849A7">
        <w:t xml:space="preserve">% </w:t>
      </w:r>
      <w:r w:rsidRPr="00BA0AD1">
        <w:t>бенефициаров ИСС. Отчисления работающих и работод</w:t>
      </w:r>
      <w:r w:rsidRPr="00BA0AD1">
        <w:t>а</w:t>
      </w:r>
      <w:r w:rsidRPr="00BA0AD1">
        <w:t>телей в систему социального страхования за период с июня 2009 по а</w:t>
      </w:r>
      <w:r w:rsidRPr="00BA0AD1">
        <w:t>п</w:t>
      </w:r>
      <w:r w:rsidRPr="00BA0AD1">
        <w:t>рель 2010</w:t>
      </w:r>
      <w:r w:rsidR="009F276B">
        <w:t> </w:t>
      </w:r>
      <w:r w:rsidRPr="00BA0AD1">
        <w:t xml:space="preserve">года достигли 1 млрд. 921 155 </w:t>
      </w:r>
      <w:proofErr w:type="spellStart"/>
      <w:r w:rsidRPr="00BA0AD1">
        <w:t>гуарани</w:t>
      </w:r>
      <w:proofErr w:type="spellEnd"/>
      <w:r w:rsidRPr="00BA0AD1">
        <w:t xml:space="preserve"> (302 млн. долл. США).</w:t>
      </w:r>
    </w:p>
    <w:p w:rsidR="00BA0AD1" w:rsidRPr="00BA0AD1" w:rsidRDefault="00BA0AD1" w:rsidP="00BA0AD1">
      <w:pPr>
        <w:pStyle w:val="SingleTxtGR"/>
      </w:pPr>
      <w:r w:rsidRPr="00BA0AD1">
        <w:t>86.</w:t>
      </w:r>
      <w:r w:rsidRPr="00BA0AD1">
        <w:tab/>
        <w:t>Доступ пожилых людей к комплексным услугам медицинского обслуж</w:t>
      </w:r>
      <w:r w:rsidRPr="00BA0AD1">
        <w:t>и</w:t>
      </w:r>
      <w:r w:rsidRPr="00BA0AD1">
        <w:t>вания был расширен благодаря осуществлению программы МЕДИКАСА, цель которой </w:t>
      </w:r>
      <w:r w:rsidR="002B7B9B">
        <w:t>−</w:t>
      </w:r>
      <w:r w:rsidRPr="00BA0AD1">
        <w:t xml:space="preserve"> улучшение качества медицинской помощи и расширение доступа к ее услугам. В результате удалось снизить нагрузку на Центральную больницу и клиники на местах. Число пользователей такими услугами увеличилось на 1770</w:t>
      </w:r>
      <w:r w:rsidR="009F276B">
        <w:t> </w:t>
      </w:r>
      <w:r w:rsidRPr="00BA0AD1">
        <w:t>человек, а медицинские работники более 20 тыс. раз осуществляли выезды к пациентам на дом.</w:t>
      </w:r>
    </w:p>
    <w:p w:rsidR="00BA0AD1" w:rsidRPr="00BA0AD1" w:rsidRDefault="00BA0AD1" w:rsidP="00BA0AD1">
      <w:pPr>
        <w:pStyle w:val="SingleTxtGR"/>
      </w:pPr>
      <w:r w:rsidRPr="00BA0AD1">
        <w:t>87.</w:t>
      </w:r>
      <w:r w:rsidRPr="00BA0AD1">
        <w:tab/>
      </w:r>
      <w:proofErr w:type="spellStart"/>
      <w:r w:rsidRPr="00BA0AD1">
        <w:t>Самозанятое</w:t>
      </w:r>
      <w:proofErr w:type="spellEnd"/>
      <w:r w:rsidRPr="00BA0AD1">
        <w:t xml:space="preserve"> население (34,9</w:t>
      </w:r>
      <w:r w:rsidR="004849A7">
        <w:t xml:space="preserve">% </w:t>
      </w:r>
      <w:r w:rsidRPr="00BA0AD1">
        <w:t>в 2009 году), как правило, не пользуется социальным страхованием, доходы этой категории населения нестабильны, а</w:t>
      </w:r>
      <w:r w:rsidR="009F276B">
        <w:t> </w:t>
      </w:r>
      <w:r w:rsidRPr="00BA0AD1">
        <w:t>условия труда мало способствуют такому страхованию.</w:t>
      </w:r>
    </w:p>
    <w:p w:rsidR="00BA0AD1" w:rsidRPr="00BA0AD1" w:rsidRDefault="00BA0AD1" w:rsidP="00BA0AD1">
      <w:pPr>
        <w:pStyle w:val="SingleTxtGR"/>
      </w:pPr>
      <w:r w:rsidRPr="00BA0AD1">
        <w:t>88.</w:t>
      </w:r>
      <w:r w:rsidRPr="00BA0AD1">
        <w:tab/>
        <w:t>Что касается государственной политики, то органы исполнительной вл</w:t>
      </w:r>
      <w:r w:rsidRPr="00BA0AD1">
        <w:t>а</w:t>
      </w:r>
      <w:r w:rsidRPr="00BA0AD1">
        <w:t>сти разработали проект "Парагвай для всех", в котором в рамках первой сферы деятельности "Качество для всех" предусматривается национальная задача 1.3 "Модернизировать систему социального страхования, обеспечив комплексный охват". Решается эта задача в рамках пяти основных политических направл</w:t>
      </w:r>
      <w:r w:rsidRPr="00BA0AD1">
        <w:t>е</w:t>
      </w:r>
      <w:r w:rsidRPr="00BA0AD1">
        <w:t xml:space="preserve">ний, в числе которых </w:t>
      </w:r>
      <w:r w:rsidR="002B7B9B">
        <w:t>−</w:t>
      </w:r>
      <w:r w:rsidRPr="00BA0AD1">
        <w:t xml:space="preserve"> обеспечение доступа к единой и обязательной системе социального страхования, снижение числа случаев уклонения работодателей от выплаты взносов, увеличение пособий, привлечение в систему трудящихся, р</w:t>
      </w:r>
      <w:r w:rsidRPr="00BA0AD1">
        <w:t>а</w:t>
      </w:r>
      <w:r w:rsidRPr="00BA0AD1">
        <w:t xml:space="preserve">ботающих по найму, </w:t>
      </w:r>
      <w:proofErr w:type="spellStart"/>
      <w:r w:rsidRPr="00BA0AD1">
        <w:t>самозанятых</w:t>
      </w:r>
      <w:proofErr w:type="spellEnd"/>
      <w:r w:rsidRPr="00BA0AD1">
        <w:t xml:space="preserve"> и ведущих натуральное хозяйство, а также содействие в интеграции, возможности передачи прав и переход из одной сущ</w:t>
      </w:r>
      <w:r w:rsidRPr="00BA0AD1">
        <w:t>е</w:t>
      </w:r>
      <w:r w:rsidRPr="00BA0AD1">
        <w:t>ствующей системы социальной защиты в другую.</w:t>
      </w:r>
    </w:p>
    <w:p w:rsidR="00BA0AD1" w:rsidRPr="00BA0AD1" w:rsidRDefault="00BA0AD1" w:rsidP="00BA0AD1">
      <w:pPr>
        <w:pStyle w:val="SingleTxtGR"/>
      </w:pPr>
      <w:r w:rsidRPr="00BA0AD1">
        <w:t>89.</w:t>
      </w:r>
      <w:r w:rsidRPr="00BA0AD1">
        <w:tab/>
        <w:t>Осуществление этой политики возложено на исполнительную власть, а ведущим органом в этой сфере является Департамент труда и социального страхования. В сфере законодательной власти содействие в этой работе оказ</w:t>
      </w:r>
      <w:r w:rsidRPr="00BA0AD1">
        <w:t>ы</w:t>
      </w:r>
      <w:r w:rsidRPr="00BA0AD1">
        <w:t>вают Правовая комиссия и Комиссия по труду и социальному обеспечению П</w:t>
      </w:r>
      <w:r w:rsidRPr="00BA0AD1">
        <w:t>а</w:t>
      </w:r>
      <w:r w:rsidRPr="00BA0AD1">
        <w:t xml:space="preserve">латы депутатов и Комиссия по вопросам государственного здравоохранения, социального страхования и по предупреждению торговли наркотиками и борьбе с этим явлением (Сенат). </w:t>
      </w:r>
    </w:p>
    <w:p w:rsidR="00BA0AD1" w:rsidRPr="00BA0AD1" w:rsidRDefault="00BA0AD1" w:rsidP="00BA0AD1">
      <w:pPr>
        <w:pStyle w:val="SingleTxtGR"/>
      </w:pPr>
      <w:r w:rsidRPr="00BA0AD1">
        <w:t>90.</w:t>
      </w:r>
      <w:r w:rsidRPr="00BA0AD1">
        <w:tab/>
        <w:t>В целях координации этой политики Департамент труда и социального страхования недавно создал Главное управление социального страхования, имеющее статус административного органа. Управление призвано играть роль координатора деятельности соответствующих государственных учреждений, однако ввиду недостаточных полномочий и нехватки ресурсов результаты его работы оказались весьма незначительными. Учитывая эту ситуацию, ИСС с 2000 года занимается консолидацией системы социального страхования путем разработки законов, которые позволили бы расширить сферу социального стр</w:t>
      </w:r>
      <w:r w:rsidRPr="00BA0AD1">
        <w:t>а</w:t>
      </w:r>
      <w:r w:rsidRPr="00BA0AD1">
        <w:t>хования, распространив его на новые категории работающих (сотрудников Пр</w:t>
      </w:r>
      <w:r w:rsidRPr="00BA0AD1">
        <w:t>о</w:t>
      </w:r>
      <w:r w:rsidRPr="00BA0AD1">
        <w:t>куратуры, и судебных органов, а также работников искусства) и введя новые виды страхования (страхование жилья), введя новые долгосрочные пособия (прогрессивную пенсию) и обеспечив финансовое укрепление системы (путем отчуждения недвижимого имущества).</w:t>
      </w:r>
    </w:p>
    <w:p w:rsidR="00BA0AD1" w:rsidRPr="00BA0AD1" w:rsidRDefault="00BA0AD1" w:rsidP="00BA0AD1">
      <w:pPr>
        <w:pStyle w:val="SingleTxtGR"/>
      </w:pPr>
      <w:r w:rsidRPr="00BA0AD1">
        <w:t>91.</w:t>
      </w:r>
      <w:r w:rsidRPr="00BA0AD1">
        <w:tab/>
        <w:t>Парагвайское государство не ратифицировало Конвенцию № 102 МОТ о минимальных нормах социального обеспечения и ни один из документов, ра</w:t>
      </w:r>
      <w:r w:rsidRPr="00BA0AD1">
        <w:t>з</w:t>
      </w:r>
      <w:r w:rsidRPr="00BA0AD1">
        <w:t>работанных на ее базе, однако эти документы используются в качестве орие</w:t>
      </w:r>
      <w:r w:rsidRPr="00BA0AD1">
        <w:t>н</w:t>
      </w:r>
      <w:r w:rsidRPr="00BA0AD1">
        <w:t>тиров. Вместе с тем пока не осуществляется надлежащая оценка уровня охвата социальным страхованием по видам рисков и по отраслям. Взяв за точку отсч</w:t>
      </w:r>
      <w:r w:rsidRPr="00BA0AD1">
        <w:t>е</w:t>
      </w:r>
      <w:r w:rsidRPr="00BA0AD1">
        <w:t>та показатель минимального охвата, установленный в Конвенции № 102 МОТ, можно говорить о том, что из восьми страховых фондов, входящих в регул</w:t>
      </w:r>
      <w:r w:rsidRPr="00BA0AD1">
        <w:t>и</w:t>
      </w:r>
      <w:r w:rsidRPr="00BA0AD1">
        <w:t>руемую систему (фонды, созданные на основании закона: Пенсионная касса, ИСС, Банковская касса, Муниципальная касса, Парламентская касса, Железн</w:t>
      </w:r>
      <w:r w:rsidRPr="00BA0AD1">
        <w:t>о</w:t>
      </w:r>
      <w:r w:rsidRPr="00BA0AD1">
        <w:t xml:space="preserve">дорожная касса, Касса </w:t>
      </w:r>
      <w:proofErr w:type="spellStart"/>
      <w:r w:rsidRPr="00BA0AD1">
        <w:t>Итаипу</w:t>
      </w:r>
      <w:proofErr w:type="spellEnd"/>
      <w:r w:rsidRPr="00BA0AD1">
        <w:t xml:space="preserve">, Касса </w:t>
      </w:r>
      <w:proofErr w:type="spellStart"/>
      <w:r w:rsidRPr="00BA0AD1">
        <w:t>Анде</w:t>
      </w:r>
      <w:proofErr w:type="spellEnd"/>
      <w:r w:rsidRPr="00BA0AD1">
        <w:t>), только ИСС обеспечивает семь из девяти видов минимального страхования: медицинское страхование, денежные пособия по болезни, пенсии по старости, пенсии в случае несчастного случая на производстве или производственного заболевания, пособия по беременности и родам, пенсии по инвалидности и пенсии по случаю смерти супруга.</w:t>
      </w:r>
    </w:p>
    <w:p w:rsidR="00BA0AD1" w:rsidRPr="00BA0AD1" w:rsidRDefault="00BA0AD1" w:rsidP="00BA0AD1">
      <w:pPr>
        <w:pStyle w:val="SingleTxtGR"/>
      </w:pPr>
      <w:r w:rsidRPr="00BA0AD1">
        <w:t>92.</w:t>
      </w:r>
      <w:r w:rsidRPr="00BA0AD1">
        <w:tab/>
        <w:t>В настоящее время ИСС не предусматривает страхование от безработицы и предоставление семейных пособий в помощь семье и ребенку, за исключен</w:t>
      </w:r>
      <w:r w:rsidRPr="00BA0AD1">
        <w:t>и</w:t>
      </w:r>
      <w:r w:rsidRPr="00BA0AD1">
        <w:t xml:space="preserve">ем специальной помощи в сфере планирования семьи и полного страхования педиатрической помощи. </w:t>
      </w:r>
    </w:p>
    <w:p w:rsidR="00BA0AD1" w:rsidRPr="00BA0AD1" w:rsidRDefault="00BA0AD1" w:rsidP="009F276B">
      <w:pPr>
        <w:pStyle w:val="SingleTxtGR"/>
        <w:keepLines/>
      </w:pPr>
      <w:r w:rsidRPr="00BA0AD1">
        <w:t>93.</w:t>
      </w:r>
      <w:r w:rsidRPr="00BA0AD1">
        <w:tab/>
        <w:t>ИСС предоставляет пособия и страхует на случай общего и професси</w:t>
      </w:r>
      <w:r w:rsidRPr="00BA0AD1">
        <w:t>о</w:t>
      </w:r>
      <w:r w:rsidRPr="00BA0AD1">
        <w:t>нального заболевания, выплачивает фиксированные, дополнительные и пр</w:t>
      </w:r>
      <w:r w:rsidRPr="00BA0AD1">
        <w:t>о</w:t>
      </w:r>
      <w:r w:rsidRPr="00BA0AD1">
        <w:t>порциональные пенсии по старости, предоставляет медицинскую помощь в случае заболевания и несчастного случая на производстве, медицинскую п</w:t>
      </w:r>
      <w:r w:rsidRPr="00BA0AD1">
        <w:t>о</w:t>
      </w:r>
      <w:r w:rsidRPr="00BA0AD1">
        <w:t>мощь беременным, выплачивает пенсии вдовам и сиротам, предоставляет м</w:t>
      </w:r>
      <w:r w:rsidRPr="00BA0AD1">
        <w:t>е</w:t>
      </w:r>
      <w:r w:rsidRPr="00BA0AD1">
        <w:t xml:space="preserve">дицинскую помощь и денежные пособия в случае инвалидности по общему или профессиональному заболеванию. </w:t>
      </w:r>
    </w:p>
    <w:p w:rsidR="00BA0AD1" w:rsidRPr="00BA0AD1" w:rsidRDefault="00BA0AD1" w:rsidP="00BA0AD1">
      <w:pPr>
        <w:pStyle w:val="SingleTxtGR"/>
      </w:pPr>
      <w:r w:rsidRPr="00BA0AD1">
        <w:t>94.</w:t>
      </w:r>
      <w:r w:rsidRPr="00BA0AD1">
        <w:tab/>
        <w:t>В приложении XI представлены таблицы, в которых приводятся сведения об общем числе граждан, имевших полис медицинского страхования в период с 2005 по 2009 год.</w:t>
      </w:r>
    </w:p>
    <w:p w:rsidR="00BA0AD1" w:rsidRPr="00BA0AD1" w:rsidRDefault="00BA0AD1" w:rsidP="00BA0AD1">
      <w:pPr>
        <w:pStyle w:val="SingleTxtGR"/>
      </w:pPr>
      <w:r w:rsidRPr="00BA0AD1">
        <w:t>95.</w:t>
      </w:r>
      <w:r w:rsidRPr="00BA0AD1">
        <w:tab/>
        <w:t>Социальная поддержка в сфере медицинского обслуживания малоим</w:t>
      </w:r>
      <w:r w:rsidRPr="00BA0AD1">
        <w:t>у</w:t>
      </w:r>
      <w:r w:rsidRPr="00BA0AD1">
        <w:t>щим лицам и семьям, не выплачивающим взносы ни в один из страховых фо</w:t>
      </w:r>
      <w:r w:rsidRPr="00BA0AD1">
        <w:t>н</w:t>
      </w:r>
      <w:r w:rsidRPr="00BA0AD1">
        <w:t>дов, предоставляется в рамках медицинских программ МЗСО и Клинического госпиталя, находящегося в структуре медицинского факультета Национального университета Асунсьона. ИСС предоставляет комплексную медицинскую п</w:t>
      </w:r>
      <w:r w:rsidRPr="00BA0AD1">
        <w:t>о</w:t>
      </w:r>
      <w:r w:rsidRPr="00BA0AD1">
        <w:t xml:space="preserve">мощь только одной категории граждан, не выплачивающих взносы в систему социального страхования, </w:t>
      </w:r>
      <w:r w:rsidR="002B7B9B">
        <w:t>−</w:t>
      </w:r>
      <w:r w:rsidRPr="00BA0AD1">
        <w:t xml:space="preserve"> ветеранам и инвалидам войны в </w:t>
      </w:r>
      <w:proofErr w:type="spellStart"/>
      <w:r w:rsidRPr="00BA0AD1">
        <w:t>Чако</w:t>
      </w:r>
      <w:proofErr w:type="spellEnd"/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96.</w:t>
      </w:r>
      <w:r w:rsidRPr="00BA0AD1">
        <w:tab/>
        <w:t>Денежные пособия для этой категории граждан ограничиваются только социальными пенсиями, которые органы законодательной власти предоставл</w:t>
      </w:r>
      <w:r w:rsidRPr="00BA0AD1">
        <w:t>я</w:t>
      </w:r>
      <w:r w:rsidRPr="00BA0AD1">
        <w:t>ют из средств государственного бюджета и Минфина, и правительственной программой пенсионного обеспечения пожилых людей за счет средств госуда</w:t>
      </w:r>
      <w:r w:rsidRPr="00BA0AD1">
        <w:t>р</w:t>
      </w:r>
      <w:r w:rsidRPr="00BA0AD1">
        <w:t>ственного бюджета и Минфина. Подробнее об этом см. пункты о положении пожилых в разделе, посвященном статье 10.</w:t>
      </w:r>
    </w:p>
    <w:p w:rsidR="00BA0AD1" w:rsidRPr="00BA0AD1" w:rsidRDefault="00BA0AD1" w:rsidP="00BA0AD1">
      <w:pPr>
        <w:pStyle w:val="SingleTxtGR"/>
      </w:pPr>
      <w:r w:rsidRPr="00BA0AD1">
        <w:t>97.</w:t>
      </w:r>
      <w:r w:rsidRPr="00BA0AD1">
        <w:tab/>
        <w:t xml:space="preserve">Что касается отношений между государственными и частными системами социального страхования, то нельзя говорить о </w:t>
      </w:r>
      <w:proofErr w:type="spellStart"/>
      <w:r w:rsidRPr="00BA0AD1">
        <w:t>взаимодополняемости</w:t>
      </w:r>
      <w:proofErr w:type="spellEnd"/>
      <w:r w:rsidRPr="00BA0AD1">
        <w:t xml:space="preserve"> программ выплаты пособий, осуществляемых восемью фондами, которые входят в рег</w:t>
      </w:r>
      <w:r w:rsidRPr="00BA0AD1">
        <w:t>у</w:t>
      </w:r>
      <w:r w:rsidRPr="00BA0AD1">
        <w:t>лируемый сектор, и частной системой, предоставляющей долгосрочные пос</w:t>
      </w:r>
      <w:r w:rsidRPr="00BA0AD1">
        <w:t>о</w:t>
      </w:r>
      <w:r w:rsidRPr="00BA0AD1">
        <w:t>бия, как правило, из средств касс взаимопомощи и кооперативов на основе чи</w:t>
      </w:r>
      <w:r w:rsidRPr="00BA0AD1">
        <w:t>с</w:t>
      </w:r>
      <w:r w:rsidRPr="00BA0AD1">
        <w:t xml:space="preserve">то договорных отношений. </w:t>
      </w:r>
    </w:p>
    <w:p w:rsidR="00BA0AD1" w:rsidRPr="00BA0AD1" w:rsidRDefault="00BA0AD1" w:rsidP="00BA0AD1">
      <w:pPr>
        <w:pStyle w:val="SingleTxtGR"/>
      </w:pPr>
      <w:r w:rsidRPr="00BA0AD1">
        <w:t>98.</w:t>
      </w:r>
      <w:r w:rsidRPr="00BA0AD1">
        <w:tab/>
        <w:t>Не существует программ социального страхования для работников тен</w:t>
      </w:r>
      <w:r w:rsidRPr="00BA0AD1">
        <w:t>е</w:t>
      </w:r>
      <w:r w:rsidRPr="00BA0AD1">
        <w:t>вого сектора, например относящихся к сегменту открытой безработицы или н</w:t>
      </w:r>
      <w:r w:rsidRPr="00BA0AD1">
        <w:t>е</w:t>
      </w:r>
      <w:r w:rsidRPr="00BA0AD1">
        <w:t>видимой неполной занятости, однако они имеют равный доступ к общим усл</w:t>
      </w:r>
      <w:r w:rsidRPr="00BA0AD1">
        <w:t>у</w:t>
      </w:r>
      <w:r w:rsidRPr="00BA0AD1">
        <w:t>гам государственного здравоохранения.</w:t>
      </w:r>
    </w:p>
    <w:p w:rsidR="00BA0AD1" w:rsidRPr="00BA0AD1" w:rsidRDefault="00BA0AD1" w:rsidP="00BA0AD1">
      <w:pPr>
        <w:pStyle w:val="SingleTxtGR"/>
      </w:pPr>
      <w:r w:rsidRPr="00BA0AD1">
        <w:t>99.</w:t>
      </w:r>
      <w:r w:rsidRPr="00BA0AD1">
        <w:tab/>
        <w:t>Иностранные граждане, работающие в Парагвае, имеют доступ к усл</w:t>
      </w:r>
      <w:r w:rsidRPr="00BA0AD1">
        <w:t>у</w:t>
      </w:r>
      <w:r w:rsidRPr="00BA0AD1">
        <w:t>гам, предоставляемым фондами социального страхования, которые относятся к регулируемому сектору, на тех же условиях, что и граждане страны, и без к</w:t>
      </w:r>
      <w:r w:rsidRPr="00BA0AD1">
        <w:t>а</w:t>
      </w:r>
      <w:r w:rsidRPr="00BA0AD1">
        <w:t>ких-либо ограничений.</w:t>
      </w:r>
    </w:p>
    <w:p w:rsidR="00BA0AD1" w:rsidRPr="00BA0AD1" w:rsidRDefault="00BA0AD1" w:rsidP="00BA0AD1">
      <w:pPr>
        <w:pStyle w:val="SingleTxtGR"/>
      </w:pPr>
      <w:r w:rsidRPr="00BA0AD1">
        <w:t>100.</w:t>
      </w:r>
      <w:r w:rsidRPr="00BA0AD1">
        <w:tab/>
        <w:t>Правовые основы деятельности ИСС предусматривают, что статус з</w:t>
      </w:r>
      <w:r w:rsidRPr="00BA0AD1">
        <w:t>а</w:t>
      </w:r>
      <w:r w:rsidRPr="00BA0AD1">
        <w:t xml:space="preserve">страхованного лица приобретается в силу работы по найму на работодателя, внесенного в Систему социального страхования, и поэтому ограничений в связи с гражданством не предусматривается. </w:t>
      </w:r>
    </w:p>
    <w:p w:rsidR="00BA0AD1" w:rsidRPr="00BA0AD1" w:rsidRDefault="00BA0AD1" w:rsidP="009F276B">
      <w:pPr>
        <w:pStyle w:val="H1GR"/>
      </w:pPr>
      <w:r w:rsidRPr="00BA0AD1">
        <w:tab/>
      </w:r>
      <w:r w:rsidRPr="00BA0AD1">
        <w:tab/>
      </w:r>
      <w:bookmarkStart w:id="15" w:name="_Toc368649106"/>
      <w:r w:rsidRPr="00BA0AD1">
        <w:t>Статья 10</w:t>
      </w:r>
      <w:r w:rsidR="009F276B">
        <w:br/>
      </w:r>
      <w:r w:rsidRPr="00BA0AD1">
        <w:t>Защита семьи</w:t>
      </w:r>
      <w:bookmarkEnd w:id="15"/>
    </w:p>
    <w:p w:rsidR="00BA0AD1" w:rsidRPr="007D2776" w:rsidRDefault="00BA0AD1" w:rsidP="007D2776">
      <w:pPr>
        <w:pStyle w:val="H23GR"/>
      </w:pPr>
      <w:r w:rsidRPr="007D2776">
        <w:tab/>
        <w:t>1.</w:t>
      </w:r>
      <w:r w:rsidRPr="007D2776">
        <w:tab/>
        <w:t>Детский труд</w:t>
      </w:r>
    </w:p>
    <w:p w:rsidR="00BA0AD1" w:rsidRPr="00BA0AD1" w:rsidRDefault="00BA0AD1" w:rsidP="009F276B">
      <w:pPr>
        <w:pStyle w:val="SingleTxtGR"/>
        <w:keepLines/>
      </w:pPr>
      <w:r w:rsidRPr="00BA0AD1">
        <w:t>101.</w:t>
      </w:r>
      <w:r w:rsidRPr="00BA0AD1">
        <w:tab/>
        <w:t>В рамках осуществления Программы сбора информации, статистических данных и осуществления мониторинга в сфере детского труда (СИМПОК) Главное управление статистики, обследований и переписей (ГУСОП) готовится к проведению Обзора положения в области детского труда (ОПОДТ) и созд</w:t>
      </w:r>
      <w:r w:rsidRPr="00BA0AD1">
        <w:t>а</w:t>
      </w:r>
      <w:r w:rsidRPr="00BA0AD1">
        <w:t>нию базы данных в целях сбора количественной и качественной информации о детях и подростках в возрасте от 5 до 17 лет, занятых экономическими и неэк</w:t>
      </w:r>
      <w:r w:rsidRPr="00BA0AD1">
        <w:t>о</w:t>
      </w:r>
      <w:r w:rsidRPr="00BA0AD1">
        <w:t xml:space="preserve">номическими видами деятельности, и их домохозяйствах по всей территории страны, за исключением департаментов </w:t>
      </w:r>
      <w:proofErr w:type="spellStart"/>
      <w:r w:rsidRPr="00BA0AD1">
        <w:t>Бокерон</w:t>
      </w:r>
      <w:proofErr w:type="spellEnd"/>
      <w:r w:rsidRPr="00BA0AD1">
        <w:t xml:space="preserve"> и </w:t>
      </w:r>
      <w:proofErr w:type="spellStart"/>
      <w:r w:rsidRPr="00BA0AD1">
        <w:t>Альто-Парана</w:t>
      </w:r>
      <w:proofErr w:type="spellEnd"/>
      <w:r w:rsidRPr="00BA0AD1">
        <w:t>. Среди поз</w:t>
      </w:r>
      <w:r w:rsidRPr="00BA0AD1">
        <w:t>и</w:t>
      </w:r>
      <w:r w:rsidRPr="00BA0AD1">
        <w:t xml:space="preserve">ций, по которым собираются данные, </w:t>
      </w:r>
      <w:r w:rsidR="002B7B9B">
        <w:t>−</w:t>
      </w:r>
      <w:r w:rsidRPr="00BA0AD1">
        <w:t xml:space="preserve"> характеристики домохозяйства, хара</w:t>
      </w:r>
      <w:r w:rsidRPr="00BA0AD1">
        <w:t>к</w:t>
      </w:r>
      <w:r w:rsidRPr="00BA0AD1">
        <w:t>теристики жилья, здоровье и безопасность, образование, насилие на рабочих местах в отношении работающих детей, миграция, характеристики детской з</w:t>
      </w:r>
      <w:r w:rsidRPr="00BA0AD1">
        <w:t>а</w:t>
      </w:r>
      <w:r w:rsidRPr="00BA0AD1">
        <w:t>нятости, ориентация детского труда. Выборка составляет около 6 тыс. домох</w:t>
      </w:r>
      <w:r w:rsidRPr="00BA0AD1">
        <w:t>о</w:t>
      </w:r>
      <w:r w:rsidRPr="00BA0AD1">
        <w:t>зяйств.</w:t>
      </w:r>
    </w:p>
    <w:p w:rsidR="00BA0AD1" w:rsidRPr="00BA0AD1" w:rsidRDefault="00BA0AD1" w:rsidP="00BA0AD1">
      <w:pPr>
        <w:pStyle w:val="SingleTxtGR"/>
      </w:pPr>
      <w:r w:rsidRPr="00BA0AD1">
        <w:t>102.</w:t>
      </w:r>
      <w:r w:rsidRPr="00BA0AD1">
        <w:tab/>
        <w:t>Минимальный возраст, дающий подросткам право заниматься оплач</w:t>
      </w:r>
      <w:r w:rsidRPr="00BA0AD1">
        <w:t>и</w:t>
      </w:r>
      <w:r w:rsidRPr="00BA0AD1">
        <w:t xml:space="preserve">ваемым трудом, </w:t>
      </w:r>
      <w:r w:rsidR="002B7B9B">
        <w:t>−</w:t>
      </w:r>
      <w:r w:rsidRPr="00BA0AD1">
        <w:t xml:space="preserve"> четырнадцать (14) лет, и соответствующие гарантии пред</w:t>
      </w:r>
      <w:r w:rsidRPr="00BA0AD1">
        <w:t>у</w:t>
      </w:r>
      <w:r w:rsidRPr="00BA0AD1">
        <w:t>смотрены в Законе № 1680/2001; труд детей, не достигших этого возраста, з</w:t>
      </w:r>
      <w:r w:rsidRPr="00BA0AD1">
        <w:t>а</w:t>
      </w:r>
      <w:r w:rsidRPr="00BA0AD1">
        <w:t>прещен.</w:t>
      </w:r>
    </w:p>
    <w:p w:rsidR="00BA0AD1" w:rsidRPr="00BA0AD1" w:rsidRDefault="00BA0AD1" w:rsidP="00BA0AD1">
      <w:pPr>
        <w:pStyle w:val="SingleTxtGR"/>
      </w:pPr>
      <w:r w:rsidRPr="00BA0AD1">
        <w:t>103.</w:t>
      </w:r>
      <w:r w:rsidRPr="00BA0AD1">
        <w:tab/>
        <w:t>Ответственность за применение санкций в отношении лиц, нарушающих положения Декрета № 4951/05, регламентирующего Закон № 1657/2001 и опр</w:t>
      </w:r>
      <w:r w:rsidRPr="00BA0AD1">
        <w:t>е</w:t>
      </w:r>
      <w:r w:rsidRPr="00BA0AD1">
        <w:t xml:space="preserve">делившего список производств и работ, опасных для здоровья детей, возложена на МЮТ, а выявление случаев нарушения </w:t>
      </w:r>
      <w:r w:rsidR="002B7B9B">
        <w:t>−</w:t>
      </w:r>
      <w:r w:rsidRPr="00BA0AD1">
        <w:t xml:space="preserve"> на соответствующие судебные о</w:t>
      </w:r>
      <w:r w:rsidRPr="00BA0AD1">
        <w:t>р</w:t>
      </w:r>
      <w:r w:rsidRPr="00BA0AD1">
        <w:t>ганы. Комитет по правам ребенка Организации Объединенных Наций рекоме</w:t>
      </w:r>
      <w:r w:rsidRPr="00BA0AD1">
        <w:t>н</w:t>
      </w:r>
      <w:r w:rsidRPr="00BA0AD1">
        <w:t xml:space="preserve">довал наложить запрет на труд детей в качестве бесплатной домашней прислуги (так называемых </w:t>
      </w:r>
      <w:proofErr w:type="spellStart"/>
      <w:r w:rsidRPr="00BA0AD1">
        <w:t>criadazgo</w:t>
      </w:r>
      <w:proofErr w:type="spellEnd"/>
      <w:r w:rsidRPr="00BA0AD1">
        <w:t>), однако до сих пор инициатив в этом отношении не выдвинуто.</w:t>
      </w:r>
    </w:p>
    <w:p w:rsidR="00BA0AD1" w:rsidRPr="00BA0AD1" w:rsidRDefault="00BA0AD1" w:rsidP="00BA0AD1">
      <w:pPr>
        <w:pStyle w:val="SingleTxtGR"/>
      </w:pPr>
      <w:r w:rsidRPr="00BA0AD1">
        <w:t>104.</w:t>
      </w:r>
      <w:r w:rsidRPr="00BA0AD1">
        <w:tab/>
        <w:t>На Национальный секретариат по делам детей и подростков (НСДДП) возложена ответственность за осуществление предусмотренных Национальной системой защиты и всестороннего развития детей и подростков (НСЗРДП) мер государственной политики, в частности, Национальной политики в отношении детей и подростков на 2003</w:t>
      </w:r>
      <w:r w:rsidR="002B7B9B">
        <w:t>−</w:t>
      </w:r>
      <w:r w:rsidRPr="00BA0AD1">
        <w:t>2013 годы (ПОЛНА), Национального плана дейс</w:t>
      </w:r>
      <w:r w:rsidRPr="00BA0AD1">
        <w:t>т</w:t>
      </w:r>
      <w:r w:rsidRPr="00BA0AD1">
        <w:t>вий на 2003</w:t>
      </w:r>
      <w:r w:rsidR="002B7B9B">
        <w:t>−</w:t>
      </w:r>
      <w:r w:rsidRPr="00BA0AD1">
        <w:t xml:space="preserve">2008 годы (НПД) и трех отраслевых планов </w:t>
      </w:r>
      <w:r w:rsidR="002B7B9B">
        <w:t>−</w:t>
      </w:r>
      <w:r w:rsidRPr="00BA0AD1">
        <w:t xml:space="preserve"> Национального пл</w:t>
      </w:r>
      <w:r w:rsidRPr="00BA0AD1">
        <w:t>а</w:t>
      </w:r>
      <w:r w:rsidRPr="00BA0AD1">
        <w:t>на по предупреждению и искоренению детского труда и защите труда подрос</w:t>
      </w:r>
      <w:r w:rsidRPr="00BA0AD1">
        <w:t>т</w:t>
      </w:r>
      <w:r w:rsidRPr="00BA0AD1">
        <w:t>ков, Плана по предупреждению и искоренению сексуальной эксплуатации детей и подростков и Плана по предупреждению и искоренению жестокого обращ</w:t>
      </w:r>
      <w:r w:rsidRPr="00BA0AD1">
        <w:t>е</w:t>
      </w:r>
      <w:r w:rsidRPr="00BA0AD1">
        <w:t>ния и сексуальных злоупотреблений в отношении детей и подростков.</w:t>
      </w:r>
    </w:p>
    <w:p w:rsidR="00BA0AD1" w:rsidRPr="00BA0AD1" w:rsidRDefault="00BA0AD1" w:rsidP="00BA0AD1">
      <w:pPr>
        <w:pStyle w:val="SingleTxtGR"/>
      </w:pPr>
      <w:r w:rsidRPr="00BA0AD1">
        <w:t>105.</w:t>
      </w:r>
      <w:r w:rsidRPr="00BA0AD1">
        <w:tab/>
        <w:t xml:space="preserve">Цель ПОЛНА </w:t>
      </w:r>
      <w:r w:rsidR="002B7B9B">
        <w:t>−</w:t>
      </w:r>
      <w:r w:rsidRPr="00BA0AD1">
        <w:t xml:space="preserve"> "обеспечение всестороннего развития парагвайских детей и подростков, а также реального и полного осуществления их прав". Пред</w:t>
      </w:r>
      <w:r w:rsidRPr="00BA0AD1">
        <w:t>у</w:t>
      </w:r>
      <w:r w:rsidRPr="00BA0AD1">
        <w:t xml:space="preserve">сматривается проведение политических мер двух видов </w:t>
      </w:r>
      <w:r w:rsidR="002B7B9B">
        <w:t>−</w:t>
      </w:r>
      <w:r w:rsidRPr="00BA0AD1">
        <w:t xml:space="preserve"> "универсальных" и "целевых". Первые призваны способствовать всесторонней защите детей и по</w:t>
      </w:r>
      <w:r w:rsidRPr="00BA0AD1">
        <w:t>д</w:t>
      </w:r>
      <w:r w:rsidRPr="00BA0AD1">
        <w:t xml:space="preserve">ростков, а вторые </w:t>
      </w:r>
      <w:r w:rsidR="002B7B9B">
        <w:t>−</w:t>
      </w:r>
      <w:r w:rsidRPr="00BA0AD1">
        <w:t xml:space="preserve"> защите в конкретных ситуациях и в случае возникновения особых проблем.</w:t>
      </w:r>
    </w:p>
    <w:p w:rsidR="00BA0AD1" w:rsidRPr="00BA0AD1" w:rsidRDefault="00BA0AD1" w:rsidP="00BA0AD1">
      <w:pPr>
        <w:pStyle w:val="SingleTxtGR"/>
      </w:pPr>
      <w:r w:rsidRPr="00BA0AD1">
        <w:t>106.</w:t>
      </w:r>
      <w:r w:rsidRPr="00BA0AD1">
        <w:tab/>
        <w:t>С целью повышения эффективности работы НСЗРДП принимаются меры по повышению квалификации сотрудников консультативных советов по правам детей и подростков (КОДЕНИС), с тем чтобы у них сформировалось четкое п</w:t>
      </w:r>
      <w:r w:rsidRPr="00BA0AD1">
        <w:t>о</w:t>
      </w:r>
      <w:r w:rsidRPr="00BA0AD1">
        <w:t>нимание функционирования системы приема заявлений и принятия мер по з</w:t>
      </w:r>
      <w:r w:rsidRPr="00BA0AD1">
        <w:t>а</w:t>
      </w:r>
      <w:r w:rsidRPr="00BA0AD1">
        <w:t>щите детства в случаях, связанных с детским трудом.</w:t>
      </w:r>
    </w:p>
    <w:p w:rsidR="00BA0AD1" w:rsidRPr="00BA0AD1" w:rsidRDefault="00BA0AD1" w:rsidP="00BA0AD1">
      <w:pPr>
        <w:pStyle w:val="SingleTxtGR"/>
      </w:pPr>
      <w:r w:rsidRPr="00BA0AD1">
        <w:t>107.</w:t>
      </w:r>
      <w:r w:rsidRPr="00BA0AD1">
        <w:tab/>
        <w:t xml:space="preserve">Социальная программа "Объятие" использует подход с позиций защиты прав детей, и реализуется по четырем направлениям: улица, открытые центры, семья и межведомственное сотрудничество. Задача данной программы </w:t>
      </w:r>
      <w:r w:rsidR="002B7B9B">
        <w:t>−</w:t>
      </w:r>
      <w:r w:rsidRPr="00BA0AD1">
        <w:t xml:space="preserve"> уменьшить масштабы детского труда на улицах, защитить детей в возрасте от 0</w:t>
      </w:r>
      <w:r w:rsidR="009F276B">
        <w:t> </w:t>
      </w:r>
      <w:r w:rsidRPr="00BA0AD1">
        <w:t>до 14 лет, живущих в семьях и работающих на улицах, и улучшить условия их жизни. Помощь в осуществлении этой Программы оказывает отделение ЮНИСЕФ в Парагвае. В рамках программы открыты 14 центров, где для детей школьного возраста организованы, в числе прочего, помощь с обучением в школе, питание, досуг и обучение санитарно-гигиеническим навыкам. Учас</w:t>
      </w:r>
      <w:r w:rsidRPr="00BA0AD1">
        <w:t>т</w:t>
      </w:r>
      <w:r w:rsidRPr="00BA0AD1">
        <w:t xml:space="preserve">вующие в программе дети часть дня проводят в центре, а другую часть </w:t>
      </w:r>
      <w:r w:rsidR="002B7B9B">
        <w:t>−</w:t>
      </w:r>
      <w:r w:rsidRPr="00BA0AD1">
        <w:t xml:space="preserve"> в шк</w:t>
      </w:r>
      <w:r w:rsidRPr="00BA0AD1">
        <w:t>о</w:t>
      </w:r>
      <w:r w:rsidRPr="00BA0AD1">
        <w:t>ле. Каждой семье предоставляется психосоциальная помощь, и такие семьи с</w:t>
      </w:r>
      <w:r w:rsidRPr="00BA0AD1">
        <w:t>о</w:t>
      </w:r>
      <w:r w:rsidRPr="00BA0AD1">
        <w:t>вместно с социальными работниками разрабатывают планы развития, стремясь тем самым решить свои проблемы. Программа реализует собственные эконом</w:t>
      </w:r>
      <w:r w:rsidRPr="00BA0AD1">
        <w:t>и</w:t>
      </w:r>
      <w:r w:rsidRPr="00BA0AD1">
        <w:t>ческие инициативы, пытается привлечь к своей работе общины и обеспечить покрытие своих основных расходов. Правительство страны включило эту пр</w:t>
      </w:r>
      <w:r w:rsidRPr="00BA0AD1">
        <w:t>о</w:t>
      </w:r>
      <w:r w:rsidRPr="00BA0AD1">
        <w:t>грамму в качестве основной в проект "Парагвай для всех" и поставило цель расширить ее охват до 5630 детей, что составляет около 93,8</w:t>
      </w:r>
      <w:r w:rsidR="004849A7">
        <w:t xml:space="preserve">% </w:t>
      </w:r>
      <w:r w:rsidRPr="00BA0AD1">
        <w:t>планового зад</w:t>
      </w:r>
      <w:r w:rsidRPr="00BA0AD1">
        <w:t>а</w:t>
      </w:r>
      <w:r w:rsidRPr="00BA0AD1">
        <w:t>ния.</w:t>
      </w:r>
    </w:p>
    <w:p w:rsidR="00BA0AD1" w:rsidRPr="00BA0AD1" w:rsidRDefault="00BA0AD1" w:rsidP="00BA0AD1">
      <w:pPr>
        <w:pStyle w:val="SingleTxtGR"/>
      </w:pPr>
      <w:r w:rsidRPr="00BA0AD1">
        <w:t>108.</w:t>
      </w:r>
      <w:r w:rsidRPr="00BA0AD1">
        <w:tab/>
        <w:t>В настоящее время в рамках программы "Объятие" обеспечивается защ</w:t>
      </w:r>
      <w:r w:rsidRPr="00BA0AD1">
        <w:t>и</w:t>
      </w:r>
      <w:r w:rsidRPr="00BA0AD1">
        <w:t xml:space="preserve">та 1094 детей; оказывается помощь 1051 семье; соответствующая деятельность в рамках программы осуществляется в 15 округах. </w:t>
      </w:r>
    </w:p>
    <w:p w:rsidR="00BA0AD1" w:rsidRPr="00BA0AD1" w:rsidRDefault="00BA0AD1" w:rsidP="00BA0AD1">
      <w:pPr>
        <w:pStyle w:val="SingleTxtGR"/>
      </w:pPr>
      <w:r w:rsidRPr="00BA0AD1">
        <w:t>109.</w:t>
      </w:r>
      <w:r w:rsidRPr="00BA0AD1">
        <w:tab/>
        <w:t>Национальная комиссия по предупреждению и искоренению детского труда и охране труда подростков (</w:t>
      </w:r>
      <w:proofErr w:type="spellStart"/>
      <w:r w:rsidRPr="00BA0AD1">
        <w:t>КОНАЕТИ-Пи</w:t>
      </w:r>
      <w:proofErr w:type="spellEnd"/>
      <w:r w:rsidRPr="00BA0AD1">
        <w:t>) вслед за разработкой Наци</w:t>
      </w:r>
      <w:r w:rsidRPr="00BA0AD1">
        <w:t>о</w:t>
      </w:r>
      <w:r w:rsidRPr="00BA0AD1">
        <w:t>нального плана по предупреждению и искоренению детского труда и защите труда подростков приступила в 2009 году к его пересмотру, проводя с этой ц</w:t>
      </w:r>
      <w:r w:rsidRPr="00BA0AD1">
        <w:t>е</w:t>
      </w:r>
      <w:r w:rsidRPr="00BA0AD1">
        <w:t>лью консультации с детьми, подростками и взрослыми, представляющими ра</w:t>
      </w:r>
      <w:r w:rsidRPr="00BA0AD1">
        <w:t>з</w:t>
      </w:r>
      <w:r w:rsidRPr="00BA0AD1">
        <w:t>личные организации и движения, с тем чтобы обратить их внимание на пробл</w:t>
      </w:r>
      <w:r w:rsidRPr="00BA0AD1">
        <w:t>е</w:t>
      </w:r>
      <w:r w:rsidRPr="00BA0AD1">
        <w:t>мы детского труда, получить от них информацию, а также привлечь их к вс</w:t>
      </w:r>
      <w:r w:rsidRPr="00BA0AD1">
        <w:t>е</w:t>
      </w:r>
      <w:r w:rsidRPr="00BA0AD1">
        <w:t xml:space="preserve">стороннему и заинтересованному участию. </w:t>
      </w:r>
    </w:p>
    <w:p w:rsidR="00BA0AD1" w:rsidRPr="00BA0AD1" w:rsidRDefault="00BA0AD1" w:rsidP="00BA0AD1">
      <w:pPr>
        <w:pStyle w:val="SingleTxtGR"/>
      </w:pPr>
      <w:r w:rsidRPr="00BA0AD1">
        <w:t>110.</w:t>
      </w:r>
      <w:r w:rsidRPr="00BA0AD1">
        <w:tab/>
        <w:t>Началось осуществление проекта по искоренению детского труда на м</w:t>
      </w:r>
      <w:r w:rsidRPr="00BA0AD1">
        <w:t>у</w:t>
      </w:r>
      <w:r w:rsidRPr="00BA0AD1">
        <w:t>сорном полигоне "</w:t>
      </w:r>
      <w:proofErr w:type="spellStart"/>
      <w:r w:rsidRPr="00BA0AD1">
        <w:t>Энкарнасьон</w:t>
      </w:r>
      <w:proofErr w:type="spellEnd"/>
      <w:r w:rsidRPr="00BA0AD1">
        <w:t>". Эта работа ведется совместными усилиями местного муниципалитета и НПО "Расти для будущего", занимающейся оказ</w:t>
      </w:r>
      <w:r w:rsidRPr="00BA0AD1">
        <w:t>а</w:t>
      </w:r>
      <w:r w:rsidRPr="00BA0AD1">
        <w:t xml:space="preserve">нием комплексной помощи семьям. Поддержку в реализации данного проекта оказывает </w:t>
      </w:r>
      <w:proofErr w:type="spellStart"/>
      <w:r w:rsidRPr="00BA0AD1">
        <w:t>бинациональная</w:t>
      </w:r>
      <w:proofErr w:type="spellEnd"/>
      <w:r w:rsidRPr="00BA0AD1">
        <w:t xml:space="preserve"> организация "</w:t>
      </w:r>
      <w:proofErr w:type="spellStart"/>
      <w:r w:rsidRPr="00BA0AD1">
        <w:t>Якирета</w:t>
      </w:r>
      <w:proofErr w:type="spellEnd"/>
      <w:r w:rsidRPr="00BA0AD1">
        <w:t>".</w:t>
      </w:r>
    </w:p>
    <w:p w:rsidR="00BA0AD1" w:rsidRPr="00BA0AD1" w:rsidRDefault="00BA0AD1" w:rsidP="00BA0AD1">
      <w:pPr>
        <w:pStyle w:val="SingleTxtGR"/>
      </w:pPr>
      <w:r w:rsidRPr="00BA0AD1">
        <w:t>111.</w:t>
      </w:r>
      <w:r w:rsidRPr="00BA0AD1">
        <w:tab/>
        <w:t>В 2010 году проведена оценка Национального плана по предупреждению и искоренению сексуальной эксплуатации детей и подростков на 2011</w:t>
      </w:r>
      <w:r w:rsidR="002B7B9B">
        <w:t>−</w:t>
      </w:r>
      <w:r w:rsidRPr="00BA0AD1">
        <w:t>2016 г</w:t>
      </w:r>
      <w:r w:rsidRPr="00BA0AD1">
        <w:t>о</w:t>
      </w:r>
      <w:r w:rsidRPr="00BA0AD1">
        <w:t>ды, осуществляемого в рамках Национальной политики в отношении детей и подростков (ПИЛНА), и в настоящее время по нему проводятся консультации. Национальный секретариат по делам детей и подростков (НСДДП) в целях о</w:t>
      </w:r>
      <w:r w:rsidRPr="00BA0AD1">
        <w:t>р</w:t>
      </w:r>
      <w:r w:rsidRPr="00BA0AD1">
        <w:t>ганизации совместной работы создал Межотраслевой совет по борьбе с секс</w:t>
      </w:r>
      <w:r w:rsidRPr="00BA0AD1">
        <w:t>у</w:t>
      </w:r>
      <w:r w:rsidRPr="00BA0AD1">
        <w:t>альной эксплуатацией детей и подростков. Поддержку НСДДП в этой работе оказывает Межамериканский институт детей.</w:t>
      </w:r>
    </w:p>
    <w:p w:rsidR="00BA0AD1" w:rsidRPr="00BA0AD1" w:rsidRDefault="00BA0AD1" w:rsidP="00BA0AD1">
      <w:pPr>
        <w:pStyle w:val="SingleTxtGR"/>
      </w:pPr>
      <w:r w:rsidRPr="00BA0AD1">
        <w:t>112.</w:t>
      </w:r>
      <w:r w:rsidRPr="00BA0AD1">
        <w:tab/>
        <w:t>В структуру НСДДП входит Отдел по борьбе с торговлей людьми, нах</w:t>
      </w:r>
      <w:r w:rsidRPr="00BA0AD1">
        <w:t>о</w:t>
      </w:r>
      <w:r w:rsidRPr="00BA0AD1">
        <w:t>дящийся в ведении Главного управления Секретариата, задачей которого явл</w:t>
      </w:r>
      <w:r w:rsidRPr="00BA0AD1">
        <w:t>я</w:t>
      </w:r>
      <w:r w:rsidRPr="00BA0AD1">
        <w:t>ются оказание помощи жертвам, их прием и сопровождение в период репатри</w:t>
      </w:r>
      <w:r w:rsidRPr="00BA0AD1">
        <w:t>а</w:t>
      </w:r>
      <w:r w:rsidRPr="00BA0AD1">
        <w:t xml:space="preserve">ции, предоставление психологической и материальной поддержки вплоть до окончания процесса их социальной </w:t>
      </w:r>
      <w:proofErr w:type="spellStart"/>
      <w:r w:rsidRPr="00BA0AD1">
        <w:t>реинтеграции</w:t>
      </w:r>
      <w:proofErr w:type="spellEnd"/>
      <w:r w:rsidRPr="00BA0AD1">
        <w:t>. В целях содействия в проф</w:t>
      </w:r>
      <w:r w:rsidRPr="00BA0AD1">
        <w:t>и</w:t>
      </w:r>
      <w:r w:rsidRPr="00BA0AD1">
        <w:t xml:space="preserve">лактической работе в приграничных департаментах </w:t>
      </w:r>
      <w:proofErr w:type="spellStart"/>
      <w:r w:rsidRPr="00BA0AD1">
        <w:t>Альто-Парана</w:t>
      </w:r>
      <w:proofErr w:type="spellEnd"/>
      <w:r w:rsidRPr="00BA0AD1">
        <w:t xml:space="preserve">, </w:t>
      </w:r>
      <w:proofErr w:type="spellStart"/>
      <w:r w:rsidRPr="00BA0AD1">
        <w:t>Сьюдад-дель-Эсте</w:t>
      </w:r>
      <w:proofErr w:type="spellEnd"/>
      <w:r w:rsidRPr="00BA0AD1">
        <w:t xml:space="preserve"> и </w:t>
      </w:r>
      <w:proofErr w:type="spellStart"/>
      <w:r w:rsidRPr="00BA0AD1">
        <w:t>Энкарнасьон</w:t>
      </w:r>
      <w:proofErr w:type="spellEnd"/>
      <w:r w:rsidRPr="00BA0AD1">
        <w:t xml:space="preserve"> были созданы региональные отделения и разработан оперативный план, предусматривающий укрепление Отдела путем привлечения квалифицированных кадров, содействие в работе Межотраслевого совета и в координации региональных, национальных и международных проектов и пр</w:t>
      </w:r>
      <w:r w:rsidRPr="00BA0AD1">
        <w:t>о</w:t>
      </w:r>
      <w:r w:rsidRPr="00BA0AD1">
        <w:t>грамм по борьбе с торговлей людьми.</w:t>
      </w:r>
    </w:p>
    <w:p w:rsidR="00BA0AD1" w:rsidRPr="00BA0AD1" w:rsidRDefault="00BA0AD1" w:rsidP="00BA0AD1">
      <w:pPr>
        <w:pStyle w:val="SingleTxtGR"/>
      </w:pPr>
      <w:r w:rsidRPr="00BA0AD1">
        <w:t>113.</w:t>
      </w:r>
      <w:r w:rsidRPr="00BA0AD1">
        <w:tab/>
        <w:t>В целях повышения квалификации сотрудников Отдела и Межотраслев</w:t>
      </w:r>
      <w:r w:rsidRPr="00BA0AD1">
        <w:t>о</w:t>
      </w:r>
      <w:r w:rsidRPr="00BA0AD1">
        <w:t>го совета продолжается осуществление совместного проекта с Фондом сотру</w:t>
      </w:r>
      <w:r w:rsidRPr="00BA0AD1">
        <w:t>д</w:t>
      </w:r>
      <w:r w:rsidRPr="00BA0AD1">
        <w:t xml:space="preserve">ничества Республики Аргентины (ФОАР) в рамках Технической комиссии </w:t>
      </w:r>
      <w:proofErr w:type="spellStart"/>
      <w:r w:rsidRPr="00BA0AD1">
        <w:t>Нинь@сур</w:t>
      </w:r>
      <w:proofErr w:type="spellEnd"/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114.</w:t>
      </w:r>
      <w:r w:rsidRPr="00BA0AD1">
        <w:tab/>
        <w:t>НСДДП с помощью Механизма по предоставлению средств некоммерч</w:t>
      </w:r>
      <w:r w:rsidRPr="00BA0AD1">
        <w:t>е</w:t>
      </w:r>
      <w:r w:rsidRPr="00BA0AD1">
        <w:t>ским организациям оказывает помощь в проведении мероприятий, направле</w:t>
      </w:r>
      <w:r w:rsidRPr="00BA0AD1">
        <w:t>н</w:t>
      </w:r>
      <w:r w:rsidRPr="00BA0AD1">
        <w:t>ных на реализацию стратегий по защите, оказанию помощи и предупреждению в рамках борьбы с сексуальной эксплуатацией детей в коммерческих целях в зоне трехсторонней границы (ЭСКИ) и по борьбе с торговлей людьми.</w:t>
      </w:r>
    </w:p>
    <w:p w:rsidR="00BA0AD1" w:rsidRPr="00BA0AD1" w:rsidRDefault="00BA0AD1" w:rsidP="00BA0AD1">
      <w:pPr>
        <w:pStyle w:val="SingleTxtGR"/>
      </w:pPr>
      <w:r w:rsidRPr="00BA0AD1">
        <w:t>115.</w:t>
      </w:r>
      <w:r w:rsidRPr="00BA0AD1">
        <w:tab/>
        <w:t>В 2009 году при осуществлении проекта "Инициативы в целях повыш</w:t>
      </w:r>
      <w:r w:rsidRPr="00BA0AD1">
        <w:t>е</w:t>
      </w:r>
      <w:r w:rsidRPr="00BA0AD1">
        <w:t>ния эффективности системы обеспечения и защиты прав детей и подростков и наращивания ее потенциала в борьбе с эксплуатацией труда детей в качестве домашней прислуги и торговлей людьми" было подписано соглашение с НПО "</w:t>
      </w:r>
      <w:proofErr w:type="spellStart"/>
      <w:r w:rsidRPr="00BA0AD1">
        <w:t>Глобаль</w:t>
      </w:r>
      <w:proofErr w:type="spellEnd"/>
      <w:r w:rsidRPr="00BA0AD1">
        <w:t xml:space="preserve"> </w:t>
      </w:r>
      <w:proofErr w:type="spellStart"/>
      <w:r w:rsidRPr="00BA0AD1">
        <w:t>инфансия</w:t>
      </w:r>
      <w:proofErr w:type="spellEnd"/>
      <w:r w:rsidRPr="00BA0AD1">
        <w:t>", получившее название "Чтобы успеть вовремя" и пред</w:t>
      </w:r>
      <w:r w:rsidRPr="00BA0AD1">
        <w:t>у</w:t>
      </w:r>
      <w:r w:rsidRPr="00BA0AD1">
        <w:t xml:space="preserve">сматривающее подготовку координаторов для работы в муниципалитетах </w:t>
      </w:r>
      <w:proofErr w:type="spellStart"/>
      <w:r w:rsidRPr="00BA0AD1">
        <w:t>К</w:t>
      </w:r>
      <w:r w:rsidRPr="00BA0AD1">
        <w:t>а</w:t>
      </w:r>
      <w:r w:rsidRPr="00BA0AD1">
        <w:t>пиата</w:t>
      </w:r>
      <w:proofErr w:type="spellEnd"/>
      <w:r w:rsidRPr="00BA0AD1">
        <w:t xml:space="preserve">, </w:t>
      </w:r>
      <w:proofErr w:type="spellStart"/>
      <w:r w:rsidRPr="00BA0AD1">
        <w:t>Итаугуа</w:t>
      </w:r>
      <w:proofErr w:type="spellEnd"/>
      <w:r w:rsidRPr="00BA0AD1">
        <w:t xml:space="preserve"> и </w:t>
      </w:r>
      <w:proofErr w:type="spellStart"/>
      <w:r w:rsidRPr="00BA0AD1">
        <w:t>Каагуасу</w:t>
      </w:r>
      <w:proofErr w:type="spellEnd"/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116.</w:t>
      </w:r>
      <w:r w:rsidRPr="00BA0AD1">
        <w:tab/>
        <w:t>Деятельность органов судебной власти в сфере борьбы с жестоким обр</w:t>
      </w:r>
      <w:r w:rsidRPr="00BA0AD1">
        <w:t>а</w:t>
      </w:r>
      <w:r w:rsidRPr="00BA0AD1">
        <w:t>щением с детьми включала осуществление Программы помещения ребенка в семью (ПИНФА) как модели действий и механизма, предоставляющего судам по делам детей и подростков альтернативу помещению детей в государственные учреждения, предусматриваемому в случаях, когда в суды поступают дела д</w:t>
      </w:r>
      <w:r w:rsidRPr="00BA0AD1">
        <w:t>е</w:t>
      </w:r>
      <w:r w:rsidRPr="00BA0AD1">
        <w:t xml:space="preserve">тей, подвергающихся жестокому обращению в семье. </w:t>
      </w:r>
    </w:p>
    <w:p w:rsidR="00BA0AD1" w:rsidRPr="00BA0AD1" w:rsidRDefault="00BA0AD1" w:rsidP="00BA0AD1">
      <w:pPr>
        <w:pStyle w:val="SingleTxtGR"/>
      </w:pPr>
      <w:r w:rsidRPr="00BA0AD1">
        <w:t>117.</w:t>
      </w:r>
      <w:r w:rsidRPr="00BA0AD1">
        <w:tab/>
        <w:t>Осуществлением ПИНФА занимаются технические сотрудники Спец</w:t>
      </w:r>
      <w:r w:rsidRPr="00BA0AD1">
        <w:t>и</w:t>
      </w:r>
      <w:r w:rsidRPr="00BA0AD1">
        <w:t>ального отдела по борьбе с жестоким обращением с детьми Верховного суда, а</w:t>
      </w:r>
      <w:r w:rsidR="009F276B">
        <w:t> </w:t>
      </w:r>
      <w:r w:rsidRPr="00BA0AD1">
        <w:t>также технические работники НПО неправительственных организаций "В</w:t>
      </w:r>
      <w:r w:rsidR="009F276B">
        <w:t> </w:t>
      </w:r>
      <w:r w:rsidRPr="00BA0AD1">
        <w:t>центре внимания </w:t>
      </w:r>
      <w:r w:rsidR="002B7B9B">
        <w:t>−</w:t>
      </w:r>
      <w:r w:rsidRPr="00BA0AD1">
        <w:t xml:space="preserve"> дети" и "Сердечность к детству", координирующие свою деятельность и проводящие предусмотренные мероприятия.</w:t>
      </w:r>
    </w:p>
    <w:p w:rsidR="00BA0AD1" w:rsidRPr="00BA0AD1" w:rsidRDefault="00BA0AD1" w:rsidP="00BA0AD1">
      <w:pPr>
        <w:pStyle w:val="SingleTxtGR"/>
      </w:pPr>
      <w:r w:rsidRPr="00BA0AD1">
        <w:t>118.</w:t>
      </w:r>
      <w:r w:rsidRPr="00BA0AD1">
        <w:tab/>
        <w:t>По информации и статистическим данным за период с января по октябрь 2010 года, предоставленным Отделом психологической помощи жертвам же</w:t>
      </w:r>
      <w:r w:rsidRPr="00BA0AD1">
        <w:t>с</w:t>
      </w:r>
      <w:r w:rsidRPr="00BA0AD1">
        <w:t xml:space="preserve">токого обращения с детьми, диагностические исследования и оценки проведены в отношении 235 человек, в том числе в отношении 227 </w:t>
      </w:r>
      <w:r w:rsidR="002B7B9B">
        <w:t>−</w:t>
      </w:r>
      <w:r w:rsidRPr="00BA0AD1">
        <w:t xml:space="preserve"> "по иным причинам", не связанным с помещением в семьи, а в 8 случаях эти оценки были связаны с осуществлением программы ПИНФА.</w:t>
      </w:r>
    </w:p>
    <w:p w:rsidR="00BA0AD1" w:rsidRPr="00BA0AD1" w:rsidRDefault="00BA0AD1" w:rsidP="00BA0AD1">
      <w:pPr>
        <w:pStyle w:val="SingleTxtGR"/>
      </w:pPr>
      <w:r w:rsidRPr="00BA0AD1">
        <w:t>119.</w:t>
      </w:r>
      <w:r w:rsidRPr="00BA0AD1">
        <w:tab/>
        <w:t>Среди 235 человек, прошедших психологическое обследование, 69 дев</w:t>
      </w:r>
      <w:r w:rsidRPr="00BA0AD1">
        <w:t>о</w:t>
      </w:r>
      <w:r w:rsidRPr="00BA0AD1">
        <w:t>чек, 39 мальчиков, 30 девочек-подростков, 13 мальчиков-подростков, 55 же</w:t>
      </w:r>
      <w:r w:rsidRPr="00BA0AD1">
        <w:t>н</w:t>
      </w:r>
      <w:r w:rsidRPr="00BA0AD1">
        <w:t>щин и 29 мужчин.</w:t>
      </w:r>
    </w:p>
    <w:p w:rsidR="00BA0AD1" w:rsidRPr="00BA0AD1" w:rsidRDefault="00BA0AD1" w:rsidP="00BA0AD1">
      <w:pPr>
        <w:pStyle w:val="SingleTxtGR"/>
      </w:pPr>
      <w:r w:rsidRPr="00BA0AD1">
        <w:t>120.</w:t>
      </w:r>
      <w:r w:rsidRPr="00BA0AD1">
        <w:tab/>
        <w:t>Социальную помощь в рамках осуществления программы ПИНФА пол</w:t>
      </w:r>
      <w:r w:rsidRPr="00BA0AD1">
        <w:t>у</w:t>
      </w:r>
      <w:r w:rsidRPr="00BA0AD1">
        <w:t xml:space="preserve">чили 22 ребенка и подростка. По программе посещения семей были проведены беседы с 38 семьями: 33 </w:t>
      </w:r>
      <w:r w:rsidR="002B7B9B">
        <w:t>−</w:t>
      </w:r>
      <w:r w:rsidRPr="00BA0AD1">
        <w:t xml:space="preserve"> в Столичном округе и Большом Асунсьоне и 5 </w:t>
      </w:r>
      <w:r w:rsidR="002B7B9B">
        <w:t>−</w:t>
      </w:r>
      <w:r w:rsidRPr="00BA0AD1">
        <w:t xml:space="preserve"> в</w:t>
      </w:r>
      <w:r w:rsidR="009F276B">
        <w:t> </w:t>
      </w:r>
      <w:r w:rsidRPr="00BA0AD1">
        <w:t>других районах страны.</w:t>
      </w:r>
    </w:p>
    <w:p w:rsidR="00BA0AD1" w:rsidRPr="00BA0AD1" w:rsidRDefault="00BA0AD1" w:rsidP="00BA0AD1">
      <w:pPr>
        <w:pStyle w:val="SingleTxtGR"/>
      </w:pPr>
      <w:r w:rsidRPr="00BA0AD1">
        <w:t>121.</w:t>
      </w:r>
      <w:r w:rsidRPr="00BA0AD1">
        <w:tab/>
        <w:t>Целью 33 из этих 38 посещений являлся контроль в отношении конкре</w:t>
      </w:r>
      <w:r w:rsidRPr="00BA0AD1">
        <w:t>т</w:t>
      </w:r>
      <w:r w:rsidRPr="00BA0AD1">
        <w:t>ных дел, а 5 были связаны с деятельностью других НПО и государственных у</w:t>
      </w:r>
      <w:r w:rsidRPr="00BA0AD1">
        <w:t>ч</w:t>
      </w:r>
      <w:r w:rsidRPr="00BA0AD1">
        <w:t>реждений.</w:t>
      </w:r>
    </w:p>
    <w:p w:rsidR="00BA0AD1" w:rsidRPr="00BA0AD1" w:rsidRDefault="00BA0AD1" w:rsidP="009F276B">
      <w:pPr>
        <w:pStyle w:val="SingleTxtGR"/>
        <w:keepLines/>
      </w:pPr>
      <w:r w:rsidRPr="00BA0A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6.65pt;margin-top:39pt;width:4.95pt;height:9pt;z-index:1" filled="f" stroked="f">
            <v:textbox style="mso-next-textbox:#_x0000_s1027">
              <w:txbxContent>
                <w:p w:rsidR="004849A7" w:rsidRPr="00BA5A6E" w:rsidRDefault="004849A7" w:rsidP="00BA0AD1"/>
              </w:txbxContent>
            </v:textbox>
          </v:shape>
        </w:pict>
      </w:r>
      <w:r w:rsidRPr="00BA0AD1">
        <w:t>122.</w:t>
      </w:r>
      <w:r w:rsidRPr="00BA0AD1">
        <w:tab/>
        <w:t>Специальная группа по борьбе с психологическим насилием в отношении детей провела, по состоянию на середину октября 2010 года, в общей сложн</w:t>
      </w:r>
      <w:r w:rsidRPr="00BA0AD1">
        <w:t>о</w:t>
      </w:r>
      <w:r w:rsidRPr="00BA0AD1">
        <w:t>сти 235 психологических обследований</w:t>
      </w:r>
      <w:r w:rsidRPr="007713F6">
        <w:rPr>
          <w:sz w:val="18"/>
          <w:szCs w:val="18"/>
          <w:vertAlign w:val="superscript"/>
        </w:rPr>
        <w:footnoteReference w:id="28"/>
      </w:r>
      <w:r w:rsidRPr="00BA0AD1">
        <w:t>. В 2010 году из 22 детей и подростков, получивших помощь в рамках ПИНФА, 14 находились в своих родных семьях или в семьях родственников, а 8 были помещены в государственные детские учреждения</w:t>
      </w:r>
      <w:r w:rsidRPr="007713F6">
        <w:rPr>
          <w:sz w:val="18"/>
          <w:szCs w:val="18"/>
          <w:vertAlign w:val="superscript"/>
        </w:rPr>
        <w:footnoteReference w:id="29"/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123.</w:t>
      </w:r>
      <w:r w:rsidRPr="00BA0AD1">
        <w:tab/>
        <w:t>Постановлением правительства № 1799 2009 года были внесены измен</w:t>
      </w:r>
      <w:r w:rsidRPr="00BA0AD1">
        <w:t>е</w:t>
      </w:r>
      <w:r w:rsidRPr="00BA0AD1">
        <w:t>ния в структуру и функции Управления по социальным вопросам как технико-политического отдела Канцелярии президента Республики, руководящего пр</w:t>
      </w:r>
      <w:r w:rsidRPr="00BA0AD1">
        <w:t>о</w:t>
      </w:r>
      <w:r w:rsidRPr="00BA0AD1">
        <w:t>цессами разработки, осуществления, мониторинга и оценки государственной политики. В ходе этой работы была принята Программа "</w:t>
      </w:r>
      <w:proofErr w:type="spellStart"/>
      <w:r w:rsidRPr="00BA0AD1">
        <w:t>Сасо</w:t>
      </w:r>
      <w:proofErr w:type="spellEnd"/>
      <w:r w:rsidRPr="00BA0AD1">
        <w:t xml:space="preserve"> </w:t>
      </w:r>
      <w:proofErr w:type="spellStart"/>
      <w:r w:rsidRPr="00BA0AD1">
        <w:t>пьяу</w:t>
      </w:r>
      <w:proofErr w:type="spellEnd"/>
      <w:r w:rsidRPr="00BA0AD1">
        <w:t xml:space="preserve"> ("Новое о</w:t>
      </w:r>
      <w:r w:rsidRPr="00BA0AD1">
        <w:t>с</w:t>
      </w:r>
      <w:r w:rsidRPr="00BA0AD1">
        <w:t xml:space="preserve">вобождение") </w:t>
      </w:r>
      <w:r w:rsidR="002B7B9B">
        <w:t>−</w:t>
      </w:r>
      <w:r w:rsidRPr="00BA0AD1">
        <w:t xml:space="preserve"> солидарный Парагвай", представляющая собой модель деятел</w:t>
      </w:r>
      <w:r w:rsidRPr="00BA0AD1">
        <w:t>ь</w:t>
      </w:r>
      <w:r w:rsidRPr="00BA0AD1">
        <w:t>ности по внедрению системы социальной защиты семей, находящихся в ситу</w:t>
      </w:r>
      <w:r w:rsidRPr="00BA0AD1">
        <w:t>а</w:t>
      </w:r>
      <w:r w:rsidRPr="00BA0AD1">
        <w:t>ции крайней бедности.</w:t>
      </w:r>
    </w:p>
    <w:p w:rsidR="00BA0AD1" w:rsidRPr="007D2776" w:rsidRDefault="00BA0AD1" w:rsidP="007D2776">
      <w:pPr>
        <w:pStyle w:val="H23GR"/>
      </w:pPr>
      <w:r w:rsidRPr="007D2776">
        <w:tab/>
        <w:t>2.</w:t>
      </w:r>
      <w:r w:rsidRPr="007D2776">
        <w:tab/>
        <w:t>Сексуальные и репродуктивные права</w:t>
      </w:r>
    </w:p>
    <w:p w:rsidR="00BA0AD1" w:rsidRPr="00BA0AD1" w:rsidRDefault="00BA0AD1" w:rsidP="00BA0AD1">
      <w:pPr>
        <w:pStyle w:val="SingleTxtGR"/>
      </w:pPr>
      <w:r w:rsidRPr="00BA0AD1">
        <w:t>124.</w:t>
      </w:r>
      <w:r w:rsidRPr="00BA0AD1">
        <w:tab/>
        <w:t>В 2010 году была проведена кампания по предупреждению нежелател</w:t>
      </w:r>
      <w:r w:rsidRPr="00BA0AD1">
        <w:t>ь</w:t>
      </w:r>
      <w:r w:rsidRPr="00BA0AD1">
        <w:t>ной подростковой беременности "Почувствуй ответственность!", цель которой заключалась в формировании у подростков в возрасте 15</w:t>
      </w:r>
      <w:r w:rsidR="002B7B9B">
        <w:t>−</w:t>
      </w:r>
      <w:r w:rsidRPr="00BA0AD1">
        <w:t>19 лет чувства отве</w:t>
      </w:r>
      <w:r w:rsidRPr="00BA0AD1">
        <w:t>т</w:t>
      </w:r>
      <w:r w:rsidRPr="00BA0AD1">
        <w:t>ственности за предупреждение нежелательной беременности. Кампания, прох</w:t>
      </w:r>
      <w:r w:rsidRPr="00BA0AD1">
        <w:t>о</w:t>
      </w:r>
      <w:r w:rsidRPr="00BA0AD1">
        <w:t>дившая в 10 учебных заведениях, была рассчитана на учащихся средней ступ</w:t>
      </w:r>
      <w:r w:rsidRPr="00BA0AD1">
        <w:t>е</w:t>
      </w:r>
      <w:r w:rsidRPr="00BA0AD1">
        <w:t>ни. Всего в кампании приняли участие 2910 учащихся.</w:t>
      </w:r>
    </w:p>
    <w:p w:rsidR="00BA0AD1" w:rsidRPr="00BA0AD1" w:rsidRDefault="00BA0AD1" w:rsidP="00BA0AD1">
      <w:pPr>
        <w:pStyle w:val="SingleTxtGR"/>
      </w:pPr>
      <w:r w:rsidRPr="00BA0AD1">
        <w:t>125.</w:t>
      </w:r>
      <w:r w:rsidRPr="00BA0AD1">
        <w:tab/>
        <w:t>Был принят Закон № 3440/08 о внесении изменений и дополнений в ряд положений Закона № 1160/97 (Уголовного кодекса), в том числе направленных на борьбу с насилием в семье.</w:t>
      </w:r>
    </w:p>
    <w:p w:rsidR="00BA0AD1" w:rsidRPr="00BA0AD1" w:rsidRDefault="00BA0AD1" w:rsidP="00BA0AD1">
      <w:pPr>
        <w:pStyle w:val="SingleTxtGR"/>
      </w:pPr>
      <w:r w:rsidRPr="00BA0AD1">
        <w:t>126.</w:t>
      </w:r>
      <w:r w:rsidRPr="00BA0AD1">
        <w:tab/>
        <w:t>Были приняты НПОРВЖМ на 2008</w:t>
      </w:r>
      <w:r w:rsidR="002B7B9B">
        <w:t>−</w:t>
      </w:r>
      <w:r w:rsidRPr="00BA0AD1">
        <w:t>2017 годы, Национальный план з</w:t>
      </w:r>
      <w:r w:rsidRPr="00BA0AD1">
        <w:t>а</w:t>
      </w:r>
      <w:r w:rsidRPr="00BA0AD1">
        <w:t>щиты сексуального и репродуктивного здоровья на 2009</w:t>
      </w:r>
      <w:r w:rsidR="002B7B9B">
        <w:t>−</w:t>
      </w:r>
      <w:r w:rsidRPr="00BA0AD1">
        <w:t xml:space="preserve">2013 годы, ПГПСР и Национальная программа предупреждения </w:t>
      </w:r>
      <w:proofErr w:type="spellStart"/>
      <w:r w:rsidRPr="00BA0AD1">
        <w:t>гендерного</w:t>
      </w:r>
      <w:proofErr w:type="spellEnd"/>
      <w:r w:rsidRPr="00BA0AD1">
        <w:t xml:space="preserve">, бытового и семейного насилия и оказания комплексной помощи женщинам, детям и подросткам </w:t>
      </w:r>
      <w:r w:rsidR="002B7B9B">
        <w:t>−</w:t>
      </w:r>
      <w:r w:rsidRPr="00BA0AD1">
        <w:t xml:space="preserve"> жертвам такого насилия на 2010</w:t>
      </w:r>
      <w:r w:rsidR="002B7B9B">
        <w:t>−</w:t>
      </w:r>
      <w:r w:rsidRPr="00BA0AD1">
        <w:t xml:space="preserve">2015 годы. </w:t>
      </w:r>
    </w:p>
    <w:p w:rsidR="00BA0AD1" w:rsidRPr="00BA0AD1" w:rsidRDefault="00BA0AD1" w:rsidP="00BA0AD1">
      <w:pPr>
        <w:pStyle w:val="SingleTxtGR"/>
      </w:pPr>
      <w:r w:rsidRPr="00BA0AD1">
        <w:t>127.</w:t>
      </w:r>
      <w:r w:rsidRPr="00BA0AD1">
        <w:tab/>
        <w:t>Соответствующие статистические данные приводятся в приложении XII.</w:t>
      </w:r>
    </w:p>
    <w:p w:rsidR="00BA0AD1" w:rsidRPr="007D2776" w:rsidRDefault="00BA0AD1" w:rsidP="007D2776">
      <w:pPr>
        <w:pStyle w:val="H23GR"/>
      </w:pPr>
      <w:r w:rsidRPr="007D2776">
        <w:tab/>
        <w:t>3.</w:t>
      </w:r>
      <w:r w:rsidRPr="007D2776">
        <w:tab/>
        <w:t>Пожилые граждане</w:t>
      </w:r>
    </w:p>
    <w:p w:rsidR="00BA0AD1" w:rsidRPr="00BA0AD1" w:rsidRDefault="00BA0AD1" w:rsidP="00BA0AD1">
      <w:pPr>
        <w:pStyle w:val="SingleTxtGR"/>
      </w:pPr>
      <w:r w:rsidRPr="00BA0AD1">
        <w:t>128.</w:t>
      </w:r>
      <w:r w:rsidRPr="00BA0AD1">
        <w:tab/>
        <w:t>Парагвайское государство приняло ряд норм, обеспечивающих выполн</w:t>
      </w:r>
      <w:r w:rsidRPr="00BA0AD1">
        <w:t>е</w:t>
      </w:r>
      <w:r w:rsidRPr="00BA0AD1">
        <w:t xml:space="preserve">ние обязательств в отношении пожилых. Среди этих документов </w:t>
      </w:r>
      <w:r w:rsidR="002B7B9B">
        <w:t>−</w:t>
      </w:r>
      <w:r w:rsidRPr="00BA0AD1">
        <w:t xml:space="preserve"> принятый в августе 2009 года Закон № 3728 о признании права на социальную пенсию для пожилых малообеспеченных граждан; Декрет № 4542 от 11 июня 2010 года, регламентирующий Закон № 3728/2009; Постановление Минфина № 254 от 30</w:t>
      </w:r>
      <w:r w:rsidR="009F276B">
        <w:t> </w:t>
      </w:r>
      <w:r w:rsidRPr="00BA0AD1">
        <w:t xml:space="preserve">июля 2010 года об установлении административного порядка применения Декрета № 4542/2010; Постановление Управления по </w:t>
      </w:r>
      <w:proofErr w:type="spellStart"/>
      <w:r w:rsidRPr="00BA0AD1">
        <w:t>ненакопительным</w:t>
      </w:r>
      <w:proofErr w:type="spellEnd"/>
      <w:r w:rsidRPr="00BA0AD1">
        <w:t xml:space="preserve"> пенс</w:t>
      </w:r>
      <w:r w:rsidRPr="00BA0AD1">
        <w:t>и</w:t>
      </w:r>
      <w:r w:rsidRPr="00BA0AD1">
        <w:t xml:space="preserve">онным схемам (УННПС </w:t>
      </w:r>
      <w:r w:rsidR="002B7B9B">
        <w:t>−</w:t>
      </w:r>
      <w:r w:rsidRPr="00BA0AD1">
        <w:t xml:space="preserve"> Б) № 380 от марта 2011 года о выплате социальных пенсий пожилым малообеспеченным гражданам, устанавливающее ежемеся</w:t>
      </w:r>
      <w:r w:rsidRPr="00BA0AD1">
        <w:t>ч</w:t>
      </w:r>
      <w:r w:rsidRPr="00BA0AD1">
        <w:t xml:space="preserve">ную пенсию в размере 376 871 </w:t>
      </w:r>
      <w:proofErr w:type="spellStart"/>
      <w:r w:rsidRPr="00BA0AD1">
        <w:t>гуарани</w:t>
      </w:r>
      <w:proofErr w:type="spellEnd"/>
      <w:r w:rsidRPr="00BA0AD1">
        <w:t>; Закон № 4290 от 1 апреля 2011 года о признании права обращаться с просьбой к Институту социального страхования о</w:t>
      </w:r>
      <w:r w:rsidRPr="00BA0AD1">
        <w:t>т</w:t>
      </w:r>
      <w:r w:rsidRPr="00BA0AD1">
        <w:t>носительно учета ранее выплаченных взносов. Вместе с тем положения этих документов практически не выполняются, и в результате получать такие пенсии может лишь незначительная часть пожилых людей. Соответственно, права, з</w:t>
      </w:r>
      <w:r w:rsidRPr="00BA0AD1">
        <w:t>а</w:t>
      </w:r>
      <w:r w:rsidRPr="00BA0AD1">
        <w:t xml:space="preserve">крепленные в этих нормативных актах, остаются иллюзорными. </w:t>
      </w:r>
    </w:p>
    <w:p w:rsidR="00BA0AD1" w:rsidRPr="00BA0AD1" w:rsidRDefault="00BA0AD1" w:rsidP="00BA0AD1">
      <w:pPr>
        <w:pStyle w:val="SingleTxtGR"/>
      </w:pPr>
      <w:r w:rsidRPr="00BA0AD1">
        <w:t>129.</w:t>
      </w:r>
      <w:r w:rsidRPr="00BA0AD1">
        <w:tab/>
        <w:t>По вопросу о выплате пенсий и пособий по старости были поданы ко</w:t>
      </w:r>
      <w:r w:rsidRPr="00BA0AD1">
        <w:t>н</w:t>
      </w:r>
      <w:r w:rsidRPr="00BA0AD1">
        <w:t>ституционные жалобы и жалобы на невыполнение положений Конституции. Вопрос о приемлемости этих жалоб находится на рассмотрении Конституцио</w:t>
      </w:r>
      <w:r w:rsidRPr="00BA0AD1">
        <w:t>н</w:t>
      </w:r>
      <w:r w:rsidRPr="00BA0AD1">
        <w:t>ной палаты Верховного суда с марта и декабря 2010 года соответственно, и до сих пор данный судебный орган решения по этому поводу не вынес.</w:t>
      </w:r>
    </w:p>
    <w:p w:rsidR="00BA0AD1" w:rsidRPr="007D2776" w:rsidRDefault="00BA0AD1" w:rsidP="007D2776">
      <w:pPr>
        <w:pStyle w:val="H23GR"/>
      </w:pPr>
      <w:r w:rsidRPr="007D2776">
        <w:tab/>
        <w:t>4.</w:t>
      </w:r>
      <w:r w:rsidRPr="007D2776">
        <w:tab/>
        <w:t xml:space="preserve">Мигранты и их интеграция в парагвайское общество </w:t>
      </w:r>
    </w:p>
    <w:p w:rsidR="00BA0AD1" w:rsidRPr="00BA0AD1" w:rsidRDefault="00BA0AD1" w:rsidP="00BA0AD1">
      <w:pPr>
        <w:pStyle w:val="SingleTxtGR"/>
      </w:pPr>
      <w:r w:rsidRPr="00BA0AD1">
        <w:t>130.</w:t>
      </w:r>
      <w:r w:rsidRPr="00BA0AD1">
        <w:tab/>
        <w:t>Принятым в 2008 году Законом № 3452 была ратифицирована Междун</w:t>
      </w:r>
      <w:r w:rsidRPr="00BA0AD1">
        <w:t>а</w:t>
      </w:r>
      <w:r w:rsidRPr="00BA0AD1">
        <w:t>родная конвенция о защите прав всех трудящихся-мигрантов и членов их семей.</w:t>
      </w:r>
    </w:p>
    <w:p w:rsidR="00BA0AD1" w:rsidRPr="00BA0AD1" w:rsidRDefault="00BA0AD1" w:rsidP="00BA0AD1">
      <w:pPr>
        <w:pStyle w:val="SingleTxtGR"/>
      </w:pPr>
      <w:r w:rsidRPr="00BA0AD1">
        <w:t>131.</w:t>
      </w:r>
      <w:r w:rsidRPr="00BA0AD1">
        <w:tab/>
        <w:t xml:space="preserve">Было выдано 1512 свидетельств о репатриации в отношении более чем 3478 лиц: в 1319 случаях </w:t>
      </w:r>
      <w:r w:rsidR="002B7B9B">
        <w:t>−</w:t>
      </w:r>
      <w:r w:rsidRPr="00BA0AD1">
        <w:t xml:space="preserve"> для легализации статуса членов семьи, имеющих иностранное гражданство; в 184 случаях </w:t>
      </w:r>
      <w:r w:rsidR="002B7B9B">
        <w:t>−</w:t>
      </w:r>
      <w:r w:rsidRPr="00BA0AD1">
        <w:t xml:space="preserve"> в целях признания в рамках согл</w:t>
      </w:r>
      <w:r w:rsidRPr="00BA0AD1">
        <w:t>а</w:t>
      </w:r>
      <w:r w:rsidRPr="00BA0AD1">
        <w:t xml:space="preserve">шения с Министерством образования и культуры (МОК) дипломов зарубежных университетов, полученных парагвайцами-репатриантами; в 74 случаях </w:t>
      </w:r>
      <w:r w:rsidR="002B7B9B">
        <w:t>−</w:t>
      </w:r>
      <w:r w:rsidRPr="00BA0AD1">
        <w:t xml:space="preserve"> для освобождения от уплаты таможенных пошлин при ввозе багажа и предметов домашнего обихода, принадлежащих парагвайцам-репатриантам, а также инс</w:t>
      </w:r>
      <w:r w:rsidRPr="00BA0AD1">
        <w:t>т</w:t>
      </w:r>
      <w:r w:rsidRPr="00BA0AD1">
        <w:t xml:space="preserve">рументов и машин, используемых в ходе предпринимательской деятельности, которой они занимаются в стране; в 2010 случаях </w:t>
      </w:r>
      <w:r w:rsidR="002B7B9B">
        <w:t>−</w:t>
      </w:r>
      <w:r w:rsidRPr="00BA0AD1">
        <w:t xml:space="preserve"> для освобождения от упл</w:t>
      </w:r>
      <w:r w:rsidRPr="00BA0AD1">
        <w:t>а</w:t>
      </w:r>
      <w:r w:rsidRPr="00BA0AD1">
        <w:t>ты консульских сборов при оформлении виз и заверении документов; в 10 сл</w:t>
      </w:r>
      <w:r w:rsidRPr="00BA0AD1">
        <w:t>у</w:t>
      </w:r>
      <w:r w:rsidRPr="00BA0AD1">
        <w:t xml:space="preserve">чаях </w:t>
      </w:r>
      <w:r w:rsidR="002B7B9B">
        <w:t>−</w:t>
      </w:r>
      <w:r w:rsidRPr="00BA0AD1">
        <w:t xml:space="preserve"> при подаче заявлений о предоставлении стипендии для обучения на ку</w:t>
      </w:r>
      <w:r w:rsidRPr="00BA0AD1">
        <w:t>р</w:t>
      </w:r>
      <w:r w:rsidRPr="00BA0AD1">
        <w:t>сах, проводимых Национальным секретариатом по повышению професси</w:t>
      </w:r>
      <w:r w:rsidRPr="00BA0AD1">
        <w:t>о</w:t>
      </w:r>
      <w:r w:rsidRPr="00BA0AD1">
        <w:t xml:space="preserve">нальной квалификации (НСППК); в 224 случаях </w:t>
      </w:r>
      <w:r w:rsidR="002B7B9B">
        <w:t>−</w:t>
      </w:r>
      <w:r w:rsidRPr="00BA0AD1">
        <w:t xml:space="preserve"> для получения гуманитарной помощи с целью возвращения на родину тел умерших, возвращения жертв то</w:t>
      </w:r>
      <w:r w:rsidRPr="00BA0AD1">
        <w:t>р</w:t>
      </w:r>
      <w:r w:rsidRPr="00BA0AD1">
        <w:t>говли людьми и с целью получения услуг профессиональных психологов, пом</w:t>
      </w:r>
      <w:r w:rsidRPr="00BA0AD1">
        <w:t>о</w:t>
      </w:r>
      <w:r w:rsidRPr="00BA0AD1">
        <w:t xml:space="preserve">гающих репатриантам определить свои потребности, ожидания и возможности; в 18 случаях </w:t>
      </w:r>
      <w:r w:rsidR="002B7B9B">
        <w:t>−</w:t>
      </w:r>
      <w:r w:rsidRPr="00BA0AD1">
        <w:t xml:space="preserve"> в целях оказания посреднических услуг при контактах с другими учреждениями, занимающимися оказанием институциональной поддержки, в</w:t>
      </w:r>
      <w:r w:rsidRPr="00BA0AD1">
        <w:t>ы</w:t>
      </w:r>
      <w:r w:rsidRPr="00BA0AD1">
        <w:t>яснением ситуации и выдачей проездных билетов. В рамках Программы репа</w:t>
      </w:r>
      <w:r w:rsidRPr="00BA0AD1">
        <w:t>т</w:t>
      </w:r>
      <w:r w:rsidRPr="00BA0AD1">
        <w:t>риации специалистов предоставляемую правительством помощь получили м</w:t>
      </w:r>
      <w:r w:rsidRPr="00BA0AD1">
        <w:t>о</w:t>
      </w:r>
      <w:r w:rsidRPr="00BA0AD1">
        <w:t xml:space="preserve">лодые специалисты </w:t>
      </w:r>
      <w:r w:rsidR="002B7B9B">
        <w:t>−</w:t>
      </w:r>
      <w:r w:rsidRPr="00BA0AD1">
        <w:t xml:space="preserve"> выпускники кубинских высших учебных заведений. Пр</w:t>
      </w:r>
      <w:r w:rsidRPr="00BA0AD1">
        <w:t>о</w:t>
      </w:r>
      <w:r w:rsidRPr="00BA0AD1">
        <w:t>должалась работа по содействию в добровольном возвращении: такую помощь получили 3478 соотечественников, добровольно вернувшихся в страну.</w:t>
      </w:r>
    </w:p>
    <w:p w:rsidR="00BA0AD1" w:rsidRPr="00BA0AD1" w:rsidRDefault="00BA0AD1" w:rsidP="00BA0AD1">
      <w:pPr>
        <w:pStyle w:val="SingleTxtGR"/>
      </w:pPr>
      <w:r w:rsidRPr="00BA0AD1">
        <w:t>132.</w:t>
      </w:r>
      <w:r w:rsidRPr="00BA0AD1">
        <w:tab/>
        <w:t>Законом № 978/96 о миграции была принята гибкая миграционная пол</w:t>
      </w:r>
      <w:r w:rsidRPr="00BA0AD1">
        <w:t>и</w:t>
      </w:r>
      <w:r w:rsidRPr="00BA0AD1">
        <w:t>тика, позволяющая иностранцам быстро и без затруднений оформить докуме</w:t>
      </w:r>
      <w:r w:rsidRPr="00BA0AD1">
        <w:t>н</w:t>
      </w:r>
      <w:r w:rsidRPr="00BA0AD1">
        <w:t>ты на проживание в стране.</w:t>
      </w:r>
    </w:p>
    <w:p w:rsidR="00BA0AD1" w:rsidRPr="00BA0AD1" w:rsidRDefault="00BA0AD1" w:rsidP="00BA0AD1">
      <w:pPr>
        <w:pStyle w:val="SingleTxtGR"/>
      </w:pPr>
      <w:r w:rsidRPr="00BA0AD1">
        <w:t>133.</w:t>
      </w:r>
      <w:r w:rsidRPr="00BA0AD1">
        <w:tab/>
        <w:t>МВД в лице Главного миграционного управления (ГМУ) входит в состав Межведомственного комитета по народонаселению (МКН) и занимается осущ</w:t>
      </w:r>
      <w:r w:rsidRPr="00BA0AD1">
        <w:t>е</w:t>
      </w:r>
      <w:r w:rsidRPr="00BA0AD1">
        <w:t>ствлением политики в отношении народонаселения, основными направлениями которой являются вопросы миграции и расселение мигрантов по стране при с</w:t>
      </w:r>
      <w:r w:rsidRPr="00BA0AD1">
        <w:t>о</w:t>
      </w:r>
      <w:r w:rsidRPr="00BA0AD1">
        <w:t>блюдении положений Международной Конвенции о защите прав всех труд</w:t>
      </w:r>
      <w:r w:rsidRPr="00BA0AD1">
        <w:t>я</w:t>
      </w:r>
      <w:r w:rsidRPr="00BA0AD1">
        <w:t>щихся-мигрантов и членов их семей.</w:t>
      </w:r>
    </w:p>
    <w:p w:rsidR="00BA0AD1" w:rsidRPr="00BA0AD1" w:rsidRDefault="00BA0AD1" w:rsidP="00BA0AD1">
      <w:pPr>
        <w:pStyle w:val="SingleTxtGR"/>
      </w:pPr>
      <w:r w:rsidRPr="00BA0AD1">
        <w:t>134.</w:t>
      </w:r>
      <w:r w:rsidRPr="00BA0AD1">
        <w:tab/>
        <w:t xml:space="preserve">Благодаря интеграции стран </w:t>
      </w:r>
      <w:r w:rsidR="002B7B9B">
        <w:t>−</w:t>
      </w:r>
      <w:r w:rsidRPr="00BA0AD1">
        <w:t xml:space="preserve"> членов МЕРКОСУР упрощается порядок оформления статуса мигранта как способа получения документов для мигра</w:t>
      </w:r>
      <w:r w:rsidRPr="00BA0AD1">
        <w:t>н</w:t>
      </w:r>
      <w:r w:rsidRPr="00BA0AD1">
        <w:t>тов (временного и постоянного видов на жительство). Более 4 тыс. человек во</w:t>
      </w:r>
      <w:r w:rsidRPr="00BA0AD1">
        <w:t>с</w:t>
      </w:r>
      <w:r w:rsidRPr="00BA0AD1">
        <w:t>пользовались этой возможностью, предоставляемой на основании законов № 3565/08 и № 3578/08 о проживании в странах МЕРКОСУР и законов № 3486/08, 3577/08, 3579/08 об упорядочении миграционных процессов.</w:t>
      </w:r>
    </w:p>
    <w:p w:rsidR="00BA0AD1" w:rsidRPr="00BA0AD1" w:rsidRDefault="00BA0AD1" w:rsidP="00BA0AD1">
      <w:pPr>
        <w:pStyle w:val="SingleTxtGR"/>
      </w:pPr>
      <w:r w:rsidRPr="00BA0AD1">
        <w:t>135.</w:t>
      </w:r>
      <w:r w:rsidRPr="00BA0AD1">
        <w:tab/>
        <w:t>ГМУ проводило мероприятия в целях содействия в оформлении докуме</w:t>
      </w:r>
      <w:r w:rsidRPr="00BA0AD1">
        <w:t>н</w:t>
      </w:r>
      <w:r w:rsidRPr="00BA0AD1">
        <w:t>тов мигрантов, находящихся в стране, в том числе, путем снижения штрафов за нарушение сроков пребывания в стране, организации миграционного учета в приграничных зонах, где отсутствует пограничный контроль, сокращения ср</w:t>
      </w:r>
      <w:r w:rsidRPr="00BA0AD1">
        <w:t>о</w:t>
      </w:r>
      <w:r w:rsidRPr="00BA0AD1">
        <w:t>ков выдачи видов на жительство, регистрации посреднических агентств, упр</w:t>
      </w:r>
      <w:r w:rsidRPr="00BA0AD1">
        <w:t>о</w:t>
      </w:r>
      <w:r w:rsidRPr="00BA0AD1">
        <w:t>щения порядка официального пребывания в стране учащихся-аспирантов и т.д.</w:t>
      </w:r>
    </w:p>
    <w:p w:rsidR="00BA0AD1" w:rsidRPr="00BA0AD1" w:rsidRDefault="00BA0AD1" w:rsidP="00BA0AD1">
      <w:pPr>
        <w:pStyle w:val="SingleTxtGR"/>
      </w:pPr>
      <w:r w:rsidRPr="00BA0AD1">
        <w:t>136.</w:t>
      </w:r>
      <w:r w:rsidRPr="00BA0AD1">
        <w:tab/>
        <w:t>На основании Декрета № 3514/09 в структуре МВД было создано Упра</w:t>
      </w:r>
      <w:r w:rsidRPr="00BA0AD1">
        <w:t>в</w:t>
      </w:r>
      <w:r w:rsidRPr="00BA0AD1">
        <w:t>ление по работе с общинами парагвайцев, проживающих за рубежом. Управл</w:t>
      </w:r>
      <w:r w:rsidRPr="00BA0AD1">
        <w:t>е</w:t>
      </w:r>
      <w:r w:rsidRPr="00BA0AD1">
        <w:t>ние, работающее в тесном контакте и в координации с консульствами и посол</w:t>
      </w:r>
      <w:r w:rsidRPr="00BA0AD1">
        <w:t>ь</w:t>
      </w:r>
      <w:r w:rsidRPr="00BA0AD1">
        <w:t>ствами в соответствующих странах, занимается предоставлением помощи, и</w:t>
      </w:r>
      <w:r w:rsidRPr="00BA0AD1">
        <w:t>н</w:t>
      </w:r>
      <w:r w:rsidRPr="00BA0AD1">
        <w:t>формированием, оказанием содействия парагвайским мигрантам за рубежом и мониторингом их положения, поддерживая при этом связь с их семьями, о</w:t>
      </w:r>
      <w:r w:rsidRPr="00BA0AD1">
        <w:t>с</w:t>
      </w:r>
      <w:r w:rsidRPr="00BA0AD1">
        <w:t>тающимися в стране.</w:t>
      </w:r>
    </w:p>
    <w:p w:rsidR="00BA0AD1" w:rsidRPr="00BA0AD1" w:rsidRDefault="00BA0AD1" w:rsidP="00BA0AD1">
      <w:pPr>
        <w:pStyle w:val="SingleTxtGR"/>
      </w:pPr>
      <w:r w:rsidRPr="00BA0AD1">
        <w:t>137.</w:t>
      </w:r>
      <w:r w:rsidRPr="00BA0AD1">
        <w:tab/>
        <w:t>Секретариат по делам репатриированных и получивших убежище соот</w:t>
      </w:r>
      <w:r w:rsidRPr="00BA0AD1">
        <w:t>е</w:t>
      </w:r>
      <w:r w:rsidRPr="00BA0AD1">
        <w:t>чественников (СРПУС) занимается рассмотрением обращений соотечественн</w:t>
      </w:r>
      <w:r w:rsidRPr="00BA0AD1">
        <w:t>и</w:t>
      </w:r>
      <w:r w:rsidRPr="00BA0AD1">
        <w:t>ков, находящихся в бедственном положении, предоставляя им проездные док</w:t>
      </w:r>
      <w:r w:rsidRPr="00BA0AD1">
        <w:t>у</w:t>
      </w:r>
      <w:r w:rsidRPr="00BA0AD1">
        <w:t>менты для возвращения, прежде всего из Испании, и помогая по возвращении на родину открывать здесь малые и средние предприятия.</w:t>
      </w:r>
    </w:p>
    <w:p w:rsidR="00BA0AD1" w:rsidRPr="00BA0AD1" w:rsidRDefault="00BA0AD1" w:rsidP="00BA0AD1">
      <w:pPr>
        <w:pStyle w:val="SingleTxtGR"/>
      </w:pPr>
      <w:r w:rsidRPr="00BA0AD1">
        <w:t>138.</w:t>
      </w:r>
      <w:r w:rsidRPr="00BA0AD1">
        <w:tab/>
        <w:t>Программа обеспечения жильем "Моя страна, мой дом", принятая в целях оказания помощи соотечественникам, вернувшимся на родину из-за рубежа, располагает 300 домами и помогает участникам программы, отвечающим опр</w:t>
      </w:r>
      <w:r w:rsidRPr="00BA0AD1">
        <w:t>е</w:t>
      </w:r>
      <w:r w:rsidRPr="00BA0AD1">
        <w:t>деленным требованиям, получить их для проживания. К настоящему времени данная программа выполнена на 20</w:t>
      </w:r>
      <w:r w:rsidR="004849A7">
        <w:t>%</w:t>
      </w:r>
      <w:r w:rsidRPr="00BA0AD1">
        <w:t xml:space="preserve">. </w:t>
      </w:r>
    </w:p>
    <w:p w:rsidR="00BA0AD1" w:rsidRPr="007D2776" w:rsidRDefault="00BA0AD1" w:rsidP="007D2776">
      <w:pPr>
        <w:pStyle w:val="H23GR"/>
      </w:pPr>
      <w:r w:rsidRPr="007D2776">
        <w:tab/>
        <w:t>5.</w:t>
      </w:r>
      <w:r w:rsidRPr="007D2776">
        <w:tab/>
        <w:t>Торговля людьми и насилие</w:t>
      </w:r>
    </w:p>
    <w:p w:rsidR="00BA0AD1" w:rsidRPr="00BA0AD1" w:rsidRDefault="00BA0AD1" w:rsidP="00BA0AD1">
      <w:pPr>
        <w:pStyle w:val="SingleTxtGR"/>
      </w:pPr>
      <w:r w:rsidRPr="00BA0AD1">
        <w:t>139.</w:t>
      </w:r>
      <w:r w:rsidRPr="00BA0AD1">
        <w:tab/>
        <w:t>Как было сказано выше, в разделе, посвященном статье 2, в соответствии с рекомендацией 25 были внесены изменения и дополнения в статью 1 Уголо</w:t>
      </w:r>
      <w:r w:rsidRPr="00BA0AD1">
        <w:t>в</w:t>
      </w:r>
      <w:r w:rsidRPr="00BA0AD1">
        <w:t>ного кодекса по вопросу о торговле людьми. Если раньше торговля людьми признавалась таковой только в случае, если она осуществлялась в целях секс</w:t>
      </w:r>
      <w:r w:rsidRPr="00BA0AD1">
        <w:t>у</w:t>
      </w:r>
      <w:r w:rsidRPr="00BA0AD1">
        <w:t>альной эксплуатации, то в настоящее время личная и трудовая эксплуатация также рассматривается как торговля людьми.</w:t>
      </w:r>
    </w:p>
    <w:p w:rsidR="00BA0AD1" w:rsidRPr="00BA0AD1" w:rsidRDefault="00BA0AD1" w:rsidP="00BA0AD1">
      <w:pPr>
        <w:pStyle w:val="SingleTxtGR"/>
      </w:pPr>
      <w:r w:rsidRPr="00BA0AD1">
        <w:t>140.</w:t>
      </w:r>
      <w:r w:rsidRPr="00BA0AD1">
        <w:tab/>
        <w:t>В соответствии с рекомендациями Секретариат по делам женщин при президенте Республики (СДЖПР) создал в 2009 году Управление по предупр</w:t>
      </w:r>
      <w:r w:rsidRPr="00BA0AD1">
        <w:t>е</w:t>
      </w:r>
      <w:r w:rsidRPr="00BA0AD1">
        <w:t>ждению торговли людьми и оказанию помощи пострадавшим, основной зад</w:t>
      </w:r>
      <w:r w:rsidRPr="00BA0AD1">
        <w:t>а</w:t>
      </w:r>
      <w:r w:rsidRPr="00BA0AD1">
        <w:t>чей которого является принятие необходимых мер по заявлениям о случаях то</w:t>
      </w:r>
      <w:r w:rsidRPr="00BA0AD1">
        <w:t>р</w:t>
      </w:r>
      <w:r w:rsidRPr="00BA0AD1">
        <w:t xml:space="preserve">говли людьми. В его ведении находится Центр оказания комплексной помощи взрослым женщинам </w:t>
      </w:r>
      <w:r w:rsidR="002B7B9B">
        <w:t>−</w:t>
      </w:r>
      <w:r w:rsidRPr="00BA0AD1">
        <w:t xml:space="preserve"> жертвам торговли людьми, где работает команда пр</w:t>
      </w:r>
      <w:r w:rsidRPr="00BA0AD1">
        <w:t>о</w:t>
      </w:r>
      <w:r w:rsidRPr="00BA0AD1">
        <w:t xml:space="preserve">фессионалов и применяется Модель социальной </w:t>
      </w:r>
      <w:proofErr w:type="spellStart"/>
      <w:r w:rsidRPr="00BA0AD1">
        <w:t>реинтеграции</w:t>
      </w:r>
      <w:proofErr w:type="spellEnd"/>
      <w:r w:rsidRPr="00BA0AD1">
        <w:t xml:space="preserve"> (МСРИ). В н</w:t>
      </w:r>
      <w:r w:rsidRPr="00BA0AD1">
        <w:t>а</w:t>
      </w:r>
      <w:r w:rsidRPr="00BA0AD1">
        <w:t xml:space="preserve">стоящее время на стадии осуществления находятся проекты создания четырех региональных центров оказания помощи (в </w:t>
      </w:r>
      <w:proofErr w:type="spellStart"/>
      <w:r w:rsidRPr="00BA0AD1">
        <w:t>Сьюдад-дель-Эсте</w:t>
      </w:r>
      <w:proofErr w:type="spellEnd"/>
      <w:r w:rsidRPr="00BA0AD1">
        <w:t xml:space="preserve">, </w:t>
      </w:r>
      <w:proofErr w:type="spellStart"/>
      <w:r w:rsidRPr="00BA0AD1">
        <w:t>Каниндейу</w:t>
      </w:r>
      <w:proofErr w:type="spellEnd"/>
      <w:r w:rsidRPr="00BA0AD1">
        <w:t>, Пе</w:t>
      </w:r>
      <w:r w:rsidRPr="00BA0AD1">
        <w:t>д</w:t>
      </w:r>
      <w:r w:rsidRPr="00BA0AD1">
        <w:t xml:space="preserve">ро-Хуан-Кабальеро и Филадельфии) и двух приютов </w:t>
      </w:r>
      <w:r w:rsidR="002B7B9B">
        <w:t>−</w:t>
      </w:r>
      <w:r w:rsidRPr="00BA0AD1">
        <w:t xml:space="preserve"> в </w:t>
      </w:r>
      <w:proofErr w:type="spellStart"/>
      <w:r w:rsidRPr="00BA0AD1">
        <w:t>Сьюдад-дель-Эсте</w:t>
      </w:r>
      <w:proofErr w:type="spellEnd"/>
      <w:r w:rsidRPr="00BA0AD1">
        <w:t xml:space="preserve"> и Педро-Хуан-Кабальеро.</w:t>
      </w:r>
    </w:p>
    <w:p w:rsidR="00BA0AD1" w:rsidRPr="00BA0AD1" w:rsidRDefault="00BA0AD1" w:rsidP="00BA0AD1">
      <w:pPr>
        <w:pStyle w:val="SingleTxtGR"/>
      </w:pPr>
      <w:r w:rsidRPr="00BA0AD1">
        <w:t>141.</w:t>
      </w:r>
      <w:r w:rsidRPr="00BA0AD1">
        <w:tab/>
        <w:t>В 2005 году был создан Межведомственный совет по предупреждению торговли людьми и борьбе с ней. В настоящее время разрабатывается госуда</w:t>
      </w:r>
      <w:r w:rsidRPr="00BA0AD1">
        <w:t>р</w:t>
      </w:r>
      <w:r w:rsidRPr="00BA0AD1">
        <w:t>ственная политика борьбы с торговлей людьми, включающая такие компоне</w:t>
      </w:r>
      <w:r w:rsidRPr="00BA0AD1">
        <w:t>н</w:t>
      </w:r>
      <w:r w:rsidRPr="00BA0AD1">
        <w:t>ты, как предупреждение, защита жертв и оказание им всесторонней помощи, расследование, судебное преследование, судебные процессы и меры уголовного наказания, сотрудничество на местном, национальном и международном уро</w:t>
      </w:r>
      <w:r w:rsidRPr="00BA0AD1">
        <w:t>в</w:t>
      </w:r>
      <w:r w:rsidRPr="00BA0AD1">
        <w:t>нях, надзор и мониторинг.</w:t>
      </w:r>
    </w:p>
    <w:p w:rsidR="00BA0AD1" w:rsidRPr="00BA0AD1" w:rsidRDefault="00BA0AD1" w:rsidP="00BA0AD1">
      <w:pPr>
        <w:pStyle w:val="SingleTxtGR"/>
      </w:pPr>
      <w:r w:rsidRPr="00BA0AD1">
        <w:t>142.</w:t>
      </w:r>
      <w:r w:rsidRPr="00BA0AD1">
        <w:tab/>
        <w:t>В период 2004</w:t>
      </w:r>
      <w:r w:rsidR="002B7B9B">
        <w:t>−</w:t>
      </w:r>
      <w:r w:rsidRPr="00BA0AD1">
        <w:t>2008 годов, согласно данным, предоставленным совмес</w:t>
      </w:r>
      <w:r w:rsidRPr="00BA0AD1">
        <w:t>т</w:t>
      </w:r>
      <w:r w:rsidRPr="00BA0AD1">
        <w:t>но НСДДП, СДЖПР и Прокуратурой, были получены 84 заявления о случаях торговли людьми в целях сексуальной и трудовой эксплуатации. 90</w:t>
      </w:r>
      <w:r w:rsidR="004849A7">
        <w:t xml:space="preserve">% </w:t>
      </w:r>
      <w:r w:rsidRPr="00BA0AD1">
        <w:t>таких случаев имели место в Аргентине, а жертвы были выходцами из внутренних районов Парагвая. 32 человека, в большинстве своем женщины, были репа</w:t>
      </w:r>
      <w:r w:rsidRPr="00BA0AD1">
        <w:t>т</w:t>
      </w:r>
      <w:r w:rsidRPr="00BA0AD1">
        <w:t>риированы, в 58</w:t>
      </w:r>
      <w:r w:rsidR="004849A7">
        <w:t xml:space="preserve">% </w:t>
      </w:r>
      <w:r w:rsidRPr="00BA0AD1">
        <w:t xml:space="preserve">случаев </w:t>
      </w:r>
      <w:r w:rsidR="002B7B9B">
        <w:t>−</w:t>
      </w:r>
      <w:r w:rsidRPr="00BA0AD1">
        <w:t xml:space="preserve"> из Аргентины, в 23</w:t>
      </w:r>
      <w:r w:rsidR="004849A7">
        <w:t xml:space="preserve">% </w:t>
      </w:r>
      <w:r w:rsidRPr="00BA0AD1">
        <w:t xml:space="preserve">случаев </w:t>
      </w:r>
      <w:r w:rsidR="002B7B9B">
        <w:t>−</w:t>
      </w:r>
      <w:r w:rsidRPr="00BA0AD1">
        <w:t xml:space="preserve"> из Б</w:t>
      </w:r>
      <w:r w:rsidRPr="00BA0AD1">
        <w:t>о</w:t>
      </w:r>
      <w:r w:rsidRPr="00BA0AD1">
        <w:t>ливии, в 15</w:t>
      </w:r>
      <w:r w:rsidR="004849A7">
        <w:t xml:space="preserve">% </w:t>
      </w:r>
      <w:r w:rsidRPr="00BA0AD1">
        <w:t xml:space="preserve">случаев </w:t>
      </w:r>
      <w:r w:rsidR="002B7B9B">
        <w:t>−</w:t>
      </w:r>
      <w:r w:rsidRPr="00BA0AD1">
        <w:t xml:space="preserve"> из Испании и в 4</w:t>
      </w:r>
      <w:r w:rsidR="004849A7">
        <w:t xml:space="preserve">% </w:t>
      </w:r>
      <w:r w:rsidRPr="00BA0AD1">
        <w:t xml:space="preserve">случаев </w:t>
      </w:r>
      <w:r w:rsidR="002B7B9B">
        <w:t>−</w:t>
      </w:r>
      <w:r w:rsidRPr="00BA0AD1">
        <w:t xml:space="preserve"> из др</w:t>
      </w:r>
      <w:r w:rsidRPr="00BA0AD1">
        <w:t>у</w:t>
      </w:r>
      <w:r w:rsidRPr="00BA0AD1">
        <w:t>гих стран.</w:t>
      </w:r>
    </w:p>
    <w:p w:rsidR="00BA0AD1" w:rsidRPr="00BA0AD1" w:rsidRDefault="00BA0AD1" w:rsidP="00BA0AD1">
      <w:pPr>
        <w:pStyle w:val="SingleTxtGR"/>
      </w:pPr>
      <w:r w:rsidRPr="00BA0AD1">
        <w:t>143.</w:t>
      </w:r>
      <w:r w:rsidRPr="00BA0AD1">
        <w:tab/>
        <w:t>Что касается пространства МЕРКОСУР, то в 2009 году помощь в рамках Программы комплексной помощи жертвам торговли людьми в зоне, где сходя</w:t>
      </w:r>
      <w:r w:rsidRPr="00BA0AD1">
        <w:t>т</w:t>
      </w:r>
      <w:r w:rsidRPr="00BA0AD1">
        <w:t>ся границы трех государств (Аргентины, Бразилии и Парагвая), получили 80</w:t>
      </w:r>
      <w:r w:rsidR="009F276B">
        <w:t> </w:t>
      </w:r>
      <w:r w:rsidRPr="00BA0AD1">
        <w:t>жертв такой торговли, и, таким образом, целевой показатель, поставленный на период до ноября 2009 года, был выполнен на 25</w:t>
      </w:r>
      <w:r w:rsidR="004849A7">
        <w:t>%</w:t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144.</w:t>
      </w:r>
      <w:r w:rsidRPr="00BA0AD1">
        <w:tab/>
        <w:t>Главное управление статистики, обследований и переписей (ГУСОП) в целях сбора статистической информации создало картотеку учета жертв то</w:t>
      </w:r>
      <w:r w:rsidRPr="00BA0AD1">
        <w:t>р</w:t>
      </w:r>
      <w:r w:rsidRPr="00BA0AD1">
        <w:t>говли людьми, данные в которую поступают от учреждений, занимающихся оказанием помощи. Это позволило систематизировать такую информацию и создать первую базу данных, которую предполагается обновлять ежегодно, ра</w:t>
      </w:r>
      <w:r w:rsidRPr="00BA0AD1">
        <w:t>з</w:t>
      </w:r>
      <w:r w:rsidRPr="00BA0AD1">
        <w:t>рабатывая одновременно с этим карты маршрутов торговли людьми. СДЖПР подписал соглашение с ГУСОП по вопросу систематизации данных по таким случаям, а также в целях составления карты с маршрутами, по которым ведется торговля людьми, и публикации документа "Торговля людьми в Парагвае: р</w:t>
      </w:r>
      <w:r w:rsidRPr="00BA0AD1">
        <w:t>е</w:t>
      </w:r>
      <w:r w:rsidRPr="00BA0AD1">
        <w:t>зультаты анализа информации, полученной из материалов ведомственного уч</w:t>
      </w:r>
      <w:r w:rsidRPr="00BA0AD1">
        <w:t>е</w:t>
      </w:r>
      <w:r w:rsidRPr="00BA0AD1">
        <w:t>та, и карты маршрутов". Этот документ был представлен общественности в сентябре 2010 года.</w:t>
      </w:r>
    </w:p>
    <w:p w:rsidR="00BA0AD1" w:rsidRPr="00BA0AD1" w:rsidRDefault="00BA0AD1" w:rsidP="00BA0AD1">
      <w:pPr>
        <w:pStyle w:val="SingleTxtGR"/>
      </w:pPr>
      <w:r w:rsidRPr="00BA0AD1">
        <w:t>145.</w:t>
      </w:r>
      <w:r w:rsidRPr="00BA0AD1">
        <w:tab/>
        <w:t>Что касается осуществления государственной политики, то в этой сфере в департаментах были созданы официальные межведомственные советы.</w:t>
      </w:r>
    </w:p>
    <w:p w:rsidR="00BA0AD1" w:rsidRPr="00BA0AD1" w:rsidRDefault="00BA0AD1" w:rsidP="00BA0AD1">
      <w:pPr>
        <w:pStyle w:val="SingleTxtGR"/>
      </w:pPr>
      <w:r w:rsidRPr="00BA0AD1">
        <w:t>146.</w:t>
      </w:r>
      <w:r w:rsidRPr="00BA0AD1">
        <w:tab/>
        <w:t>В декабре 2009 года на согласование Межведомственного совета по пр</w:t>
      </w:r>
      <w:r w:rsidRPr="00BA0AD1">
        <w:t>е</w:t>
      </w:r>
      <w:r w:rsidRPr="00BA0AD1">
        <w:t>дупреждению торговли людьми и борьбе с ней был внесен предварительный проект специального закона о борьбе с торговлей людьми, и с 2010 года ведется разработка Комплексного закона о борьбе с торговлей людьми.</w:t>
      </w:r>
    </w:p>
    <w:p w:rsidR="00BA0AD1" w:rsidRPr="00BA0AD1" w:rsidRDefault="00BA0AD1" w:rsidP="00BA0AD1">
      <w:pPr>
        <w:pStyle w:val="SingleTxtGR"/>
      </w:pPr>
      <w:r w:rsidRPr="00BA0AD1">
        <w:t>147.</w:t>
      </w:r>
      <w:r w:rsidRPr="00BA0AD1">
        <w:tab/>
        <w:t>В стране осуществляется Национальная политика предупреждения то</w:t>
      </w:r>
      <w:r w:rsidRPr="00BA0AD1">
        <w:t>р</w:t>
      </w:r>
      <w:r w:rsidRPr="00BA0AD1">
        <w:t xml:space="preserve">говли людьми и борьбе с ней </w:t>
      </w:r>
      <w:r w:rsidR="002B7B9B">
        <w:t>−</w:t>
      </w:r>
      <w:r w:rsidRPr="00BA0AD1">
        <w:t xml:space="preserve"> документ, подготовленный при участии ведущих государственных учреждений и организаций гражданского общества. Итоговый текст этого документа уже направлен в Канцелярию президента Республики для утверждения этой политики президентским Декретом.</w:t>
      </w:r>
    </w:p>
    <w:p w:rsidR="00BA0AD1" w:rsidRPr="00BA0AD1" w:rsidRDefault="00BA0AD1" w:rsidP="00BA0AD1">
      <w:pPr>
        <w:pStyle w:val="SingleTxtGR"/>
      </w:pPr>
      <w:r w:rsidRPr="00BA0AD1">
        <w:t>148.</w:t>
      </w:r>
      <w:r w:rsidRPr="00BA0AD1">
        <w:tab/>
        <w:t xml:space="preserve">По данным Отдела статистической информации по уголовным делам Верховного суда, Система регистрации судебных дел располагает данными только о количестве поступивших заявлений по видам преступлений, но не имеет информации ни о </w:t>
      </w:r>
      <w:proofErr w:type="spellStart"/>
      <w:r w:rsidRPr="00BA0AD1">
        <w:t>гендерной</w:t>
      </w:r>
      <w:proofErr w:type="spellEnd"/>
      <w:r w:rsidRPr="00BA0AD1">
        <w:t xml:space="preserve"> принадлежности и возрасте потерпевших, ни о приговорах, вынесенных по каждому делу.</w:t>
      </w:r>
    </w:p>
    <w:p w:rsidR="00BA0AD1" w:rsidRPr="00BA0AD1" w:rsidRDefault="00BA0AD1" w:rsidP="00BA0AD1">
      <w:pPr>
        <w:pStyle w:val="SingleTxtGR"/>
      </w:pPr>
      <w:r w:rsidRPr="00BA0AD1">
        <w:t>149.</w:t>
      </w:r>
      <w:r w:rsidRPr="00BA0AD1">
        <w:tab/>
        <w:t>Количество дел о торговле людьми, переданных на рассмотрение в с</w:t>
      </w:r>
      <w:r w:rsidRPr="00BA0AD1">
        <w:t>у</w:t>
      </w:r>
      <w:r w:rsidRPr="00BA0AD1">
        <w:t xml:space="preserve">дебных округах Асунсьон, Центральном и </w:t>
      </w:r>
      <w:proofErr w:type="spellStart"/>
      <w:r w:rsidRPr="00BA0AD1">
        <w:t>Кордильера</w:t>
      </w:r>
      <w:proofErr w:type="spellEnd"/>
      <w:r w:rsidRPr="00BA0AD1">
        <w:t>: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1722"/>
        <w:gridCol w:w="1129"/>
        <w:gridCol w:w="1130"/>
        <w:gridCol w:w="1129"/>
        <w:gridCol w:w="1130"/>
        <w:gridCol w:w="1130"/>
      </w:tblGrid>
      <w:tr w:rsidR="00BA0AD1" w:rsidRPr="009F276B" w:rsidTr="009F276B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12" w:space="0" w:color="auto"/>
            </w:tcBorders>
            <w:shd w:val="clear" w:color="auto" w:fill="auto"/>
          </w:tcPr>
          <w:p w:rsidR="00BA0AD1" w:rsidRPr="009F276B" w:rsidRDefault="00BA0AD1" w:rsidP="009F276B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0AD1" w:rsidRPr="009F276B" w:rsidRDefault="00BA0AD1" w:rsidP="009F276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F276B">
              <w:rPr>
                <w:i/>
                <w:sz w:val="16"/>
              </w:rPr>
              <w:t>2007 год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0AD1" w:rsidRPr="009F276B" w:rsidRDefault="00BA0AD1" w:rsidP="009F276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F276B">
              <w:rPr>
                <w:i/>
                <w:sz w:val="16"/>
              </w:rPr>
              <w:t>2008 год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0AD1" w:rsidRPr="009F276B" w:rsidRDefault="00BA0AD1" w:rsidP="009F276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F276B">
              <w:rPr>
                <w:i/>
                <w:sz w:val="16"/>
              </w:rPr>
              <w:t>2009 год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0AD1" w:rsidRPr="009F276B" w:rsidRDefault="00BA0AD1" w:rsidP="009F276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F276B">
              <w:rPr>
                <w:i/>
                <w:sz w:val="16"/>
              </w:rPr>
              <w:t>2010 год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0AD1" w:rsidRPr="009F276B" w:rsidRDefault="00BA0AD1" w:rsidP="009F276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F276B">
              <w:rPr>
                <w:i/>
                <w:sz w:val="16"/>
              </w:rPr>
              <w:t>2011 год</w:t>
            </w:r>
          </w:p>
        </w:tc>
      </w:tr>
      <w:tr w:rsidR="00BA0AD1" w:rsidRPr="009F276B" w:rsidTr="009F276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12" w:space="0" w:color="auto"/>
            </w:tcBorders>
          </w:tcPr>
          <w:p w:rsidR="00BA0AD1" w:rsidRPr="009F276B" w:rsidRDefault="00BA0AD1" w:rsidP="009F276B">
            <w:r w:rsidRPr="009F276B">
              <w:t>Торговля людьми</w:t>
            </w:r>
          </w:p>
        </w:tc>
        <w:tc>
          <w:tcPr>
            <w:tcW w:w="1129" w:type="dxa"/>
            <w:tcBorders>
              <w:top w:val="single" w:sz="12" w:space="0" w:color="auto"/>
            </w:tcBorders>
          </w:tcPr>
          <w:p w:rsidR="00BA0AD1" w:rsidRPr="009F276B" w:rsidRDefault="00BA0AD1" w:rsidP="009F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76B">
              <w:t>9</w:t>
            </w: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BA0AD1" w:rsidRPr="009F276B" w:rsidRDefault="00BA0AD1" w:rsidP="009F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76B">
              <w:t>17</w:t>
            </w:r>
          </w:p>
        </w:tc>
        <w:tc>
          <w:tcPr>
            <w:tcW w:w="1129" w:type="dxa"/>
            <w:tcBorders>
              <w:top w:val="single" w:sz="12" w:space="0" w:color="auto"/>
            </w:tcBorders>
          </w:tcPr>
          <w:p w:rsidR="00BA0AD1" w:rsidRPr="009F276B" w:rsidRDefault="00BA0AD1" w:rsidP="009F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76B">
              <w:t>12</w:t>
            </w: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BA0AD1" w:rsidRPr="009F276B" w:rsidRDefault="00BA0AD1" w:rsidP="009F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76B">
              <w:t>15</w:t>
            </w: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BA0AD1" w:rsidRPr="009F276B" w:rsidRDefault="00BA0AD1" w:rsidP="009F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76B">
              <w:t>1</w:t>
            </w:r>
          </w:p>
        </w:tc>
      </w:tr>
    </w:tbl>
    <w:p w:rsidR="00BA0AD1" w:rsidRPr="00B85E64" w:rsidRDefault="00BA0AD1" w:rsidP="009F276B">
      <w:pPr>
        <w:pStyle w:val="SingleTxtGR"/>
        <w:spacing w:before="120"/>
        <w:ind w:left="1260"/>
        <w:rPr>
          <w:sz w:val="18"/>
          <w:szCs w:val="18"/>
        </w:rPr>
      </w:pPr>
      <w:r w:rsidRPr="00B85E64">
        <w:rPr>
          <w:i/>
          <w:sz w:val="18"/>
          <w:szCs w:val="18"/>
        </w:rPr>
        <w:t>Источник:</w:t>
      </w:r>
      <w:r w:rsidRPr="00B85E64">
        <w:rPr>
          <w:sz w:val="18"/>
          <w:szCs w:val="18"/>
        </w:rPr>
        <w:t xml:space="preserve"> УУПЧ, ВС.</w:t>
      </w:r>
    </w:p>
    <w:p w:rsidR="00BA0AD1" w:rsidRPr="00BA0AD1" w:rsidRDefault="00BA0AD1" w:rsidP="00F96D53">
      <w:pPr>
        <w:pStyle w:val="SingleTxtGR"/>
        <w:keepLines/>
      </w:pPr>
      <w:r w:rsidRPr="00BA0AD1">
        <w:t>150.</w:t>
      </w:r>
      <w:r w:rsidRPr="00BA0AD1">
        <w:tab/>
        <w:t>Управление по координации судебных процессов сообщило, что с 2007</w:t>
      </w:r>
      <w:r w:rsidR="009F276B">
        <w:t> </w:t>
      </w:r>
      <w:r w:rsidRPr="00BA0AD1">
        <w:t>года и по настоящее время в столице страны лишь одно дело по престу</w:t>
      </w:r>
      <w:r w:rsidRPr="00BA0AD1">
        <w:t>п</w:t>
      </w:r>
      <w:r w:rsidRPr="00BA0AD1">
        <w:t>лению, квалифицированному как торговля людьми, было передано на рассмо</w:t>
      </w:r>
      <w:r w:rsidRPr="00BA0AD1">
        <w:t>т</w:t>
      </w:r>
      <w:r w:rsidRPr="00BA0AD1">
        <w:t>рение суда, который завершился в июне 2008 года оправданием обвиняемого, поскольку решением суда факт преступления был сочтен недоказанным. Два</w:t>
      </w:r>
      <w:r w:rsidR="009F276B">
        <w:t> </w:t>
      </w:r>
      <w:r w:rsidRPr="00BA0AD1">
        <w:t>судебных процесса по такому же преступлению (торговле людьми в целях сексуальной эксплуатации) назначены на ноябрь текущего и на март 2012 года.</w:t>
      </w:r>
    </w:p>
    <w:p w:rsidR="00BA0AD1" w:rsidRPr="00BA0AD1" w:rsidRDefault="00BA0AD1" w:rsidP="00BA0AD1">
      <w:pPr>
        <w:pStyle w:val="SingleTxtGR"/>
      </w:pPr>
      <w:r w:rsidRPr="00BA0AD1">
        <w:t>151.</w:t>
      </w:r>
      <w:r w:rsidRPr="00BA0AD1">
        <w:tab/>
        <w:t>Данные о количестве заявлений о случаях насилия в семье и жестокого обращения с детьми и подростками, поданных в органы судебной власти, в ра</w:t>
      </w:r>
      <w:r w:rsidRPr="00BA0AD1">
        <w:t>з</w:t>
      </w:r>
      <w:r w:rsidRPr="00BA0AD1">
        <w:t xml:space="preserve">бивке по видам преступлений и по годам в трех судебных округах (Асунсьон, Центральном и </w:t>
      </w:r>
      <w:proofErr w:type="spellStart"/>
      <w:r w:rsidRPr="00BA0AD1">
        <w:t>Кордильера</w:t>
      </w:r>
      <w:proofErr w:type="spellEnd"/>
      <w:r w:rsidRPr="00BA0AD1">
        <w:t>) представлены ниже: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2156"/>
        <w:gridCol w:w="1042"/>
        <w:gridCol w:w="1043"/>
        <w:gridCol w:w="1043"/>
        <w:gridCol w:w="1043"/>
        <w:gridCol w:w="1043"/>
      </w:tblGrid>
      <w:tr w:rsidR="00BA0AD1" w:rsidRPr="009F276B" w:rsidTr="009F276B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tcBorders>
              <w:bottom w:val="single" w:sz="12" w:space="0" w:color="auto"/>
            </w:tcBorders>
            <w:shd w:val="clear" w:color="auto" w:fill="auto"/>
          </w:tcPr>
          <w:p w:rsidR="00BA0AD1" w:rsidRPr="009F276B" w:rsidRDefault="00BA0AD1" w:rsidP="009F276B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0AD1" w:rsidRPr="009F276B" w:rsidRDefault="00BA0AD1" w:rsidP="009F276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F276B">
              <w:rPr>
                <w:i/>
                <w:sz w:val="16"/>
              </w:rPr>
              <w:t>2007 год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0AD1" w:rsidRPr="009F276B" w:rsidRDefault="00BA0AD1" w:rsidP="009F276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F276B">
              <w:rPr>
                <w:i/>
                <w:sz w:val="16"/>
              </w:rPr>
              <w:t>2008 год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0AD1" w:rsidRPr="009F276B" w:rsidRDefault="00BA0AD1" w:rsidP="009F276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F276B">
              <w:rPr>
                <w:i/>
                <w:sz w:val="16"/>
              </w:rPr>
              <w:t>2009 год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0AD1" w:rsidRPr="009F276B" w:rsidRDefault="00BA0AD1" w:rsidP="009F276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F276B">
              <w:rPr>
                <w:i/>
                <w:sz w:val="16"/>
              </w:rPr>
              <w:t>2010 год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0AD1" w:rsidRPr="009F276B" w:rsidRDefault="00BA0AD1" w:rsidP="009F276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F276B">
              <w:rPr>
                <w:i/>
                <w:sz w:val="16"/>
              </w:rPr>
              <w:t>2011 год</w:t>
            </w:r>
          </w:p>
        </w:tc>
      </w:tr>
      <w:tr w:rsidR="00BA0AD1" w:rsidRPr="009F276B" w:rsidTr="009F276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tcBorders>
              <w:top w:val="single" w:sz="12" w:space="0" w:color="auto"/>
            </w:tcBorders>
          </w:tcPr>
          <w:p w:rsidR="00BA0AD1" w:rsidRPr="009F276B" w:rsidRDefault="00BA0AD1" w:rsidP="009F276B">
            <w:r w:rsidRPr="009F276B">
              <w:t>Бытовое насилие</w:t>
            </w:r>
          </w:p>
        </w:tc>
        <w:tc>
          <w:tcPr>
            <w:tcW w:w="1042" w:type="dxa"/>
            <w:tcBorders>
              <w:top w:val="single" w:sz="12" w:space="0" w:color="auto"/>
            </w:tcBorders>
          </w:tcPr>
          <w:p w:rsidR="00BA0AD1" w:rsidRPr="009F276B" w:rsidRDefault="00BA0AD1" w:rsidP="009F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76B">
              <w:t>122</w:t>
            </w:r>
          </w:p>
        </w:tc>
        <w:tc>
          <w:tcPr>
            <w:tcW w:w="1043" w:type="dxa"/>
            <w:tcBorders>
              <w:top w:val="single" w:sz="12" w:space="0" w:color="auto"/>
            </w:tcBorders>
          </w:tcPr>
          <w:p w:rsidR="00BA0AD1" w:rsidRPr="009F276B" w:rsidRDefault="00BA0AD1" w:rsidP="009F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76B">
              <w:t>136</w:t>
            </w:r>
          </w:p>
        </w:tc>
        <w:tc>
          <w:tcPr>
            <w:tcW w:w="1043" w:type="dxa"/>
            <w:tcBorders>
              <w:top w:val="single" w:sz="12" w:space="0" w:color="auto"/>
            </w:tcBorders>
          </w:tcPr>
          <w:p w:rsidR="00BA0AD1" w:rsidRPr="009F276B" w:rsidRDefault="00BA0AD1" w:rsidP="009F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76B">
              <w:t>130</w:t>
            </w:r>
          </w:p>
        </w:tc>
        <w:tc>
          <w:tcPr>
            <w:tcW w:w="1043" w:type="dxa"/>
            <w:tcBorders>
              <w:top w:val="single" w:sz="12" w:space="0" w:color="auto"/>
            </w:tcBorders>
          </w:tcPr>
          <w:p w:rsidR="00BA0AD1" w:rsidRPr="009F276B" w:rsidRDefault="00BA0AD1" w:rsidP="009F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76B">
              <w:t>159</w:t>
            </w:r>
          </w:p>
        </w:tc>
        <w:tc>
          <w:tcPr>
            <w:tcW w:w="1043" w:type="dxa"/>
            <w:tcBorders>
              <w:top w:val="single" w:sz="12" w:space="0" w:color="auto"/>
            </w:tcBorders>
          </w:tcPr>
          <w:p w:rsidR="00BA0AD1" w:rsidRPr="009F276B" w:rsidRDefault="00BA0AD1" w:rsidP="009F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76B">
              <w:t>44</w:t>
            </w:r>
          </w:p>
        </w:tc>
      </w:tr>
      <w:tr w:rsidR="00BA0AD1" w:rsidRPr="009F276B" w:rsidTr="009F276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BA0AD1" w:rsidRPr="009F276B" w:rsidRDefault="00BA0AD1" w:rsidP="009F276B">
            <w:r w:rsidRPr="009F276B">
              <w:t>Жестокое обращение с несовершеннолетними</w:t>
            </w:r>
          </w:p>
        </w:tc>
        <w:tc>
          <w:tcPr>
            <w:tcW w:w="1042" w:type="dxa"/>
          </w:tcPr>
          <w:p w:rsidR="00BA0AD1" w:rsidRPr="009F276B" w:rsidRDefault="00BA0AD1" w:rsidP="009F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76B">
              <w:t>71</w:t>
            </w:r>
          </w:p>
        </w:tc>
        <w:tc>
          <w:tcPr>
            <w:tcW w:w="1043" w:type="dxa"/>
          </w:tcPr>
          <w:p w:rsidR="00BA0AD1" w:rsidRPr="009F276B" w:rsidRDefault="00BA0AD1" w:rsidP="009F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76B">
              <w:t>63</w:t>
            </w:r>
          </w:p>
        </w:tc>
        <w:tc>
          <w:tcPr>
            <w:tcW w:w="1043" w:type="dxa"/>
          </w:tcPr>
          <w:p w:rsidR="00BA0AD1" w:rsidRPr="009F276B" w:rsidRDefault="00BA0AD1" w:rsidP="009F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76B">
              <w:t>62</w:t>
            </w:r>
          </w:p>
        </w:tc>
        <w:tc>
          <w:tcPr>
            <w:tcW w:w="1043" w:type="dxa"/>
          </w:tcPr>
          <w:p w:rsidR="00BA0AD1" w:rsidRPr="009F276B" w:rsidRDefault="00BA0AD1" w:rsidP="009F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76B">
              <w:t>55</w:t>
            </w:r>
          </w:p>
        </w:tc>
        <w:tc>
          <w:tcPr>
            <w:tcW w:w="1043" w:type="dxa"/>
          </w:tcPr>
          <w:p w:rsidR="00BA0AD1" w:rsidRPr="009F276B" w:rsidRDefault="00BA0AD1" w:rsidP="009F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76B">
              <w:t>12</w:t>
            </w:r>
          </w:p>
        </w:tc>
      </w:tr>
    </w:tbl>
    <w:p w:rsidR="00BA0AD1" w:rsidRPr="00B85E64" w:rsidRDefault="00BA0AD1" w:rsidP="009F276B">
      <w:pPr>
        <w:pStyle w:val="SingleTxtGR"/>
        <w:spacing w:before="120"/>
        <w:ind w:left="1302"/>
        <w:rPr>
          <w:sz w:val="18"/>
          <w:szCs w:val="18"/>
        </w:rPr>
      </w:pPr>
      <w:r w:rsidRPr="00B85E64">
        <w:rPr>
          <w:i/>
          <w:sz w:val="18"/>
          <w:szCs w:val="18"/>
        </w:rPr>
        <w:t xml:space="preserve">Источник: </w:t>
      </w:r>
      <w:r w:rsidRPr="00B85E64">
        <w:rPr>
          <w:sz w:val="18"/>
          <w:szCs w:val="18"/>
        </w:rPr>
        <w:t>УУПЧ, ВС.</w:t>
      </w:r>
    </w:p>
    <w:p w:rsidR="00BA0AD1" w:rsidRPr="00BA0AD1" w:rsidRDefault="00BA0AD1" w:rsidP="00BA0AD1">
      <w:pPr>
        <w:pStyle w:val="SingleTxtGR"/>
      </w:pPr>
      <w:r w:rsidRPr="00BA0AD1">
        <w:t>152.</w:t>
      </w:r>
      <w:r w:rsidRPr="00BA0AD1">
        <w:tab/>
        <w:t>Предложение о внесении изменений и дополнений в Закон № 1600/00 о борьбе с насилием в семье, внесенное в ноябре 2007 года в Комиссию по в</w:t>
      </w:r>
      <w:r w:rsidRPr="00BA0AD1">
        <w:t>о</w:t>
      </w:r>
      <w:r w:rsidRPr="00BA0AD1">
        <w:t xml:space="preserve">просам равноправия, </w:t>
      </w:r>
      <w:proofErr w:type="spellStart"/>
      <w:r w:rsidRPr="00BA0AD1">
        <w:t>гендерным</w:t>
      </w:r>
      <w:proofErr w:type="spellEnd"/>
      <w:r w:rsidRPr="00BA0AD1">
        <w:t xml:space="preserve"> проблемам и социального развития Сената в целях содействия в реформировании законодательства, находится на этапе ра</w:t>
      </w:r>
      <w:r w:rsidRPr="00BA0AD1">
        <w:t>с</w:t>
      </w:r>
      <w:r w:rsidRPr="00BA0AD1">
        <w:t>смотрения базового документа, который был передан консультантом в редакц</w:t>
      </w:r>
      <w:r w:rsidRPr="00BA0AD1">
        <w:t>и</w:t>
      </w:r>
      <w:r w:rsidRPr="00BA0AD1">
        <w:t>онную комиссию, в состав которой входят по два представителя каждой ветви государственной власти, назначенных в целях подготовки законопроекта. 20 д</w:t>
      </w:r>
      <w:r w:rsidRPr="00BA0AD1">
        <w:t>е</w:t>
      </w:r>
      <w:r w:rsidRPr="00BA0AD1">
        <w:t xml:space="preserve">кабря 2010 года было подписано соглашение между Комиссией по вопросам равноправия, </w:t>
      </w:r>
      <w:proofErr w:type="spellStart"/>
      <w:r w:rsidRPr="00BA0AD1">
        <w:t>гендерным</w:t>
      </w:r>
      <w:proofErr w:type="spellEnd"/>
      <w:r w:rsidRPr="00BA0AD1">
        <w:t xml:space="preserve"> проблемам и социального развития Сената, Комиссией по вопросам социального и </w:t>
      </w:r>
      <w:proofErr w:type="spellStart"/>
      <w:r w:rsidRPr="00BA0AD1">
        <w:t>гендерного</w:t>
      </w:r>
      <w:proofErr w:type="spellEnd"/>
      <w:r w:rsidRPr="00BA0AD1">
        <w:t xml:space="preserve"> равноправия Палаты депутатов, Секр</w:t>
      </w:r>
      <w:r w:rsidRPr="00BA0AD1">
        <w:t>е</w:t>
      </w:r>
      <w:r w:rsidRPr="00BA0AD1">
        <w:t>тариатом по делам женщин и Верховным судом. Соглашение призвано спосо</w:t>
      </w:r>
      <w:r w:rsidRPr="00BA0AD1">
        <w:t>б</w:t>
      </w:r>
      <w:r w:rsidRPr="00BA0AD1">
        <w:t>ствовать координации действий подписавших его сторон с целью содействовать тем самым организации общественного обсуждения в Парагвае и подготовке законопроекта.</w:t>
      </w:r>
    </w:p>
    <w:p w:rsidR="00BA0AD1" w:rsidRPr="00BA0AD1" w:rsidRDefault="00BA0AD1" w:rsidP="00BA0AD1">
      <w:pPr>
        <w:pStyle w:val="SingleTxtGR"/>
      </w:pPr>
      <w:r w:rsidRPr="00BA0AD1">
        <w:t>153.</w:t>
      </w:r>
      <w:r w:rsidRPr="00BA0AD1">
        <w:tab/>
        <w:t xml:space="preserve">26 ноября 2010 года СДЖПР открыл приют для подвергающихся насилию женщин под названием "Мерседес </w:t>
      </w:r>
      <w:proofErr w:type="spellStart"/>
      <w:r w:rsidRPr="00BA0AD1">
        <w:t>Сандоваль</w:t>
      </w:r>
      <w:proofErr w:type="spellEnd"/>
      <w:r w:rsidRPr="00BA0AD1">
        <w:t xml:space="preserve">", ставший первым в Парагвае приютом для женщин </w:t>
      </w:r>
      <w:r w:rsidR="002B7B9B">
        <w:t>−</w:t>
      </w:r>
      <w:r w:rsidRPr="00BA0AD1">
        <w:t xml:space="preserve"> жертв насилия. Приют, находящийся в Центральном департаменте, рассчитан на 50 человек и предусматривает оказание бесплатной комплексной поддержки, консультирование, психологическое и правовое с</w:t>
      </w:r>
      <w:r w:rsidRPr="00BA0AD1">
        <w:t>о</w:t>
      </w:r>
      <w:r w:rsidRPr="00BA0AD1">
        <w:t>провождение с помощью группы специалистов, в состав которой входят соц</w:t>
      </w:r>
      <w:r w:rsidRPr="00BA0AD1">
        <w:t>и</w:t>
      </w:r>
      <w:r w:rsidRPr="00BA0AD1">
        <w:t>альный работник, психолог и адвокаты. Приют является местом временного пребывания, обеспечивающим поддержку, помощь и защиту для женщин, ок</w:t>
      </w:r>
      <w:r w:rsidRPr="00BA0AD1">
        <w:t>а</w:t>
      </w:r>
      <w:r w:rsidRPr="00BA0AD1">
        <w:t>завшихся в экстремальных ситуациях.</w:t>
      </w:r>
    </w:p>
    <w:p w:rsidR="00BA0AD1" w:rsidRPr="00BA0AD1" w:rsidRDefault="00BA0AD1" w:rsidP="00BA0AD1">
      <w:pPr>
        <w:pStyle w:val="SingleTxtGR"/>
      </w:pPr>
      <w:r w:rsidRPr="00BA0AD1">
        <w:t>154.</w:t>
      </w:r>
      <w:r w:rsidRPr="00BA0AD1">
        <w:tab/>
        <w:t>В приложении XIII приводятся данные о бытовом и семейном насилии в 2010 и 2011 годах.</w:t>
      </w:r>
    </w:p>
    <w:p w:rsidR="00BA0AD1" w:rsidRPr="00BA0AD1" w:rsidRDefault="00BA0AD1" w:rsidP="009F276B">
      <w:pPr>
        <w:pStyle w:val="H1GR"/>
      </w:pPr>
      <w:r w:rsidRPr="00BA0AD1">
        <w:tab/>
      </w:r>
      <w:r w:rsidRPr="00BA0AD1">
        <w:tab/>
      </w:r>
      <w:bookmarkStart w:id="16" w:name="_Toc368649107"/>
      <w:r w:rsidRPr="00BA0AD1">
        <w:t>Статья 11</w:t>
      </w:r>
      <w:r w:rsidR="009F276B">
        <w:br/>
      </w:r>
      <w:r w:rsidRPr="00BA0AD1">
        <w:t>Право на достойный уровень жизни</w:t>
      </w:r>
      <w:bookmarkEnd w:id="16"/>
    </w:p>
    <w:p w:rsidR="00BA0AD1" w:rsidRPr="00BA0AD1" w:rsidRDefault="00BA0AD1" w:rsidP="00B85E64">
      <w:pPr>
        <w:pStyle w:val="SingleTxtGR"/>
        <w:keepLines/>
      </w:pPr>
      <w:r w:rsidRPr="00BA0AD1">
        <w:t>155.</w:t>
      </w:r>
      <w:r w:rsidRPr="00BA0AD1">
        <w:tab/>
        <w:t>Малообеспеченными являются 35,1</w:t>
      </w:r>
      <w:r w:rsidR="004849A7">
        <w:t xml:space="preserve">% </w:t>
      </w:r>
      <w:r w:rsidRPr="00BA0AD1">
        <w:t>от общей численности населения Парагвая (приблизительно 2 млн. 191 тыс. человек)</w:t>
      </w:r>
      <w:r w:rsidRPr="007713F6">
        <w:rPr>
          <w:sz w:val="18"/>
          <w:szCs w:val="18"/>
          <w:vertAlign w:val="superscript"/>
        </w:rPr>
        <w:footnoteReference w:id="30"/>
      </w:r>
      <w:r w:rsidRPr="00BA0AD1">
        <w:t>. В общенаци</w:t>
      </w:r>
      <w:r w:rsidRPr="00BA0AD1">
        <w:t>о</w:t>
      </w:r>
      <w:r w:rsidRPr="00BA0AD1">
        <w:t>нальном масштабе уровень тотальной бедности снизился примерно на 3 пр</w:t>
      </w:r>
      <w:r w:rsidRPr="00BA0AD1">
        <w:t>о</w:t>
      </w:r>
      <w:r w:rsidRPr="00BA0AD1">
        <w:t>центных пункта (с 38</w:t>
      </w:r>
      <w:r w:rsidR="004849A7">
        <w:t xml:space="preserve">% </w:t>
      </w:r>
      <w:r w:rsidRPr="00BA0AD1">
        <w:t>в 2008 году до 35</w:t>
      </w:r>
      <w:r w:rsidR="004849A7">
        <w:t xml:space="preserve">% </w:t>
      </w:r>
      <w:r w:rsidRPr="00BA0AD1">
        <w:t>в 2009 году). Показатель нищеты по-прежнему остается на уровне 19</w:t>
      </w:r>
      <w:r w:rsidR="004849A7">
        <w:t>%</w:t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156.</w:t>
      </w:r>
      <w:r w:rsidRPr="00BA0AD1">
        <w:tab/>
        <w:t xml:space="preserve">В период с 2005 по 2009 год показатель тотальной бедности в разное время изменялся. В 2005 и 2006 годах он вырос более чем на 10 процентных пунктов </w:t>
      </w:r>
      <w:r w:rsidR="002B7B9B">
        <w:t>−</w:t>
      </w:r>
      <w:r w:rsidRPr="00BA0AD1">
        <w:t xml:space="preserve"> с 38,6 до 43,7</w:t>
      </w:r>
      <w:r w:rsidR="004849A7">
        <w:t>%</w:t>
      </w:r>
      <w:r w:rsidRPr="00BA0AD1">
        <w:t>. В дальнейшем до 2009 года этот показатель усто</w:t>
      </w:r>
      <w:r w:rsidRPr="00BA0AD1">
        <w:t>й</w:t>
      </w:r>
      <w:r w:rsidRPr="00BA0AD1">
        <w:t>чиво снижался. В сельских районах тотально бедной является половина нас</w:t>
      </w:r>
      <w:r w:rsidRPr="00BA0AD1">
        <w:t>е</w:t>
      </w:r>
      <w:r w:rsidRPr="00BA0AD1">
        <w:t>ления (49,8</w:t>
      </w:r>
      <w:r w:rsidR="004849A7">
        <w:t>%</w:t>
      </w:r>
      <w:r w:rsidRPr="00BA0AD1">
        <w:t>), а наименьшая доля людей, живущих в условиях бедности, отм</w:t>
      </w:r>
      <w:r w:rsidRPr="00BA0AD1">
        <w:t>е</w:t>
      </w:r>
      <w:r w:rsidRPr="00BA0AD1">
        <w:t>чена в Асунсьоне (21,1</w:t>
      </w:r>
      <w:r w:rsidR="004849A7">
        <w:t>%</w:t>
      </w:r>
      <w:r w:rsidRPr="00BA0AD1">
        <w:t>).</w:t>
      </w:r>
    </w:p>
    <w:p w:rsidR="00BA0AD1" w:rsidRPr="00BA0AD1" w:rsidRDefault="00BA0AD1" w:rsidP="00BA0AD1">
      <w:pPr>
        <w:pStyle w:val="SingleTxtGR"/>
      </w:pPr>
      <w:r w:rsidRPr="00BA0AD1">
        <w:t>157.</w:t>
      </w:r>
      <w:r w:rsidRPr="00BA0AD1">
        <w:tab/>
        <w:t>71</w:t>
      </w:r>
      <w:r w:rsidR="004849A7">
        <w:t>%</w:t>
      </w:r>
      <w:r w:rsidRPr="00BA0AD1">
        <w:t xml:space="preserve"> из тех, кто живет в условиях крайней бедности или нищеты, являе</w:t>
      </w:r>
      <w:r w:rsidRPr="00BA0AD1">
        <w:t>т</w:t>
      </w:r>
      <w:r w:rsidRPr="00BA0AD1">
        <w:t>ся жителями сельских районов страны (835 тыс. из общего числа жителей стр</w:t>
      </w:r>
      <w:r w:rsidRPr="00BA0AD1">
        <w:t>а</w:t>
      </w:r>
      <w:r w:rsidRPr="00BA0AD1">
        <w:t xml:space="preserve">ны, живущих в условиях крайней бедности, </w:t>
      </w:r>
      <w:r w:rsidR="002B7B9B">
        <w:t>−</w:t>
      </w:r>
      <w:r w:rsidRPr="00BA0AD1">
        <w:t xml:space="preserve"> их численность составляет пр</w:t>
      </w:r>
      <w:r w:rsidRPr="00BA0AD1">
        <w:t>и</w:t>
      </w:r>
      <w:r w:rsidRPr="00BA0AD1">
        <w:t>близительно 1 млн. 175 тыс. человек).</w:t>
      </w:r>
    </w:p>
    <w:p w:rsidR="00BA0AD1" w:rsidRPr="00BA0AD1" w:rsidRDefault="00BA0AD1" w:rsidP="00BA0AD1">
      <w:pPr>
        <w:pStyle w:val="SingleTxtGR"/>
      </w:pPr>
      <w:r w:rsidRPr="00BA0AD1">
        <w:t>158.</w:t>
      </w:r>
      <w:r w:rsidRPr="00BA0AD1">
        <w:tab/>
        <w:t>Снижение показателей тотальной бедности в масштабе всей страны пр</w:t>
      </w:r>
      <w:r w:rsidRPr="00BA0AD1">
        <w:t>о</w:t>
      </w:r>
      <w:r w:rsidRPr="00BA0AD1">
        <w:t>исходит прежде всего за счет их снижения в городах (на 5 процентных пунктов за период с 2008 по 2009 год). В сельских районах этот показатель немного ув</w:t>
      </w:r>
      <w:r w:rsidRPr="00BA0AD1">
        <w:t>е</w:t>
      </w:r>
      <w:r w:rsidRPr="00BA0AD1">
        <w:t>личился </w:t>
      </w:r>
      <w:r w:rsidR="002B7B9B">
        <w:t>−</w:t>
      </w:r>
      <w:r w:rsidRPr="00BA0AD1">
        <w:t xml:space="preserve"> с 48,8</w:t>
      </w:r>
      <w:r w:rsidR="004849A7">
        <w:t xml:space="preserve">% </w:t>
      </w:r>
      <w:r w:rsidRPr="00BA0AD1">
        <w:t>в 2008 году до 49,8</w:t>
      </w:r>
      <w:r w:rsidR="004849A7">
        <w:t xml:space="preserve">% </w:t>
      </w:r>
      <w:r w:rsidRPr="00BA0AD1">
        <w:t>в 2009 году.</w:t>
      </w:r>
    </w:p>
    <w:p w:rsidR="00BA0AD1" w:rsidRPr="00BA0AD1" w:rsidRDefault="00BA0AD1" w:rsidP="00BA0AD1">
      <w:pPr>
        <w:pStyle w:val="SingleTxtGR"/>
      </w:pPr>
      <w:r w:rsidRPr="00BA0AD1">
        <w:t>159.</w:t>
      </w:r>
      <w:r w:rsidRPr="00BA0AD1">
        <w:tab/>
        <w:t xml:space="preserve">Уровень крайней бедности в сельских районах немного увеличился </w:t>
      </w:r>
      <w:r w:rsidR="002B7B9B">
        <w:t>−</w:t>
      </w:r>
      <w:r w:rsidRPr="00BA0AD1">
        <w:t xml:space="preserve"> с</w:t>
      </w:r>
      <w:r w:rsidR="009F276B">
        <w:t> </w:t>
      </w:r>
      <w:r w:rsidRPr="00BA0AD1">
        <w:t>31</w:t>
      </w:r>
      <w:r w:rsidR="004849A7">
        <w:t xml:space="preserve">% </w:t>
      </w:r>
      <w:r w:rsidRPr="00BA0AD1">
        <w:t>в 2008 году до 32,4</w:t>
      </w:r>
      <w:r w:rsidR="004849A7">
        <w:t xml:space="preserve">% </w:t>
      </w:r>
      <w:r w:rsidRPr="00BA0AD1">
        <w:t>в 2009 году, тогда как уровень крайней бедности в городах снизился с 10,6 до 9,4</w:t>
      </w:r>
      <w:r w:rsidR="004849A7">
        <w:t>%</w:t>
      </w:r>
      <w:r w:rsidRPr="00BA0AD1">
        <w:t>. В определенной степени рост уровня крайней бедности в сельских районах компенсируется снижением этого показателя в г</w:t>
      </w:r>
      <w:r w:rsidRPr="00BA0AD1">
        <w:t>о</w:t>
      </w:r>
      <w:r w:rsidRPr="00BA0AD1">
        <w:t>родах.</w:t>
      </w:r>
    </w:p>
    <w:p w:rsidR="00BA0AD1" w:rsidRPr="00BA0AD1" w:rsidRDefault="00BA0AD1" w:rsidP="00BA0AD1">
      <w:pPr>
        <w:pStyle w:val="SingleTxtGR"/>
      </w:pPr>
      <w:r w:rsidRPr="00BA0AD1">
        <w:t>160.</w:t>
      </w:r>
      <w:r w:rsidRPr="00BA0AD1">
        <w:tab/>
        <w:t>В сельских районах в сравнении с городами не только больше доля бе</w:t>
      </w:r>
      <w:r w:rsidRPr="00BA0AD1">
        <w:t>д</w:t>
      </w:r>
      <w:r w:rsidRPr="00BA0AD1">
        <w:t>ных, но и сама бедность носит более глубокий и тяжелый характер: получаемые здесь доходы, не покрывают трети стоимости основной потребительской корз</w:t>
      </w:r>
      <w:r w:rsidRPr="00BA0AD1">
        <w:t>и</w:t>
      </w:r>
      <w:r w:rsidRPr="00BA0AD1">
        <w:t>ны; кроме того, среди тех, кто отнесен к категории малообеспеченных сельских жителей, наблюдается широкий разброс в уровнях доходов.</w:t>
      </w:r>
    </w:p>
    <w:p w:rsidR="00BA0AD1" w:rsidRPr="00BA0AD1" w:rsidRDefault="00BA0AD1" w:rsidP="00BA0AD1">
      <w:pPr>
        <w:pStyle w:val="SingleTxtGR"/>
      </w:pPr>
      <w:r w:rsidRPr="00BA0AD1">
        <w:t>161.</w:t>
      </w:r>
      <w:r w:rsidRPr="00BA0AD1">
        <w:tab/>
        <w:t>Одной из причин сохранения высокого уровня бедности является нера</w:t>
      </w:r>
      <w:r w:rsidRPr="00BA0AD1">
        <w:t>в</w:t>
      </w:r>
      <w:r w:rsidRPr="00BA0AD1">
        <w:t>ное распределение доходов между жителями страны. В 2008</w:t>
      </w:r>
      <w:r w:rsidR="002B7B9B">
        <w:t>−</w:t>
      </w:r>
      <w:r w:rsidRPr="00BA0AD1">
        <w:t>2009 годах коэ</w:t>
      </w:r>
      <w:r w:rsidRPr="00BA0AD1">
        <w:t>ф</w:t>
      </w:r>
      <w:r w:rsidRPr="00BA0AD1">
        <w:t xml:space="preserve">фициент </w:t>
      </w:r>
      <w:proofErr w:type="spellStart"/>
      <w:r w:rsidRPr="00BA0AD1">
        <w:t>Джини</w:t>
      </w:r>
      <w:proofErr w:type="spellEnd"/>
      <w:r w:rsidRPr="007713F6">
        <w:rPr>
          <w:sz w:val="18"/>
          <w:szCs w:val="18"/>
          <w:vertAlign w:val="superscript"/>
        </w:rPr>
        <w:footnoteReference w:id="31"/>
      </w:r>
      <w:r w:rsidRPr="00BA0AD1">
        <w:t xml:space="preserve"> в сельских районах снизился с 0,557 до 0,554, тогда как в г</w:t>
      </w:r>
      <w:r w:rsidRPr="00BA0AD1">
        <w:t>о</w:t>
      </w:r>
      <w:r w:rsidRPr="00BA0AD1">
        <w:t xml:space="preserve">родах в течение того же периода </w:t>
      </w:r>
      <w:r w:rsidR="002B7B9B">
        <w:t>−</w:t>
      </w:r>
      <w:r w:rsidRPr="00BA0AD1">
        <w:t xml:space="preserve"> с 0,453 до 0,423. На общенациональном уровне в 2009 году коэффициент </w:t>
      </w:r>
      <w:proofErr w:type="spellStart"/>
      <w:r w:rsidRPr="00BA0AD1">
        <w:t>Джини</w:t>
      </w:r>
      <w:proofErr w:type="spellEnd"/>
      <w:r w:rsidRPr="00BA0AD1">
        <w:t xml:space="preserve"> составлял 0,487.</w:t>
      </w:r>
    </w:p>
    <w:p w:rsidR="00BA0AD1" w:rsidRPr="00BA0AD1" w:rsidRDefault="00BA0AD1" w:rsidP="00B85E64">
      <w:pPr>
        <w:pStyle w:val="SingleTxtGR"/>
        <w:keepLines/>
      </w:pPr>
      <w:r w:rsidRPr="00BA0AD1">
        <w:t>162.</w:t>
      </w:r>
      <w:r w:rsidRPr="00BA0AD1">
        <w:tab/>
        <w:t>Возможно, в числе других факторов, замедливших рост показателя кра</w:t>
      </w:r>
      <w:r w:rsidRPr="00BA0AD1">
        <w:t>й</w:t>
      </w:r>
      <w:r w:rsidRPr="00BA0AD1">
        <w:t>ней бедности, стали устойчивый рост притока денежных переводов из-за руб</w:t>
      </w:r>
      <w:r w:rsidRPr="00BA0AD1">
        <w:t>е</w:t>
      </w:r>
      <w:r w:rsidRPr="00BA0AD1">
        <w:t>жа, начало осуществления программы обусловленных денежных пособий и рост мировых цен на некоторые сельскохозяйственные товары</w:t>
      </w:r>
      <w:r w:rsidRPr="007713F6">
        <w:rPr>
          <w:sz w:val="18"/>
          <w:szCs w:val="18"/>
          <w:vertAlign w:val="superscript"/>
        </w:rPr>
        <w:footnoteReference w:id="32"/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163.</w:t>
      </w:r>
      <w:r w:rsidRPr="00BA0AD1">
        <w:tab/>
        <w:t>По данным Доклада о правах человека за 2008 год, между домохозяйс</w:t>
      </w:r>
      <w:r w:rsidRPr="00BA0AD1">
        <w:t>т</w:t>
      </w:r>
      <w:r w:rsidRPr="00BA0AD1">
        <w:t>вами сохраняется заметное неравенство. Месячный среднедушевой доход дом</w:t>
      </w:r>
      <w:r w:rsidRPr="00BA0AD1">
        <w:t>о</w:t>
      </w:r>
      <w:r w:rsidRPr="00BA0AD1">
        <w:t xml:space="preserve">хозяйств, возглавляемых женщинами, домохозяйств, члены которых являются носителями языка </w:t>
      </w:r>
      <w:proofErr w:type="spellStart"/>
      <w:r w:rsidRPr="00BA0AD1">
        <w:t>гуарани</w:t>
      </w:r>
      <w:proofErr w:type="spellEnd"/>
      <w:r w:rsidRPr="00BA0AD1">
        <w:t>, сельских домохозяйств и 20</w:t>
      </w:r>
      <w:r w:rsidR="004849A7">
        <w:t xml:space="preserve">% </w:t>
      </w:r>
      <w:r w:rsidRPr="00BA0AD1">
        <w:t xml:space="preserve">беднейших жителей страны составляет 106 092 </w:t>
      </w:r>
      <w:proofErr w:type="spellStart"/>
      <w:r w:rsidRPr="00BA0AD1">
        <w:t>гуарани</w:t>
      </w:r>
      <w:proofErr w:type="spellEnd"/>
      <w:r w:rsidRPr="00BA0AD1">
        <w:t xml:space="preserve"> (около 26 долл. США). Напротив, доход д</w:t>
      </w:r>
      <w:r w:rsidRPr="00BA0AD1">
        <w:t>о</w:t>
      </w:r>
      <w:r w:rsidRPr="00BA0AD1">
        <w:t xml:space="preserve">мохозяйств, главами которых являются мужчины, </w:t>
      </w:r>
      <w:proofErr w:type="spellStart"/>
      <w:r w:rsidRPr="00BA0AD1">
        <w:t>испаноязычных</w:t>
      </w:r>
      <w:proofErr w:type="spellEnd"/>
      <w:r w:rsidRPr="00BA0AD1">
        <w:t xml:space="preserve"> городских домохозяйств и 20</w:t>
      </w:r>
      <w:r w:rsidR="004849A7">
        <w:t xml:space="preserve">% </w:t>
      </w:r>
      <w:r w:rsidRPr="00BA0AD1">
        <w:t xml:space="preserve">наиболее зажиточных жителей страны составляет 2 611 269 </w:t>
      </w:r>
      <w:proofErr w:type="spellStart"/>
      <w:r w:rsidRPr="00BA0AD1">
        <w:t>гуарани</w:t>
      </w:r>
      <w:proofErr w:type="spellEnd"/>
      <w:r w:rsidRPr="00BA0AD1">
        <w:t xml:space="preserve"> (примерно 653 доллара США) в месяц. В докладе отмечается также, что </w:t>
      </w:r>
      <w:proofErr w:type="spellStart"/>
      <w:r w:rsidRPr="00BA0AD1">
        <w:t>гендерная</w:t>
      </w:r>
      <w:proofErr w:type="spellEnd"/>
      <w:r w:rsidRPr="00BA0AD1">
        <w:t xml:space="preserve"> принадлежность становится источником неравенства, к</w:t>
      </w:r>
      <w:r w:rsidRPr="00BA0AD1">
        <w:t>о</w:t>
      </w:r>
      <w:r w:rsidRPr="00BA0AD1">
        <w:t>торое в совокупности с его другими проявлениями, определяемыми факторами местожительства и доходов, ведет к увеличению диспропорций.</w:t>
      </w:r>
    </w:p>
    <w:p w:rsidR="00BA0AD1" w:rsidRPr="00BA0AD1" w:rsidRDefault="00BA0AD1" w:rsidP="00BA0AD1">
      <w:pPr>
        <w:pStyle w:val="SingleTxtGR"/>
      </w:pPr>
      <w:r w:rsidRPr="00BA0AD1">
        <w:t>164.</w:t>
      </w:r>
      <w:r w:rsidRPr="00BA0AD1">
        <w:tab/>
        <w:t xml:space="preserve">В проекте "Парагвай для всех" в качестве общенациональной задачи по первому стратегическому направлению действий "Качество жизни для всех" предусматривается осуществление основной программы обеспечения услугами водоснабжения и канализации, цель которой </w:t>
      </w:r>
      <w:r w:rsidR="002B7B9B">
        <w:t>−</w:t>
      </w:r>
      <w:r w:rsidRPr="00BA0AD1">
        <w:t xml:space="preserve"> обеспечить качественное, дост</w:t>
      </w:r>
      <w:r w:rsidRPr="00BA0AD1">
        <w:t>а</w:t>
      </w:r>
      <w:r w:rsidRPr="00BA0AD1">
        <w:t>точное и устойчивое предоставление этих услуг жителям городов с численн</w:t>
      </w:r>
      <w:r w:rsidRPr="00BA0AD1">
        <w:t>о</w:t>
      </w:r>
      <w:r w:rsidRPr="00BA0AD1">
        <w:t>стью населения менее 10 тыс. человек, а также сельских поселений и посел</w:t>
      </w:r>
      <w:r w:rsidRPr="00BA0AD1">
        <w:t>е</w:t>
      </w:r>
      <w:r w:rsidRPr="00BA0AD1">
        <w:t>ний коренного населения, где имеются необходимые для этого технические у</w:t>
      </w:r>
      <w:r w:rsidRPr="00BA0AD1">
        <w:t>с</w:t>
      </w:r>
      <w:r w:rsidRPr="00BA0AD1">
        <w:t>ловия.</w:t>
      </w:r>
    </w:p>
    <w:p w:rsidR="00BA0AD1" w:rsidRPr="00BA0AD1" w:rsidRDefault="00BA0AD1" w:rsidP="00BA0AD1">
      <w:pPr>
        <w:pStyle w:val="SingleTxtGR"/>
      </w:pPr>
      <w:r w:rsidRPr="00BA0AD1">
        <w:t>165.</w:t>
      </w:r>
      <w:r w:rsidRPr="00BA0AD1">
        <w:tab/>
        <w:t>Программа обеспечения услугами водоснабжения и канализации, осущ</w:t>
      </w:r>
      <w:r w:rsidRPr="00BA0AD1">
        <w:t>е</w:t>
      </w:r>
      <w:r w:rsidRPr="00BA0AD1">
        <w:t>ствляемая с помощью Национальной ветеринарной службы (СЕНАКСА), пр</w:t>
      </w:r>
      <w:r w:rsidRPr="00BA0AD1">
        <w:t>и</w:t>
      </w:r>
      <w:r w:rsidRPr="00BA0AD1">
        <w:t xml:space="preserve">звана была обеспечить в 2010 году услугами водоснабжения 52 820 жителей, а с помощью других поставщиков </w:t>
      </w:r>
      <w:r w:rsidR="002B7B9B">
        <w:t>−</w:t>
      </w:r>
      <w:r w:rsidRPr="00BA0AD1">
        <w:t xml:space="preserve"> еще 5869 жителей, чтобы в общей сложности показатель охвата этой услугой составил 55,22</w:t>
      </w:r>
      <w:r w:rsidR="004849A7">
        <w:t xml:space="preserve">% </w:t>
      </w:r>
      <w:r w:rsidRPr="00BA0AD1">
        <w:t>жителей. В секторе канализ</w:t>
      </w:r>
      <w:r w:rsidRPr="00BA0AD1">
        <w:t>а</w:t>
      </w:r>
      <w:r w:rsidRPr="00BA0AD1">
        <w:t>ции предусматривалось обеспечить индивидуальными системами кан</w:t>
      </w:r>
      <w:r w:rsidRPr="00BA0AD1">
        <w:t>а</w:t>
      </w:r>
      <w:r w:rsidRPr="00BA0AD1">
        <w:t>лизации 11 812 жителей, доведя уровень охвата до 60,5</w:t>
      </w:r>
      <w:r w:rsidR="004849A7">
        <w:t xml:space="preserve">% </w:t>
      </w:r>
      <w:r w:rsidRPr="00BA0AD1">
        <w:t>потребности, а благодаря со</w:t>
      </w:r>
      <w:r w:rsidRPr="00BA0AD1">
        <w:t>з</w:t>
      </w:r>
      <w:r w:rsidRPr="00BA0AD1">
        <w:t xml:space="preserve">данию общих систем сбора и удаления сточных вод предоставить эту услугу еще 12 500 жителям. </w:t>
      </w:r>
    </w:p>
    <w:p w:rsidR="00BA0AD1" w:rsidRPr="00BA0AD1" w:rsidRDefault="00BA0AD1" w:rsidP="00BA0AD1">
      <w:pPr>
        <w:pStyle w:val="SingleTxtGR"/>
      </w:pPr>
      <w:r w:rsidRPr="00BA0AD1">
        <w:t>166.</w:t>
      </w:r>
      <w:r w:rsidRPr="00BA0AD1">
        <w:tab/>
        <w:t>В отношении питьевой воды следует отметить, что к 2009 году доступ к водоснабжению должны были получить 75,2</w:t>
      </w:r>
      <w:r w:rsidR="004849A7">
        <w:t xml:space="preserve">% </w:t>
      </w:r>
      <w:r w:rsidRPr="00BA0AD1">
        <w:t>жителей страны, однако на деле показатель охвата этой услугой составляет 25,6</w:t>
      </w:r>
      <w:r w:rsidR="004849A7">
        <w:t>%</w:t>
      </w:r>
      <w:r w:rsidRPr="00BA0AD1">
        <w:t>, что гораздо ниже ориент</w:t>
      </w:r>
      <w:r w:rsidRPr="00BA0AD1">
        <w:t>и</w:t>
      </w:r>
      <w:r w:rsidRPr="00BA0AD1">
        <w:t xml:space="preserve">ров, предусмотренных Целями развития тысячелетия. </w:t>
      </w:r>
    </w:p>
    <w:p w:rsidR="00BA0AD1" w:rsidRPr="007D2776" w:rsidRDefault="00BA0AD1" w:rsidP="007D2776">
      <w:pPr>
        <w:pStyle w:val="H23GR"/>
      </w:pPr>
      <w:r w:rsidRPr="007D2776">
        <w:tab/>
        <w:t>1.</w:t>
      </w:r>
      <w:r w:rsidRPr="007D2776">
        <w:tab/>
        <w:t>Распределение продуктов питания</w:t>
      </w:r>
    </w:p>
    <w:p w:rsidR="00BA0AD1" w:rsidRPr="00BA0AD1" w:rsidRDefault="00BA0AD1" w:rsidP="00BA0AD1">
      <w:pPr>
        <w:pStyle w:val="SingleTxtGR"/>
      </w:pPr>
      <w:r w:rsidRPr="00BA0AD1">
        <w:t>167.</w:t>
      </w:r>
      <w:r w:rsidRPr="00BA0AD1">
        <w:tab/>
        <w:t>В 2008 году был создан Исполнительный координационный комитет по вопросам аграрной реформы (КЕПРА), задачей которого являются координация и оказание содействия экономическому, социальному, политическому и кул</w:t>
      </w:r>
      <w:r w:rsidRPr="00BA0AD1">
        <w:t>ь</w:t>
      </w:r>
      <w:r w:rsidRPr="00BA0AD1">
        <w:t>турному развитию, а также содействие в проведении государственной политики в новых населенных пунктах, чтобы способствовать тем самым успешному проведению аграрной реформы. Хотя в осуществлении стратегии проведения аграрной реформы наблюдались задержки, в числе мероприятий, проводимых КЕПРА, следует упомянуть сбор данных о потребностях семей в отношении продовольственной безопасности, базовой инфраструктуры, обеспечения пит</w:t>
      </w:r>
      <w:r w:rsidRPr="00BA0AD1">
        <w:t>ь</w:t>
      </w:r>
      <w:r w:rsidRPr="00BA0AD1">
        <w:t xml:space="preserve">евой водой и прав собственности на землю в шести департаментах (Сан-Педро, </w:t>
      </w:r>
      <w:proofErr w:type="spellStart"/>
      <w:r w:rsidRPr="00BA0AD1">
        <w:t>Каниндейу</w:t>
      </w:r>
      <w:proofErr w:type="spellEnd"/>
      <w:r w:rsidRPr="00BA0AD1">
        <w:t xml:space="preserve">, </w:t>
      </w:r>
      <w:proofErr w:type="spellStart"/>
      <w:r w:rsidRPr="00BA0AD1">
        <w:t>Каасапа</w:t>
      </w:r>
      <w:proofErr w:type="spellEnd"/>
      <w:r w:rsidRPr="00BA0AD1">
        <w:t xml:space="preserve">, </w:t>
      </w:r>
      <w:proofErr w:type="spellStart"/>
      <w:r w:rsidRPr="00BA0AD1">
        <w:t>Каагуасу</w:t>
      </w:r>
      <w:proofErr w:type="spellEnd"/>
      <w:r w:rsidRPr="00BA0AD1">
        <w:t xml:space="preserve">, </w:t>
      </w:r>
      <w:proofErr w:type="spellStart"/>
      <w:r w:rsidRPr="00BA0AD1">
        <w:t>Консепсьон</w:t>
      </w:r>
      <w:proofErr w:type="spellEnd"/>
      <w:r w:rsidRPr="00BA0AD1">
        <w:t xml:space="preserve"> и </w:t>
      </w:r>
      <w:proofErr w:type="spellStart"/>
      <w:r w:rsidRPr="00BA0AD1">
        <w:t>Мисьонес</w:t>
      </w:r>
      <w:proofErr w:type="spellEnd"/>
      <w:r w:rsidRPr="00BA0AD1">
        <w:t>).</w:t>
      </w:r>
    </w:p>
    <w:p w:rsidR="00BA0AD1" w:rsidRPr="00BA0AD1" w:rsidRDefault="00BA0AD1" w:rsidP="00BA0AD1">
      <w:pPr>
        <w:pStyle w:val="SingleTxtGR"/>
      </w:pPr>
      <w:r w:rsidRPr="00BA0AD1">
        <w:t>168.</w:t>
      </w:r>
      <w:r w:rsidRPr="00BA0AD1">
        <w:tab/>
        <w:t>Правительство представило Национальный план обеспечения суверен</w:t>
      </w:r>
      <w:r w:rsidRPr="00BA0AD1">
        <w:t>и</w:t>
      </w:r>
      <w:r w:rsidRPr="00BA0AD1">
        <w:t xml:space="preserve">тета и безопасности в области продовольствия и питания в Парагвае (ПЛАНАЛ), цель которого </w:t>
      </w:r>
      <w:r w:rsidR="002B7B9B">
        <w:t>−</w:t>
      </w:r>
      <w:r w:rsidRPr="00BA0AD1">
        <w:t xml:space="preserve"> обеспечить продовольственную безопасность и не допустить утраты продовольственного суверенитета, а также ликвидация таких последствий, как голод и недоедание уязвимых групп населения, снизив ма</w:t>
      </w:r>
      <w:r w:rsidRPr="00BA0AD1">
        <w:t>с</w:t>
      </w:r>
      <w:r w:rsidRPr="00BA0AD1">
        <w:t>штабы недоедания, а также нужды и болезней, вызываемых связанными с п</w:t>
      </w:r>
      <w:r w:rsidRPr="00BA0AD1">
        <w:t>и</w:t>
      </w:r>
      <w:r w:rsidRPr="00BA0AD1">
        <w:t>танием проблемами</w:t>
      </w:r>
      <w:r w:rsidRPr="007713F6">
        <w:rPr>
          <w:sz w:val="18"/>
          <w:szCs w:val="18"/>
          <w:vertAlign w:val="superscript"/>
        </w:rPr>
        <w:footnoteReference w:id="33"/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169.</w:t>
      </w:r>
      <w:r w:rsidRPr="00BA0AD1">
        <w:tab/>
        <w:t>Была разработана Национальная система обеспечения суверенитета и безопасности в области продовольствия (НСОСБП), и осуществляется внедр</w:t>
      </w:r>
      <w:r w:rsidRPr="00BA0AD1">
        <w:t>е</w:t>
      </w:r>
      <w:r w:rsidRPr="00BA0AD1">
        <w:t>ние сетевой платформы для распространения информации по проблемам пр</w:t>
      </w:r>
      <w:r w:rsidRPr="00BA0AD1">
        <w:t>о</w:t>
      </w:r>
      <w:r w:rsidRPr="00BA0AD1">
        <w:t xml:space="preserve">довольственной безопасности. Кроме того, разработаны муниципальные планы для 10 муниципалитетов, отобранных в 66 беднейших департаментах страны: </w:t>
      </w:r>
      <w:proofErr w:type="spellStart"/>
      <w:r w:rsidRPr="00BA0AD1">
        <w:t>Каагуасу</w:t>
      </w:r>
      <w:proofErr w:type="spellEnd"/>
      <w:r w:rsidRPr="00BA0AD1">
        <w:t xml:space="preserve">, </w:t>
      </w:r>
      <w:proofErr w:type="spellStart"/>
      <w:r w:rsidRPr="00BA0AD1">
        <w:t>Консепсьон</w:t>
      </w:r>
      <w:proofErr w:type="spellEnd"/>
      <w:r w:rsidRPr="00BA0AD1">
        <w:t xml:space="preserve">, </w:t>
      </w:r>
      <w:proofErr w:type="spellStart"/>
      <w:r w:rsidRPr="00BA0AD1">
        <w:t>Итакири</w:t>
      </w:r>
      <w:proofErr w:type="spellEnd"/>
      <w:r w:rsidRPr="00BA0AD1">
        <w:t xml:space="preserve">, </w:t>
      </w:r>
      <w:proofErr w:type="spellStart"/>
      <w:r w:rsidRPr="00BA0AD1">
        <w:t>Хесус</w:t>
      </w:r>
      <w:proofErr w:type="spellEnd"/>
      <w:r w:rsidRPr="00BA0AD1">
        <w:t xml:space="preserve">, </w:t>
      </w:r>
      <w:proofErr w:type="spellStart"/>
      <w:r w:rsidRPr="00BA0AD1">
        <w:t>Хосе-Фалькон</w:t>
      </w:r>
      <w:proofErr w:type="spellEnd"/>
      <w:r w:rsidRPr="00BA0AD1">
        <w:t xml:space="preserve">, </w:t>
      </w:r>
      <w:proofErr w:type="spellStart"/>
      <w:r w:rsidRPr="00BA0AD1">
        <w:t>Нуэва-Альборада</w:t>
      </w:r>
      <w:proofErr w:type="spellEnd"/>
      <w:r w:rsidRPr="00BA0AD1">
        <w:t xml:space="preserve">, </w:t>
      </w:r>
      <w:proofErr w:type="spellStart"/>
      <w:r w:rsidRPr="00BA0AD1">
        <w:t>Р</w:t>
      </w:r>
      <w:r w:rsidRPr="00BA0AD1">
        <w:t>е</w:t>
      </w:r>
      <w:r w:rsidRPr="00BA0AD1">
        <w:t>патриасьон</w:t>
      </w:r>
      <w:proofErr w:type="spellEnd"/>
      <w:r w:rsidRPr="00BA0AD1">
        <w:t xml:space="preserve">, </w:t>
      </w:r>
      <w:proofErr w:type="spellStart"/>
      <w:r w:rsidRPr="00BA0AD1">
        <w:t>Сан-Хуан-Непомусено</w:t>
      </w:r>
      <w:proofErr w:type="spellEnd"/>
      <w:r w:rsidRPr="00BA0AD1">
        <w:t xml:space="preserve">, </w:t>
      </w:r>
      <w:proofErr w:type="spellStart"/>
      <w:r w:rsidRPr="00BA0AD1">
        <w:t>Сан-Эстанислао</w:t>
      </w:r>
      <w:proofErr w:type="spellEnd"/>
      <w:r w:rsidRPr="00BA0AD1">
        <w:t xml:space="preserve">, </w:t>
      </w:r>
      <w:proofErr w:type="spellStart"/>
      <w:r w:rsidRPr="00BA0AD1">
        <w:t>Вилья-Аэс</w:t>
      </w:r>
      <w:proofErr w:type="spellEnd"/>
      <w:r w:rsidRPr="00BA0AD1">
        <w:t>, а также Мун</w:t>
      </w:r>
      <w:r w:rsidRPr="00BA0AD1">
        <w:t>и</w:t>
      </w:r>
      <w:r w:rsidRPr="00BA0AD1">
        <w:t xml:space="preserve">ципальный план для </w:t>
      </w:r>
      <w:proofErr w:type="spellStart"/>
      <w:r w:rsidRPr="00BA0AD1">
        <w:t>Айолас</w:t>
      </w:r>
      <w:proofErr w:type="spellEnd"/>
      <w:r w:rsidRPr="00BA0AD1">
        <w:t xml:space="preserve"> и </w:t>
      </w:r>
      <w:proofErr w:type="spellStart"/>
      <w:r w:rsidRPr="00BA0AD1">
        <w:t>Парагуари</w:t>
      </w:r>
      <w:proofErr w:type="spellEnd"/>
      <w:r w:rsidRPr="00BA0AD1">
        <w:t xml:space="preserve"> и Департаментский план для </w:t>
      </w:r>
      <w:proofErr w:type="spellStart"/>
      <w:r w:rsidRPr="00BA0AD1">
        <w:t>Кани</w:t>
      </w:r>
      <w:r w:rsidRPr="00BA0AD1">
        <w:t>н</w:t>
      </w:r>
      <w:r w:rsidRPr="00BA0AD1">
        <w:t>дейу</w:t>
      </w:r>
      <w:proofErr w:type="spellEnd"/>
      <w:r w:rsidRPr="007713F6">
        <w:rPr>
          <w:sz w:val="18"/>
          <w:szCs w:val="18"/>
          <w:vertAlign w:val="superscript"/>
        </w:rPr>
        <w:footnoteReference w:id="34"/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170.</w:t>
      </w:r>
      <w:r w:rsidRPr="00BA0AD1">
        <w:tab/>
        <w:t xml:space="preserve">Для измерения степени голода применяются два показателя </w:t>
      </w:r>
      <w:r w:rsidR="002B7B9B">
        <w:t>−</w:t>
      </w:r>
      <w:r w:rsidRPr="00BA0AD1">
        <w:t xml:space="preserve"> "доля детей младше пяти лет с общим недоеданием"</w:t>
      </w:r>
      <w:r w:rsidRPr="007713F6">
        <w:rPr>
          <w:sz w:val="18"/>
          <w:szCs w:val="18"/>
          <w:vertAlign w:val="superscript"/>
        </w:rPr>
        <w:footnoteReference w:id="35"/>
      </w:r>
      <w:r w:rsidRPr="00BA0AD1">
        <w:t xml:space="preserve"> и "зарегистрированная процентная доля страдающих от недоедания беременных женщин". Показатель общего н</w:t>
      </w:r>
      <w:r w:rsidRPr="00BA0AD1">
        <w:t>е</w:t>
      </w:r>
      <w:r w:rsidRPr="00BA0AD1">
        <w:t>доедания детей младше 5 лет в период с 1990 по 1998 год обнаруживал тенде</w:t>
      </w:r>
      <w:r w:rsidRPr="00BA0AD1">
        <w:t>н</w:t>
      </w:r>
      <w:r w:rsidRPr="00BA0AD1">
        <w:t xml:space="preserve">цию к росту, а с 1998 года начал снижаться. Хотя снижение продолжается на протяжении последних семи лет, в 2005 году показатель все еще был выше уровня 1990 года, причем максимальное его значение </w:t>
      </w:r>
      <w:r w:rsidR="002B7B9B">
        <w:t>−</w:t>
      </w:r>
      <w:r w:rsidRPr="00BA0AD1">
        <w:t xml:space="preserve"> 5,1</w:t>
      </w:r>
      <w:r w:rsidR="004849A7">
        <w:t xml:space="preserve">% </w:t>
      </w:r>
      <w:r w:rsidR="002B7B9B">
        <w:t>−</w:t>
      </w:r>
      <w:r w:rsidRPr="00BA0AD1">
        <w:t xml:space="preserve"> было зарегис</w:t>
      </w:r>
      <w:r w:rsidRPr="00BA0AD1">
        <w:t>т</w:t>
      </w:r>
      <w:r w:rsidRPr="00BA0AD1">
        <w:t>рировано в 1998 году. В 1990 году от общего недоедания страдали 3,7</w:t>
      </w:r>
      <w:r w:rsidR="004849A7">
        <w:t xml:space="preserve">% </w:t>
      </w:r>
      <w:r w:rsidRPr="00BA0AD1">
        <w:t>детей младше 5 лет, а в 2005 году этот показатель составлял 4,2</w:t>
      </w:r>
      <w:r w:rsidR="004849A7">
        <w:t>%</w:t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171.</w:t>
      </w:r>
      <w:r w:rsidRPr="00BA0AD1">
        <w:tab/>
        <w:t xml:space="preserve">Анализ с учетом места проживания показывает, что уровень недоедания в городах ниже, и за отчетный период перемен к лучшему не отмечено. Вместе с тем в сельских районах этот показатель неуклонно рос </w:t>
      </w:r>
      <w:r w:rsidR="002B7B9B">
        <w:t>−</w:t>
      </w:r>
      <w:r w:rsidRPr="00BA0AD1">
        <w:t xml:space="preserve"> с 4,3</w:t>
      </w:r>
      <w:r w:rsidR="004849A7">
        <w:t xml:space="preserve">% </w:t>
      </w:r>
      <w:r w:rsidRPr="00BA0AD1">
        <w:t>в 1995 году до 5,7</w:t>
      </w:r>
      <w:r w:rsidR="004849A7">
        <w:t xml:space="preserve">% </w:t>
      </w:r>
      <w:r w:rsidRPr="00BA0AD1">
        <w:t>в 2005 году.</w:t>
      </w:r>
    </w:p>
    <w:p w:rsidR="00BA0AD1" w:rsidRPr="00BA0AD1" w:rsidRDefault="00BA0AD1" w:rsidP="00BA0AD1">
      <w:pPr>
        <w:pStyle w:val="SingleTxtGR"/>
      </w:pPr>
      <w:r w:rsidRPr="00BA0AD1">
        <w:t>172.</w:t>
      </w:r>
      <w:r w:rsidRPr="00BA0AD1">
        <w:tab/>
        <w:t xml:space="preserve">Что касается различий между полами, то показатель недоедания среди мальчиков рос быстрее </w:t>
      </w:r>
      <w:r w:rsidR="002B7B9B">
        <w:t>−</w:t>
      </w:r>
      <w:r w:rsidRPr="00BA0AD1">
        <w:t xml:space="preserve"> он увеличился с 3,3 до 5,2</w:t>
      </w:r>
      <w:r w:rsidR="004849A7">
        <w:t>%</w:t>
      </w:r>
      <w:r w:rsidRPr="00BA0AD1">
        <w:t>, тогда как показатель н</w:t>
      </w:r>
      <w:r w:rsidRPr="00BA0AD1">
        <w:t>е</w:t>
      </w:r>
      <w:r w:rsidRPr="00BA0AD1">
        <w:t>доедания среди девочек снизился с 4,1 до 3,1</w:t>
      </w:r>
      <w:r w:rsidR="004849A7">
        <w:t>%</w:t>
      </w:r>
      <w:r w:rsidRPr="00BA0AD1">
        <w:t xml:space="preserve">. </w:t>
      </w:r>
    </w:p>
    <w:p w:rsidR="00BA0AD1" w:rsidRPr="00BA0AD1" w:rsidRDefault="00BA0AD1" w:rsidP="00B85E64">
      <w:pPr>
        <w:pStyle w:val="SingleTxtGR"/>
        <w:keepLines/>
      </w:pPr>
      <w:r w:rsidRPr="00BA0AD1">
        <w:t>173.</w:t>
      </w:r>
      <w:r w:rsidRPr="00BA0AD1">
        <w:tab/>
        <w:t>Анализ с учетом уровня благосостояния выявляет весьма значительные различия. Общий показатель недоедания составляет 6,4</w:t>
      </w:r>
      <w:r w:rsidR="004849A7">
        <w:t xml:space="preserve">% </w:t>
      </w:r>
      <w:r w:rsidRPr="00BA0AD1">
        <w:t>для детей младше 5 лет, живущих в условиях бедности, и 2,1</w:t>
      </w:r>
      <w:r w:rsidR="004849A7">
        <w:t xml:space="preserve">% </w:t>
      </w:r>
      <w:r w:rsidRPr="00BA0AD1">
        <w:t>для тех, кто не относится к этой категории.</w:t>
      </w:r>
    </w:p>
    <w:p w:rsidR="00BA0AD1" w:rsidRPr="00BA0AD1" w:rsidRDefault="00BA0AD1" w:rsidP="00BA0AD1">
      <w:pPr>
        <w:pStyle w:val="SingleTxtGR"/>
      </w:pPr>
      <w:r w:rsidRPr="00BA0AD1">
        <w:t>174.</w:t>
      </w:r>
      <w:r w:rsidRPr="00BA0AD1">
        <w:tab/>
        <w:t>Ситуация с уровнем недоедания детей младше 5 лет важна потому, что она в ближайшей перспективе оказывает влияние на здоровье и успехи в обуч</w:t>
      </w:r>
      <w:r w:rsidRPr="00BA0AD1">
        <w:t>е</w:t>
      </w:r>
      <w:r w:rsidRPr="00BA0AD1">
        <w:t xml:space="preserve">нии, а в долгосрочном плане </w:t>
      </w:r>
      <w:r w:rsidR="002B7B9B">
        <w:t>−</w:t>
      </w:r>
      <w:r w:rsidRPr="00BA0AD1">
        <w:t xml:space="preserve"> на трудоспособность и показатели социального и эмоционального развития.</w:t>
      </w:r>
    </w:p>
    <w:p w:rsidR="00BA0AD1" w:rsidRPr="00BA0AD1" w:rsidRDefault="00BA0AD1" w:rsidP="00BA0AD1">
      <w:pPr>
        <w:pStyle w:val="SingleTxtGR"/>
      </w:pPr>
      <w:r w:rsidRPr="00BA0AD1">
        <w:t>175.</w:t>
      </w:r>
      <w:r w:rsidRPr="00BA0AD1">
        <w:tab/>
        <w:t>Доля беременных женщин, страдающих от недоедания, в период с 2000 по 2003 год увеличилась с 28</w:t>
      </w:r>
      <w:r w:rsidR="004849A7">
        <w:t xml:space="preserve">% </w:t>
      </w:r>
      <w:r w:rsidRPr="00BA0AD1">
        <w:t>до 34,5</w:t>
      </w:r>
      <w:r w:rsidR="004849A7">
        <w:t>%</w:t>
      </w:r>
      <w:r w:rsidRPr="00BA0AD1">
        <w:t>. С 2003 года этот показатель начал снижаться и к 2009 году достиг 30</w:t>
      </w:r>
      <w:r w:rsidR="004849A7">
        <w:t>%</w:t>
      </w:r>
      <w:r w:rsidRPr="00BA0AD1">
        <w:t>. Когда в 2000 году началось н</w:t>
      </w:r>
      <w:r w:rsidRPr="00BA0AD1">
        <w:t>а</w:t>
      </w:r>
      <w:r w:rsidRPr="00BA0AD1">
        <w:t>блюдение за состоянием питания беременных женщин, эта работа проводилась в семи р</w:t>
      </w:r>
      <w:r w:rsidRPr="00BA0AD1">
        <w:t>е</w:t>
      </w:r>
      <w:r w:rsidRPr="00BA0AD1">
        <w:t>гиональных больницах в санитарных округах с самыми высокими п</w:t>
      </w:r>
      <w:r w:rsidRPr="00BA0AD1">
        <w:t>о</w:t>
      </w:r>
      <w:r w:rsidRPr="00BA0AD1">
        <w:t xml:space="preserve">казателями материнской и детской смертности (Сан-Педро, </w:t>
      </w:r>
      <w:proofErr w:type="spellStart"/>
      <w:r w:rsidRPr="00BA0AD1">
        <w:t>Кордильера</w:t>
      </w:r>
      <w:proofErr w:type="spellEnd"/>
      <w:r w:rsidRPr="00BA0AD1">
        <w:t xml:space="preserve">, </w:t>
      </w:r>
      <w:proofErr w:type="spellStart"/>
      <w:r w:rsidRPr="00BA0AD1">
        <w:t>Гу</w:t>
      </w:r>
      <w:r w:rsidRPr="00BA0AD1">
        <w:t>а</w:t>
      </w:r>
      <w:r w:rsidRPr="00BA0AD1">
        <w:t>ира</w:t>
      </w:r>
      <w:proofErr w:type="spellEnd"/>
      <w:r w:rsidRPr="00BA0AD1">
        <w:t xml:space="preserve">, </w:t>
      </w:r>
      <w:proofErr w:type="spellStart"/>
      <w:r w:rsidRPr="00BA0AD1">
        <w:t>Каагуасу</w:t>
      </w:r>
      <w:proofErr w:type="spellEnd"/>
      <w:r w:rsidRPr="00BA0AD1">
        <w:t xml:space="preserve">, </w:t>
      </w:r>
      <w:proofErr w:type="spellStart"/>
      <w:r w:rsidRPr="00BA0AD1">
        <w:t>Парагуари</w:t>
      </w:r>
      <w:proofErr w:type="spellEnd"/>
      <w:r w:rsidRPr="00BA0AD1">
        <w:t xml:space="preserve">, </w:t>
      </w:r>
      <w:proofErr w:type="spellStart"/>
      <w:r w:rsidRPr="00BA0AD1">
        <w:t>Амамбай</w:t>
      </w:r>
      <w:proofErr w:type="spellEnd"/>
      <w:r w:rsidRPr="00BA0AD1">
        <w:t xml:space="preserve">, </w:t>
      </w:r>
      <w:proofErr w:type="spellStart"/>
      <w:r w:rsidRPr="00BA0AD1">
        <w:t>Каниндейу</w:t>
      </w:r>
      <w:proofErr w:type="spellEnd"/>
      <w:r w:rsidRPr="00BA0AD1">
        <w:t>). В 2008 году к ним добавились еще пять с</w:t>
      </w:r>
      <w:r w:rsidRPr="00BA0AD1">
        <w:t>а</w:t>
      </w:r>
      <w:r w:rsidRPr="00BA0AD1">
        <w:t>нитарных округов (</w:t>
      </w:r>
      <w:proofErr w:type="spellStart"/>
      <w:r w:rsidRPr="00BA0AD1">
        <w:t>Консепсьон</w:t>
      </w:r>
      <w:proofErr w:type="spellEnd"/>
      <w:r w:rsidRPr="00BA0AD1">
        <w:t xml:space="preserve">, </w:t>
      </w:r>
      <w:proofErr w:type="spellStart"/>
      <w:r w:rsidRPr="00BA0AD1">
        <w:t>Каасапа</w:t>
      </w:r>
      <w:proofErr w:type="spellEnd"/>
      <w:r w:rsidRPr="00BA0AD1">
        <w:t xml:space="preserve">, </w:t>
      </w:r>
      <w:proofErr w:type="spellStart"/>
      <w:r w:rsidRPr="00BA0AD1">
        <w:t>Мисьонес</w:t>
      </w:r>
      <w:proofErr w:type="spellEnd"/>
      <w:r w:rsidRPr="00BA0AD1">
        <w:t xml:space="preserve">, </w:t>
      </w:r>
      <w:proofErr w:type="spellStart"/>
      <w:r w:rsidRPr="00BA0AD1">
        <w:t>Альто-Парана</w:t>
      </w:r>
      <w:proofErr w:type="spellEnd"/>
      <w:r w:rsidRPr="00BA0AD1">
        <w:t xml:space="preserve"> и Централ</w:t>
      </w:r>
      <w:r w:rsidRPr="00BA0AD1">
        <w:t>ь</w:t>
      </w:r>
      <w:r w:rsidRPr="00BA0AD1">
        <w:t>ный). В настоящее время оценка статуса питания беременных женщин пров</w:t>
      </w:r>
      <w:r w:rsidRPr="00BA0AD1">
        <w:t>о</w:t>
      </w:r>
      <w:r w:rsidRPr="00BA0AD1">
        <w:t>дится в 18 санитарных округах, но по весьма разным выборкам. Состояние п</w:t>
      </w:r>
      <w:r w:rsidRPr="00BA0AD1">
        <w:t>и</w:t>
      </w:r>
      <w:r w:rsidRPr="00BA0AD1">
        <w:t xml:space="preserve">тания измеряется по соотношению веса, роста и возраста беременной женщины по модели </w:t>
      </w:r>
      <w:proofErr w:type="spellStart"/>
      <w:r w:rsidRPr="00BA0AD1">
        <w:t>Россо</w:t>
      </w:r>
      <w:proofErr w:type="spellEnd"/>
      <w:r w:rsidRPr="00BA0AD1">
        <w:t xml:space="preserve"> и </w:t>
      </w:r>
      <w:proofErr w:type="spellStart"/>
      <w:r w:rsidRPr="00BA0AD1">
        <w:t>Мардонеса</w:t>
      </w:r>
      <w:proofErr w:type="spellEnd"/>
      <w:r w:rsidRPr="00BA0AD1">
        <w:t xml:space="preserve"> (Министерство здр</w:t>
      </w:r>
      <w:r w:rsidRPr="00BA0AD1">
        <w:t>а</w:t>
      </w:r>
      <w:r w:rsidRPr="00BA0AD1">
        <w:t xml:space="preserve">воохранения Чили, 1986 год). </w:t>
      </w:r>
    </w:p>
    <w:p w:rsidR="00BA0AD1" w:rsidRPr="00BA0AD1" w:rsidRDefault="00BA0AD1" w:rsidP="00BA0AD1">
      <w:pPr>
        <w:pStyle w:val="SingleTxtGR"/>
      </w:pPr>
      <w:r w:rsidRPr="00BA0AD1">
        <w:t>176.</w:t>
      </w:r>
      <w:r w:rsidRPr="00BA0AD1">
        <w:tab/>
        <w:t>С 2009 года существенно увеличились масштабы программ целевых д</w:t>
      </w:r>
      <w:r w:rsidRPr="00BA0AD1">
        <w:t>е</w:t>
      </w:r>
      <w:r w:rsidRPr="00BA0AD1">
        <w:t>нежных субсидий (ЦДС), и в настоящее время такие субсидии получают 50</w:t>
      </w:r>
      <w:r w:rsidR="004849A7">
        <w:t xml:space="preserve">% </w:t>
      </w:r>
      <w:r w:rsidRPr="00BA0AD1">
        <w:t>населения, живущего в условиях крайней бедности (в последующие годы пл</w:t>
      </w:r>
      <w:r w:rsidRPr="00BA0AD1">
        <w:t>а</w:t>
      </w:r>
      <w:r w:rsidRPr="00BA0AD1">
        <w:t>нируется довести этот показатель до 100</w:t>
      </w:r>
      <w:r w:rsidR="004849A7">
        <w:t>%</w:t>
      </w:r>
      <w:r w:rsidRPr="00BA0AD1">
        <w:t>). В дополнение к этому знач</w:t>
      </w:r>
      <w:r w:rsidRPr="00BA0AD1">
        <w:t>и</w:t>
      </w:r>
      <w:r w:rsidRPr="00BA0AD1">
        <w:t>тельно увеличился объем социальных инвестиций и отмечается экономический под</w:t>
      </w:r>
      <w:r w:rsidRPr="00BA0AD1">
        <w:t>ъ</w:t>
      </w:r>
      <w:r w:rsidRPr="00BA0AD1">
        <w:t>ем.</w:t>
      </w:r>
    </w:p>
    <w:p w:rsidR="00BA0AD1" w:rsidRPr="00BA0AD1" w:rsidRDefault="00BA0AD1" w:rsidP="00BA0AD1">
      <w:pPr>
        <w:pStyle w:val="SingleTxtGR"/>
      </w:pPr>
      <w:r w:rsidRPr="00BA0AD1">
        <w:t>177.</w:t>
      </w:r>
      <w:r w:rsidRPr="00BA0AD1">
        <w:tab/>
        <w:t>В объяснение того факта, что уровень бедности не снижается, можно приводить различные гипотезы. В городах нехватка квалифицированных кадров предопределяет низкий уровень производительности труда и не позволяет м</w:t>
      </w:r>
      <w:r w:rsidRPr="00BA0AD1">
        <w:t>о</w:t>
      </w:r>
      <w:r w:rsidRPr="00BA0AD1">
        <w:t>лодежи и взрослым находить лучшую работу. В сельских районах становится для крестьян препятствием к увеличению доходов низкий образовательный уровень, отсутствие доступа к земле, информации, техническим знаниям и ф</w:t>
      </w:r>
      <w:r w:rsidRPr="00BA0AD1">
        <w:t>и</w:t>
      </w:r>
      <w:r w:rsidRPr="00BA0AD1">
        <w:t>нансированию.</w:t>
      </w:r>
    </w:p>
    <w:p w:rsidR="00BA0AD1" w:rsidRPr="00BA0AD1" w:rsidRDefault="00BA0AD1" w:rsidP="00BA0AD1">
      <w:pPr>
        <w:pStyle w:val="SingleTxtGR"/>
      </w:pPr>
      <w:r w:rsidRPr="00BA0AD1">
        <w:t>178.</w:t>
      </w:r>
      <w:r w:rsidRPr="00BA0AD1">
        <w:tab/>
        <w:t>Рост цен на продовольствие примерно на 40</w:t>
      </w:r>
      <w:r w:rsidR="004849A7">
        <w:t xml:space="preserve">% </w:t>
      </w:r>
      <w:r w:rsidRPr="00BA0AD1">
        <w:t>в 2006 и 2007 годах ок</w:t>
      </w:r>
      <w:r w:rsidRPr="00BA0AD1">
        <w:t>а</w:t>
      </w:r>
      <w:r w:rsidRPr="00BA0AD1">
        <w:t>зал влияние как на городские, так и на сельские районы в первую очередь вследс</w:t>
      </w:r>
      <w:r w:rsidRPr="00BA0AD1">
        <w:t>т</w:t>
      </w:r>
      <w:r w:rsidRPr="00BA0AD1">
        <w:t>вие снижения покупательной способности малообеспеченных слоев н</w:t>
      </w:r>
      <w:r w:rsidRPr="00BA0AD1">
        <w:t>а</w:t>
      </w:r>
      <w:r w:rsidRPr="00BA0AD1">
        <w:t>селения.</w:t>
      </w:r>
    </w:p>
    <w:p w:rsidR="00BA0AD1" w:rsidRPr="00BA0AD1" w:rsidRDefault="00BA0AD1" w:rsidP="00BA0AD1">
      <w:pPr>
        <w:pStyle w:val="SingleTxtGR"/>
      </w:pPr>
      <w:r w:rsidRPr="00BA0AD1">
        <w:t>179.</w:t>
      </w:r>
      <w:r w:rsidRPr="00BA0AD1">
        <w:tab/>
        <w:t>В приложении XIV приводятся данные о процентных долях населения, проживающего в условиях крайней бедности, от общей численности населения в разбивке по местожительству и полу, а также по статусу бедности за период  2005</w:t>
      </w:r>
      <w:r w:rsidR="002B7B9B">
        <w:t>−</w:t>
      </w:r>
      <w:r w:rsidRPr="00BA0AD1">
        <w:t>2009 годов.</w:t>
      </w:r>
    </w:p>
    <w:p w:rsidR="00BA0AD1" w:rsidRPr="00BA0AD1" w:rsidRDefault="00BA0AD1" w:rsidP="00BA0AD1">
      <w:pPr>
        <w:pStyle w:val="SingleTxtGR"/>
      </w:pPr>
      <w:r w:rsidRPr="00BA0AD1">
        <w:t>180.</w:t>
      </w:r>
      <w:r w:rsidRPr="00BA0AD1">
        <w:tab/>
        <w:t>Основной программной, осуществляемой в рамках проекта "Парагвай для всех" является программа ТЕКОПОРА, осуществляемая с помощью Секрет</w:t>
      </w:r>
      <w:r w:rsidRPr="00BA0AD1">
        <w:t>а</w:t>
      </w:r>
      <w:r w:rsidRPr="00BA0AD1">
        <w:t>риата по мерам социальной политики и имеющей целью содействие в повыш</w:t>
      </w:r>
      <w:r w:rsidRPr="00BA0AD1">
        <w:t>е</w:t>
      </w:r>
      <w:r w:rsidRPr="00BA0AD1">
        <w:t>нии качества жизни населения, живущего в условиях бедности и крайней бе</w:t>
      </w:r>
      <w:r w:rsidRPr="00BA0AD1">
        <w:t>д</w:t>
      </w:r>
      <w:r w:rsidRPr="00BA0AD1">
        <w:t>ности, путем предоставления обусловленных денежных пособий, чтобы сп</w:t>
      </w:r>
      <w:r w:rsidRPr="00BA0AD1">
        <w:t>о</w:t>
      </w:r>
      <w:r w:rsidRPr="00BA0AD1">
        <w:t>собствовать тем самым осуществлению прав этих категорий населения на п</w:t>
      </w:r>
      <w:r w:rsidRPr="00BA0AD1">
        <w:t>и</w:t>
      </w:r>
      <w:r w:rsidRPr="00BA0AD1">
        <w:t>тание, медицинское обслуживание и образование.</w:t>
      </w:r>
    </w:p>
    <w:p w:rsidR="00BA0AD1" w:rsidRPr="00BA0AD1" w:rsidRDefault="00BA0AD1" w:rsidP="00B85E64">
      <w:pPr>
        <w:pStyle w:val="SingleTxtGR"/>
        <w:keepLines/>
      </w:pPr>
      <w:r w:rsidRPr="00BA0AD1">
        <w:t>181.</w:t>
      </w:r>
      <w:r w:rsidRPr="00BA0AD1">
        <w:tab/>
        <w:t>В настоящее время прямую помощь в рамках программы ТЕКОПОРА п</w:t>
      </w:r>
      <w:r w:rsidRPr="00BA0AD1">
        <w:t>о</w:t>
      </w:r>
      <w:r w:rsidRPr="00BA0AD1">
        <w:t>лучают 446 529 жителей 15 департаментов страны, в том числе 44 554 ребенка младше 5 лет и 133 512 детей в возрасте от 6 до 14 лет. В числе бенефициаров программы ЦДС 215 833 женщины.</w:t>
      </w:r>
    </w:p>
    <w:p w:rsidR="00BA0AD1" w:rsidRPr="00BA0AD1" w:rsidRDefault="00BA0AD1" w:rsidP="00BA0AD1">
      <w:pPr>
        <w:pStyle w:val="SingleTxtGR"/>
      </w:pPr>
      <w:r w:rsidRPr="00BA0AD1">
        <w:t>182.</w:t>
      </w:r>
      <w:r w:rsidRPr="00BA0AD1">
        <w:tab/>
        <w:t xml:space="preserve">Стоимость основного продовольственного талона, предоставляемого на семью, составляет 80 тыс. </w:t>
      </w:r>
      <w:proofErr w:type="spellStart"/>
      <w:r w:rsidRPr="00BA0AD1">
        <w:t>гуарани</w:t>
      </w:r>
      <w:proofErr w:type="spellEnd"/>
      <w:r w:rsidRPr="00BA0AD1">
        <w:t xml:space="preserve">, и еще по 35 тыс. </w:t>
      </w:r>
      <w:proofErr w:type="spellStart"/>
      <w:r w:rsidRPr="00BA0AD1">
        <w:t>гуарани</w:t>
      </w:r>
      <w:proofErr w:type="spellEnd"/>
      <w:r w:rsidRPr="00BA0AD1">
        <w:t xml:space="preserve"> выдается на ка</w:t>
      </w:r>
      <w:r w:rsidRPr="00BA0AD1">
        <w:t>ж</w:t>
      </w:r>
      <w:r w:rsidRPr="00BA0AD1">
        <w:t>дого ребенка в возрасте от 0 до 18 лет (не более чем на четверых детей на с</w:t>
      </w:r>
      <w:r w:rsidRPr="00BA0AD1">
        <w:t>е</w:t>
      </w:r>
      <w:r w:rsidRPr="00BA0AD1">
        <w:t>мью). Максимальная сумма, которую может получить семья, составляет 290</w:t>
      </w:r>
      <w:r w:rsidR="00B85E64">
        <w:t> </w:t>
      </w:r>
      <w:r w:rsidRPr="00BA0AD1">
        <w:t xml:space="preserve">тыс. </w:t>
      </w:r>
      <w:proofErr w:type="spellStart"/>
      <w:r w:rsidRPr="00BA0AD1">
        <w:t>гуарани</w:t>
      </w:r>
      <w:proofErr w:type="spellEnd"/>
      <w:r w:rsidRPr="00BA0AD1">
        <w:t xml:space="preserve"> (72 долл. США)</w:t>
      </w:r>
      <w:r w:rsidRPr="007713F6">
        <w:rPr>
          <w:sz w:val="18"/>
          <w:szCs w:val="18"/>
          <w:vertAlign w:val="superscript"/>
        </w:rPr>
        <w:footnoteReference w:id="36"/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183.</w:t>
      </w:r>
      <w:r w:rsidRPr="00BA0AD1">
        <w:tab/>
        <w:t xml:space="preserve">Действие программы, осуществляемой в департаменте </w:t>
      </w:r>
      <w:proofErr w:type="spellStart"/>
      <w:r w:rsidRPr="00BA0AD1">
        <w:t>Альто-Парана</w:t>
      </w:r>
      <w:proofErr w:type="spellEnd"/>
      <w:r w:rsidRPr="00BA0AD1">
        <w:t>, о</w:t>
      </w:r>
      <w:r w:rsidRPr="00BA0AD1">
        <w:t>х</w:t>
      </w:r>
      <w:r w:rsidRPr="00BA0AD1">
        <w:t xml:space="preserve">ватывает и семьи коренных народов, проживающих в округе </w:t>
      </w:r>
      <w:proofErr w:type="spellStart"/>
      <w:r w:rsidRPr="00BA0AD1">
        <w:t>Пуэрто-Касадо</w:t>
      </w:r>
      <w:proofErr w:type="spellEnd"/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184.</w:t>
      </w:r>
      <w:r w:rsidRPr="00BA0AD1">
        <w:tab/>
        <w:t>Дальнейшее развитие Программы обусловленных денежных пособий н</w:t>
      </w:r>
      <w:r w:rsidRPr="00BA0AD1">
        <w:t>а</w:t>
      </w:r>
      <w:r w:rsidRPr="00BA0AD1">
        <w:t>чалось после распространения действия на лиц с инвалидностью. Пособия п</w:t>
      </w:r>
      <w:r w:rsidRPr="00BA0AD1">
        <w:t>о</w:t>
      </w:r>
      <w:r w:rsidRPr="00BA0AD1">
        <w:t>лучают 8178 инвалидов по тому или иному заболеванию (3596 женщин и 4582</w:t>
      </w:r>
      <w:r w:rsidR="00B85E64">
        <w:t> </w:t>
      </w:r>
      <w:r w:rsidRPr="00BA0AD1">
        <w:t xml:space="preserve">мужчины). Размер получаемого ими пособия составляет 35 тыс. </w:t>
      </w:r>
      <w:proofErr w:type="spellStart"/>
      <w:r w:rsidRPr="00BA0AD1">
        <w:t>гуарани</w:t>
      </w:r>
      <w:proofErr w:type="spellEnd"/>
      <w:r w:rsidRPr="00BA0AD1">
        <w:t xml:space="preserve"> (около 9 долл. США)</w:t>
      </w:r>
      <w:r w:rsidRPr="007713F6">
        <w:rPr>
          <w:sz w:val="18"/>
          <w:szCs w:val="18"/>
          <w:vertAlign w:val="superscript"/>
        </w:rPr>
        <w:footnoteReference w:id="37"/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185.</w:t>
      </w:r>
      <w:r w:rsidRPr="00BA0AD1">
        <w:tab/>
        <w:t>В настоящее время помощь в рамках программы ТЕКОПОРА получают 24 840 пожилых людей (в возрасте 65 лет и старше), в том числе 11 795 женщин и 13 044 мужчины. Каждый из них получает ежемесячно пособие в размере 35</w:t>
      </w:r>
      <w:r w:rsidR="00B85E64">
        <w:t> </w:t>
      </w:r>
      <w:r w:rsidRPr="00BA0AD1">
        <w:t xml:space="preserve">тыс. </w:t>
      </w:r>
      <w:proofErr w:type="spellStart"/>
      <w:r w:rsidRPr="00BA0AD1">
        <w:t>гуарани</w:t>
      </w:r>
      <w:proofErr w:type="spellEnd"/>
      <w:r w:rsidRPr="00BA0AD1">
        <w:t>. Хотя величина целевой денежной субсидии и невелика, это п</w:t>
      </w:r>
      <w:r w:rsidRPr="00BA0AD1">
        <w:t>о</w:t>
      </w:r>
      <w:r w:rsidRPr="00BA0AD1">
        <w:t>собие представляет собой важный шаг вперед в деле защиты прав уязвимых к</w:t>
      </w:r>
      <w:r w:rsidRPr="00BA0AD1">
        <w:t>а</w:t>
      </w:r>
      <w:r w:rsidRPr="00BA0AD1">
        <w:t>тегорий населения, к которым относятся не только бедные и крайне бедные, но и другие группы, например пожилые люди и лица с инвалидностью. В 2011 г</w:t>
      </w:r>
      <w:r w:rsidRPr="00BA0AD1">
        <w:t>о</w:t>
      </w:r>
      <w:r w:rsidRPr="00BA0AD1">
        <w:t>ду, по свидетельству СМСП, органы законодательной власти сократили бю</w:t>
      </w:r>
      <w:r w:rsidRPr="00BA0AD1">
        <w:t>д</w:t>
      </w:r>
      <w:r w:rsidRPr="00BA0AD1">
        <w:t>жетные ассигнования на данную программу.</w:t>
      </w:r>
    </w:p>
    <w:p w:rsidR="00BA0AD1" w:rsidRPr="00BA0AD1" w:rsidRDefault="00BA0AD1" w:rsidP="00BA0AD1">
      <w:pPr>
        <w:pStyle w:val="SingleTxtGR"/>
      </w:pPr>
      <w:r w:rsidRPr="00BA0AD1">
        <w:t>186.</w:t>
      </w:r>
      <w:r w:rsidRPr="00BA0AD1">
        <w:tab/>
        <w:t>Продолжается работа по увеличению числа бенефициаров этой програ</w:t>
      </w:r>
      <w:r w:rsidRPr="00BA0AD1">
        <w:t>м</w:t>
      </w:r>
      <w:r w:rsidRPr="00BA0AD1">
        <w:t>мы, что обусловлено ситуацией в стране, где примерно 35,1</w:t>
      </w:r>
      <w:r w:rsidR="004849A7">
        <w:t xml:space="preserve">% </w:t>
      </w:r>
      <w:r w:rsidRPr="00BA0AD1">
        <w:t>населения (2 млн. 191 тыс. человек) относятся к категории бедных и крайне бедных</w:t>
      </w:r>
      <w:r w:rsidRPr="007713F6">
        <w:rPr>
          <w:sz w:val="18"/>
          <w:szCs w:val="18"/>
          <w:vertAlign w:val="superscript"/>
        </w:rPr>
        <w:footnoteReference w:id="38"/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187.</w:t>
      </w:r>
      <w:r w:rsidRPr="00BA0AD1">
        <w:tab/>
        <w:t>В таблице, ниже, приводятся данные об общем числе бенефициаров пр</w:t>
      </w:r>
      <w:r w:rsidRPr="00BA0AD1">
        <w:t>о</w:t>
      </w:r>
      <w:r w:rsidRPr="00BA0AD1">
        <w:t>граммы ТЕКОПОРА в разбивке по полу.</w:t>
      </w:r>
    </w:p>
    <w:p w:rsidR="00BA0AD1" w:rsidRPr="00BA0AD1" w:rsidRDefault="00F96D53" w:rsidP="00F96D53">
      <w:pPr>
        <w:pStyle w:val="H4GR"/>
        <w:spacing w:before="240"/>
        <w:ind w:left="1134" w:right="1179" w:hanging="1134"/>
      </w:pPr>
      <w:r>
        <w:rPr>
          <w:lang w:val="en-US"/>
        </w:rPr>
        <w:tab/>
      </w:r>
      <w:r>
        <w:rPr>
          <w:lang w:val="en-US"/>
        </w:rPr>
        <w:tab/>
      </w:r>
      <w:r w:rsidR="00BA0AD1" w:rsidRPr="00BA0AD1">
        <w:t>Программа ТЕКОПОРА: общее число бенефициаров (членов семьи) по</w:t>
      </w:r>
      <w:r>
        <w:rPr>
          <w:lang w:val="en-US"/>
        </w:rPr>
        <w:t> </w:t>
      </w:r>
      <w:r w:rsidR="00BA0AD1" w:rsidRPr="00BA0AD1">
        <w:t xml:space="preserve">состоянию на май 2011 года   </w:t>
      </w:r>
    </w:p>
    <w:tbl>
      <w:tblPr>
        <w:tblStyle w:val="TabNum"/>
        <w:tblW w:w="8504" w:type="dxa"/>
        <w:tblInd w:w="1134" w:type="dxa"/>
        <w:tblLook w:val="01E0" w:firstRow="1" w:lastRow="1" w:firstColumn="1" w:lastColumn="1" w:noHBand="0" w:noVBand="0"/>
      </w:tblPr>
      <w:tblGrid>
        <w:gridCol w:w="2098"/>
        <w:gridCol w:w="819"/>
        <w:gridCol w:w="942"/>
        <w:gridCol w:w="1845"/>
        <w:gridCol w:w="949"/>
        <w:gridCol w:w="1851"/>
      </w:tblGrid>
      <w:tr w:rsidR="00BA0AD1" w:rsidRPr="00B85E64" w:rsidTr="00B85E64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BA0AD1" w:rsidRPr="00B85E64" w:rsidRDefault="00BA0AD1" w:rsidP="00B85E64">
            <w:pPr>
              <w:spacing w:before="80" w:after="80" w:line="200" w:lineRule="exact"/>
              <w:rPr>
                <w:i/>
                <w:sz w:val="16"/>
              </w:rPr>
            </w:pPr>
            <w:r w:rsidRPr="00B85E64">
              <w:rPr>
                <w:i/>
                <w:sz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BA0AD1" w:rsidRPr="00B85E64" w:rsidRDefault="00BA0AD1" w:rsidP="00B85E6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85E64">
              <w:rPr>
                <w:i/>
                <w:sz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BA0AD1" w:rsidRPr="00B85E64" w:rsidRDefault="00BA0AD1" w:rsidP="00B85E6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85E64">
              <w:rPr>
                <w:i/>
                <w:sz w:val="16"/>
              </w:rPr>
              <w:t>Женщины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0AD1" w:rsidRPr="00B85E64" w:rsidRDefault="00BA0AD1" w:rsidP="00B85E6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85E64">
              <w:rPr>
                <w:i/>
                <w:sz w:val="16"/>
              </w:rPr>
              <w:t>Женщины-инвалиды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BA0AD1" w:rsidRPr="00B85E64" w:rsidRDefault="00BA0AD1" w:rsidP="00B85E6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85E64">
              <w:rPr>
                <w:i/>
                <w:sz w:val="16"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0AD1" w:rsidRPr="00B85E64" w:rsidRDefault="00BA0AD1" w:rsidP="00B85E6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85E64">
              <w:rPr>
                <w:i/>
                <w:sz w:val="16"/>
              </w:rPr>
              <w:t>Мужчины-инвалиды</w:t>
            </w:r>
          </w:p>
        </w:tc>
      </w:tr>
      <w:tr w:rsidR="00BA0AD1" w:rsidRPr="00B85E64" w:rsidTr="00B85E6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</w:tcPr>
          <w:p w:rsidR="00BA0AD1" w:rsidRPr="00B85E64" w:rsidRDefault="00BA0AD1" w:rsidP="00B85E64">
            <w:r w:rsidRPr="00B85E64">
              <w:t>Всего бенеф</w:t>
            </w:r>
            <w:r w:rsidRPr="00B85E64">
              <w:t>и</w:t>
            </w:r>
            <w:r w:rsidRPr="00B85E64">
              <w:t>циаров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 xml:space="preserve">446 529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215 833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 xml:space="preserve">3 596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230 694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4 582</w:t>
            </w:r>
          </w:p>
        </w:tc>
      </w:tr>
      <w:tr w:rsidR="00BA0AD1" w:rsidRPr="00B85E64" w:rsidTr="00B85E6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AD1" w:rsidRPr="00B85E64" w:rsidRDefault="00BA0AD1" w:rsidP="00B85E64">
            <w:r w:rsidRPr="00B85E64">
              <w:t>от 0 до 5 лет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44 554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21 569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127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22 985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180</w:t>
            </w:r>
          </w:p>
        </w:tc>
      </w:tr>
      <w:tr w:rsidR="00BA0AD1" w:rsidRPr="00B85E64" w:rsidTr="00B85E6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AD1" w:rsidRPr="00B85E64" w:rsidRDefault="00BA0AD1" w:rsidP="00B85E64">
            <w:r w:rsidRPr="00B85E64">
              <w:t>от 6 до 14 лет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 xml:space="preserve">133 512 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64 892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524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68 620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699</w:t>
            </w:r>
          </w:p>
        </w:tc>
      </w:tr>
      <w:tr w:rsidR="00BA0AD1" w:rsidRPr="00B85E64" w:rsidTr="00B85E6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AD1" w:rsidRPr="00B85E64" w:rsidRDefault="00BA0AD1" w:rsidP="00B85E64">
            <w:r w:rsidRPr="00B85E64">
              <w:t>от 15 до 18 лет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51 931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24 666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271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27 264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358</w:t>
            </w:r>
          </w:p>
        </w:tc>
      </w:tr>
      <w:tr w:rsidR="00BA0AD1" w:rsidRPr="00B85E64" w:rsidTr="00B85E6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AD1" w:rsidRPr="00B85E64" w:rsidRDefault="00BA0AD1" w:rsidP="00B85E64">
            <w:r w:rsidRPr="00B85E64">
              <w:t>от 19 до 64 лет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 xml:space="preserve">191 692  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92 911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1 715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98 781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2 291</w:t>
            </w:r>
          </w:p>
        </w:tc>
      </w:tr>
      <w:tr w:rsidR="00BA0AD1" w:rsidRPr="00B85E64" w:rsidTr="00B85E6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AD1" w:rsidRPr="00B85E64" w:rsidRDefault="00BA0AD1" w:rsidP="00B85E64">
            <w:r w:rsidRPr="00B85E64">
              <w:t xml:space="preserve">65 лет и старше 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24 840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11 795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959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13 044</w:t>
            </w:r>
          </w:p>
        </w:tc>
        <w:tc>
          <w:tcPr>
            <w:tcW w:w="0" w:type="auto"/>
          </w:tcPr>
          <w:p w:rsidR="00BA0AD1" w:rsidRPr="00B85E64" w:rsidRDefault="00BA0AD1" w:rsidP="00B8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E64">
              <w:t>1 054</w:t>
            </w:r>
          </w:p>
        </w:tc>
      </w:tr>
    </w:tbl>
    <w:p w:rsidR="00BA0AD1" w:rsidRPr="00B85E64" w:rsidRDefault="00BA0AD1" w:rsidP="00B85E64">
      <w:pPr>
        <w:pStyle w:val="SingleTxtGR"/>
        <w:spacing w:before="120"/>
        <w:ind w:left="1260"/>
        <w:rPr>
          <w:sz w:val="18"/>
          <w:szCs w:val="18"/>
        </w:rPr>
      </w:pPr>
      <w:r w:rsidRPr="00B85E64">
        <w:rPr>
          <w:i/>
          <w:sz w:val="18"/>
          <w:szCs w:val="18"/>
        </w:rPr>
        <w:t xml:space="preserve">Источник: </w:t>
      </w:r>
      <w:r w:rsidRPr="00B85E64">
        <w:rPr>
          <w:sz w:val="18"/>
          <w:szCs w:val="18"/>
        </w:rPr>
        <w:t>Информационный отдел Программы ТЕКОПОРА.</w:t>
      </w:r>
    </w:p>
    <w:p w:rsidR="00BA0AD1" w:rsidRPr="00BA0AD1" w:rsidRDefault="00BA0AD1" w:rsidP="00BA0AD1">
      <w:pPr>
        <w:pStyle w:val="SingleTxtGR"/>
      </w:pPr>
      <w:r w:rsidRPr="00BA0AD1">
        <w:t>188.</w:t>
      </w:r>
      <w:r w:rsidRPr="00BA0AD1">
        <w:tab/>
        <w:t>Министерство сельского хозяйства и животноводства (МСХЖ) занимае</w:t>
      </w:r>
      <w:r w:rsidRPr="00BA0AD1">
        <w:t>т</w:t>
      </w:r>
      <w:r w:rsidRPr="00BA0AD1">
        <w:t>ся содействием в развитии сельского хозяйства, применяя при этом подход, с</w:t>
      </w:r>
      <w:r w:rsidRPr="00BA0AD1">
        <w:t>о</w:t>
      </w:r>
      <w:r w:rsidRPr="00BA0AD1">
        <w:t>четающий увеличение производства отраслевой продукции с решением соц</w:t>
      </w:r>
      <w:r w:rsidRPr="00BA0AD1">
        <w:t>и</w:t>
      </w:r>
      <w:r w:rsidRPr="00BA0AD1">
        <w:t>альных вопросов и охраной окружающей среды.</w:t>
      </w:r>
    </w:p>
    <w:p w:rsidR="00BA0AD1" w:rsidRPr="00BA0AD1" w:rsidRDefault="00BA0AD1" w:rsidP="00BA0AD1">
      <w:pPr>
        <w:pStyle w:val="SingleTxtGR"/>
      </w:pPr>
      <w:r w:rsidRPr="00BA0AD1">
        <w:t>189.</w:t>
      </w:r>
      <w:r w:rsidRPr="00BA0AD1">
        <w:tab/>
        <w:t>С учетом задач, поставленных в проекте "Парагвай для всех" и в разделе Стратегического социально-экономического плана, посвященном стратегии развития сельского хозяйства на 2009</w:t>
      </w:r>
      <w:r w:rsidR="002B7B9B">
        <w:t>−</w:t>
      </w:r>
      <w:r w:rsidRPr="00BA0AD1">
        <w:t>2018 годы, ведется работа по пяти стр</w:t>
      </w:r>
      <w:r w:rsidRPr="00BA0AD1">
        <w:t>а</w:t>
      </w:r>
      <w:r w:rsidRPr="00BA0AD1">
        <w:t>тегическим направлениям: a) совершенствование отраслевой институционал</w:t>
      </w:r>
      <w:r w:rsidRPr="00BA0AD1">
        <w:t>ь</w:t>
      </w:r>
      <w:r w:rsidRPr="00BA0AD1">
        <w:t>ной системы и реструктуризация МСХЖ; b) развитие семейных сельскохозя</w:t>
      </w:r>
      <w:r w:rsidRPr="00BA0AD1">
        <w:t>й</w:t>
      </w:r>
      <w:r w:rsidRPr="00BA0AD1">
        <w:t xml:space="preserve">ственных предприятий и продовольственная безопасность; </w:t>
      </w:r>
      <w:proofErr w:type="spellStart"/>
      <w:r w:rsidRPr="00BA0AD1">
        <w:t>c</w:t>
      </w:r>
      <w:proofErr w:type="spellEnd"/>
      <w:r w:rsidRPr="00BA0AD1">
        <w:t>) развитие конк</w:t>
      </w:r>
      <w:r w:rsidRPr="00BA0AD1">
        <w:t>у</w:t>
      </w:r>
      <w:r w:rsidRPr="00BA0AD1">
        <w:t xml:space="preserve">ренции в сельском хозяйстве; </w:t>
      </w:r>
      <w:proofErr w:type="spellStart"/>
      <w:r w:rsidRPr="00BA0AD1">
        <w:t>d</w:t>
      </w:r>
      <w:proofErr w:type="spellEnd"/>
      <w:r w:rsidRPr="00BA0AD1">
        <w:t xml:space="preserve">) развитие </w:t>
      </w:r>
      <w:proofErr w:type="spellStart"/>
      <w:r w:rsidRPr="00BA0AD1">
        <w:t>агроэнергетики</w:t>
      </w:r>
      <w:proofErr w:type="spellEnd"/>
      <w:r w:rsidRPr="00BA0AD1">
        <w:t xml:space="preserve">; </w:t>
      </w:r>
      <w:proofErr w:type="spellStart"/>
      <w:r w:rsidRPr="00BA0AD1">
        <w:t>e</w:t>
      </w:r>
      <w:proofErr w:type="spellEnd"/>
      <w:r w:rsidRPr="00BA0AD1">
        <w:t>) развитие животн</w:t>
      </w:r>
      <w:r w:rsidRPr="00BA0AD1">
        <w:t>о</w:t>
      </w:r>
      <w:r w:rsidRPr="00BA0AD1">
        <w:t>водства и фермерских хозяйств.</w:t>
      </w:r>
    </w:p>
    <w:p w:rsidR="00BA0AD1" w:rsidRPr="00BA0AD1" w:rsidRDefault="00BA0AD1" w:rsidP="00BA0AD1">
      <w:pPr>
        <w:pStyle w:val="SingleTxtGR"/>
      </w:pPr>
      <w:r w:rsidRPr="00BA0AD1">
        <w:t>190.</w:t>
      </w:r>
      <w:r w:rsidRPr="00BA0AD1">
        <w:tab/>
        <w:t xml:space="preserve">МСХЖ разработало следующие стратегические программы: поддержка семейных фермерских хозяйств (ПРОНАФ); </w:t>
      </w:r>
      <w:proofErr w:type="spellStart"/>
      <w:r w:rsidRPr="00BA0AD1">
        <w:t>биотопливо</w:t>
      </w:r>
      <w:proofErr w:type="spellEnd"/>
      <w:r w:rsidRPr="00BA0AD1">
        <w:t>; сельское хозяйство и экономика коренных народов; развитие животноводства; территориальное ра</w:t>
      </w:r>
      <w:r w:rsidRPr="00BA0AD1">
        <w:t>з</w:t>
      </w:r>
      <w:r w:rsidRPr="00BA0AD1">
        <w:t>витие сельских районов (ТРСР); содействие в комплексном реформировании сельского хозяйства (РАИ), содействие семейным сельскохозяйственным пре</w:t>
      </w:r>
      <w:r w:rsidRPr="00BA0AD1">
        <w:t>д</w:t>
      </w:r>
      <w:r w:rsidRPr="00BA0AD1">
        <w:t>приятиям в производстве продуктов питания; содействие в повышении конк</w:t>
      </w:r>
      <w:r w:rsidRPr="00BA0AD1">
        <w:t>у</w:t>
      </w:r>
      <w:r w:rsidRPr="00BA0AD1">
        <w:t xml:space="preserve">рентоспособности сельскохозяйственной продукции; содействие в обеспечении агроэкологической устойчивости сельскохозяйственных и животноводческих земель; содействие в обеспечении </w:t>
      </w:r>
      <w:proofErr w:type="spellStart"/>
      <w:r w:rsidRPr="00BA0AD1">
        <w:t>гендерного</w:t>
      </w:r>
      <w:proofErr w:type="spellEnd"/>
      <w:r w:rsidRPr="00BA0AD1">
        <w:t xml:space="preserve"> равенства и оказании помощи сельской молодежи; содействие в производстве и коммерческом сбыте пар</w:t>
      </w:r>
      <w:r w:rsidRPr="00BA0AD1">
        <w:t>а</w:t>
      </w:r>
      <w:r w:rsidRPr="00BA0AD1">
        <w:t>гвайской овощеводческой продукции на 2010</w:t>
      </w:r>
      <w:r w:rsidR="002B7B9B">
        <w:t>−</w:t>
      </w:r>
      <w:r w:rsidRPr="00BA0AD1">
        <w:t>2014 годы.</w:t>
      </w:r>
    </w:p>
    <w:p w:rsidR="00BA0AD1" w:rsidRPr="00BA0AD1" w:rsidRDefault="00BA0AD1" w:rsidP="00BA0AD1">
      <w:pPr>
        <w:pStyle w:val="SingleTxtGR"/>
      </w:pPr>
      <w:r w:rsidRPr="00BA0AD1">
        <w:t>191.</w:t>
      </w:r>
      <w:r w:rsidRPr="00BA0AD1">
        <w:tab/>
        <w:t>Цель основной программы "Улучшение жилищных условий" состоит в содействии в сокращении дефицита жилья, с которым сталкиваются бедные и крайне бедные городские и сельские семьи, а также семьи коренного населения, путем строительства и ремонта жилищ, обеспечения основных услуг и офор</w:t>
      </w:r>
      <w:r w:rsidRPr="00BA0AD1">
        <w:t>м</w:t>
      </w:r>
      <w:r w:rsidRPr="00BA0AD1">
        <w:t>ления прав собственности.</w:t>
      </w:r>
    </w:p>
    <w:p w:rsidR="00BA0AD1" w:rsidRPr="00BA0AD1" w:rsidRDefault="00BA0AD1" w:rsidP="00BA0AD1">
      <w:pPr>
        <w:pStyle w:val="SingleTxtGR"/>
      </w:pPr>
      <w:r w:rsidRPr="00BA0AD1">
        <w:t>192.</w:t>
      </w:r>
      <w:r w:rsidRPr="00BA0AD1">
        <w:tab/>
        <w:t>В приложении XV приводятся данные о ходе выполнения основной пр</w:t>
      </w:r>
      <w:r w:rsidRPr="00BA0AD1">
        <w:t>о</w:t>
      </w:r>
      <w:r w:rsidRPr="00BA0AD1">
        <w:t>граммы "Улучшение жилищных условий", осуществляемой Национальным се</w:t>
      </w:r>
      <w:r w:rsidRPr="00BA0AD1">
        <w:t>к</w:t>
      </w:r>
      <w:r w:rsidRPr="00BA0AD1">
        <w:t xml:space="preserve">ретариатом по вопросам жилья и среды обитания (СЕНАВИТАТ). </w:t>
      </w:r>
    </w:p>
    <w:p w:rsidR="00BA0AD1" w:rsidRPr="00BA0AD1" w:rsidRDefault="00BA0AD1" w:rsidP="00BA0AD1">
      <w:pPr>
        <w:pStyle w:val="SingleTxtGR"/>
      </w:pPr>
      <w:r w:rsidRPr="00BA0AD1">
        <w:t>193.</w:t>
      </w:r>
      <w:r w:rsidRPr="00BA0AD1">
        <w:tab/>
        <w:t>В прошлом государство выделяло мало ресурсов на решение жилищных проблем. Хотя в 2008 году были введены в строй 294 единицы нового жилья, в 2011 году имелись средства на строительство 5310 таких единиц, что означает прирост на 1806</w:t>
      </w:r>
      <w:r w:rsidR="004849A7">
        <w:t>%</w:t>
      </w:r>
      <w:r w:rsidRPr="00BA0AD1">
        <w:t>. Вместе с тем, учитывая существующие потребности, этого явно недостаточно.</w:t>
      </w:r>
    </w:p>
    <w:p w:rsidR="00BA0AD1" w:rsidRPr="00BA0AD1" w:rsidRDefault="00BA0AD1" w:rsidP="00BA0AD1">
      <w:pPr>
        <w:pStyle w:val="SingleTxtGR"/>
      </w:pPr>
      <w:r w:rsidRPr="00BA0AD1">
        <w:t>194.</w:t>
      </w:r>
      <w:r w:rsidRPr="00BA0AD1">
        <w:tab/>
        <w:t>Управление по развитию этнических общин Национального института по делам коренного населения (ИНДИ) оказывает содействие в развитии произв</w:t>
      </w:r>
      <w:r w:rsidRPr="00BA0AD1">
        <w:t>о</w:t>
      </w:r>
      <w:r w:rsidRPr="00BA0AD1">
        <w:t>дительного труда семей коренного населения на условиях, согласованных с о</w:t>
      </w:r>
      <w:r w:rsidRPr="00BA0AD1">
        <w:t>б</w:t>
      </w:r>
      <w:r w:rsidRPr="00BA0AD1">
        <w:t>щинами. Принимаются меры по включению 175 общин коренных народов в Программу содействия семейным сельскохозяйственным предприятиям в пр</w:t>
      </w:r>
      <w:r w:rsidRPr="00BA0AD1">
        <w:t>о</w:t>
      </w:r>
      <w:r w:rsidRPr="00BA0AD1">
        <w:t>изводстве продуктов питания, и с этой целью проводятся последовательные и учитывающие территориальные особенности мероприятия в отношении ко</w:t>
      </w:r>
      <w:r w:rsidRPr="00BA0AD1">
        <w:t>н</w:t>
      </w:r>
      <w:r w:rsidRPr="00BA0AD1">
        <w:t>кретных групп, занимающихся семейным сельскохозяйственным производс</w:t>
      </w:r>
      <w:r w:rsidRPr="00BA0AD1">
        <w:t>т</w:t>
      </w:r>
      <w:r w:rsidRPr="00BA0AD1">
        <w:t xml:space="preserve">вом, одной из которых являются коренные народы. Задача программы </w:t>
      </w:r>
      <w:r w:rsidR="002B7B9B">
        <w:t>−</w:t>
      </w:r>
      <w:r w:rsidRPr="00BA0AD1">
        <w:t xml:space="preserve"> увел</w:t>
      </w:r>
      <w:r w:rsidRPr="00BA0AD1">
        <w:t>и</w:t>
      </w:r>
      <w:r w:rsidRPr="00BA0AD1">
        <w:t>чение предложения достаточного количества качественных продуктов питания, чтобы содействовать тем самым обеспечению нормального питания и прод</w:t>
      </w:r>
      <w:r w:rsidRPr="00BA0AD1">
        <w:t>о</w:t>
      </w:r>
      <w:r w:rsidRPr="00BA0AD1">
        <w:t>вольственной безопасности и снижению уровня сельской бедности.</w:t>
      </w:r>
    </w:p>
    <w:p w:rsidR="00BA0AD1" w:rsidRPr="00BA0AD1" w:rsidRDefault="00BA0AD1" w:rsidP="00F96D53">
      <w:pPr>
        <w:pStyle w:val="SingleTxtGR"/>
        <w:keepLines/>
      </w:pPr>
      <w:r w:rsidRPr="00BA0AD1">
        <w:t>195.</w:t>
      </w:r>
      <w:r w:rsidRPr="00BA0AD1">
        <w:tab/>
        <w:t>Проводимая правительством политика в отношении коренного населения предусматривает создание структур по оказанию помощи ИНДИ в его деятел</w:t>
      </w:r>
      <w:r w:rsidRPr="00BA0AD1">
        <w:t>ь</w:t>
      </w:r>
      <w:r w:rsidRPr="00BA0AD1">
        <w:t>ности с целью укрепления тем самым общинных организаций и ассоциаций и сокращения бедности, в которой проживает коренное население. Одним из пр</w:t>
      </w:r>
      <w:r w:rsidRPr="00BA0AD1">
        <w:t>и</w:t>
      </w:r>
      <w:r w:rsidRPr="00BA0AD1">
        <w:t>оритетных объектов деятельности Программы поддержки коренных народов (ПРОНАПИ), которая была принята в соответствии с Декретом № 1945 и ос</w:t>
      </w:r>
      <w:r w:rsidRPr="00BA0AD1">
        <w:t>у</w:t>
      </w:r>
      <w:r w:rsidRPr="00BA0AD1">
        <w:t>ществление которой координируется ИНДИ, являются общины, находящиеся в бедственном положении, испытывая прежде всего нехватку питания, медици</w:t>
      </w:r>
      <w:r w:rsidRPr="00BA0AD1">
        <w:t>н</w:t>
      </w:r>
      <w:r w:rsidRPr="00BA0AD1">
        <w:t>ской помощи, водоснабжения и жилья.</w:t>
      </w:r>
    </w:p>
    <w:p w:rsidR="00BA0AD1" w:rsidRPr="00BA0AD1" w:rsidRDefault="00BA0AD1" w:rsidP="00BA0AD1">
      <w:pPr>
        <w:pStyle w:val="SingleTxtGR"/>
      </w:pPr>
      <w:r w:rsidRPr="00BA0AD1">
        <w:t>196.</w:t>
      </w:r>
      <w:r w:rsidRPr="00BA0AD1">
        <w:tab/>
        <w:t xml:space="preserve">В общинах был реализован ряд проектов, например по выращиванию мелкого рогатого скота в поселении коренного народа </w:t>
      </w:r>
      <w:proofErr w:type="spellStart"/>
      <w:r w:rsidRPr="00BA0AD1">
        <w:t>тарума-поти</w:t>
      </w:r>
      <w:proofErr w:type="spellEnd"/>
      <w:r w:rsidRPr="00BA0AD1">
        <w:t xml:space="preserve"> </w:t>
      </w:r>
      <w:r w:rsidR="002B7B9B">
        <w:t>−</w:t>
      </w:r>
      <w:r w:rsidRPr="00BA0AD1">
        <w:t xml:space="preserve"> Луке. При</w:t>
      </w:r>
      <w:r w:rsidR="00B85E64">
        <w:t> </w:t>
      </w:r>
      <w:r w:rsidRPr="00BA0AD1">
        <w:t xml:space="preserve">поддержке со стороны </w:t>
      </w:r>
      <w:proofErr w:type="spellStart"/>
      <w:r w:rsidRPr="00BA0AD1">
        <w:t>бинациональной</w:t>
      </w:r>
      <w:proofErr w:type="spellEnd"/>
      <w:r w:rsidRPr="00BA0AD1">
        <w:t xml:space="preserve"> организации "</w:t>
      </w:r>
      <w:proofErr w:type="spellStart"/>
      <w:r w:rsidRPr="00BA0AD1">
        <w:t>Итаипу</w:t>
      </w:r>
      <w:proofErr w:type="spellEnd"/>
      <w:r w:rsidRPr="00BA0AD1">
        <w:t>" были ос</w:t>
      </w:r>
      <w:r w:rsidRPr="00BA0AD1">
        <w:t>у</w:t>
      </w:r>
      <w:r w:rsidRPr="00BA0AD1">
        <w:t xml:space="preserve">ществлены социальные проекты, в том числе по строительству школ и рытью колодцев, оснащению классных комнат и раздаче школьных принадлежностей. Были отремонтированы школьное здание и </w:t>
      </w:r>
      <w:proofErr w:type="spellStart"/>
      <w:r w:rsidRPr="00BA0AD1">
        <w:t>погружной</w:t>
      </w:r>
      <w:proofErr w:type="spellEnd"/>
      <w:r w:rsidRPr="00BA0AD1">
        <w:t xml:space="preserve"> насос и предоставлена мебель для школы в </w:t>
      </w:r>
      <w:proofErr w:type="spellStart"/>
      <w:r w:rsidRPr="00BA0AD1">
        <w:t>Катуете</w:t>
      </w:r>
      <w:proofErr w:type="spellEnd"/>
      <w:r w:rsidRPr="00BA0AD1">
        <w:t xml:space="preserve">, департамент </w:t>
      </w:r>
      <w:proofErr w:type="spellStart"/>
      <w:r w:rsidRPr="00BA0AD1">
        <w:t>Каниндейу</w:t>
      </w:r>
      <w:proofErr w:type="spellEnd"/>
      <w:r w:rsidRPr="00BA0AD1">
        <w:t xml:space="preserve">. </w:t>
      </w:r>
    </w:p>
    <w:p w:rsidR="00BA0AD1" w:rsidRPr="00BA0AD1" w:rsidRDefault="00BA0AD1" w:rsidP="00BA0AD1">
      <w:pPr>
        <w:pStyle w:val="SingleTxtGR"/>
      </w:pPr>
      <w:r w:rsidRPr="00BA0AD1">
        <w:t>197.</w:t>
      </w:r>
      <w:r w:rsidRPr="00BA0AD1">
        <w:tab/>
        <w:t xml:space="preserve">В общине Фортуна, округ </w:t>
      </w:r>
      <w:proofErr w:type="spellStart"/>
      <w:r w:rsidRPr="00BA0AD1">
        <w:t>Куругуати</w:t>
      </w:r>
      <w:proofErr w:type="spellEnd"/>
      <w:r w:rsidRPr="00BA0AD1">
        <w:t xml:space="preserve"> (департамент </w:t>
      </w:r>
      <w:proofErr w:type="spellStart"/>
      <w:r w:rsidRPr="00BA0AD1">
        <w:t>Каниндейу</w:t>
      </w:r>
      <w:proofErr w:type="spellEnd"/>
      <w:r w:rsidRPr="00BA0AD1">
        <w:t>) были ре</w:t>
      </w:r>
      <w:r w:rsidRPr="00BA0AD1">
        <w:t>а</w:t>
      </w:r>
      <w:r w:rsidRPr="00BA0AD1">
        <w:t xml:space="preserve">лизованы общинные проекты по сооружению 16 общинных колодцев. Кроме того, коллективные колодцы были выкопаны в общинах </w:t>
      </w:r>
      <w:proofErr w:type="spellStart"/>
      <w:r w:rsidRPr="00BA0AD1">
        <w:t>Рио-Корьенте-Ми</w:t>
      </w:r>
      <w:proofErr w:type="spellEnd"/>
      <w:r w:rsidRPr="00BA0AD1">
        <w:t>, о</w:t>
      </w:r>
      <w:r w:rsidRPr="00BA0AD1">
        <w:t>к</w:t>
      </w:r>
      <w:r w:rsidRPr="00BA0AD1">
        <w:t xml:space="preserve">руг </w:t>
      </w:r>
      <w:proofErr w:type="spellStart"/>
      <w:r w:rsidRPr="00BA0AD1">
        <w:t>Капибару</w:t>
      </w:r>
      <w:proofErr w:type="spellEnd"/>
      <w:r w:rsidRPr="00BA0AD1">
        <w:t xml:space="preserve"> (департамент Сан-Педро), и в общинах коренных народов </w:t>
      </w:r>
      <w:proofErr w:type="spellStart"/>
      <w:r w:rsidRPr="00BA0AD1">
        <w:t>митуи</w:t>
      </w:r>
      <w:proofErr w:type="spellEnd"/>
      <w:r w:rsidRPr="00BA0AD1">
        <w:t xml:space="preserve"> и </w:t>
      </w:r>
      <w:proofErr w:type="spellStart"/>
      <w:r w:rsidRPr="00BA0AD1">
        <w:t>эспахин</w:t>
      </w:r>
      <w:proofErr w:type="spellEnd"/>
      <w:r w:rsidRPr="00BA0AD1">
        <w:t xml:space="preserve"> (департамент Сан-Педро).</w:t>
      </w:r>
    </w:p>
    <w:p w:rsidR="00BA0AD1" w:rsidRPr="00BA0AD1" w:rsidRDefault="00BA0AD1" w:rsidP="00BA0AD1">
      <w:pPr>
        <w:pStyle w:val="SingleTxtGR"/>
      </w:pPr>
      <w:r w:rsidRPr="00BA0AD1">
        <w:t>198.</w:t>
      </w:r>
      <w:r w:rsidRPr="00BA0AD1">
        <w:tab/>
        <w:t xml:space="preserve">Артезианские колодцы были сооружены в департаменте </w:t>
      </w:r>
      <w:proofErr w:type="spellStart"/>
      <w:r w:rsidRPr="00BA0AD1">
        <w:t>Каниндейу</w:t>
      </w:r>
      <w:proofErr w:type="spellEnd"/>
      <w:r w:rsidRPr="00BA0AD1">
        <w:t>. В</w:t>
      </w:r>
      <w:r w:rsidR="00B85E64">
        <w:t> </w:t>
      </w:r>
      <w:r w:rsidRPr="00BA0AD1">
        <w:t xml:space="preserve">общине коренного населения </w:t>
      </w:r>
      <w:proofErr w:type="spellStart"/>
      <w:r w:rsidRPr="00BA0AD1">
        <w:t>арройо-гуасу-сан-исидоро</w:t>
      </w:r>
      <w:proofErr w:type="spellEnd"/>
      <w:r w:rsidRPr="00BA0AD1">
        <w:t xml:space="preserve">, департамент </w:t>
      </w:r>
      <w:proofErr w:type="spellStart"/>
      <w:r w:rsidRPr="00BA0AD1">
        <w:t>Каагу</w:t>
      </w:r>
      <w:r w:rsidRPr="00BA0AD1">
        <w:t>а</w:t>
      </w:r>
      <w:r w:rsidRPr="00BA0AD1">
        <w:t>су</w:t>
      </w:r>
      <w:proofErr w:type="spellEnd"/>
      <w:r w:rsidRPr="00BA0AD1">
        <w:t xml:space="preserve">, округ </w:t>
      </w:r>
      <w:proofErr w:type="spellStart"/>
      <w:r w:rsidRPr="00BA0AD1">
        <w:t>Коронель-Овьедо</w:t>
      </w:r>
      <w:proofErr w:type="spellEnd"/>
      <w:r w:rsidRPr="00BA0AD1">
        <w:t xml:space="preserve">, были построены девять жилых домов </w:t>
      </w:r>
      <w:r w:rsidR="002B7B9B">
        <w:t>−</w:t>
      </w:r>
      <w:r w:rsidRPr="00BA0AD1">
        <w:t xml:space="preserve"> шесть на сваях и три двухэтажных. В общине </w:t>
      </w:r>
      <w:proofErr w:type="spellStart"/>
      <w:r w:rsidRPr="00BA0AD1">
        <w:t>Мака-Виньяс-Куе</w:t>
      </w:r>
      <w:proofErr w:type="spellEnd"/>
      <w:r w:rsidRPr="00BA0AD1">
        <w:t xml:space="preserve"> были построены два ж</w:t>
      </w:r>
      <w:r w:rsidRPr="00BA0AD1">
        <w:t>и</w:t>
      </w:r>
      <w:r w:rsidRPr="00BA0AD1">
        <w:t>лых дома.</w:t>
      </w:r>
    </w:p>
    <w:p w:rsidR="00BA0AD1" w:rsidRPr="00BA0AD1" w:rsidRDefault="00BA0AD1" w:rsidP="00BA0AD1">
      <w:pPr>
        <w:pStyle w:val="SingleTxtGR"/>
      </w:pPr>
      <w:r w:rsidRPr="00BA0AD1">
        <w:t>199.</w:t>
      </w:r>
      <w:r w:rsidRPr="00BA0AD1">
        <w:tab/>
        <w:t xml:space="preserve">Проект оформления прав собственности коренного населения на земли (ПОПСКНЗ), реализованный в общинах коренного населения департамента </w:t>
      </w:r>
      <w:proofErr w:type="spellStart"/>
      <w:r w:rsidRPr="00BA0AD1">
        <w:t>Б</w:t>
      </w:r>
      <w:r w:rsidRPr="00BA0AD1">
        <w:t>о</w:t>
      </w:r>
      <w:r w:rsidRPr="00BA0AD1">
        <w:t>керон</w:t>
      </w:r>
      <w:proofErr w:type="spellEnd"/>
      <w:r w:rsidRPr="00BA0AD1">
        <w:t>, имел целью создание в этих общинах инфраструктуры, которая позвол</w:t>
      </w:r>
      <w:r w:rsidRPr="00BA0AD1">
        <w:t>я</w:t>
      </w:r>
      <w:r w:rsidRPr="00BA0AD1">
        <w:t>ла бы удовлетворить базовую потребность в достойном жилье и улучшить кач</w:t>
      </w:r>
      <w:r w:rsidRPr="00BA0AD1">
        <w:t>е</w:t>
      </w:r>
      <w:r w:rsidRPr="00BA0AD1">
        <w:t>ство жизни членов общин. Были построены дороги от соседних поселков к з</w:t>
      </w:r>
      <w:r w:rsidRPr="00BA0AD1">
        <w:t>е</w:t>
      </w:r>
      <w:r w:rsidRPr="00BA0AD1">
        <w:t>мельным наделам и колодцам, оснащенным необходимым оборудованием (м</w:t>
      </w:r>
      <w:r w:rsidRPr="00BA0AD1">
        <w:t>о</w:t>
      </w:r>
      <w:r w:rsidRPr="00BA0AD1">
        <w:t xml:space="preserve">торы, трубы и краны). Были предоставлены средства на строительство стойл и загонов для скота, систем орошения, а также на ремонт существующих систем водоснабжения. В рамках того же проекта в департаменте </w:t>
      </w:r>
      <w:proofErr w:type="spellStart"/>
      <w:r w:rsidRPr="00BA0AD1">
        <w:t>Каагуасу</w:t>
      </w:r>
      <w:proofErr w:type="spellEnd"/>
      <w:r w:rsidRPr="00BA0AD1">
        <w:t xml:space="preserve"> были ос</w:t>
      </w:r>
      <w:r w:rsidRPr="00BA0AD1">
        <w:t>у</w:t>
      </w:r>
      <w:r w:rsidRPr="00BA0AD1">
        <w:t>ществлены производственные проекты по выращиванию крупного и мелкого рогатого скота, предоставлению сельскохозяйственных орудий для мелких кр</w:t>
      </w:r>
      <w:r w:rsidRPr="00BA0AD1">
        <w:t>е</w:t>
      </w:r>
      <w:r w:rsidRPr="00BA0AD1">
        <w:t xml:space="preserve">стьянских хозяйств и обучению представителей коренного населения навыкам производства в целях </w:t>
      </w:r>
      <w:proofErr w:type="spellStart"/>
      <w:r w:rsidRPr="00BA0AD1">
        <w:t>самообеспечения</w:t>
      </w:r>
      <w:proofErr w:type="spellEnd"/>
      <w:r w:rsidRPr="00BA0AD1">
        <w:t xml:space="preserve"> продуктами питания.</w:t>
      </w:r>
    </w:p>
    <w:p w:rsidR="00BA0AD1" w:rsidRPr="00BA0AD1" w:rsidRDefault="00BA0AD1" w:rsidP="00BA0AD1">
      <w:pPr>
        <w:pStyle w:val="SingleTxtGR"/>
      </w:pPr>
      <w:r w:rsidRPr="00BA0AD1">
        <w:t>200.</w:t>
      </w:r>
      <w:r w:rsidRPr="00BA0AD1">
        <w:tab/>
        <w:t>Общины коренного населения Восточного и Западного регионов получ</w:t>
      </w:r>
      <w:r w:rsidRPr="00BA0AD1">
        <w:t>и</w:t>
      </w:r>
      <w:r w:rsidRPr="00BA0AD1">
        <w:t>ли продовольственную помощь (наборы, в каждый из которых входило по 5 килограммов сахара, муки, чая мате, соли, хлеба, фасоли, растительного ма</w:t>
      </w:r>
      <w:r w:rsidRPr="00BA0AD1">
        <w:t>с</w:t>
      </w:r>
      <w:r w:rsidRPr="00BA0AD1">
        <w:t xml:space="preserve">ла и вермишели, а также сухое молоко и мясные консервы), семена, саженцы, инструменты, лекарства и изделия медицинского назначения. Семьям коренного населения оказывалась помощь в случае беременности, заболевания или смерти их членов. В 2009 году пособия на погребение составили 198,3 млн. </w:t>
      </w:r>
      <w:proofErr w:type="spellStart"/>
      <w:r w:rsidRPr="00BA0AD1">
        <w:t>гуарани</w:t>
      </w:r>
      <w:proofErr w:type="spellEnd"/>
      <w:r w:rsidRPr="00BA0AD1">
        <w:t>, и, кроме того, оказывалось содействие в ведении сельского хозяйства и животн</w:t>
      </w:r>
      <w:r w:rsidRPr="00BA0AD1">
        <w:t>о</w:t>
      </w:r>
      <w:r w:rsidRPr="00BA0AD1">
        <w:t>водства.</w:t>
      </w:r>
    </w:p>
    <w:p w:rsidR="00BA0AD1" w:rsidRPr="00BA0AD1" w:rsidRDefault="00BA0AD1" w:rsidP="00F96D53">
      <w:pPr>
        <w:pStyle w:val="SingleTxtGR"/>
        <w:keepLines/>
      </w:pPr>
      <w:r w:rsidRPr="00BA0AD1">
        <w:t>201.</w:t>
      </w:r>
      <w:r w:rsidRPr="00BA0AD1">
        <w:tab/>
        <w:t>В рамках ПРОНАПИ помощь получили 365 общин коренного населения в девяти департаментах. В общей сложности 11 392 семьям был передан 31 291 продовольственный набор, 2852 набора инструментов и 11</w:t>
      </w:r>
      <w:r w:rsidR="00B85E64">
        <w:t> </w:t>
      </w:r>
      <w:r w:rsidRPr="00BA0AD1">
        <w:t>392 набора семян для их хозяйств.</w:t>
      </w:r>
    </w:p>
    <w:p w:rsidR="00BA0AD1" w:rsidRPr="007D2776" w:rsidRDefault="00BA0AD1" w:rsidP="007D2776">
      <w:pPr>
        <w:pStyle w:val="H23GR"/>
      </w:pPr>
      <w:r w:rsidRPr="007D2776">
        <w:tab/>
        <w:t>2.</w:t>
      </w:r>
      <w:r w:rsidRPr="007D2776">
        <w:tab/>
        <w:t>Право на воду</w:t>
      </w:r>
    </w:p>
    <w:p w:rsidR="00BA0AD1" w:rsidRPr="00BA0AD1" w:rsidRDefault="00BA0AD1" w:rsidP="00BA0AD1">
      <w:pPr>
        <w:pStyle w:val="SingleTxtGR"/>
      </w:pPr>
      <w:r w:rsidRPr="00BA0AD1">
        <w:t>202.</w:t>
      </w:r>
      <w:r w:rsidRPr="00BA0AD1">
        <w:tab/>
        <w:t>В Законе № 1614/2000 о создании Управления по регулированию сан</w:t>
      </w:r>
      <w:r w:rsidRPr="00BA0AD1">
        <w:t>и</w:t>
      </w:r>
      <w:r w:rsidRPr="00BA0AD1">
        <w:t>тарных услуг (ЭРССАН) определяются нормативы предоставления услуг вод</w:t>
      </w:r>
      <w:r w:rsidRPr="00BA0AD1">
        <w:t>о</w:t>
      </w:r>
      <w:r w:rsidRPr="00BA0AD1">
        <w:t>снабжения и канализации. В качестве норм, регламентирующих выполнение этого Закона, были приняты Декрет № 18880/2002, а также ряд актов, в том числе о требованиях к владельцам и держателям лицензий, о тарифах для вл</w:t>
      </w:r>
      <w:r w:rsidRPr="00BA0AD1">
        <w:t>а</w:t>
      </w:r>
      <w:r w:rsidRPr="00BA0AD1">
        <w:t>дельцев и держателей лицензий, о нарушениях и мерах наказания и о потреб</w:t>
      </w:r>
      <w:r w:rsidRPr="00BA0AD1">
        <w:t>и</w:t>
      </w:r>
      <w:r w:rsidRPr="00BA0AD1">
        <w:t>телях.</w:t>
      </w:r>
    </w:p>
    <w:p w:rsidR="00BA0AD1" w:rsidRPr="00BA0AD1" w:rsidRDefault="00BA0AD1" w:rsidP="00BA0AD1">
      <w:pPr>
        <w:pStyle w:val="SingleTxtGR"/>
      </w:pPr>
      <w:r w:rsidRPr="00BA0AD1">
        <w:t>203.</w:t>
      </w:r>
      <w:r w:rsidRPr="00BA0AD1">
        <w:tab/>
        <w:t>В 2007 году был утвержден и обнародован Закон № 3239, регулирующий правила использования и потребления водных ресурсов страны. Закон воспо</w:t>
      </w:r>
      <w:r w:rsidRPr="00BA0AD1">
        <w:t>л</w:t>
      </w:r>
      <w:r w:rsidRPr="00BA0AD1">
        <w:t>нил существовавший в законодательстве пробел, поскольку, хотя в Гражданском кодексе и декларировалось, что водные ресурсы находятся в государственной собственности, не существовало ни правил их использования и потребления, ни контроля, ни ограничений в частности в отношении подземных вод. Особую озабоченность вызывала добыча воды, поскольку количество колодцев, выр</w:t>
      </w:r>
      <w:r w:rsidRPr="00BA0AD1">
        <w:t>ы</w:t>
      </w:r>
      <w:r w:rsidRPr="00BA0AD1">
        <w:t>тых поставщиками услуг водоснабжения, частными компаниями и лицами, к</w:t>
      </w:r>
      <w:r w:rsidRPr="00BA0AD1">
        <w:t>о</w:t>
      </w:r>
      <w:r w:rsidRPr="00BA0AD1">
        <w:t>торым нужна была вода, росло чрезвычайно быстро.</w:t>
      </w:r>
    </w:p>
    <w:p w:rsidR="00BA0AD1" w:rsidRPr="00BA0AD1" w:rsidRDefault="00BA0AD1" w:rsidP="00BA0AD1">
      <w:pPr>
        <w:pStyle w:val="SingleTxtGR"/>
      </w:pPr>
      <w:r w:rsidRPr="00BA0AD1">
        <w:t>204.</w:t>
      </w:r>
      <w:r w:rsidRPr="00BA0AD1">
        <w:tab/>
        <w:t>Задачей Управления по регулированию санитарных услуг является уп</w:t>
      </w:r>
      <w:r w:rsidRPr="00BA0AD1">
        <w:t>о</w:t>
      </w:r>
      <w:r w:rsidRPr="00BA0AD1">
        <w:t>рядочение в рамках предоставленных ему полномочий порядка предоставления услуг водоснабжения; надзор за качеством и эффективностью предоставляемых услуг; защита интересов общин и потребителей; контроль и проверка правил</w:t>
      </w:r>
      <w:r w:rsidRPr="00BA0AD1">
        <w:t>ь</w:t>
      </w:r>
      <w:r w:rsidRPr="00BA0AD1">
        <w:t>ности применения действующих норм. С этой целью Управлению были предо</w:t>
      </w:r>
      <w:r w:rsidRPr="00BA0AD1">
        <w:t>с</w:t>
      </w:r>
      <w:r w:rsidRPr="00BA0AD1">
        <w:t>тавлены права и на него возложены обязанности по регулированию, надзору, управлению, а также право принимать общие или специальные положения, с тем чтобы определять, направлять, контролировать действия поставщиков, п</w:t>
      </w:r>
      <w:r w:rsidRPr="00BA0AD1">
        <w:t>о</w:t>
      </w:r>
      <w:r w:rsidRPr="00BA0AD1">
        <w:t>требителей или третьих лиц и руководителей соответствующих служб и нал</w:t>
      </w:r>
      <w:r w:rsidRPr="00BA0AD1">
        <w:t>а</w:t>
      </w:r>
      <w:r w:rsidRPr="00BA0AD1">
        <w:t>гать на них санкции в случае нарушений.</w:t>
      </w:r>
    </w:p>
    <w:p w:rsidR="00BA0AD1" w:rsidRPr="00BA0AD1" w:rsidRDefault="00BA0AD1" w:rsidP="00BA0AD1">
      <w:pPr>
        <w:pStyle w:val="SingleTxtGR"/>
      </w:pPr>
      <w:r w:rsidRPr="00BA0AD1">
        <w:t>205.</w:t>
      </w:r>
      <w:r w:rsidRPr="00BA0AD1">
        <w:tab/>
        <w:t>ЭРССАН осуществляет Программу надзора и контроля за качеством пр</w:t>
      </w:r>
      <w:r w:rsidRPr="00BA0AD1">
        <w:t>е</w:t>
      </w:r>
      <w:r w:rsidRPr="00BA0AD1">
        <w:t>доставляемых услуг, ориентированную на владельцев и держателей лицензий на право предоставления услуг водоснабжения и/или канализации, и пред</w:t>
      </w:r>
      <w:r w:rsidRPr="00BA0AD1">
        <w:t>у</w:t>
      </w:r>
      <w:r w:rsidRPr="00BA0AD1">
        <w:t>сматривает в числе их обязанностей принятие мер предосторожности, контроль качества предоставляемых услуг, а также надзор за добросовестным исполн</w:t>
      </w:r>
      <w:r w:rsidRPr="00BA0AD1">
        <w:t>е</w:t>
      </w:r>
      <w:r w:rsidRPr="00BA0AD1">
        <w:t>нием норм Положения о государственной службе водоснабжения и канализ</w:t>
      </w:r>
      <w:r w:rsidRPr="00BA0AD1">
        <w:t>а</w:t>
      </w:r>
      <w:r w:rsidRPr="00BA0AD1">
        <w:t>ции.</w:t>
      </w:r>
    </w:p>
    <w:p w:rsidR="00BA0AD1" w:rsidRPr="00BA0AD1" w:rsidRDefault="00BA0AD1" w:rsidP="00BA0AD1">
      <w:pPr>
        <w:pStyle w:val="SingleTxtGR"/>
      </w:pPr>
      <w:r w:rsidRPr="00BA0AD1">
        <w:t>206.</w:t>
      </w:r>
      <w:r w:rsidRPr="00BA0AD1">
        <w:tab/>
        <w:t>В полномочия ЭРССАН входит также и подбор поставщиков услуг, в в</w:t>
      </w:r>
      <w:r w:rsidRPr="00BA0AD1">
        <w:t>е</w:t>
      </w:r>
      <w:r w:rsidRPr="00BA0AD1">
        <w:t>дении которых находятся владельцы и держатели лицензий, в том числе для о</w:t>
      </w:r>
      <w:r w:rsidRPr="00BA0AD1">
        <w:t>к</w:t>
      </w:r>
      <w:r w:rsidRPr="00BA0AD1">
        <w:t>ружных больниц, региональных больниц, центров медицинской помощи и р</w:t>
      </w:r>
      <w:r w:rsidRPr="00BA0AD1">
        <w:t>о</w:t>
      </w:r>
      <w:r w:rsidRPr="00BA0AD1">
        <w:t>дильных домов.</w:t>
      </w:r>
    </w:p>
    <w:p w:rsidR="00BA0AD1" w:rsidRPr="00BA0AD1" w:rsidRDefault="00BA0AD1" w:rsidP="00BA0AD1">
      <w:pPr>
        <w:pStyle w:val="SingleTxtGR"/>
      </w:pPr>
      <w:r w:rsidRPr="00BA0AD1">
        <w:t>207.</w:t>
      </w:r>
      <w:r w:rsidRPr="00BA0AD1">
        <w:tab/>
        <w:t>ЭРССАН выражает обеспокоенность в связи с истечением в 2012 году сроков действия лицензий на предоставление услуг, и поэтому было предлож</w:t>
      </w:r>
      <w:r w:rsidRPr="00BA0AD1">
        <w:t>е</w:t>
      </w:r>
      <w:r w:rsidRPr="00BA0AD1">
        <w:t>но внести изменения в некоторые положения вышеупомянутого Закона, гара</w:t>
      </w:r>
      <w:r w:rsidRPr="00BA0AD1">
        <w:t>н</w:t>
      </w:r>
      <w:r w:rsidRPr="00BA0AD1">
        <w:t>тировав тем самым устойчивость работы данного сектора.</w:t>
      </w:r>
    </w:p>
    <w:p w:rsidR="00BA0AD1" w:rsidRPr="00BA0AD1" w:rsidRDefault="00BA0AD1" w:rsidP="00F96D53">
      <w:pPr>
        <w:pStyle w:val="SingleTxtGR"/>
        <w:keepLines/>
      </w:pPr>
      <w:r w:rsidRPr="00BA0AD1">
        <w:t>208.</w:t>
      </w:r>
      <w:r w:rsidRPr="00BA0AD1">
        <w:tab/>
        <w:t>Принимаются меры для ответов на полученные ЭРССАН в рамках нач</w:t>
      </w:r>
      <w:r w:rsidRPr="00BA0AD1">
        <w:t>а</w:t>
      </w:r>
      <w:r w:rsidRPr="00BA0AD1">
        <w:t>тых им дел и в силу его полномочий жалобы поставщиков, потребителей или третьих лиц по случаям непостоянного и/или некачественного предоставления услуг в сфере водоснабжения и канализации. Проведено 218 (двести восемн</w:t>
      </w:r>
      <w:r w:rsidRPr="00BA0AD1">
        <w:t>а</w:t>
      </w:r>
      <w:r w:rsidRPr="00BA0AD1">
        <w:t>дцать) инспекторских проверок.</w:t>
      </w:r>
    </w:p>
    <w:p w:rsidR="00BA0AD1" w:rsidRPr="00BA0AD1" w:rsidRDefault="00BA0AD1" w:rsidP="00BA0AD1">
      <w:pPr>
        <w:pStyle w:val="SingleTxtGR"/>
      </w:pPr>
      <w:r w:rsidRPr="00BA0AD1">
        <w:t>209.</w:t>
      </w:r>
      <w:r w:rsidRPr="00BA0AD1">
        <w:tab/>
        <w:t>Качественные показатели питьевой воды по данным проверок, проведе</w:t>
      </w:r>
      <w:r w:rsidRPr="00BA0AD1">
        <w:t>н</w:t>
      </w:r>
      <w:r w:rsidRPr="00BA0AD1">
        <w:t>ных в течение 2010 финансового года, Дирекцией проверок и контроля, которая является подразделением ЭРССАН, приводятся в приложении XVI.</w:t>
      </w:r>
    </w:p>
    <w:p w:rsidR="00BA0AD1" w:rsidRPr="00BA0AD1" w:rsidRDefault="00BA0AD1" w:rsidP="00BA0AD1">
      <w:pPr>
        <w:pStyle w:val="SingleTxtGR"/>
      </w:pPr>
      <w:r w:rsidRPr="00BA0AD1">
        <w:t>210.</w:t>
      </w:r>
      <w:r w:rsidRPr="00BA0AD1">
        <w:tab/>
        <w:t>В последние два десятилетия сектор водоснабжения и канализации в планах развития страны не рассматривался в качестве приоритетного. Это об</w:t>
      </w:r>
      <w:r w:rsidRPr="00BA0AD1">
        <w:t>ъ</w:t>
      </w:r>
      <w:r w:rsidRPr="00BA0AD1">
        <w:t>ясняется тем, что своевременно не были предоставлены инвестиции, необход</w:t>
      </w:r>
      <w:r w:rsidRPr="00BA0AD1">
        <w:t>и</w:t>
      </w:r>
      <w:r w:rsidRPr="00BA0AD1">
        <w:t>мые для расширения инфраструктуры и улучшения эффективности и качества предоставления соответствующих услуг в основных регионах страны, а также отсутствием государственной политики и планов развития и модернизации данного сектора.</w:t>
      </w:r>
    </w:p>
    <w:p w:rsidR="00BA0AD1" w:rsidRPr="00BA0AD1" w:rsidRDefault="00BA0AD1" w:rsidP="00BA0AD1">
      <w:pPr>
        <w:pStyle w:val="SingleTxtGR"/>
      </w:pPr>
      <w:r w:rsidRPr="00BA0AD1">
        <w:t>211.</w:t>
      </w:r>
      <w:r w:rsidRPr="00BA0AD1">
        <w:tab/>
        <w:t>Общество не осознает в полной мере масштаб данной проблемы, за и</w:t>
      </w:r>
      <w:r w:rsidRPr="00BA0AD1">
        <w:t>с</w:t>
      </w:r>
      <w:r w:rsidRPr="00BA0AD1">
        <w:t>ключением сбоев в работе систем водоснабжения и канализации, таких как о</w:t>
      </w:r>
      <w:r w:rsidRPr="00BA0AD1">
        <w:t>т</w:t>
      </w:r>
      <w:r w:rsidRPr="00BA0AD1">
        <w:t xml:space="preserve">сутствие воды, нарушения работы канализационных систем и переполнение ям и баков </w:t>
      </w:r>
      <w:r w:rsidR="002B7B9B">
        <w:t>−</w:t>
      </w:r>
      <w:r w:rsidRPr="00BA0AD1">
        <w:t xml:space="preserve"> септиков.</w:t>
      </w:r>
    </w:p>
    <w:p w:rsidR="00BA0AD1" w:rsidRPr="00BA0AD1" w:rsidRDefault="00BA0AD1" w:rsidP="00BA0AD1">
      <w:pPr>
        <w:pStyle w:val="SingleTxtGR"/>
      </w:pPr>
      <w:r w:rsidRPr="00BA0AD1">
        <w:t>212.</w:t>
      </w:r>
      <w:r w:rsidRPr="00BA0AD1">
        <w:tab/>
        <w:t>Средне- и долгосрочное материальное, экономико-финансовое и инст</w:t>
      </w:r>
      <w:r w:rsidRPr="00BA0AD1">
        <w:t>и</w:t>
      </w:r>
      <w:r w:rsidRPr="00BA0AD1">
        <w:t>туциональное планирование в этой отрасли в недавнем прошлом было недост</w:t>
      </w:r>
      <w:r w:rsidRPr="00BA0AD1">
        <w:t>а</w:t>
      </w:r>
      <w:r w:rsidRPr="00BA0AD1">
        <w:t>точным, и по-прежнему стоит проблема совершенствования отраслевых и</w:t>
      </w:r>
      <w:r w:rsidRPr="00BA0AD1">
        <w:t>н</w:t>
      </w:r>
      <w:r w:rsidRPr="00BA0AD1">
        <w:t>формационных систем, которые могут послужить опорой для такого планир</w:t>
      </w:r>
      <w:r w:rsidRPr="00BA0AD1">
        <w:t>о</w:t>
      </w:r>
      <w:r w:rsidRPr="00BA0AD1">
        <w:t>вания и для оценки результативности осуществления государственных полит</w:t>
      </w:r>
      <w:r w:rsidRPr="00BA0AD1">
        <w:t>и</w:t>
      </w:r>
      <w:r w:rsidRPr="00BA0AD1">
        <w:t>ческих мер и планов.</w:t>
      </w:r>
    </w:p>
    <w:p w:rsidR="00BA0AD1" w:rsidRPr="00BA0AD1" w:rsidRDefault="00BA0AD1" w:rsidP="00BA0AD1">
      <w:pPr>
        <w:pStyle w:val="SingleTxtGR"/>
      </w:pPr>
      <w:r w:rsidRPr="00BA0AD1">
        <w:t>213.</w:t>
      </w:r>
      <w:r w:rsidRPr="00BA0AD1">
        <w:tab/>
        <w:t>Уровень обеспечения городского населения питьевой водой благодаря подключению жилищ к системам водоснабжения оценивается почти в 80</w:t>
      </w:r>
      <w:r w:rsidR="004849A7">
        <w:t>%</w:t>
      </w:r>
      <w:r w:rsidRPr="00BA0AD1">
        <w:t>, что можно было бы считать позитивным результатом, если не учитывать при этом качество соответствующих услуг.</w:t>
      </w:r>
    </w:p>
    <w:p w:rsidR="00BA0AD1" w:rsidRPr="00BA0AD1" w:rsidRDefault="00BA0AD1" w:rsidP="00BA0AD1">
      <w:pPr>
        <w:pStyle w:val="SingleTxtGR"/>
      </w:pPr>
      <w:r w:rsidRPr="00BA0AD1">
        <w:t>214.</w:t>
      </w:r>
      <w:r w:rsidRPr="00BA0AD1">
        <w:tab/>
        <w:t>Большинство городского населения сосредоточено на очень небольшой части территории страны. На 0,6</w:t>
      </w:r>
      <w:r w:rsidR="004849A7">
        <w:t xml:space="preserve">% </w:t>
      </w:r>
      <w:r w:rsidRPr="00BA0AD1">
        <w:t>территории Парагвая проживает примерно 36</w:t>
      </w:r>
      <w:r w:rsidR="004849A7">
        <w:t xml:space="preserve">% </w:t>
      </w:r>
      <w:r w:rsidRPr="00BA0AD1">
        <w:t>от общей численности населения и 58</w:t>
      </w:r>
      <w:r w:rsidR="004849A7">
        <w:t xml:space="preserve">% </w:t>
      </w:r>
      <w:r w:rsidRPr="00BA0AD1">
        <w:t>всех городских жит</w:t>
      </w:r>
      <w:r w:rsidRPr="00BA0AD1">
        <w:t>е</w:t>
      </w:r>
      <w:r w:rsidRPr="00BA0AD1">
        <w:t>лей, а на 4,2</w:t>
      </w:r>
      <w:r w:rsidR="004849A7">
        <w:t xml:space="preserve">% </w:t>
      </w:r>
      <w:r w:rsidRPr="00BA0AD1">
        <w:t xml:space="preserve">территории страны </w:t>
      </w:r>
      <w:r w:rsidR="002B7B9B">
        <w:t>−</w:t>
      </w:r>
      <w:r w:rsidRPr="00BA0AD1">
        <w:t xml:space="preserve"> около 47</w:t>
      </w:r>
      <w:r w:rsidR="004849A7">
        <w:t xml:space="preserve">% </w:t>
      </w:r>
      <w:r w:rsidRPr="00BA0AD1">
        <w:t>всего населения страны и 70</w:t>
      </w:r>
      <w:r w:rsidR="004849A7">
        <w:t xml:space="preserve">% </w:t>
      </w:r>
      <w:r w:rsidRPr="00BA0AD1">
        <w:t>городского н</w:t>
      </w:r>
      <w:r w:rsidRPr="00BA0AD1">
        <w:t>а</w:t>
      </w:r>
      <w:r w:rsidRPr="00BA0AD1">
        <w:t>селения.</w:t>
      </w:r>
    </w:p>
    <w:p w:rsidR="00BA0AD1" w:rsidRPr="00BA0AD1" w:rsidRDefault="00BA0AD1" w:rsidP="00BA0AD1">
      <w:pPr>
        <w:pStyle w:val="SingleTxtGR"/>
      </w:pPr>
      <w:r w:rsidRPr="00BA0AD1">
        <w:t>215.</w:t>
      </w:r>
      <w:r w:rsidRPr="00BA0AD1">
        <w:tab/>
        <w:t>В Асунсьоне и столичном регионе проживает больше всего населения и сосредоточена экономическая жизнь страны, и поэтому здесь, с учетом важн</w:t>
      </w:r>
      <w:r w:rsidRPr="00BA0AD1">
        <w:t>о</w:t>
      </w:r>
      <w:r w:rsidRPr="00BA0AD1">
        <w:t>сти этого города в масштабе всей страны и его статуса столицы Республики, необходим высокий уровень охвата эффективными и качественными услугами водоснабжения и канализации.</w:t>
      </w:r>
    </w:p>
    <w:p w:rsidR="00BA0AD1" w:rsidRPr="00BA0AD1" w:rsidRDefault="00BA0AD1" w:rsidP="00BA0AD1">
      <w:pPr>
        <w:pStyle w:val="SingleTxtGR"/>
      </w:pPr>
      <w:r w:rsidRPr="00BA0AD1">
        <w:t>216.</w:t>
      </w:r>
      <w:r w:rsidRPr="00BA0AD1">
        <w:tab/>
        <w:t>Услугами канализации в городах могут пользоваться лишь около 15</w:t>
      </w:r>
      <w:r w:rsidR="004849A7">
        <w:t xml:space="preserve">% </w:t>
      </w:r>
      <w:r w:rsidRPr="00BA0AD1">
        <w:t>г</w:t>
      </w:r>
      <w:r w:rsidRPr="00BA0AD1">
        <w:t>о</w:t>
      </w:r>
      <w:r w:rsidRPr="00BA0AD1">
        <w:t>родского населения, и это становится причиной загрязнения водных ресурсов (наземных и подземных) в данных районах, что влияет на состояние здоровья населения. Ввиду особенностей почв использование индивидуальных систем сбора сточных вод в городах также связано со значительными расходами дом</w:t>
      </w:r>
      <w:r w:rsidRPr="00BA0AD1">
        <w:t>о</w:t>
      </w:r>
      <w:r w:rsidRPr="00BA0AD1">
        <w:t>хозяйств на поддержание этих сооружений в надлежащем с</w:t>
      </w:r>
      <w:r w:rsidRPr="00BA0AD1">
        <w:t>о</w:t>
      </w:r>
      <w:r w:rsidRPr="00BA0AD1">
        <w:t>стоянии.</w:t>
      </w:r>
    </w:p>
    <w:p w:rsidR="00BA0AD1" w:rsidRPr="00BA0AD1" w:rsidRDefault="00BA0AD1" w:rsidP="00F96D53">
      <w:pPr>
        <w:pStyle w:val="SingleTxtGR"/>
        <w:keepLines/>
      </w:pPr>
      <w:r w:rsidRPr="00BA0AD1">
        <w:t>217.</w:t>
      </w:r>
      <w:r w:rsidRPr="00BA0AD1">
        <w:tab/>
        <w:t>Органы власти на уровне муниципалитетов не принимают на себя обяз</w:t>
      </w:r>
      <w:r w:rsidRPr="00BA0AD1">
        <w:t>а</w:t>
      </w:r>
      <w:r w:rsidRPr="00BA0AD1">
        <w:t>тельств в отношении планирования использования земель и развития городских территорий, что является основным условием, позволяющим планировать ра</w:t>
      </w:r>
      <w:r w:rsidRPr="00BA0AD1">
        <w:t>с</w:t>
      </w:r>
      <w:r w:rsidRPr="00BA0AD1">
        <w:t>ширение инфраструктуры систем водоснабжения, а также сбора и очистки сточных вод.</w:t>
      </w:r>
    </w:p>
    <w:p w:rsidR="00BA0AD1" w:rsidRPr="00BA0AD1" w:rsidRDefault="00BA0AD1" w:rsidP="00BA0AD1">
      <w:pPr>
        <w:pStyle w:val="SingleTxtGR"/>
      </w:pPr>
      <w:r w:rsidRPr="00BA0AD1">
        <w:t>218.</w:t>
      </w:r>
      <w:r w:rsidRPr="00BA0AD1">
        <w:tab/>
        <w:t>Соответственно органы власти муниципалитетов по-прежнему не треб</w:t>
      </w:r>
      <w:r w:rsidRPr="00BA0AD1">
        <w:t>у</w:t>
      </w:r>
      <w:r w:rsidRPr="00BA0AD1">
        <w:t>ют от тех, кто занимается развитием городов, создания базовой санитарной и</w:t>
      </w:r>
      <w:r w:rsidRPr="00BA0AD1">
        <w:t>н</w:t>
      </w:r>
      <w:r w:rsidRPr="00BA0AD1">
        <w:t>фраструктуры в процессе осуществления проектов по освоению новых земел</w:t>
      </w:r>
      <w:r w:rsidRPr="00BA0AD1">
        <w:t>ь</w:t>
      </w:r>
      <w:r w:rsidRPr="00BA0AD1">
        <w:t xml:space="preserve">ных участков и застройке жилых районов. </w:t>
      </w:r>
    </w:p>
    <w:p w:rsidR="00BA0AD1" w:rsidRPr="00BA0AD1" w:rsidRDefault="00BA0AD1" w:rsidP="00BA0AD1">
      <w:pPr>
        <w:pStyle w:val="SingleTxtGR"/>
      </w:pPr>
      <w:r w:rsidRPr="00BA0AD1">
        <w:t>219.</w:t>
      </w:r>
      <w:r w:rsidRPr="00BA0AD1">
        <w:tab/>
        <w:t>Серьезная угроза развитию сектора водоснабжения и канализации связ</w:t>
      </w:r>
      <w:r w:rsidRPr="00BA0AD1">
        <w:t>а</w:t>
      </w:r>
      <w:r w:rsidRPr="00BA0AD1">
        <w:t>на с тем, что правительство страны по-прежнему испытывает затруднения с выделением достаточных средств в качестве субсидий на строительство систем канализации в главных городах страны. Разработка отраслевой государственной политики предоставления услуг водоснабжения и канализации  и оздоровления окружающей среды является первым шагом, необходимым для упорядочения системы отраслевого планирования, поскольку это позволит определить н</w:t>
      </w:r>
      <w:r w:rsidRPr="00BA0AD1">
        <w:t>а</w:t>
      </w:r>
      <w:r w:rsidRPr="00BA0AD1">
        <w:t>правленность действий и стратегических мер, которые требуется реализовать в первоочередном порядке.</w:t>
      </w:r>
    </w:p>
    <w:p w:rsidR="00BA0AD1" w:rsidRPr="00BA0AD1" w:rsidRDefault="00BA0AD1" w:rsidP="00BA0AD1">
      <w:pPr>
        <w:pStyle w:val="SingleTxtGR"/>
      </w:pPr>
      <w:r w:rsidRPr="00BA0AD1">
        <w:t>220.</w:t>
      </w:r>
      <w:r w:rsidRPr="00BA0AD1">
        <w:tab/>
        <w:t>В приложении XVI представлены таблицы, содержащие данные об ос</w:t>
      </w:r>
      <w:r w:rsidRPr="00BA0AD1">
        <w:t>у</w:t>
      </w:r>
      <w:r w:rsidRPr="00BA0AD1">
        <w:t>ществлении права на воду.</w:t>
      </w:r>
    </w:p>
    <w:p w:rsidR="00BA0AD1" w:rsidRPr="00BA0AD1" w:rsidRDefault="00BA0AD1" w:rsidP="009F276B">
      <w:pPr>
        <w:pStyle w:val="H1GR"/>
      </w:pPr>
      <w:r w:rsidRPr="00BA0AD1">
        <w:tab/>
      </w:r>
      <w:r w:rsidRPr="00BA0AD1">
        <w:tab/>
      </w:r>
      <w:bookmarkStart w:id="17" w:name="_Toc368649108"/>
      <w:r w:rsidRPr="00BA0AD1">
        <w:t>Статья 12</w:t>
      </w:r>
      <w:r w:rsidR="009F276B">
        <w:br/>
      </w:r>
      <w:r w:rsidRPr="00BA0AD1">
        <w:t>Право на бесплатное и качественное медицинское обслуживание</w:t>
      </w:r>
      <w:bookmarkEnd w:id="17"/>
    </w:p>
    <w:p w:rsidR="00BA0AD1" w:rsidRPr="00BA0AD1" w:rsidRDefault="00BA0AD1" w:rsidP="00BA0AD1">
      <w:pPr>
        <w:pStyle w:val="SingleTxtGR"/>
      </w:pPr>
      <w:r w:rsidRPr="00BA0AD1">
        <w:t>221.</w:t>
      </w:r>
      <w:r w:rsidRPr="00BA0AD1">
        <w:tab/>
        <w:t>В 2011 году при поддержке со стороны научных обществ, неправительс</w:t>
      </w:r>
      <w:r w:rsidRPr="00BA0AD1">
        <w:t>т</w:t>
      </w:r>
      <w:r w:rsidRPr="00BA0AD1">
        <w:t xml:space="preserve">венных организаций и части гражданского общества исполнительной власти удалось добиться наложения вето на проект закона о профилактике </w:t>
      </w:r>
      <w:proofErr w:type="spellStart"/>
      <w:r w:rsidRPr="00BA0AD1">
        <w:t>табакокур</w:t>
      </w:r>
      <w:r w:rsidRPr="00BA0AD1">
        <w:t>е</w:t>
      </w:r>
      <w:r w:rsidRPr="00BA0AD1">
        <w:t>ния</w:t>
      </w:r>
      <w:proofErr w:type="spellEnd"/>
      <w:r w:rsidRPr="00BA0AD1">
        <w:t xml:space="preserve"> и борьбе с этим явлением, поскольку этот законопроект вступал в против</w:t>
      </w:r>
      <w:r w:rsidRPr="00BA0AD1">
        <w:t>о</w:t>
      </w:r>
      <w:r w:rsidRPr="00BA0AD1">
        <w:t>речие с ратифицированной Парагваем Рамочной конвенцией ВОЗ по борьбе против табака, с другими нормами и конституционными принципами, равно как и с эффективными мерами по борьбе с предрассудками относительно влияния табака на здоровье населения.</w:t>
      </w:r>
    </w:p>
    <w:p w:rsidR="00BA0AD1" w:rsidRPr="007D2776" w:rsidRDefault="00BA0AD1" w:rsidP="007D2776">
      <w:pPr>
        <w:pStyle w:val="H23GR"/>
      </w:pPr>
      <w:r w:rsidRPr="007D2776">
        <w:tab/>
        <w:t>1.</w:t>
      </w:r>
      <w:r w:rsidRPr="007D2776">
        <w:tab/>
        <w:t>Улучшение состояния детского и материнского здоровья</w:t>
      </w:r>
    </w:p>
    <w:p w:rsidR="00BA0AD1" w:rsidRPr="00BA0AD1" w:rsidRDefault="00BA0AD1" w:rsidP="00BA0AD1">
      <w:pPr>
        <w:pStyle w:val="SingleTxtGR"/>
      </w:pPr>
      <w:r w:rsidRPr="00BA0AD1">
        <w:t>222.</w:t>
      </w:r>
      <w:r w:rsidRPr="00BA0AD1">
        <w:tab/>
        <w:t>В Государственной политике обеспечения качества жизни и охраны зд</w:t>
      </w:r>
      <w:r w:rsidRPr="00BA0AD1">
        <w:t>о</w:t>
      </w:r>
      <w:r w:rsidRPr="00BA0AD1">
        <w:t>ровья в условиях равноправия (2008 год) провозглашается право на здоровье в качестве одного из прав человека и предусматривается обязательство гарант</w:t>
      </w:r>
      <w:r w:rsidRPr="00BA0AD1">
        <w:t>и</w:t>
      </w:r>
      <w:r w:rsidRPr="00BA0AD1">
        <w:t>ровать доступ к услугам государственного здравоохранения и, кроме того, де</w:t>
      </w:r>
      <w:r w:rsidRPr="00BA0AD1">
        <w:t>к</w:t>
      </w:r>
      <w:r w:rsidRPr="00BA0AD1">
        <w:t>ларируется бесплатность консультационных услуг, анализов и исследований, хирургического вмешательства и медикаментов.</w:t>
      </w:r>
    </w:p>
    <w:p w:rsidR="00BA0AD1" w:rsidRPr="00BA0AD1" w:rsidRDefault="00BA0AD1" w:rsidP="00BA0AD1">
      <w:pPr>
        <w:pStyle w:val="SingleTxtGR"/>
      </w:pPr>
      <w:r w:rsidRPr="00BA0AD1">
        <w:t>223.</w:t>
      </w:r>
      <w:r w:rsidRPr="00BA0AD1">
        <w:tab/>
        <w:t>В стране создана система сетей медицинского обслуживания, в состав к</w:t>
      </w:r>
      <w:r w:rsidRPr="00BA0AD1">
        <w:t>о</w:t>
      </w:r>
      <w:r w:rsidRPr="00BA0AD1">
        <w:t>торой входят более 500 центров семейной медицины по всей стране, созданных с декабря 2008 года. Расширился охват медицинскими услугами, в том числе благодаря их предоставлению женщинам с учетом их потребностей в сфере сексуального и репродуктивного здоровья, гражданам страны, живущим в усл</w:t>
      </w:r>
      <w:r w:rsidRPr="00BA0AD1">
        <w:t>о</w:t>
      </w:r>
      <w:r w:rsidRPr="00BA0AD1">
        <w:t>виях бедности и крайней бедности, приблизительно 500 тыс. женщин репроду</w:t>
      </w:r>
      <w:r w:rsidRPr="00BA0AD1">
        <w:t>к</w:t>
      </w:r>
      <w:r w:rsidRPr="00BA0AD1">
        <w:t>тивного возраста и 600 тыс. детей младше 15 лет.</w:t>
      </w:r>
    </w:p>
    <w:p w:rsidR="00BA0AD1" w:rsidRPr="00BA0AD1" w:rsidRDefault="00BA0AD1" w:rsidP="00BA0AD1">
      <w:pPr>
        <w:pStyle w:val="SingleTxtGR"/>
      </w:pPr>
      <w:r w:rsidRPr="00BA0AD1">
        <w:t>224.</w:t>
      </w:r>
      <w:r w:rsidRPr="00BA0AD1">
        <w:tab/>
        <w:t xml:space="preserve">Повышение качества медицинского обслуживания предполагает </w:t>
      </w:r>
      <w:proofErr w:type="spellStart"/>
      <w:r w:rsidRPr="00BA0AD1">
        <w:t>гуман</w:t>
      </w:r>
      <w:r w:rsidRPr="00BA0AD1">
        <w:t>и</w:t>
      </w:r>
      <w:r w:rsidRPr="00BA0AD1">
        <w:t>зацию</w:t>
      </w:r>
      <w:proofErr w:type="spellEnd"/>
      <w:r w:rsidRPr="00BA0AD1">
        <w:t xml:space="preserve"> медицинской помощи, и с этой целью медицинские работники проходят обучение, чтобы, вне зависимости от своих этических и религиозных воззр</w:t>
      </w:r>
      <w:r w:rsidRPr="00BA0AD1">
        <w:t>е</w:t>
      </w:r>
      <w:r w:rsidRPr="00BA0AD1">
        <w:t>ний, придерживаться моральных позиций и обеспечивать уважительное отн</w:t>
      </w:r>
      <w:r w:rsidRPr="00BA0AD1">
        <w:t>о</w:t>
      </w:r>
      <w:r w:rsidRPr="00BA0AD1">
        <w:t>шение к правам человека женщин, детей и подростков, обращающихся за мед</w:t>
      </w:r>
      <w:r w:rsidRPr="00BA0AD1">
        <w:t>и</w:t>
      </w:r>
      <w:r w:rsidRPr="00BA0AD1">
        <w:t>цинской помощью.</w:t>
      </w:r>
    </w:p>
    <w:p w:rsidR="00BA0AD1" w:rsidRPr="00BA0AD1" w:rsidRDefault="00BA0AD1" w:rsidP="00BA0AD1">
      <w:pPr>
        <w:pStyle w:val="SingleTxtGR"/>
      </w:pPr>
      <w:r w:rsidRPr="00BA0AD1">
        <w:t>225.</w:t>
      </w:r>
      <w:r w:rsidRPr="00BA0AD1">
        <w:tab/>
        <w:t>По данным Обследования демографической ситуации и состояния секс</w:t>
      </w:r>
      <w:r w:rsidRPr="00BA0AD1">
        <w:t>у</w:t>
      </w:r>
      <w:r w:rsidRPr="00BA0AD1">
        <w:t>ального и репродуктивного здоровья (СЕПЕП, 2008 год) о положении в сфере  планирования семьи, 79</w:t>
      </w:r>
      <w:r w:rsidR="004849A7">
        <w:t xml:space="preserve">% </w:t>
      </w:r>
      <w:r w:rsidRPr="00BA0AD1">
        <w:t>женщин в возрасте 15</w:t>
      </w:r>
      <w:r w:rsidR="002B7B9B">
        <w:t>−</w:t>
      </w:r>
      <w:r w:rsidRPr="00BA0AD1">
        <w:t>44 лет используют средства контрацепции, а общий коэффициент рождаемости составляет 2,5 ребенка на одну женщину. Около 80</w:t>
      </w:r>
      <w:r w:rsidR="004849A7">
        <w:t xml:space="preserve">% </w:t>
      </w:r>
      <w:r w:rsidRPr="00BA0AD1">
        <w:t>женщин в возрасте 15</w:t>
      </w:r>
      <w:r w:rsidR="002B7B9B">
        <w:t>−</w:t>
      </w:r>
      <w:r w:rsidRPr="00BA0AD1">
        <w:t>24 лет проходили, по их с</w:t>
      </w:r>
      <w:r w:rsidRPr="00BA0AD1">
        <w:t>о</w:t>
      </w:r>
      <w:r w:rsidRPr="00BA0AD1">
        <w:t>общениям, курс сексуального воспитания (в школе или колледже), и этот пок</w:t>
      </w:r>
      <w:r w:rsidRPr="00BA0AD1">
        <w:t>а</w:t>
      </w:r>
      <w:r w:rsidRPr="00BA0AD1">
        <w:t>затель значительно выше, чем в соответствии с данными предыдущих обслед</w:t>
      </w:r>
      <w:r w:rsidRPr="00BA0AD1">
        <w:t>о</w:t>
      </w:r>
      <w:r w:rsidRPr="00BA0AD1">
        <w:t>ваний, увеличившись с 52</w:t>
      </w:r>
      <w:r w:rsidR="004849A7">
        <w:t xml:space="preserve">% </w:t>
      </w:r>
      <w:r w:rsidRPr="00BA0AD1">
        <w:t>в 1995 году до 61</w:t>
      </w:r>
      <w:r w:rsidR="004849A7">
        <w:t xml:space="preserve">% </w:t>
      </w:r>
      <w:r w:rsidRPr="00BA0AD1">
        <w:t>в 1998 году, до 80</w:t>
      </w:r>
      <w:r w:rsidR="004849A7">
        <w:t xml:space="preserve">% </w:t>
      </w:r>
      <w:r w:rsidRPr="00BA0AD1">
        <w:t>в 2004 году и 82</w:t>
      </w:r>
      <w:r w:rsidR="004849A7">
        <w:t xml:space="preserve">% </w:t>
      </w:r>
      <w:r w:rsidRPr="00BA0AD1">
        <w:t>в 2008 г</w:t>
      </w:r>
      <w:r w:rsidRPr="00BA0AD1">
        <w:t>о</w:t>
      </w:r>
      <w:r w:rsidRPr="00BA0AD1">
        <w:t>ду.</w:t>
      </w:r>
    </w:p>
    <w:p w:rsidR="00BA0AD1" w:rsidRPr="00BA0AD1" w:rsidRDefault="00BA0AD1" w:rsidP="00BA0AD1">
      <w:pPr>
        <w:pStyle w:val="SingleTxtGR"/>
      </w:pPr>
      <w:r w:rsidRPr="00BA0AD1">
        <w:t>226.</w:t>
      </w:r>
      <w:r w:rsidRPr="00BA0AD1">
        <w:tab/>
        <w:t>Учитывая показатели смертности женщин в связи с абортами, проведе</w:t>
      </w:r>
      <w:r w:rsidRPr="00BA0AD1">
        <w:t>н</w:t>
      </w:r>
      <w:r w:rsidRPr="00BA0AD1">
        <w:t>ными вне медицинских учреждений, МЗСО внес средства контрацепции в п</w:t>
      </w:r>
      <w:r w:rsidRPr="00BA0AD1">
        <w:t>е</w:t>
      </w:r>
      <w:r w:rsidRPr="00BA0AD1">
        <w:t>речень основных лекарственных средств. Благодаря принятию в 2011 году З</w:t>
      </w:r>
      <w:r w:rsidRPr="00BA0AD1">
        <w:t>а</w:t>
      </w:r>
      <w:r w:rsidRPr="00BA0AD1">
        <w:t>кона № 4313 о бюджетном обеспечении программ защиты репродуктивного здоровья и предоставлении Министерством здравоохранения и социального обеспечения наборов для ведения родов обеспечивается выделение бюджетных средств на специальные закупки медикаментов и расходных материалов для в</w:t>
      </w:r>
      <w:r w:rsidRPr="00BA0AD1">
        <w:t>е</w:t>
      </w:r>
      <w:r w:rsidRPr="00BA0AD1">
        <w:t>дения естественных родов, родов путем кесарева течения и осложненных р</w:t>
      </w:r>
      <w:r w:rsidRPr="00BA0AD1">
        <w:t>о</w:t>
      </w:r>
      <w:r w:rsidRPr="00BA0AD1">
        <w:t xml:space="preserve">дов, а также средств контрацепции (препарат </w:t>
      </w:r>
      <w:proofErr w:type="spellStart"/>
      <w:r w:rsidRPr="00BA0AD1">
        <w:t>Депо-Провера</w:t>
      </w:r>
      <w:proofErr w:type="spellEnd"/>
      <w:r w:rsidRPr="00BA0AD1">
        <w:t xml:space="preserve">, комбинированные гормональные оральные </w:t>
      </w:r>
      <w:proofErr w:type="spellStart"/>
      <w:r w:rsidRPr="00BA0AD1">
        <w:t>контрацептивы</w:t>
      </w:r>
      <w:proofErr w:type="spellEnd"/>
      <w:r w:rsidRPr="00BA0AD1">
        <w:t>, презервативы, внутриматочные спир</w:t>
      </w:r>
      <w:r w:rsidRPr="00BA0AD1">
        <w:t>а</w:t>
      </w:r>
      <w:r w:rsidRPr="00BA0AD1">
        <w:t xml:space="preserve">ли </w:t>
      </w:r>
      <w:proofErr w:type="spellStart"/>
      <w:r w:rsidRPr="00BA0AD1">
        <w:t>TCu</w:t>
      </w:r>
      <w:proofErr w:type="spellEnd"/>
      <w:r w:rsidRPr="00BA0AD1">
        <w:t xml:space="preserve"> 380ª и таблетки для экстренной контрацепции), чтобы расширить тем самым масштабы социальной защиты матерей и новорожденных и способств</w:t>
      </w:r>
      <w:r w:rsidRPr="00BA0AD1">
        <w:t>о</w:t>
      </w:r>
      <w:r w:rsidRPr="00BA0AD1">
        <w:t>вать преодолению географических барьеров.</w:t>
      </w:r>
    </w:p>
    <w:p w:rsidR="00BA0AD1" w:rsidRPr="00BA0AD1" w:rsidRDefault="00BA0AD1" w:rsidP="00BA0AD1">
      <w:pPr>
        <w:pStyle w:val="SingleTxtGR"/>
      </w:pPr>
      <w:r w:rsidRPr="00BA0AD1">
        <w:t>227.</w:t>
      </w:r>
      <w:r w:rsidRPr="00BA0AD1">
        <w:tab/>
        <w:t>МЗСО активно занимается совершенствованием, разработкой и проп</w:t>
      </w:r>
      <w:r w:rsidRPr="00BA0AD1">
        <w:t>а</w:t>
      </w:r>
      <w:r w:rsidRPr="00BA0AD1">
        <w:t>гандой механизма помощи женщинам, делающим аборт, надеясь изменить п</w:t>
      </w:r>
      <w:r w:rsidRPr="00BA0AD1">
        <w:t>о</w:t>
      </w:r>
      <w:r w:rsidRPr="00BA0AD1">
        <w:t>зиции, которых придерживаются медицинские работники, и сформировать у них более целостный и гуманный подход к оказанию помощи такого рода пац</w:t>
      </w:r>
      <w:r w:rsidRPr="00BA0AD1">
        <w:t>и</w:t>
      </w:r>
      <w:r w:rsidRPr="00BA0AD1">
        <w:t xml:space="preserve">енткам. </w:t>
      </w:r>
    </w:p>
    <w:p w:rsidR="00BA0AD1" w:rsidRPr="00BA0AD1" w:rsidRDefault="00BA0AD1" w:rsidP="00BA0AD1">
      <w:pPr>
        <w:pStyle w:val="SingleTxtGR"/>
      </w:pPr>
      <w:r w:rsidRPr="00BA0AD1">
        <w:t>228.</w:t>
      </w:r>
      <w:r w:rsidRPr="00BA0AD1">
        <w:tab/>
        <w:t xml:space="preserve">Находящаяся в ведении МЗСО специализированная клиника </w:t>
      </w:r>
      <w:r w:rsidR="002B7B9B">
        <w:t>−</w:t>
      </w:r>
      <w:r w:rsidRPr="00BA0AD1">
        <w:t xml:space="preserve"> Наци</w:t>
      </w:r>
      <w:r w:rsidRPr="00BA0AD1">
        <w:t>о</w:t>
      </w:r>
      <w:r w:rsidRPr="00BA0AD1">
        <w:t xml:space="preserve">нальный центр по борьбе с разного рода зависимостью </w:t>
      </w:r>
      <w:r w:rsidR="002B7B9B">
        <w:t>−</w:t>
      </w:r>
      <w:r w:rsidRPr="00BA0AD1">
        <w:t xml:space="preserve"> функционирует уже 12</w:t>
      </w:r>
      <w:r w:rsidR="00B85E64">
        <w:t> </w:t>
      </w:r>
      <w:r w:rsidRPr="00BA0AD1">
        <w:t>лет и осуществляет по всей стране программы, направленные на снижение потребления алкоголя и опасных наркотиков и злоупотребления ими, организуя с этой целью групповую работу и привлекая к участию общественность. Кроме того, началась работа и по биопсихологической реабилитации пациентов Це</w:t>
      </w:r>
      <w:r w:rsidRPr="00BA0AD1">
        <w:t>н</w:t>
      </w:r>
      <w:r w:rsidRPr="00BA0AD1">
        <w:t xml:space="preserve">тра и их возвращению в общество. </w:t>
      </w:r>
    </w:p>
    <w:p w:rsidR="00BA0AD1" w:rsidRPr="00BA0AD1" w:rsidRDefault="00BA0AD1" w:rsidP="00BA0AD1">
      <w:pPr>
        <w:pStyle w:val="SingleTxtGR"/>
      </w:pPr>
      <w:r w:rsidRPr="00BA0AD1">
        <w:t>229.</w:t>
      </w:r>
      <w:r w:rsidRPr="00BA0AD1">
        <w:tab/>
        <w:t>В Центре, где работают специалисты различных профессий, осуществл</w:t>
      </w:r>
      <w:r w:rsidRPr="00BA0AD1">
        <w:t>я</w:t>
      </w:r>
      <w:r w:rsidRPr="00BA0AD1">
        <w:t>ется программа индивидуальной амбулаторной помощи, которую предоставл</w:t>
      </w:r>
      <w:r w:rsidRPr="00BA0AD1">
        <w:t>я</w:t>
      </w:r>
      <w:r w:rsidRPr="00BA0AD1">
        <w:t>ют психологи, психиатры, врачи-токсикологи, специалисты по семейной мед</w:t>
      </w:r>
      <w:r w:rsidRPr="00BA0AD1">
        <w:t>и</w:t>
      </w:r>
      <w:r w:rsidRPr="00BA0AD1">
        <w:t>цине. Кроме того, здесь имеются группы взаимопомощи, предоставляются у</w:t>
      </w:r>
      <w:r w:rsidRPr="00BA0AD1">
        <w:t>с</w:t>
      </w:r>
      <w:r w:rsidRPr="00BA0AD1">
        <w:t>луги стоматологов и консультации юристов по ведению дел пациентов, напра</w:t>
      </w:r>
      <w:r w:rsidRPr="00BA0AD1">
        <w:t>в</w:t>
      </w:r>
      <w:r w:rsidRPr="00BA0AD1">
        <w:t xml:space="preserve">ляемых в Центр по решению суда, а также оказывается юридическая помощь пациентам и членам их семей. </w:t>
      </w:r>
    </w:p>
    <w:p w:rsidR="00BA0AD1" w:rsidRPr="00BA0AD1" w:rsidRDefault="00BA0AD1" w:rsidP="00BA0AD1">
      <w:pPr>
        <w:pStyle w:val="SingleTxtGR"/>
      </w:pPr>
      <w:r w:rsidRPr="00BA0AD1">
        <w:t>230.</w:t>
      </w:r>
      <w:r w:rsidRPr="00BA0AD1">
        <w:tab/>
        <w:t>В Центре действует и программа стационарной помощи, которая предо</w:t>
      </w:r>
      <w:r w:rsidRPr="00BA0AD1">
        <w:t>с</w:t>
      </w:r>
      <w:r w:rsidRPr="00BA0AD1">
        <w:t xml:space="preserve">тавляется двумя отделениями </w:t>
      </w:r>
      <w:r w:rsidR="002B7B9B">
        <w:t>−</w:t>
      </w:r>
      <w:r w:rsidRPr="00BA0AD1">
        <w:t xml:space="preserve"> отделением </w:t>
      </w:r>
      <w:proofErr w:type="spellStart"/>
      <w:r w:rsidRPr="00BA0AD1">
        <w:t>дезинтоксикации</w:t>
      </w:r>
      <w:proofErr w:type="spellEnd"/>
      <w:r w:rsidRPr="00BA0AD1">
        <w:t xml:space="preserve"> и отделением для пациентов, поступающих добровольно и по направлению суда. Эти отделения вместимостью по 15 коек каждое оказывают помощь пациентам обоих полов и разных возрастных групп, распределяемых следующим образом: I отделение рассчитано на молодежь и пожилых людей, а II отделение </w:t>
      </w:r>
      <w:r w:rsidR="002B7B9B">
        <w:t>−</w:t>
      </w:r>
      <w:r w:rsidRPr="00BA0AD1">
        <w:t xml:space="preserve"> на детей и подрос</w:t>
      </w:r>
      <w:r w:rsidRPr="00BA0AD1">
        <w:t>т</w:t>
      </w:r>
      <w:r w:rsidRPr="00BA0AD1">
        <w:t>ков, по большей части бездомных, а также находящихся в государственных де</w:t>
      </w:r>
      <w:r w:rsidRPr="00BA0AD1">
        <w:t>т</w:t>
      </w:r>
      <w:r w:rsidRPr="00BA0AD1">
        <w:t>ских учреждениях или приводимых родственниками. Пациенты получают м</w:t>
      </w:r>
      <w:r w:rsidRPr="00BA0AD1">
        <w:t>е</w:t>
      </w:r>
      <w:r w:rsidRPr="00BA0AD1">
        <w:t>дицинскую помощь, помощь психологов, стоматологическую помощь, юрид</w:t>
      </w:r>
      <w:r w:rsidRPr="00BA0AD1">
        <w:t>и</w:t>
      </w:r>
      <w:r w:rsidRPr="00BA0AD1">
        <w:t>ческие консультации и индивидуальную поддержку, оказываемую сотрудник</w:t>
      </w:r>
      <w:r w:rsidRPr="00BA0AD1">
        <w:t>а</w:t>
      </w:r>
      <w:r w:rsidRPr="00BA0AD1">
        <w:t>ми Центра, работниками суда и правоохранительных органов, а также специ</w:t>
      </w:r>
      <w:r w:rsidRPr="00BA0AD1">
        <w:t>а</w:t>
      </w:r>
      <w:r w:rsidRPr="00BA0AD1">
        <w:t>листами в области психологии образования, работающих с пациентами и их семьями. В отделениях есть зона отдыха для занятий спортом, а в качестве тр</w:t>
      </w:r>
      <w:r w:rsidRPr="00BA0AD1">
        <w:t>у</w:t>
      </w:r>
      <w:r w:rsidRPr="00BA0AD1">
        <w:t>довой терапии практикуется работа в огороде.</w:t>
      </w:r>
    </w:p>
    <w:p w:rsidR="00BA0AD1" w:rsidRPr="00BA0AD1" w:rsidRDefault="00BA0AD1" w:rsidP="00BA0AD1">
      <w:pPr>
        <w:pStyle w:val="SingleTxtGR"/>
      </w:pPr>
      <w:r w:rsidRPr="00BA0AD1">
        <w:t>231.</w:t>
      </w:r>
      <w:r w:rsidRPr="00BA0AD1">
        <w:tab/>
        <w:t>В числе мер, применяемых для предупреждения злоупотребления алког</w:t>
      </w:r>
      <w:r w:rsidRPr="00BA0AD1">
        <w:t>о</w:t>
      </w:r>
      <w:r w:rsidRPr="00BA0AD1">
        <w:t>лем и другими вредными веществами, прежде всего со стороны детей и подр</w:t>
      </w:r>
      <w:r w:rsidRPr="00BA0AD1">
        <w:t>о</w:t>
      </w:r>
      <w:r w:rsidRPr="00BA0AD1">
        <w:t xml:space="preserve">стков, </w:t>
      </w:r>
      <w:r w:rsidR="002B7B9B">
        <w:t>−</w:t>
      </w:r>
      <w:r w:rsidRPr="00BA0AD1">
        <w:t xml:space="preserve"> лечение и реабилитация потребителей наркотиков и поддержка их с</w:t>
      </w:r>
      <w:r w:rsidRPr="00BA0AD1">
        <w:t>е</w:t>
      </w:r>
      <w:r w:rsidRPr="00BA0AD1">
        <w:t>мей.</w:t>
      </w:r>
    </w:p>
    <w:p w:rsidR="00BA0AD1" w:rsidRPr="00BA0AD1" w:rsidRDefault="00BA0AD1" w:rsidP="00BA0AD1">
      <w:pPr>
        <w:pStyle w:val="SingleTxtGR"/>
      </w:pPr>
      <w:r w:rsidRPr="00BA0AD1">
        <w:t>232.</w:t>
      </w:r>
      <w:r w:rsidRPr="00BA0AD1">
        <w:tab/>
        <w:t>Центр оказывает разные виды комплексной и индивидуальной помощи пациентам и членам их семей, злоупотребляющих различными вредными вещ</w:t>
      </w:r>
      <w:r w:rsidRPr="00BA0AD1">
        <w:t>е</w:t>
      </w:r>
      <w:r w:rsidRPr="00BA0AD1">
        <w:t>ствами, в том числе несколькими видами одновременно, предоставляя при этом бесплатные лекарства.</w:t>
      </w:r>
    </w:p>
    <w:p w:rsidR="00BA0AD1" w:rsidRPr="00BA0AD1" w:rsidRDefault="00BA0AD1" w:rsidP="00BA0AD1">
      <w:pPr>
        <w:pStyle w:val="SingleTxtGR"/>
      </w:pPr>
      <w:r w:rsidRPr="00BA0AD1">
        <w:t>233.</w:t>
      </w:r>
      <w:r w:rsidRPr="00BA0AD1">
        <w:tab/>
        <w:t>Несмотря на открытие отделения для детей и подростков, проведение р</w:t>
      </w:r>
      <w:r w:rsidRPr="00BA0AD1">
        <w:t>е</w:t>
      </w:r>
      <w:r w:rsidRPr="00BA0AD1">
        <w:t>монта, перестройки и расширение здания и приглашение на работу различных специалистов (медицинских работников, психологов и др.), Центр, не имея др</w:t>
      </w:r>
      <w:r w:rsidRPr="00BA0AD1">
        <w:t>у</w:t>
      </w:r>
      <w:r w:rsidRPr="00BA0AD1">
        <w:t>гих источников финансирования, сталкивается с рядом трудностей, поскольку ему по-прежнему не выделяется достаточно ресурсов для решения сложных проблем. При этом не следует забывать, что речь идет о хронических заболев</w:t>
      </w:r>
      <w:r w:rsidRPr="00BA0AD1">
        <w:t>а</w:t>
      </w:r>
      <w:r w:rsidRPr="00BA0AD1">
        <w:t>ниях, требующих длительного времени для оптимального лечения, предпол</w:t>
      </w:r>
      <w:r w:rsidRPr="00BA0AD1">
        <w:t>а</w:t>
      </w:r>
      <w:r w:rsidRPr="00BA0AD1">
        <w:t>гающего несколько этапов (</w:t>
      </w:r>
      <w:proofErr w:type="spellStart"/>
      <w:r w:rsidRPr="00BA0AD1">
        <w:t>дезинтоксикация</w:t>
      </w:r>
      <w:proofErr w:type="spellEnd"/>
      <w:r w:rsidRPr="00BA0AD1">
        <w:t>, стабилизация, реабилитация и возвращение в общество). Следует отметить, что в течение этого бюджетного периода были сокращены также средства, выделяемые Центру на приобретение продуктов питания, мебели, оборудования для отделений и на оплату труда пе</w:t>
      </w:r>
      <w:r w:rsidRPr="00BA0AD1">
        <w:t>р</w:t>
      </w:r>
      <w:r w:rsidRPr="00BA0AD1">
        <w:t>сонала. Имеются также трудности, связанные с межведомственной координац</w:t>
      </w:r>
      <w:r w:rsidRPr="00BA0AD1">
        <w:t>и</w:t>
      </w:r>
      <w:r w:rsidRPr="00BA0AD1">
        <w:t>ей, прежде всего с судами и прокуратурами, которые направляют в Центр пац</w:t>
      </w:r>
      <w:r w:rsidRPr="00BA0AD1">
        <w:t>и</w:t>
      </w:r>
      <w:r w:rsidRPr="00BA0AD1">
        <w:t>ентов из различных мест страны, не убедившись предварительно в наличии мест для них, при том что Центр переполнен и для пациентов существует лист ожидания.</w:t>
      </w:r>
    </w:p>
    <w:p w:rsidR="00BA0AD1" w:rsidRPr="00BA0AD1" w:rsidRDefault="00BA0AD1" w:rsidP="00BA0AD1">
      <w:pPr>
        <w:pStyle w:val="SingleTxtGR"/>
      </w:pPr>
      <w:r w:rsidRPr="00BA0AD1">
        <w:t>234.</w:t>
      </w:r>
      <w:r w:rsidRPr="00BA0AD1">
        <w:tab/>
        <w:t>В приложении XVII приводятся статистические данные о деятельности Национального центра по борьбе с разного рода зависимостью в разбивке по годам.</w:t>
      </w:r>
    </w:p>
    <w:p w:rsidR="00BA0AD1" w:rsidRPr="007D2776" w:rsidRDefault="00BA0AD1" w:rsidP="007D2776">
      <w:pPr>
        <w:pStyle w:val="H23GR"/>
      </w:pPr>
      <w:r w:rsidRPr="007D2776">
        <w:tab/>
        <w:t>2.</w:t>
      </w:r>
      <w:r w:rsidRPr="007D2776">
        <w:tab/>
        <w:t>Всеобщий доступ к вакцинации</w:t>
      </w:r>
    </w:p>
    <w:p w:rsidR="00BA0AD1" w:rsidRPr="00BA0AD1" w:rsidRDefault="00BA0AD1" w:rsidP="00BA0AD1">
      <w:pPr>
        <w:pStyle w:val="SingleTxtGR"/>
      </w:pPr>
      <w:r w:rsidRPr="00BA0AD1">
        <w:t>235.</w:t>
      </w:r>
      <w:r w:rsidRPr="00BA0AD1">
        <w:tab/>
        <w:t>В период с 2009 по 2011 год принимались меры по осуществлению Н</w:t>
      </w:r>
      <w:r w:rsidRPr="00BA0AD1">
        <w:t>а</w:t>
      </w:r>
      <w:r w:rsidRPr="00BA0AD1">
        <w:t>циональной программы по борьбе с заболеваниями, предотвращаемыми с п</w:t>
      </w:r>
      <w:r w:rsidRPr="00BA0AD1">
        <w:t>о</w:t>
      </w:r>
      <w:r w:rsidRPr="00BA0AD1">
        <w:t>мощью вакцинации (ПАИ), имевшей целью предоставление всеобщего доступа к вакцинации и внедрение новых видов вакцин, чтобы обеспечить тем самым рентабельность затрат и сократить смертность от заболеваний, предотвраща</w:t>
      </w:r>
      <w:r w:rsidRPr="00BA0AD1">
        <w:t>е</w:t>
      </w:r>
      <w:r w:rsidRPr="00BA0AD1">
        <w:t>мых с помощью вакцинации, и масштабы их распространенности.</w:t>
      </w:r>
    </w:p>
    <w:p w:rsidR="00BA0AD1" w:rsidRPr="00BA0AD1" w:rsidRDefault="00BA0AD1" w:rsidP="00BA0AD1">
      <w:pPr>
        <w:pStyle w:val="SingleTxtGR"/>
      </w:pPr>
      <w:r w:rsidRPr="00BA0AD1">
        <w:t>236.</w:t>
      </w:r>
      <w:r w:rsidRPr="00BA0AD1">
        <w:tab/>
        <w:t xml:space="preserve">В 2009 году в целях защиты </w:t>
      </w:r>
      <w:proofErr w:type="spellStart"/>
      <w:r w:rsidRPr="00BA0AD1">
        <w:t>ВИЧ-позитивных</w:t>
      </w:r>
      <w:proofErr w:type="spellEnd"/>
      <w:r w:rsidRPr="00BA0AD1">
        <w:t xml:space="preserve"> детей и лиц, находящихся в контакте с ними, началось применение вакцины ИПВ против полиомиелита.</w:t>
      </w:r>
    </w:p>
    <w:p w:rsidR="00BA0AD1" w:rsidRPr="00BA0AD1" w:rsidRDefault="00BA0AD1" w:rsidP="00BA0AD1">
      <w:pPr>
        <w:pStyle w:val="SingleTxtGR"/>
      </w:pPr>
      <w:r w:rsidRPr="00BA0AD1">
        <w:t>237.</w:t>
      </w:r>
      <w:r w:rsidRPr="00BA0AD1">
        <w:tab/>
        <w:t>Благодаря кампании по вакцинации детей в возрасте от 0 до 8 лет против кори и краснухи случаев заболевания корью в Парагвае не наблюдалось с 1998</w:t>
      </w:r>
      <w:r w:rsidR="00B85E64">
        <w:t> </w:t>
      </w:r>
      <w:r w:rsidRPr="00BA0AD1">
        <w:t xml:space="preserve">года, а случаев заболевания краснухой </w:t>
      </w:r>
      <w:r w:rsidR="002B7B9B">
        <w:t>−</w:t>
      </w:r>
      <w:r w:rsidRPr="00BA0AD1">
        <w:t xml:space="preserve"> с 2005 года.</w:t>
      </w:r>
    </w:p>
    <w:p w:rsidR="00BA0AD1" w:rsidRPr="00BA0AD1" w:rsidRDefault="00BA0AD1" w:rsidP="00BA0AD1">
      <w:pPr>
        <w:pStyle w:val="SingleTxtGR"/>
      </w:pPr>
      <w:r w:rsidRPr="00BA0AD1">
        <w:t>238.</w:t>
      </w:r>
      <w:r w:rsidRPr="00BA0AD1">
        <w:tab/>
        <w:t xml:space="preserve">В 2010 году началась вакцинация детей в возрасте до 8 лет от </w:t>
      </w:r>
      <w:proofErr w:type="spellStart"/>
      <w:r w:rsidRPr="00BA0AD1">
        <w:t>ротавируса</w:t>
      </w:r>
      <w:proofErr w:type="spellEnd"/>
      <w:r w:rsidRPr="00BA0AD1">
        <w:t xml:space="preserve">, что позволяет избежать осложнений и случаев смерти от диареи, вызываемой </w:t>
      </w:r>
      <w:proofErr w:type="spellStart"/>
      <w:r w:rsidRPr="00BA0AD1">
        <w:t>ротавирусом</w:t>
      </w:r>
      <w:proofErr w:type="spellEnd"/>
      <w:r w:rsidRPr="00BA0AD1">
        <w:t>; вакцинация от гриппа A (H1N1) групп риска, в том числе бер</w:t>
      </w:r>
      <w:r w:rsidRPr="00BA0AD1">
        <w:t>е</w:t>
      </w:r>
      <w:r w:rsidRPr="00BA0AD1">
        <w:t>менных женщин, детей в возрасте от 6 до 35 месяцев и людей с хроническими заболеваниями; вакцинация отдельных групп населения (больных, лиц с хрон</w:t>
      </w:r>
      <w:r w:rsidRPr="00BA0AD1">
        <w:t>и</w:t>
      </w:r>
      <w:r w:rsidRPr="00BA0AD1">
        <w:t xml:space="preserve">ческими заболеваниями, лиц с нарушениями иммунитета) вакцинами от </w:t>
      </w:r>
      <w:proofErr w:type="spellStart"/>
      <w:r w:rsidRPr="00BA0AD1">
        <w:t>гем</w:t>
      </w:r>
      <w:r w:rsidRPr="00BA0AD1">
        <w:t>о</w:t>
      </w:r>
      <w:r w:rsidRPr="00BA0AD1">
        <w:t>фильной</w:t>
      </w:r>
      <w:proofErr w:type="spellEnd"/>
      <w:r w:rsidRPr="00BA0AD1">
        <w:t xml:space="preserve"> инфекции типа b; тифоидной лихорадки; тройной </w:t>
      </w:r>
      <w:proofErr w:type="spellStart"/>
      <w:r w:rsidRPr="00BA0AD1">
        <w:t>бесклеточной</w:t>
      </w:r>
      <w:proofErr w:type="spellEnd"/>
      <w:r w:rsidRPr="00BA0AD1">
        <w:t xml:space="preserve"> ва</w:t>
      </w:r>
      <w:r w:rsidRPr="00BA0AD1">
        <w:t>к</w:t>
      </w:r>
      <w:r w:rsidRPr="00BA0AD1">
        <w:t>циной и вакциной от гепатита А.</w:t>
      </w:r>
    </w:p>
    <w:p w:rsidR="00BA0AD1" w:rsidRPr="00BA0AD1" w:rsidRDefault="00BA0AD1" w:rsidP="00BA0AD1">
      <w:pPr>
        <w:pStyle w:val="SingleTxtGR"/>
      </w:pPr>
      <w:r w:rsidRPr="00BA0AD1">
        <w:t>239.</w:t>
      </w:r>
      <w:r w:rsidRPr="00BA0AD1">
        <w:tab/>
        <w:t>В течение 2010 года на 4</w:t>
      </w:r>
      <w:r w:rsidR="004849A7">
        <w:t xml:space="preserve">% </w:t>
      </w:r>
      <w:r w:rsidRPr="00BA0AD1">
        <w:t>увеличился уровень охвата прививк</w:t>
      </w:r>
      <w:r w:rsidRPr="00BA0AD1">
        <w:t>а</w:t>
      </w:r>
      <w:r w:rsidRPr="00BA0AD1">
        <w:t>ми детей в возрасте до 5 лет и на 10</w:t>
      </w:r>
      <w:r w:rsidR="004849A7">
        <w:t xml:space="preserve">% </w:t>
      </w:r>
      <w:r w:rsidRPr="00BA0AD1">
        <w:t>сократилась доля муниципалитетов с низкими п</w:t>
      </w:r>
      <w:r w:rsidRPr="00BA0AD1">
        <w:t>о</w:t>
      </w:r>
      <w:r w:rsidRPr="00BA0AD1">
        <w:t>казателями охвата.</w:t>
      </w:r>
    </w:p>
    <w:p w:rsidR="00BA0AD1" w:rsidRPr="00BA0AD1" w:rsidRDefault="00BA0AD1" w:rsidP="00BA0AD1">
      <w:pPr>
        <w:pStyle w:val="SingleTxtGR"/>
      </w:pPr>
      <w:r w:rsidRPr="00BA0AD1">
        <w:t>240.</w:t>
      </w:r>
      <w:r w:rsidRPr="00BA0AD1">
        <w:tab/>
        <w:t>В 2011 году началось применение пневмококковой полисахаридной ва</w:t>
      </w:r>
      <w:r w:rsidRPr="00BA0AD1">
        <w:t>к</w:t>
      </w:r>
      <w:r w:rsidRPr="00BA0AD1">
        <w:t>цины (Neumo-23) для вакцинации пожилых людей, лиц с хроническими забол</w:t>
      </w:r>
      <w:r w:rsidRPr="00BA0AD1">
        <w:t>е</w:t>
      </w:r>
      <w:r w:rsidRPr="00BA0AD1">
        <w:t>ваниями и лиц с нарушениями иммунитета.</w:t>
      </w:r>
    </w:p>
    <w:p w:rsidR="00BA0AD1" w:rsidRPr="007D2776" w:rsidRDefault="00BA0AD1" w:rsidP="007D2776">
      <w:pPr>
        <w:pStyle w:val="H23GR"/>
      </w:pPr>
      <w:r w:rsidRPr="007D2776">
        <w:tab/>
        <w:t>3.</w:t>
      </w:r>
      <w:r w:rsidRPr="007D2776">
        <w:tab/>
        <w:t>Защита здоровья коренного населения</w:t>
      </w:r>
    </w:p>
    <w:p w:rsidR="00BA0AD1" w:rsidRPr="00BA0AD1" w:rsidRDefault="00BA0AD1" w:rsidP="00BA0AD1">
      <w:pPr>
        <w:pStyle w:val="SingleTxtGR"/>
      </w:pPr>
      <w:r w:rsidRPr="00BA0AD1">
        <w:t>241.</w:t>
      </w:r>
      <w:r w:rsidRPr="00BA0AD1">
        <w:tab/>
        <w:t>МЗСО приступило к осуществлению новых мер политического характ</w:t>
      </w:r>
      <w:r w:rsidRPr="00BA0AD1">
        <w:t>е</w:t>
      </w:r>
      <w:r w:rsidRPr="00BA0AD1">
        <w:t>ра: Государственной политики обеспечения качества жизни и охраны здоровья на основе принципа равноправия (2008</w:t>
      </w:r>
      <w:r w:rsidR="002B7B9B">
        <w:t>−</w:t>
      </w:r>
      <w:r w:rsidRPr="00BA0AD1">
        <w:t xml:space="preserve">2013 годы) и Национальной политики защиты здоровья коренного населения, цель которой </w:t>
      </w:r>
      <w:r w:rsidR="002B7B9B">
        <w:t>−</w:t>
      </w:r>
      <w:r w:rsidRPr="00BA0AD1">
        <w:t xml:space="preserve"> содействие проведению работы в этой области на основе принципов универсализма, равноправия, цел</w:t>
      </w:r>
      <w:r w:rsidRPr="00BA0AD1">
        <w:t>о</w:t>
      </w:r>
      <w:r w:rsidRPr="00BA0AD1">
        <w:t>стности и более активного привлечения гражданского общества, а также ос</w:t>
      </w:r>
      <w:r w:rsidRPr="00BA0AD1">
        <w:t>у</w:t>
      </w:r>
      <w:r w:rsidRPr="00BA0AD1">
        <w:t>ществление мер действия с целью предоставления медицинского обслуживания тем категориям населения, права которых на защиту здоровья постоянно уще</w:t>
      </w:r>
      <w:r w:rsidRPr="00BA0AD1">
        <w:t>м</w:t>
      </w:r>
      <w:r w:rsidRPr="00BA0AD1">
        <w:t>лялись.</w:t>
      </w:r>
    </w:p>
    <w:p w:rsidR="00BA0AD1" w:rsidRPr="00BA0AD1" w:rsidRDefault="00BA0AD1" w:rsidP="00BA0AD1">
      <w:pPr>
        <w:pStyle w:val="SingleTxtGR"/>
      </w:pPr>
      <w:r w:rsidRPr="00BA0AD1">
        <w:t>242.</w:t>
      </w:r>
      <w:r w:rsidRPr="00BA0AD1">
        <w:tab/>
        <w:t>Для решения этой задачи МЗСО создало в июне 2010 года Главное упра</w:t>
      </w:r>
      <w:r w:rsidRPr="00BA0AD1">
        <w:t>в</w:t>
      </w:r>
      <w:r w:rsidRPr="00BA0AD1">
        <w:t>ление по защите здоровья коренного населения, перед которым поставлена з</w:t>
      </w:r>
      <w:r w:rsidRPr="00BA0AD1">
        <w:t>а</w:t>
      </w:r>
      <w:r w:rsidRPr="00BA0AD1">
        <w:t>дача по удовлетворению потребностей в медицинских услугах этой категории жителей страны, численность которых, по данным последней переписи насел</w:t>
      </w:r>
      <w:r w:rsidRPr="00BA0AD1">
        <w:t>е</w:t>
      </w:r>
      <w:r w:rsidRPr="00BA0AD1">
        <w:t>ния, составляет 108 тыс. человек, а также по осуществлению стратегий и мер</w:t>
      </w:r>
      <w:r w:rsidRPr="00BA0AD1">
        <w:t>о</w:t>
      </w:r>
      <w:r w:rsidRPr="00BA0AD1">
        <w:t>приятий для достижения целей, определенных в Национальной политике защ</w:t>
      </w:r>
      <w:r w:rsidRPr="00BA0AD1">
        <w:t>и</w:t>
      </w:r>
      <w:r w:rsidRPr="00BA0AD1">
        <w:t>ты здоровья коренного населения, средства на осуществление которой предо</w:t>
      </w:r>
      <w:r w:rsidRPr="00BA0AD1">
        <w:t>с</w:t>
      </w:r>
      <w:r w:rsidRPr="00BA0AD1">
        <w:t>тавляет Испанское агентство по международному сотрудничеству в интересах развития (ИАМСИР). Предусматривается оказание содействия медицинским работникам в целях обеспечения эффективной и адекватной медицинской п</w:t>
      </w:r>
      <w:r w:rsidRPr="00BA0AD1">
        <w:t>о</w:t>
      </w:r>
      <w:r w:rsidRPr="00BA0AD1">
        <w:t>мощи при уважении культуры коренных народов.</w:t>
      </w:r>
    </w:p>
    <w:p w:rsidR="00BA0AD1" w:rsidRPr="00BA0AD1" w:rsidRDefault="00BA0AD1" w:rsidP="00BA0AD1">
      <w:pPr>
        <w:pStyle w:val="SingleTxtGR"/>
      </w:pPr>
      <w:r w:rsidRPr="00BA0AD1">
        <w:t>243.</w:t>
      </w:r>
      <w:r w:rsidRPr="00BA0AD1">
        <w:tab/>
        <w:t>Планируется повышать квалификацию санитарных инструкторов и орг</w:t>
      </w:r>
      <w:r w:rsidRPr="00BA0AD1">
        <w:t>а</w:t>
      </w:r>
      <w:r w:rsidRPr="00BA0AD1">
        <w:t>низовать мониторинг работы санитарных округов, предоставления услуг и осуществления программ МЗСО.</w:t>
      </w:r>
    </w:p>
    <w:p w:rsidR="00BA0AD1" w:rsidRPr="00BA0AD1" w:rsidRDefault="00BA0AD1" w:rsidP="00BA0AD1">
      <w:pPr>
        <w:pStyle w:val="SingleTxtGR"/>
      </w:pPr>
      <w:r w:rsidRPr="00BA0AD1">
        <w:t>244.</w:t>
      </w:r>
      <w:r w:rsidRPr="00BA0AD1">
        <w:tab/>
        <w:t>К числу достижений можно отнести налаживание контактов и диалога между представителями организаций коренных народов Западного и Восточн</w:t>
      </w:r>
      <w:r w:rsidRPr="00BA0AD1">
        <w:t>о</w:t>
      </w:r>
      <w:r w:rsidRPr="00BA0AD1">
        <w:t>го регионов Парагвая и организацию их совместной работы, что открыло во</w:t>
      </w:r>
      <w:r w:rsidRPr="00BA0AD1">
        <w:t>з</w:t>
      </w:r>
      <w:r w:rsidRPr="00BA0AD1">
        <w:t>можности для участия коренного населения в подготовке принимаемых МЗСО решений. С этой целью Министерство проводит консультации с этими народ</w:t>
      </w:r>
      <w:r w:rsidRPr="00BA0AD1">
        <w:t>а</w:t>
      </w:r>
      <w:r w:rsidRPr="00BA0AD1">
        <w:t>ми в отношении инициатив и мер, планируемых и осуществляемых этим ведо</w:t>
      </w:r>
      <w:r w:rsidRPr="00BA0AD1">
        <w:t>м</w:t>
      </w:r>
      <w:r w:rsidRPr="00BA0AD1">
        <w:t>ством.</w:t>
      </w:r>
    </w:p>
    <w:p w:rsidR="00BA0AD1" w:rsidRPr="00BA0AD1" w:rsidRDefault="00BA0AD1" w:rsidP="00BA0AD1">
      <w:pPr>
        <w:pStyle w:val="SingleTxtGR"/>
      </w:pPr>
      <w:r w:rsidRPr="00BA0AD1">
        <w:t>245.</w:t>
      </w:r>
      <w:r w:rsidRPr="00BA0AD1">
        <w:tab/>
        <w:t>В 2010 году был проведен Конгресс по защите здоровья коренного нас</w:t>
      </w:r>
      <w:r w:rsidRPr="00BA0AD1">
        <w:t>е</w:t>
      </w:r>
      <w:r w:rsidRPr="00BA0AD1">
        <w:t>ления, организованный при участии представителей коренных народов, вход</w:t>
      </w:r>
      <w:r w:rsidRPr="00BA0AD1">
        <w:t>я</w:t>
      </w:r>
      <w:r w:rsidRPr="00BA0AD1">
        <w:t>щих в консультативный совет при Главном управлении по защите здоровья к</w:t>
      </w:r>
      <w:r w:rsidRPr="00BA0AD1">
        <w:t>о</w:t>
      </w:r>
      <w:r w:rsidRPr="00BA0AD1">
        <w:t>ренного населения МЗСО, Национальной программы борьбы с туберкулезом и больницы Сан Роке Гонсалес, которая непосредственно занимается оказанием медицинской помощи этой категории населения. В конгрессе приняли участие 150 руководителей большинства региональных и общенациональных организ</w:t>
      </w:r>
      <w:r w:rsidRPr="00BA0AD1">
        <w:t>а</w:t>
      </w:r>
      <w:r w:rsidRPr="00BA0AD1">
        <w:t>ций коренного населения, представители правительственных учреждений, н</w:t>
      </w:r>
      <w:r w:rsidRPr="00BA0AD1">
        <w:t>е</w:t>
      </w:r>
      <w:r w:rsidRPr="00BA0AD1">
        <w:t>правительственных организаций и структур, занимающихся вопросами сотру</w:t>
      </w:r>
      <w:r w:rsidRPr="00BA0AD1">
        <w:t>д</w:t>
      </w:r>
      <w:r w:rsidRPr="00BA0AD1">
        <w:t>ничества.</w:t>
      </w:r>
    </w:p>
    <w:p w:rsidR="00BA0AD1" w:rsidRPr="00BA0AD1" w:rsidRDefault="00BA0AD1" w:rsidP="00BA0AD1">
      <w:pPr>
        <w:pStyle w:val="SingleTxtGR"/>
      </w:pPr>
      <w:r w:rsidRPr="00BA0AD1">
        <w:t>246.</w:t>
      </w:r>
      <w:r w:rsidRPr="00BA0AD1">
        <w:tab/>
        <w:t>Проведены семинары-практикумы по изучению проблем межкультурных взаимоотношений. На начальном этапе в этих мероприятиях принимали уч</w:t>
      </w:r>
      <w:r w:rsidRPr="00BA0AD1">
        <w:t>а</w:t>
      </w:r>
      <w:r w:rsidRPr="00BA0AD1">
        <w:t xml:space="preserve">стие представители региональных организаций департаментов </w:t>
      </w:r>
      <w:proofErr w:type="spellStart"/>
      <w:r w:rsidRPr="00BA0AD1">
        <w:t>Каасапа</w:t>
      </w:r>
      <w:proofErr w:type="spellEnd"/>
      <w:r w:rsidRPr="00BA0AD1">
        <w:t xml:space="preserve">, </w:t>
      </w:r>
      <w:proofErr w:type="spellStart"/>
      <w:r w:rsidRPr="00BA0AD1">
        <w:t>Итапуа</w:t>
      </w:r>
      <w:proofErr w:type="spellEnd"/>
      <w:r w:rsidRPr="00BA0AD1">
        <w:t xml:space="preserve">, </w:t>
      </w:r>
      <w:proofErr w:type="spellStart"/>
      <w:r w:rsidRPr="00BA0AD1">
        <w:t>Бокерон</w:t>
      </w:r>
      <w:proofErr w:type="spellEnd"/>
      <w:r w:rsidRPr="00BA0AD1">
        <w:t xml:space="preserve"> и Центрального департамента (в среднем по 50 представителей от к</w:t>
      </w:r>
      <w:r w:rsidRPr="00BA0AD1">
        <w:t>а</w:t>
      </w:r>
      <w:r w:rsidRPr="00BA0AD1">
        <w:t xml:space="preserve">ждого санитарного округа), а в дальнейшем </w:t>
      </w:r>
      <w:r w:rsidR="002B7B9B">
        <w:t>−</w:t>
      </w:r>
      <w:r w:rsidRPr="00BA0AD1">
        <w:t xml:space="preserve"> представители 224 центров с</w:t>
      </w:r>
      <w:r w:rsidRPr="00BA0AD1">
        <w:t>е</w:t>
      </w:r>
      <w:r w:rsidRPr="00BA0AD1">
        <w:t>мейной медицины, 50 новых инструкторов по защите здоровья коренного нас</w:t>
      </w:r>
      <w:r w:rsidRPr="00BA0AD1">
        <w:t>е</w:t>
      </w:r>
      <w:r w:rsidRPr="00BA0AD1">
        <w:t>ления и 120 общинных санитарных инструкторов, привлеченных к работе в н</w:t>
      </w:r>
      <w:r w:rsidRPr="00BA0AD1">
        <w:t>о</w:t>
      </w:r>
      <w:r w:rsidRPr="00BA0AD1">
        <w:t xml:space="preserve">ябре этого года. </w:t>
      </w:r>
    </w:p>
    <w:p w:rsidR="00BA0AD1" w:rsidRPr="00BA0AD1" w:rsidRDefault="00BA0AD1" w:rsidP="00BA0AD1">
      <w:pPr>
        <w:pStyle w:val="SingleTxtGR"/>
      </w:pPr>
      <w:r w:rsidRPr="00BA0AD1">
        <w:t>247.</w:t>
      </w:r>
      <w:r w:rsidRPr="00BA0AD1">
        <w:tab/>
        <w:t>С декабря 2010 года к работе в своих общинах приступили 50 новых и</w:t>
      </w:r>
      <w:r w:rsidRPr="00BA0AD1">
        <w:t>н</w:t>
      </w:r>
      <w:r w:rsidRPr="00BA0AD1">
        <w:t>структоров по защите здоровья коренного населения. Поддержку в их деятел</w:t>
      </w:r>
      <w:r w:rsidRPr="00BA0AD1">
        <w:t>ь</w:t>
      </w:r>
      <w:r w:rsidRPr="00BA0AD1">
        <w:t>ности будут оказывать ближайшие центры семейной медицины.</w:t>
      </w:r>
    </w:p>
    <w:p w:rsidR="00BA0AD1" w:rsidRPr="00BA0AD1" w:rsidRDefault="00BA0AD1" w:rsidP="00BA0AD1">
      <w:pPr>
        <w:pStyle w:val="SingleTxtGR"/>
      </w:pPr>
      <w:r w:rsidRPr="00BA0AD1">
        <w:t>248.</w:t>
      </w:r>
      <w:r w:rsidRPr="00BA0AD1">
        <w:tab/>
        <w:t>МЗСО и Национальный институт коренного населения подписали дог</w:t>
      </w:r>
      <w:r w:rsidRPr="00BA0AD1">
        <w:t>о</w:t>
      </w:r>
      <w:r w:rsidRPr="00BA0AD1">
        <w:t>вор, согласно которому последний обязался передать Министерству лекарс</w:t>
      </w:r>
      <w:r w:rsidRPr="00BA0AD1">
        <w:t>т</w:t>
      </w:r>
      <w:r w:rsidRPr="00BA0AD1">
        <w:t>венные средства, предназначенные исключительно для пациентов из числа к</w:t>
      </w:r>
      <w:r w:rsidRPr="00BA0AD1">
        <w:t>о</w:t>
      </w:r>
      <w:r w:rsidRPr="00BA0AD1">
        <w:t>ренного населения. Эти медикаменты были распределены между санитарными округами страны.</w:t>
      </w:r>
    </w:p>
    <w:p w:rsidR="00BA0AD1" w:rsidRPr="00BA0AD1" w:rsidRDefault="00BA0AD1" w:rsidP="00BA0AD1">
      <w:pPr>
        <w:pStyle w:val="SingleTxtGR"/>
      </w:pPr>
      <w:r w:rsidRPr="00BA0AD1">
        <w:t>249.</w:t>
      </w:r>
      <w:r w:rsidRPr="00BA0AD1">
        <w:tab/>
        <w:t>Главное управление по защите здоровья коренного населения ставило п</w:t>
      </w:r>
      <w:r w:rsidRPr="00BA0AD1">
        <w:t>е</w:t>
      </w:r>
      <w:r w:rsidRPr="00BA0AD1">
        <w:t>ред органами власти вопрос о строительстве новых, расширении и совершенс</w:t>
      </w:r>
      <w:r w:rsidRPr="00BA0AD1">
        <w:t>т</w:t>
      </w:r>
      <w:r w:rsidRPr="00BA0AD1">
        <w:t xml:space="preserve">вовании существующих медицинских учреждений (больницы </w:t>
      </w:r>
      <w:proofErr w:type="spellStart"/>
      <w:r w:rsidRPr="00BA0AD1">
        <w:t>Иралы</w:t>
      </w:r>
      <w:proofErr w:type="spellEnd"/>
      <w:r w:rsidRPr="00BA0AD1">
        <w:t xml:space="preserve"> </w:t>
      </w:r>
      <w:proofErr w:type="spellStart"/>
      <w:r w:rsidRPr="00BA0AD1">
        <w:t>Фернандес</w:t>
      </w:r>
      <w:proofErr w:type="spellEnd"/>
      <w:r w:rsidRPr="00BA0AD1">
        <w:t xml:space="preserve"> в парагвайской части района </w:t>
      </w:r>
      <w:proofErr w:type="spellStart"/>
      <w:r w:rsidRPr="00BA0AD1">
        <w:t>Чако</w:t>
      </w:r>
      <w:proofErr w:type="spellEnd"/>
      <w:r w:rsidRPr="00BA0AD1">
        <w:t>), о строительстве двух гостиниц для пацие</w:t>
      </w:r>
      <w:r w:rsidRPr="00BA0AD1">
        <w:t>н</w:t>
      </w:r>
      <w:r w:rsidRPr="00BA0AD1">
        <w:t>тов и сопровождающих их лиц.</w:t>
      </w:r>
    </w:p>
    <w:p w:rsidR="00BA0AD1" w:rsidRPr="00BA0AD1" w:rsidRDefault="00BA0AD1" w:rsidP="00BA0AD1">
      <w:pPr>
        <w:pStyle w:val="SingleTxtGR"/>
      </w:pPr>
      <w:r w:rsidRPr="00BA0AD1">
        <w:t>250.</w:t>
      </w:r>
      <w:r w:rsidRPr="00BA0AD1">
        <w:tab/>
        <w:t>В 2011 году во исполнение одного из предложений, внесенных на Ко</w:t>
      </w:r>
      <w:r w:rsidRPr="00BA0AD1">
        <w:t>н</w:t>
      </w:r>
      <w:r w:rsidRPr="00BA0AD1">
        <w:t>грессе по защите здоровья коренного населения, Постановлением № 01 Мин</w:t>
      </w:r>
      <w:r w:rsidRPr="00BA0AD1">
        <w:t>и</w:t>
      </w:r>
      <w:r w:rsidRPr="00BA0AD1">
        <w:t>стерства был учрежден Совет по защите здоровья коренного населения, задачей которого является консультирование Главного управления по защите здоровья коренного населения и оказание ему помощи в осуществлении Национальной политики защиты здоровья. Совет будет формироваться на основе консультаций с организациями коренного населения.</w:t>
      </w:r>
    </w:p>
    <w:p w:rsidR="00BA0AD1" w:rsidRPr="00BA0AD1" w:rsidRDefault="00BA0AD1" w:rsidP="00BA0AD1">
      <w:pPr>
        <w:pStyle w:val="SingleTxtGR"/>
      </w:pPr>
      <w:r w:rsidRPr="00BA0AD1">
        <w:t>251.</w:t>
      </w:r>
      <w:r w:rsidRPr="00BA0AD1">
        <w:tab/>
        <w:t>Основными задачами на 2011 год являются формирование Совета по з</w:t>
      </w:r>
      <w:r w:rsidRPr="00BA0AD1">
        <w:t>а</w:t>
      </w:r>
      <w:r w:rsidRPr="00BA0AD1">
        <w:t>щите здоровья коренного населения, согласование с организациями коренного населения механизмов участия в его работе; решение задачи по обеспечению всех без исключения общин коренного населения регулярной, качественной и эффективной медицинской помощью без какой-либо дискриминации с пом</w:t>
      </w:r>
      <w:r w:rsidRPr="00BA0AD1">
        <w:t>о</w:t>
      </w:r>
      <w:r w:rsidRPr="00BA0AD1">
        <w:t>щью центров семейной медицины; проведение в каждом регионе совместно с региональными управлениями и организациями коренного населения форумов с участием лидеров всех общин коренного населения, работников служб перви</w:t>
      </w:r>
      <w:r w:rsidRPr="00BA0AD1">
        <w:t>ч</w:t>
      </w:r>
      <w:r w:rsidRPr="00BA0AD1">
        <w:t>ной медицинской помощи, руководителей медицинских служб, санитарных и</w:t>
      </w:r>
      <w:r w:rsidRPr="00BA0AD1">
        <w:t>н</w:t>
      </w:r>
      <w:r w:rsidRPr="00BA0AD1">
        <w:t>структоров, акушерок и традиционных лекарей из числа коренного населения.</w:t>
      </w:r>
    </w:p>
    <w:p w:rsidR="00BA0AD1" w:rsidRPr="00BA0AD1" w:rsidRDefault="00BA0AD1" w:rsidP="00F96D53">
      <w:pPr>
        <w:pStyle w:val="SingleTxtGR"/>
        <w:keepLines/>
      </w:pPr>
      <w:r w:rsidRPr="00BA0AD1">
        <w:t>252.</w:t>
      </w:r>
      <w:r w:rsidRPr="00BA0AD1">
        <w:tab/>
        <w:t>Кроме того, ставятся задачи по проведению рабочих совещаний с участ</w:t>
      </w:r>
      <w:r w:rsidRPr="00BA0AD1">
        <w:t>и</w:t>
      </w:r>
      <w:r w:rsidRPr="00BA0AD1">
        <w:t>ем руководителей специализированных и региональных больниц (а также др</w:t>
      </w:r>
      <w:r w:rsidRPr="00BA0AD1">
        <w:t>у</w:t>
      </w:r>
      <w:r w:rsidRPr="00BA0AD1">
        <w:t>гих ключевых фигур) с целью обсуждения вопросов оказания медицинской п</w:t>
      </w:r>
      <w:r w:rsidRPr="00BA0AD1">
        <w:t>о</w:t>
      </w:r>
      <w:r w:rsidRPr="00BA0AD1">
        <w:t>мощи представителям коренного населения, обращающимся в эти медицинские центры, и согласования для каждой больницы плана повышения квалификации по вопросам межкультурного взаимодействия на 2010</w:t>
      </w:r>
      <w:r w:rsidR="002B7B9B">
        <w:t>−</w:t>
      </w:r>
      <w:r w:rsidRPr="00BA0AD1">
        <w:t>2011 годы; по воссозд</w:t>
      </w:r>
      <w:r w:rsidRPr="00BA0AD1">
        <w:t>а</w:t>
      </w:r>
      <w:r w:rsidRPr="00BA0AD1">
        <w:t>нию Межминистерского совета с участием организаций коренного населения, который занимался бы согласованием мер государственной политики, осущес</w:t>
      </w:r>
      <w:r w:rsidRPr="00BA0AD1">
        <w:t>т</w:t>
      </w:r>
      <w:r w:rsidRPr="00BA0AD1">
        <w:t>влением проектов, инициатив, программ и мер совместно с коренными народ</w:t>
      </w:r>
      <w:r w:rsidRPr="00BA0AD1">
        <w:t>а</w:t>
      </w:r>
      <w:r w:rsidRPr="00BA0AD1">
        <w:t>ми по расширению масштабов привлечения на работу инструкторов по защите здоровья коренного населения и их обучению, чтобы удовлетворить потребн</w:t>
      </w:r>
      <w:r w:rsidRPr="00BA0AD1">
        <w:t>о</w:t>
      </w:r>
      <w:r w:rsidRPr="00BA0AD1">
        <w:t>сти всех общин коренного населения страны; по разработке протоколов оказ</w:t>
      </w:r>
      <w:r w:rsidRPr="00BA0AD1">
        <w:t>а</w:t>
      </w:r>
      <w:r w:rsidRPr="00BA0AD1">
        <w:t>ния медицинской помощи коренным народам с учетом их культурных особе</w:t>
      </w:r>
      <w:r w:rsidRPr="00BA0AD1">
        <w:t>н</w:t>
      </w:r>
      <w:r w:rsidRPr="00BA0AD1">
        <w:t>ностей; по организации работы системы связей с санитарными инструкторами и по проведению учебно-информационной кампании по проблемам недопущ</w:t>
      </w:r>
      <w:r w:rsidRPr="00BA0AD1">
        <w:t>е</w:t>
      </w:r>
      <w:r w:rsidRPr="00BA0AD1">
        <w:t>ния дискриминации коренного населения при оказании им медицинской пом</w:t>
      </w:r>
      <w:r w:rsidRPr="00BA0AD1">
        <w:t>о</w:t>
      </w:r>
      <w:r w:rsidRPr="00BA0AD1">
        <w:t>щи.</w:t>
      </w:r>
    </w:p>
    <w:p w:rsidR="00BA0AD1" w:rsidRPr="007D2776" w:rsidRDefault="00BA0AD1" w:rsidP="007D2776">
      <w:pPr>
        <w:pStyle w:val="H23GR"/>
      </w:pPr>
      <w:r w:rsidRPr="007D2776">
        <w:tab/>
        <w:t>4.</w:t>
      </w:r>
      <w:r w:rsidRPr="007D2776">
        <w:tab/>
        <w:t>ВИЧ/СПИД: эпидемиологическая ситуация</w:t>
      </w:r>
    </w:p>
    <w:p w:rsidR="00BA0AD1" w:rsidRPr="00BA0AD1" w:rsidRDefault="00BA0AD1" w:rsidP="00BA0AD1">
      <w:pPr>
        <w:pStyle w:val="SingleTxtGR"/>
      </w:pPr>
      <w:r w:rsidRPr="00BA0AD1">
        <w:t>253.</w:t>
      </w:r>
      <w:r w:rsidRPr="00BA0AD1">
        <w:tab/>
        <w:t>В рамках Национальной программы по борьбе с ВИЧ/</w:t>
      </w:r>
      <w:proofErr w:type="spellStart"/>
      <w:r w:rsidRPr="00BA0AD1">
        <w:t>СПИДом</w:t>
      </w:r>
      <w:proofErr w:type="spellEnd"/>
      <w:r w:rsidRPr="00BA0AD1">
        <w:t>/ЗППП (ПРОНАСИДА) принимаются меры по координации, созданию альянсов с гос</w:t>
      </w:r>
      <w:r w:rsidRPr="00BA0AD1">
        <w:t>у</w:t>
      </w:r>
      <w:r w:rsidRPr="00BA0AD1">
        <w:t>дарственными учреждениями и организациями гражданского общества, а также с ВИЧ-инфицированными лицами (ВИЧ-ИЛ) и проведению совместных мер</w:t>
      </w:r>
      <w:r w:rsidRPr="00BA0AD1">
        <w:t>о</w:t>
      </w:r>
      <w:r w:rsidRPr="00BA0AD1">
        <w:t>приятий с их участием. В задачи Программы входит включение проблем бор</w:t>
      </w:r>
      <w:r w:rsidRPr="00BA0AD1">
        <w:t>ь</w:t>
      </w:r>
      <w:r w:rsidRPr="00BA0AD1">
        <w:t>бы с ВИЧ/</w:t>
      </w:r>
      <w:proofErr w:type="spellStart"/>
      <w:r w:rsidRPr="00BA0AD1">
        <w:t>СПИДом</w:t>
      </w:r>
      <w:proofErr w:type="spellEnd"/>
      <w:r w:rsidRPr="00BA0AD1">
        <w:t xml:space="preserve"> в повестку дня работы местных органов власти в лице м</w:t>
      </w:r>
      <w:r w:rsidRPr="00BA0AD1">
        <w:t>е</w:t>
      </w:r>
      <w:r w:rsidRPr="00BA0AD1">
        <w:t>стных Советов по здравоохранению, входящих в Национальную систему здр</w:t>
      </w:r>
      <w:r w:rsidRPr="00BA0AD1">
        <w:t>а</w:t>
      </w:r>
      <w:r w:rsidRPr="00BA0AD1">
        <w:t xml:space="preserve">воохранения. </w:t>
      </w:r>
    </w:p>
    <w:p w:rsidR="00BA0AD1" w:rsidRPr="00BA0AD1" w:rsidRDefault="00BA0AD1" w:rsidP="00BA0AD1">
      <w:pPr>
        <w:pStyle w:val="SingleTxtGR"/>
      </w:pPr>
      <w:r w:rsidRPr="00BA0AD1">
        <w:t>254.</w:t>
      </w:r>
      <w:r w:rsidRPr="00BA0AD1">
        <w:tab/>
        <w:t>Согласно предложенной ВОЗ и Объединенной программой Организации Объединенных Наций по ВИЧ/</w:t>
      </w:r>
      <w:proofErr w:type="spellStart"/>
      <w:r w:rsidRPr="00BA0AD1">
        <w:t>СПИДу</w:t>
      </w:r>
      <w:proofErr w:type="spellEnd"/>
      <w:r w:rsidRPr="00BA0AD1">
        <w:t xml:space="preserve"> (ЮНЭЙДС) классификации эпидемий по типам, выделяемым на основании данных о степени распространения в опред</w:t>
      </w:r>
      <w:r w:rsidRPr="00BA0AD1">
        <w:t>е</w:t>
      </w:r>
      <w:r w:rsidRPr="00BA0AD1">
        <w:t>ленных группах населения, а также судя по данным, которые имеются к н</w:t>
      </w:r>
      <w:r w:rsidRPr="00BA0AD1">
        <w:t>а</w:t>
      </w:r>
      <w:r w:rsidRPr="00BA0AD1">
        <w:t>стоящему времени, в Парагвае имеет место локальная эпидемия.</w:t>
      </w:r>
    </w:p>
    <w:p w:rsidR="00BA0AD1" w:rsidRPr="00BA0AD1" w:rsidRDefault="00BA0AD1" w:rsidP="00BA0AD1">
      <w:pPr>
        <w:pStyle w:val="SingleTxtGR"/>
      </w:pPr>
      <w:r w:rsidRPr="00BA0AD1">
        <w:t>255.</w:t>
      </w:r>
      <w:r w:rsidRPr="00BA0AD1">
        <w:tab/>
        <w:t>По состоянию на декабрь 2009 года в стране было поставлено на учет 7932 носителя ВИЧ/</w:t>
      </w:r>
      <w:proofErr w:type="spellStart"/>
      <w:r w:rsidRPr="00BA0AD1">
        <w:t>СПИДа</w:t>
      </w:r>
      <w:proofErr w:type="spellEnd"/>
      <w:r w:rsidRPr="00BA0AD1">
        <w:t>, из которых 35,5</w:t>
      </w:r>
      <w:r w:rsidR="004849A7">
        <w:t>%</w:t>
      </w:r>
      <w:r w:rsidRPr="00BA0AD1">
        <w:t>, или 2621 человек, бол</w:t>
      </w:r>
      <w:r w:rsidRPr="00BA0AD1">
        <w:t>ь</w:t>
      </w:r>
      <w:r w:rsidRPr="00BA0AD1">
        <w:t xml:space="preserve">ны </w:t>
      </w:r>
      <w:proofErr w:type="spellStart"/>
      <w:r w:rsidRPr="00BA0AD1">
        <w:t>СПИДом</w:t>
      </w:r>
      <w:proofErr w:type="spellEnd"/>
      <w:r w:rsidRPr="00BA0AD1">
        <w:t>, 59,9</w:t>
      </w:r>
      <w:r w:rsidR="004849A7">
        <w:t>%</w:t>
      </w:r>
      <w:r w:rsidRPr="00BA0AD1">
        <w:t>, или 5193 человека, являются ВИЧ-инфицированными, а ст</w:t>
      </w:r>
      <w:r w:rsidRPr="00BA0AD1">
        <w:t>а</w:t>
      </w:r>
      <w:r w:rsidRPr="00BA0AD1">
        <w:t>тус еще 554 человек неизвестен. Еще 1641 зарегистрированы как сконча</w:t>
      </w:r>
      <w:r w:rsidRPr="00BA0AD1">
        <w:t>в</w:t>
      </w:r>
      <w:r w:rsidRPr="00BA0AD1">
        <w:t>шиеся, и в результате общее число случаев ВИЧ/</w:t>
      </w:r>
      <w:proofErr w:type="spellStart"/>
      <w:r w:rsidRPr="00BA0AD1">
        <w:t>СПИДа</w:t>
      </w:r>
      <w:proofErr w:type="spellEnd"/>
      <w:r w:rsidRPr="00BA0AD1">
        <w:t xml:space="preserve"> достигает 9573.</w:t>
      </w:r>
    </w:p>
    <w:p w:rsidR="00BA0AD1" w:rsidRPr="00BA0AD1" w:rsidRDefault="00BA0AD1" w:rsidP="00BA0AD1">
      <w:pPr>
        <w:pStyle w:val="SingleTxtGR"/>
      </w:pPr>
      <w:r w:rsidRPr="00BA0AD1">
        <w:t>256.</w:t>
      </w:r>
      <w:r w:rsidRPr="00BA0AD1">
        <w:tab/>
        <w:t>Анализ всех зарегистрированных случаев в разбивке по полу и пути з</w:t>
      </w:r>
      <w:r w:rsidRPr="00BA0AD1">
        <w:t>а</w:t>
      </w:r>
      <w:r w:rsidRPr="00BA0AD1">
        <w:t>ражения показывает, что 86</w:t>
      </w:r>
      <w:r w:rsidR="004849A7">
        <w:t xml:space="preserve">% </w:t>
      </w:r>
      <w:r w:rsidRPr="00BA0AD1">
        <w:t>мужчин заразились половым путем, в том числе 55,5</w:t>
      </w:r>
      <w:r w:rsidR="004849A7">
        <w:t xml:space="preserve">% </w:t>
      </w:r>
      <w:r w:rsidR="002B7B9B">
        <w:t>−</w:t>
      </w:r>
      <w:r w:rsidRPr="00BA0AD1">
        <w:t xml:space="preserve"> при гетеросексуальных контактах, 37,5</w:t>
      </w:r>
      <w:r w:rsidR="004849A7">
        <w:t xml:space="preserve">% </w:t>
      </w:r>
      <w:r w:rsidR="002B7B9B">
        <w:t>−</w:t>
      </w:r>
      <w:r w:rsidRPr="00BA0AD1">
        <w:t xml:space="preserve"> при гомосексуальных ко</w:t>
      </w:r>
      <w:r w:rsidRPr="00BA0AD1">
        <w:t>н</w:t>
      </w:r>
      <w:r w:rsidRPr="00BA0AD1">
        <w:t>тактах, а 7</w:t>
      </w:r>
      <w:r w:rsidR="004849A7">
        <w:t xml:space="preserve">% </w:t>
      </w:r>
      <w:r w:rsidR="002B7B9B">
        <w:t>−</w:t>
      </w:r>
      <w:r w:rsidRPr="00BA0AD1">
        <w:t xml:space="preserve"> при бисексуальных контактах. 2</w:t>
      </w:r>
      <w:r w:rsidR="004849A7">
        <w:t xml:space="preserve">% </w:t>
      </w:r>
      <w:r w:rsidRPr="00BA0AD1">
        <w:t>заразились перинатально, а</w:t>
      </w:r>
      <w:r w:rsidR="00B85E64">
        <w:t> </w:t>
      </w:r>
      <w:r w:rsidRPr="00BA0AD1">
        <w:t>3</w:t>
      </w:r>
      <w:r w:rsidR="004849A7">
        <w:t xml:space="preserve">% </w:t>
      </w:r>
      <w:r w:rsidR="002B7B9B">
        <w:t>−</w:t>
      </w:r>
      <w:r w:rsidRPr="00BA0AD1">
        <w:t xml:space="preserve"> вследствие контакта с инфицированной кровью и другими жидкостями. Что касается путей заражения женщин, то 88</w:t>
      </w:r>
      <w:r w:rsidR="004849A7">
        <w:t xml:space="preserve">% </w:t>
      </w:r>
      <w:r w:rsidRPr="00BA0AD1">
        <w:t>были инфицированы при гет</w:t>
      </w:r>
      <w:r w:rsidRPr="00BA0AD1">
        <w:t>е</w:t>
      </w:r>
      <w:r w:rsidRPr="00BA0AD1">
        <w:t>росексуальных контактах, 2</w:t>
      </w:r>
      <w:r w:rsidR="004849A7">
        <w:t xml:space="preserve">% </w:t>
      </w:r>
      <w:r w:rsidR="002B7B9B">
        <w:t>−</w:t>
      </w:r>
      <w:r w:rsidRPr="00BA0AD1">
        <w:t xml:space="preserve"> в результате передачи инфекции от матери р</w:t>
      </w:r>
      <w:r w:rsidRPr="00BA0AD1">
        <w:t>е</w:t>
      </w:r>
      <w:r w:rsidRPr="00BA0AD1">
        <w:t>бенку и 2</w:t>
      </w:r>
      <w:r w:rsidR="004849A7">
        <w:t xml:space="preserve">% </w:t>
      </w:r>
      <w:r w:rsidR="002B7B9B">
        <w:t>−</w:t>
      </w:r>
      <w:r w:rsidRPr="00BA0AD1">
        <w:t xml:space="preserve"> через кровь и/или при употреблении наркотиков путем инъе</w:t>
      </w:r>
      <w:r w:rsidRPr="00BA0AD1">
        <w:t>к</w:t>
      </w:r>
      <w:r w:rsidRPr="00BA0AD1">
        <w:t>ций</w:t>
      </w:r>
      <w:r w:rsidRPr="007713F6">
        <w:rPr>
          <w:sz w:val="18"/>
          <w:szCs w:val="18"/>
          <w:vertAlign w:val="superscript"/>
        </w:rPr>
        <w:footnoteReference w:id="39"/>
      </w:r>
      <w:r w:rsidRPr="00BA0AD1">
        <w:t>.</w:t>
      </w:r>
    </w:p>
    <w:p w:rsidR="00BA0AD1" w:rsidRPr="00BA0AD1" w:rsidRDefault="00BA0AD1" w:rsidP="00F96D53">
      <w:pPr>
        <w:pStyle w:val="SingleTxtGR"/>
        <w:keepLines/>
      </w:pPr>
      <w:r w:rsidRPr="00BA0AD1">
        <w:t>257.</w:t>
      </w:r>
      <w:r w:rsidRPr="00BA0AD1">
        <w:tab/>
        <w:t>Что касается доли ВИЧ-инфицированных среди беременных женщин в возрасте 15 лет и старше, то исследования, проведенные к настоящему времени, не дают возможности определить показатели распространенности ВИЧ в во</w:t>
      </w:r>
      <w:r w:rsidRPr="00BA0AD1">
        <w:t>з</w:t>
      </w:r>
      <w:r w:rsidRPr="00BA0AD1">
        <w:t>растной группе от 15 до 24 лет</w:t>
      </w:r>
      <w:r w:rsidRPr="007713F6">
        <w:rPr>
          <w:sz w:val="18"/>
          <w:szCs w:val="18"/>
          <w:vertAlign w:val="superscript"/>
        </w:rPr>
        <w:footnoteReference w:id="40"/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258.</w:t>
      </w:r>
      <w:r w:rsidRPr="00BA0AD1">
        <w:tab/>
        <w:t>Показатели распространенности ВИЧ-инфекции среди населения в во</w:t>
      </w:r>
      <w:r w:rsidRPr="00BA0AD1">
        <w:t>з</w:t>
      </w:r>
      <w:r w:rsidRPr="00BA0AD1">
        <w:t>расте от 15 до 19 и от 20 до 24 лет в период между 2000 и 2009 годами росли. В</w:t>
      </w:r>
      <w:r w:rsidR="00B85E64">
        <w:t> </w:t>
      </w:r>
      <w:r w:rsidRPr="00BA0AD1">
        <w:t>возрастной группе от 15 до 19 лет они выросли с 4,54 до 8,99 на 100 000 ч</w:t>
      </w:r>
      <w:r w:rsidRPr="00BA0AD1">
        <w:t>е</w:t>
      </w:r>
      <w:r w:rsidRPr="00BA0AD1">
        <w:t xml:space="preserve">ловек населения, а в возрастной группе от 20 до 24 лет </w:t>
      </w:r>
      <w:r w:rsidR="002B7B9B">
        <w:t>−</w:t>
      </w:r>
      <w:r w:rsidRPr="00BA0AD1">
        <w:t xml:space="preserve"> с 12,27 до 25,91 на 100 000 человек. Увеличение числа зарегистрированных случаев инфициров</w:t>
      </w:r>
      <w:r w:rsidRPr="00BA0AD1">
        <w:t>а</w:t>
      </w:r>
      <w:r w:rsidRPr="00BA0AD1">
        <w:t>ния обусловлено двумя факторами: улучшением системы учета и извещений и расширением доступности анализов на ВИЧ для населения. Это является д</w:t>
      </w:r>
      <w:r w:rsidRPr="00BA0AD1">
        <w:t>о</w:t>
      </w:r>
      <w:r w:rsidRPr="00BA0AD1">
        <w:t>полнительными факторами, влияющими на оценку хода работы по достижению соответствующего целевого показателя</w:t>
      </w:r>
      <w:r w:rsidRPr="007713F6">
        <w:rPr>
          <w:sz w:val="18"/>
          <w:szCs w:val="18"/>
          <w:vertAlign w:val="superscript"/>
        </w:rPr>
        <w:footnoteReference w:id="41"/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259.</w:t>
      </w:r>
      <w:r w:rsidRPr="00BA0AD1">
        <w:tab/>
        <w:t>Благодаря, в частности, тому, что в течение пятилетнего периода 2005</w:t>
      </w:r>
      <w:r w:rsidR="002B7B9B">
        <w:t>−</w:t>
      </w:r>
      <w:r w:rsidRPr="00BA0AD1">
        <w:t>2009 годов удалось повысить согласованность и надежность данных, в</w:t>
      </w:r>
      <w:r w:rsidR="00B85E64">
        <w:t> </w:t>
      </w:r>
      <w:r w:rsidRPr="00BA0AD1">
        <w:t>2009 году число вновь выявленных ВИЧ-инфицированных увеличилось по сравнению с 2005 годом на 71</w:t>
      </w:r>
      <w:r w:rsidR="004849A7">
        <w:t>%</w:t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260.</w:t>
      </w:r>
      <w:r w:rsidRPr="00BA0AD1">
        <w:tab/>
        <w:t>Расширились доступность и масштабы проведения анализов на ВИЧ и сифилис. С конца 2005 года в рамках Программы предупреждения передачи ВИЧ-инфекции от матери ребенку (ППМР) принимаются меры по предупре</w:t>
      </w:r>
      <w:r w:rsidRPr="00BA0AD1">
        <w:t>ж</w:t>
      </w:r>
      <w:r w:rsidRPr="00BA0AD1">
        <w:t>дению заражения беременных женщин ВИЧ-инфекцией и сифилисом, а с н</w:t>
      </w:r>
      <w:r w:rsidRPr="00BA0AD1">
        <w:t>е</w:t>
      </w:r>
      <w:r w:rsidRPr="00BA0AD1">
        <w:t>давнего времени в дополнение к этим мерам ведется работа по созданию це</w:t>
      </w:r>
      <w:r w:rsidRPr="00BA0AD1">
        <w:t>н</w:t>
      </w:r>
      <w:r w:rsidRPr="00BA0AD1">
        <w:t>тров добровольного тестирования (ЦДТ) на ВИЧ-инфекцию и служб комплек</w:t>
      </w:r>
      <w:r w:rsidRPr="00BA0AD1">
        <w:t>с</w:t>
      </w:r>
      <w:r w:rsidRPr="00BA0AD1">
        <w:t>ной медицинской помощи (СКМП) в других санитарных округах страны.</w:t>
      </w:r>
    </w:p>
    <w:p w:rsidR="00BA0AD1" w:rsidRPr="00BA0AD1" w:rsidRDefault="00BA0AD1" w:rsidP="00BA0AD1">
      <w:pPr>
        <w:pStyle w:val="SingleTxtGR"/>
      </w:pPr>
      <w:r w:rsidRPr="00BA0AD1">
        <w:t>261.</w:t>
      </w:r>
      <w:r w:rsidRPr="00BA0AD1">
        <w:tab/>
        <w:t xml:space="preserve">Первые официальные подсчеты числа ВИЧ-инфицированных и больных </w:t>
      </w:r>
      <w:proofErr w:type="spellStart"/>
      <w:r w:rsidRPr="00BA0AD1">
        <w:t>СПИДом</w:t>
      </w:r>
      <w:proofErr w:type="spellEnd"/>
      <w:r w:rsidRPr="00BA0AD1">
        <w:t xml:space="preserve"> в стране были произведены в 2002</w:t>
      </w:r>
      <w:r w:rsidR="002B7B9B">
        <w:t>−</w:t>
      </w:r>
      <w:r w:rsidRPr="00BA0AD1">
        <w:t>2003 годах. Информационная пр</w:t>
      </w:r>
      <w:r w:rsidRPr="00BA0AD1">
        <w:t>о</w:t>
      </w:r>
      <w:r w:rsidRPr="00BA0AD1">
        <w:t>грамма, на основе которой проводятся эти подсчеты, была подготовлена Раб</w:t>
      </w:r>
      <w:r w:rsidRPr="00BA0AD1">
        <w:t>о</w:t>
      </w:r>
      <w:r w:rsidRPr="00BA0AD1">
        <w:t>чей группой ВОЗ/ЮНЭЙДС по глобальному эпидемиологическому надзору за ВИЧ/</w:t>
      </w:r>
      <w:proofErr w:type="spellStart"/>
      <w:r w:rsidRPr="00BA0AD1">
        <w:t>СПИДом</w:t>
      </w:r>
      <w:proofErr w:type="spellEnd"/>
      <w:r w:rsidRPr="00BA0AD1">
        <w:t xml:space="preserve"> и ЗППП. Такие подсчеты производятся каждые два года.</w:t>
      </w:r>
    </w:p>
    <w:p w:rsidR="00BA0AD1" w:rsidRPr="00BA0AD1" w:rsidRDefault="00BA0AD1" w:rsidP="00BA0AD1">
      <w:pPr>
        <w:pStyle w:val="SingleTxtGR"/>
      </w:pPr>
      <w:r w:rsidRPr="00BA0AD1">
        <w:t>262.</w:t>
      </w:r>
      <w:r w:rsidRPr="00BA0AD1">
        <w:tab/>
        <w:t>По данным последней оценки, проведенной в 2009 году, в стране насч</w:t>
      </w:r>
      <w:r w:rsidRPr="00BA0AD1">
        <w:t>и</w:t>
      </w:r>
      <w:r w:rsidRPr="00BA0AD1">
        <w:t xml:space="preserve">тывается 13 тыс. ВИЧ-инфицированных и больных </w:t>
      </w:r>
      <w:proofErr w:type="spellStart"/>
      <w:r w:rsidRPr="00BA0AD1">
        <w:t>СПИДом</w:t>
      </w:r>
      <w:proofErr w:type="spellEnd"/>
      <w:r w:rsidRPr="00BA0AD1">
        <w:t xml:space="preserve"> </w:t>
      </w:r>
      <w:r w:rsidR="002B7B9B">
        <w:t>−</w:t>
      </w:r>
      <w:r w:rsidRPr="00BA0AD1">
        <w:t xml:space="preserve"> взрослых и д</w:t>
      </w:r>
      <w:r w:rsidRPr="00BA0AD1">
        <w:t>е</w:t>
      </w:r>
      <w:r w:rsidRPr="00BA0AD1">
        <w:t>тей.</w:t>
      </w:r>
    </w:p>
    <w:p w:rsidR="00BA0AD1" w:rsidRPr="00BA0AD1" w:rsidRDefault="00BA0AD1" w:rsidP="00BA0AD1">
      <w:pPr>
        <w:pStyle w:val="SingleTxtGR"/>
      </w:pPr>
      <w:r w:rsidRPr="00BA0AD1">
        <w:t>263.</w:t>
      </w:r>
      <w:r w:rsidRPr="00BA0AD1">
        <w:tab/>
        <w:t>Разрыв между числом зарегистрированных ВИЧ-ИЛ и их числом, рассч</w:t>
      </w:r>
      <w:r w:rsidRPr="00BA0AD1">
        <w:t>и</w:t>
      </w:r>
      <w:r w:rsidRPr="00BA0AD1">
        <w:t>тываемым по материалам оценок, в период с 2005 по 2009 год сократился с 71 до 40</w:t>
      </w:r>
      <w:r w:rsidR="004849A7">
        <w:t>%</w:t>
      </w:r>
      <w:r w:rsidRPr="00BA0AD1">
        <w:t>. Это стало возможным благодаря стратегиям, которые осуществляет МЗСО в рамках ПРОНАСИДА, а также благодаря улучшению качества данных, собираемых в ходе оценок и используемых как основа для расчетов</w:t>
      </w:r>
      <w:r w:rsidRPr="007713F6">
        <w:rPr>
          <w:sz w:val="18"/>
          <w:szCs w:val="18"/>
          <w:vertAlign w:val="superscript"/>
        </w:rPr>
        <w:footnoteReference w:id="42"/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264.</w:t>
      </w:r>
      <w:r w:rsidRPr="00BA0AD1">
        <w:tab/>
        <w:t>В 2009 году доступ к лекарственным препаратам имели 63</w:t>
      </w:r>
      <w:r w:rsidR="004849A7">
        <w:t xml:space="preserve">% </w:t>
      </w:r>
      <w:r w:rsidRPr="00BA0AD1">
        <w:t>лиц с пр</w:t>
      </w:r>
      <w:r w:rsidRPr="00BA0AD1">
        <w:t>о</w:t>
      </w:r>
      <w:r w:rsidRPr="00BA0AD1">
        <w:t>грессирующим заболеванием, что в три раза превысило показатель 2005 года.</w:t>
      </w:r>
    </w:p>
    <w:p w:rsidR="00BA0AD1" w:rsidRPr="00BA0AD1" w:rsidRDefault="00BA0AD1" w:rsidP="00BA0AD1">
      <w:pPr>
        <w:pStyle w:val="SingleTxtGR"/>
      </w:pPr>
      <w:r w:rsidRPr="00BA0AD1">
        <w:t>265.</w:t>
      </w:r>
      <w:r w:rsidRPr="00BA0AD1">
        <w:tab/>
        <w:t xml:space="preserve">Доступ ВИЧ-ИЛ к </w:t>
      </w:r>
      <w:proofErr w:type="spellStart"/>
      <w:r w:rsidRPr="00BA0AD1">
        <w:t>антиретровирусной</w:t>
      </w:r>
      <w:proofErr w:type="spellEnd"/>
      <w:r w:rsidRPr="00BA0AD1">
        <w:t xml:space="preserve"> терапии удалось расширить благ</w:t>
      </w:r>
      <w:r w:rsidRPr="00BA0AD1">
        <w:t>о</w:t>
      </w:r>
      <w:r w:rsidRPr="00BA0AD1">
        <w:t>даря следующим мероприятиям: расширение доступа групп населения на</w:t>
      </w:r>
      <w:r w:rsidRPr="00BA0AD1">
        <w:t>и</w:t>
      </w:r>
      <w:r w:rsidRPr="00BA0AD1">
        <w:t>большего риска (ГННР) к диагностике ВИЧ-инфекции и лечению с применен</w:t>
      </w:r>
      <w:r w:rsidRPr="00BA0AD1">
        <w:t>и</w:t>
      </w:r>
      <w:r w:rsidRPr="00BA0AD1">
        <w:t xml:space="preserve">ем </w:t>
      </w:r>
      <w:proofErr w:type="spellStart"/>
      <w:r w:rsidRPr="00BA0AD1">
        <w:t>антиретровирусных</w:t>
      </w:r>
      <w:proofErr w:type="spellEnd"/>
      <w:r w:rsidRPr="00BA0AD1">
        <w:t xml:space="preserve"> препаратов; предоставление службами комплексной м</w:t>
      </w:r>
      <w:r w:rsidRPr="00BA0AD1">
        <w:t>е</w:t>
      </w:r>
      <w:r w:rsidRPr="00BA0AD1">
        <w:t>дицинской помощи Парагвая медицинских услуг для ВИЧ-ИЛ и децентрализ</w:t>
      </w:r>
      <w:r w:rsidRPr="00BA0AD1">
        <w:t>а</w:t>
      </w:r>
      <w:r w:rsidRPr="00BA0AD1">
        <w:t xml:space="preserve">ция услуг </w:t>
      </w:r>
      <w:proofErr w:type="spellStart"/>
      <w:r w:rsidRPr="00BA0AD1">
        <w:t>антиретровирусной</w:t>
      </w:r>
      <w:proofErr w:type="spellEnd"/>
      <w:r w:rsidRPr="00BA0AD1">
        <w:t xml:space="preserve"> терапии; повышение эффективности хранения и распределения </w:t>
      </w:r>
      <w:proofErr w:type="spellStart"/>
      <w:r w:rsidRPr="00BA0AD1">
        <w:t>антиретровирусных</w:t>
      </w:r>
      <w:proofErr w:type="spellEnd"/>
      <w:r w:rsidRPr="00BA0AD1">
        <w:t xml:space="preserve"> препаратов, совершенствование профила</w:t>
      </w:r>
      <w:r w:rsidRPr="00BA0AD1">
        <w:t>к</w:t>
      </w:r>
      <w:r w:rsidRPr="00BA0AD1">
        <w:t>тической работы и служб комплексной медицинской помощи в санитарных о</w:t>
      </w:r>
      <w:r w:rsidRPr="00BA0AD1">
        <w:t>к</w:t>
      </w:r>
      <w:r w:rsidRPr="00BA0AD1">
        <w:t>ругах; постепенное включение мер по борьбе с ВИЧ/</w:t>
      </w:r>
      <w:proofErr w:type="spellStart"/>
      <w:r w:rsidRPr="00BA0AD1">
        <w:t>СПИДом</w:t>
      </w:r>
      <w:proofErr w:type="spellEnd"/>
      <w:r w:rsidRPr="00BA0AD1">
        <w:t>/ЗППП в перечень услуг, предоставляемых службами первичной медико-санитарной помощи (ПМСП).</w:t>
      </w:r>
    </w:p>
    <w:p w:rsidR="00BA0AD1" w:rsidRPr="00BA0AD1" w:rsidRDefault="00BA0AD1" w:rsidP="00BA0AD1">
      <w:pPr>
        <w:pStyle w:val="SingleTxtGR"/>
      </w:pPr>
      <w:r w:rsidRPr="00BA0AD1">
        <w:t>266.</w:t>
      </w:r>
      <w:r w:rsidRPr="00BA0AD1">
        <w:tab/>
        <w:t>Для достижения одной из Целей развития тысячелетия МЗСО в рамках реализуемой им Национальной программы по борьбе с ВИЧ/</w:t>
      </w:r>
      <w:proofErr w:type="spellStart"/>
      <w:r w:rsidRPr="00BA0AD1">
        <w:t>СПИДом</w:t>
      </w:r>
      <w:proofErr w:type="spellEnd"/>
      <w:r w:rsidRPr="00BA0AD1">
        <w:t>/ЗППП расширяет доступ женщин к анализам на ВИЧ-инфекцию, чтобы не допустить тем самым передачи инфекции от матери ребенку. В результате в настоящее время в большинстве вновь выявляемых случаев инфекция была передана гет</w:t>
      </w:r>
      <w:r w:rsidRPr="00BA0AD1">
        <w:t>е</w:t>
      </w:r>
      <w:r w:rsidRPr="00BA0AD1">
        <w:t>росексуальным путем.</w:t>
      </w:r>
    </w:p>
    <w:p w:rsidR="00BA0AD1" w:rsidRPr="00BA0AD1" w:rsidRDefault="00BA0AD1" w:rsidP="00BA0AD1">
      <w:pPr>
        <w:pStyle w:val="SingleTxtGR"/>
      </w:pPr>
      <w:r w:rsidRPr="00BA0AD1">
        <w:t>267.</w:t>
      </w:r>
      <w:r w:rsidRPr="00BA0AD1">
        <w:tab/>
        <w:t>В настоящее время продолжается осуществление Стратегического плана национальных действий (СПНД) по борьбе с инфекциями, передаваемыми п</w:t>
      </w:r>
      <w:r w:rsidRPr="00BA0AD1">
        <w:t>о</w:t>
      </w:r>
      <w:r w:rsidRPr="00BA0AD1">
        <w:t xml:space="preserve">ловым путем, ВИЧ и </w:t>
      </w:r>
      <w:proofErr w:type="spellStart"/>
      <w:r w:rsidRPr="00BA0AD1">
        <w:t>СПИДом</w:t>
      </w:r>
      <w:proofErr w:type="spellEnd"/>
      <w:r w:rsidRPr="00BA0AD1">
        <w:t xml:space="preserve"> на 2008</w:t>
      </w:r>
      <w:r w:rsidR="002B7B9B">
        <w:t>−</w:t>
      </w:r>
      <w:r w:rsidRPr="00BA0AD1">
        <w:t>2012 годы. Основная задача, поставле</w:t>
      </w:r>
      <w:r w:rsidRPr="00BA0AD1">
        <w:t>н</w:t>
      </w:r>
      <w:r w:rsidRPr="00BA0AD1">
        <w:t>ная в этом документе, заключается в сокращении к 2012 году в Парагвае ма</w:t>
      </w:r>
      <w:r w:rsidRPr="00BA0AD1">
        <w:t>с</w:t>
      </w:r>
      <w:r w:rsidRPr="00BA0AD1">
        <w:t>штабов эпидемии ВИЧ/</w:t>
      </w:r>
      <w:proofErr w:type="spellStart"/>
      <w:r w:rsidRPr="00BA0AD1">
        <w:t>СПИДа</w:t>
      </w:r>
      <w:proofErr w:type="spellEnd"/>
      <w:r w:rsidRPr="00BA0AD1">
        <w:t xml:space="preserve"> и заболеваний, передаваемых половым путем, среди населения в целом. Особое внимание при этом должно уделяться уязв</w:t>
      </w:r>
      <w:r w:rsidRPr="00BA0AD1">
        <w:t>и</w:t>
      </w:r>
      <w:r w:rsidRPr="00BA0AD1">
        <w:t>мым категориям населения, с тем чтобы обеспечить универсальный доступ к мерам профилактики и комплексной медицинской помощи и улучшить тем с</w:t>
      </w:r>
      <w:r w:rsidRPr="00BA0AD1">
        <w:t>а</w:t>
      </w:r>
      <w:r w:rsidRPr="00BA0AD1">
        <w:t>мым качество жизни ВИЧ-инфицированных лиц в рамках проведения широких, комплексных и целенаправленных национальных действий с применением по</w:t>
      </w:r>
      <w:r w:rsidRPr="00BA0AD1">
        <w:t>д</w:t>
      </w:r>
      <w:r w:rsidRPr="00BA0AD1">
        <w:t xml:space="preserve">хода с позиций прав человека, обеспечения равенства и учета </w:t>
      </w:r>
      <w:proofErr w:type="spellStart"/>
      <w:r w:rsidRPr="00BA0AD1">
        <w:t>гендерного</w:t>
      </w:r>
      <w:proofErr w:type="spellEnd"/>
      <w:r w:rsidRPr="00BA0AD1">
        <w:t xml:space="preserve"> фа</w:t>
      </w:r>
      <w:r w:rsidRPr="00BA0AD1">
        <w:t>к</w:t>
      </w:r>
      <w:r w:rsidRPr="00BA0AD1">
        <w:t>тора и при объединении усилий государства, гражданского общества и межд</w:t>
      </w:r>
      <w:r w:rsidRPr="00BA0AD1">
        <w:t>у</w:t>
      </w:r>
      <w:r w:rsidRPr="00BA0AD1">
        <w:t>народного сообщества под руководством МЗСО. Данным планом предусматр</w:t>
      </w:r>
      <w:r w:rsidRPr="00BA0AD1">
        <w:t>и</w:t>
      </w:r>
      <w:r w:rsidRPr="00BA0AD1">
        <w:t>ваются стратегические направления деятельности в отношении государстве</w:t>
      </w:r>
      <w:r w:rsidRPr="00BA0AD1">
        <w:t>н</w:t>
      </w:r>
      <w:r w:rsidRPr="00BA0AD1">
        <w:t>ной политики и прав человека; содействия, предупреждения и защиты, диагн</w:t>
      </w:r>
      <w:r w:rsidRPr="00BA0AD1">
        <w:t>о</w:t>
      </w:r>
      <w:r w:rsidRPr="00BA0AD1">
        <w:t xml:space="preserve">стики, помощи и лечения; институционального развития и администрирования; эпидемиологической информации стратегического характера; гармонизации и межведомственного взаимодействия; мониторинга и оценки. </w:t>
      </w:r>
    </w:p>
    <w:p w:rsidR="00BA0AD1" w:rsidRPr="007D2776" w:rsidRDefault="00BA0AD1" w:rsidP="007D2776">
      <w:pPr>
        <w:pStyle w:val="H23GR"/>
      </w:pPr>
      <w:r w:rsidRPr="007D2776">
        <w:tab/>
        <w:t>5.</w:t>
      </w:r>
      <w:r w:rsidRPr="007D2776">
        <w:tab/>
        <w:t>Закон о борьбе с ВИЧ/</w:t>
      </w:r>
      <w:proofErr w:type="spellStart"/>
      <w:r w:rsidRPr="007D2776">
        <w:t>СПИДом</w:t>
      </w:r>
      <w:proofErr w:type="spellEnd"/>
    </w:p>
    <w:p w:rsidR="00BA0AD1" w:rsidRPr="00BA0AD1" w:rsidRDefault="00BA0AD1" w:rsidP="00BA0AD1">
      <w:pPr>
        <w:pStyle w:val="SingleTxtGR"/>
      </w:pPr>
      <w:r w:rsidRPr="00BA0AD1">
        <w:t>268.</w:t>
      </w:r>
      <w:r w:rsidRPr="00BA0AD1">
        <w:tab/>
        <w:t>В 2009 году был принят Закон № 3940/09, определивший права, обяза</w:t>
      </w:r>
      <w:r w:rsidRPr="00BA0AD1">
        <w:t>н</w:t>
      </w:r>
      <w:r w:rsidRPr="00BA0AD1">
        <w:t>ности и профилактические меры в связи с последствиями распространения в</w:t>
      </w:r>
      <w:r w:rsidRPr="00BA0AD1">
        <w:t>и</w:t>
      </w:r>
      <w:r w:rsidRPr="00BA0AD1">
        <w:t xml:space="preserve">руса иммунодефицита человека и синдрома приобретенного иммунодефицита и имеющий целью обеспечить уважение, осуществление и защиту прав человека в ходе лечения ВИЧ-инфицированных и больных </w:t>
      </w:r>
      <w:proofErr w:type="spellStart"/>
      <w:r w:rsidRPr="00BA0AD1">
        <w:t>СПИДом</w:t>
      </w:r>
      <w:proofErr w:type="spellEnd"/>
      <w:r w:rsidRPr="00BA0AD1">
        <w:t xml:space="preserve"> лиц, а также опред</w:t>
      </w:r>
      <w:r w:rsidRPr="00BA0AD1">
        <w:t>е</w:t>
      </w:r>
      <w:r w:rsidRPr="00BA0AD1">
        <w:t>лить круг мер, позволяющих предупредить распространение инфекции. Все эти меры являются частью политики государства, за проведение которой в рамках Национальной программы по борьбе с ВИЧ/</w:t>
      </w:r>
      <w:proofErr w:type="spellStart"/>
      <w:r w:rsidRPr="00BA0AD1">
        <w:t>СПИДом</w:t>
      </w:r>
      <w:proofErr w:type="spellEnd"/>
      <w:r w:rsidRPr="00BA0AD1">
        <w:t>/ЗППП (ПРОНАСИДА) отвечает в качестве руководящего органа МЗСО, а также другие государстве</w:t>
      </w:r>
      <w:r w:rsidRPr="00BA0AD1">
        <w:t>н</w:t>
      </w:r>
      <w:r w:rsidRPr="00BA0AD1">
        <w:t>ные учреждения, руководствующиеся в своей деятельности стратегическим Планом национальных действий. МЗСО содействует доступу к информации и средствам для профилактики, ухода и лечения ВИЧ/</w:t>
      </w:r>
      <w:proofErr w:type="spellStart"/>
      <w:r w:rsidRPr="00BA0AD1">
        <w:t>СПИДа</w:t>
      </w:r>
      <w:proofErr w:type="spellEnd"/>
      <w:r w:rsidRPr="00BA0AD1">
        <w:t>, а также ЗППП вв</w:t>
      </w:r>
      <w:r w:rsidRPr="00BA0AD1">
        <w:t>и</w:t>
      </w:r>
      <w:r w:rsidRPr="00BA0AD1">
        <w:t>ду их связи с заболеваемостью и роли в передаче ВИЧ-инфекции.</w:t>
      </w:r>
    </w:p>
    <w:p w:rsidR="00BA0AD1" w:rsidRPr="00BA0AD1" w:rsidRDefault="00BA0AD1" w:rsidP="00BA0AD1">
      <w:pPr>
        <w:pStyle w:val="SingleTxtGR"/>
      </w:pPr>
      <w:r w:rsidRPr="00BA0AD1">
        <w:t>269.</w:t>
      </w:r>
      <w:r w:rsidRPr="00BA0AD1">
        <w:tab/>
        <w:t>В Законе указано также, что частные и государственные медицинские у</w:t>
      </w:r>
      <w:r w:rsidRPr="00BA0AD1">
        <w:t>ч</w:t>
      </w:r>
      <w:r w:rsidRPr="00BA0AD1">
        <w:t>реждения всех уровней обязаны предоставлять нуждающимся ВИЧ-инфицированным лицам информацию, консультации, медицинские препараты, лечение и помощь в зависимости от степени сложности случаев и согласно пр</w:t>
      </w:r>
      <w:r w:rsidRPr="00BA0AD1">
        <w:t>о</w:t>
      </w:r>
      <w:r w:rsidRPr="00BA0AD1">
        <w:t>токолам, установленным и распространяемым в рамках ПРОНАСИДА.</w:t>
      </w:r>
    </w:p>
    <w:p w:rsidR="00BA0AD1" w:rsidRPr="00BA0AD1" w:rsidRDefault="00BA0AD1" w:rsidP="00F96D53">
      <w:pPr>
        <w:pStyle w:val="SingleTxtGR"/>
        <w:keepLines/>
      </w:pPr>
      <w:r w:rsidRPr="00BA0AD1">
        <w:t>270.</w:t>
      </w:r>
      <w:r w:rsidRPr="00BA0AD1">
        <w:tab/>
        <w:t>Также особо оговаривается запрет любых видов дискриминации и любых унижающих достоинство действий в отношении ВИЧ-инфицированных и бол</w:t>
      </w:r>
      <w:r w:rsidRPr="00BA0AD1">
        <w:t>ь</w:t>
      </w:r>
      <w:r w:rsidRPr="00BA0AD1">
        <w:t xml:space="preserve">ных </w:t>
      </w:r>
      <w:proofErr w:type="spellStart"/>
      <w:r w:rsidRPr="00BA0AD1">
        <w:t>СПИДом</w:t>
      </w:r>
      <w:proofErr w:type="spellEnd"/>
      <w:r w:rsidRPr="00BA0AD1">
        <w:t xml:space="preserve"> лиц. Кроме того, запрещается вводить ограничения прав и гара</w:t>
      </w:r>
      <w:r w:rsidRPr="00BA0AD1">
        <w:t>н</w:t>
      </w:r>
      <w:r w:rsidRPr="00BA0AD1">
        <w:t>тий или применять принудительные меры в отношении этой категории лиц, е</w:t>
      </w:r>
      <w:r w:rsidRPr="00BA0AD1">
        <w:t>с</w:t>
      </w:r>
      <w:r w:rsidRPr="00BA0AD1">
        <w:t>ли таковые осуществляются только по причине их предполагаемого или факт</w:t>
      </w:r>
      <w:r w:rsidRPr="00BA0AD1">
        <w:t>и</w:t>
      </w:r>
      <w:r w:rsidRPr="00BA0AD1">
        <w:t xml:space="preserve">ческого </w:t>
      </w:r>
      <w:proofErr w:type="spellStart"/>
      <w:r w:rsidRPr="00BA0AD1">
        <w:t>серопозитивного</w:t>
      </w:r>
      <w:proofErr w:type="spellEnd"/>
      <w:r w:rsidRPr="00BA0AD1">
        <w:t xml:space="preserve"> статуса. В законе также регламентируются меры по оказанию всесторонней помощи ВИЧ-инфицированным пациентам в государс</w:t>
      </w:r>
      <w:r w:rsidRPr="00BA0AD1">
        <w:t>т</w:t>
      </w:r>
      <w:r w:rsidRPr="00BA0AD1">
        <w:t>венных больницах; предусматривается всеобщий доступ к бесплатному леч</w:t>
      </w:r>
      <w:r w:rsidRPr="00BA0AD1">
        <w:t>е</w:t>
      </w:r>
      <w:r w:rsidRPr="00BA0AD1">
        <w:t>нию, а также к услугам медицинского просвещения относительно этого забол</w:t>
      </w:r>
      <w:r w:rsidRPr="00BA0AD1">
        <w:t>е</w:t>
      </w:r>
      <w:r w:rsidRPr="00BA0AD1">
        <w:t>вания и право на достойную занятость. При осуществлении государственной политики органы исполнительной власти совместно с органами законодател</w:t>
      </w:r>
      <w:r w:rsidRPr="00BA0AD1">
        <w:t>ь</w:t>
      </w:r>
      <w:r w:rsidRPr="00BA0AD1">
        <w:t>ной власти принимают решения в отношении мер, необходимых для обеспеч</w:t>
      </w:r>
      <w:r w:rsidRPr="00BA0AD1">
        <w:t>е</w:t>
      </w:r>
      <w:r w:rsidRPr="00BA0AD1">
        <w:t>ния того, чтобы из общегосударственного бюджета ежегодно выделялись дост</w:t>
      </w:r>
      <w:r w:rsidRPr="00BA0AD1">
        <w:t>а</w:t>
      </w:r>
      <w:r w:rsidRPr="00BA0AD1">
        <w:t>точные финансовые средства с целью осуществления соответствующей пр</w:t>
      </w:r>
      <w:r w:rsidRPr="00BA0AD1">
        <w:t>о</w:t>
      </w:r>
      <w:r w:rsidRPr="00BA0AD1">
        <w:t>граммы и укрепления Системы национальных мер по борьбе с эпидемией.</w:t>
      </w:r>
    </w:p>
    <w:p w:rsidR="00BA0AD1" w:rsidRPr="007D2776" w:rsidRDefault="00BA0AD1" w:rsidP="007D2776">
      <w:pPr>
        <w:pStyle w:val="H23GR"/>
      </w:pPr>
      <w:r w:rsidRPr="007D2776">
        <w:tab/>
        <w:t>6.</w:t>
      </w:r>
      <w:r w:rsidRPr="007D2776">
        <w:tab/>
        <w:t>Институт по защите интересов лиц с особыми потребн</w:t>
      </w:r>
      <w:r w:rsidRPr="007D2776">
        <w:t>о</w:t>
      </w:r>
      <w:r w:rsidRPr="007D2776">
        <w:t>стями (ИНПРО)</w:t>
      </w:r>
    </w:p>
    <w:p w:rsidR="00BA0AD1" w:rsidRPr="00BA0AD1" w:rsidRDefault="00BA0AD1" w:rsidP="00BA0AD1">
      <w:pPr>
        <w:pStyle w:val="SingleTxtGR"/>
      </w:pPr>
      <w:r w:rsidRPr="00BA0AD1">
        <w:t>271.</w:t>
      </w:r>
      <w:r w:rsidRPr="00BA0AD1">
        <w:rPr>
          <w:b/>
        </w:rPr>
        <w:tab/>
      </w:r>
      <w:r w:rsidRPr="00BA0AD1">
        <w:t>По данным действующего в структуре МОК Института по защите инт</w:t>
      </w:r>
      <w:r w:rsidRPr="00BA0AD1">
        <w:t>е</w:t>
      </w:r>
      <w:r w:rsidRPr="00BA0AD1">
        <w:t>ресов лиц с особыми потребностями (ИНПРО), в стране нет конкретных пр</w:t>
      </w:r>
      <w:r w:rsidRPr="00BA0AD1">
        <w:t>о</w:t>
      </w:r>
      <w:r w:rsidRPr="00BA0AD1">
        <w:t>грамм, которые предусматривали бы комплексное решение проблем инвалидн</w:t>
      </w:r>
      <w:r w:rsidRPr="00BA0AD1">
        <w:t>о</w:t>
      </w:r>
      <w:r w:rsidRPr="00BA0AD1">
        <w:t>сти. Судя по имеющимся данным, проживающих в Парагвае лиц с инвалидн</w:t>
      </w:r>
      <w:r w:rsidRPr="00BA0AD1">
        <w:t>о</w:t>
      </w:r>
      <w:r w:rsidRPr="00BA0AD1">
        <w:t>стью разного рода насчитывается 44 421, 51</w:t>
      </w:r>
      <w:r w:rsidR="004849A7">
        <w:t xml:space="preserve">% </w:t>
      </w:r>
      <w:r w:rsidRPr="00BA0AD1">
        <w:t xml:space="preserve">которых </w:t>
      </w:r>
      <w:r w:rsidR="002B7B9B">
        <w:t>−</w:t>
      </w:r>
      <w:r w:rsidRPr="00BA0AD1">
        <w:t xml:space="preserve"> лица младше 18 лет.</w:t>
      </w:r>
    </w:p>
    <w:p w:rsidR="00BA0AD1" w:rsidRPr="00BA0AD1" w:rsidRDefault="00BA0AD1" w:rsidP="00BA0AD1">
      <w:pPr>
        <w:pStyle w:val="SingleTxtGR"/>
      </w:pPr>
      <w:r w:rsidRPr="00BA0AD1">
        <w:t>272.</w:t>
      </w:r>
      <w:r w:rsidRPr="00BA0AD1">
        <w:tab/>
        <w:t>ИНПРО внес в органы исполнительной власти законопроект о создании Национального секретариата по правам человека лиц с инвалидностью, п</w:t>
      </w:r>
      <w:r w:rsidRPr="00BA0AD1">
        <w:t>о</w:t>
      </w:r>
      <w:r w:rsidRPr="00BA0AD1">
        <w:t>скольку в настоящее время в стране нет учреждений, наделенных необходим</w:t>
      </w:r>
      <w:r w:rsidRPr="00BA0AD1">
        <w:t>ы</w:t>
      </w:r>
      <w:r w:rsidRPr="00BA0AD1">
        <w:t>ми полномочиями для комплексного решения соответствующих проблем и во</w:t>
      </w:r>
      <w:r w:rsidRPr="00BA0AD1">
        <w:t>з</w:t>
      </w:r>
      <w:r w:rsidRPr="00BA0AD1">
        <w:t>действия на другие отрасли. Законопроект, находящийся на рассмотрении П</w:t>
      </w:r>
      <w:r w:rsidRPr="00BA0AD1">
        <w:t>а</w:t>
      </w:r>
      <w:r w:rsidRPr="00BA0AD1">
        <w:t xml:space="preserve">латы депутатов, предусматривает признание прав и гарантий, в том числе на медицинское обслуживание, реабилитацию и </w:t>
      </w:r>
      <w:proofErr w:type="spellStart"/>
      <w:r w:rsidRPr="00BA0AD1">
        <w:t>абилитацию</w:t>
      </w:r>
      <w:proofErr w:type="spellEnd"/>
      <w:r w:rsidRPr="00BA0AD1">
        <w:t>, труд и професси</w:t>
      </w:r>
      <w:r w:rsidRPr="00BA0AD1">
        <w:t>о</w:t>
      </w:r>
      <w:r w:rsidRPr="00BA0AD1">
        <w:t>нальную подготовку, образование, социальную интеграцию, адекватный ур</w:t>
      </w:r>
      <w:r w:rsidRPr="00BA0AD1">
        <w:t>о</w:t>
      </w:r>
      <w:r w:rsidRPr="00BA0AD1">
        <w:t>вень жизни и социальное обеспечение.</w:t>
      </w:r>
    </w:p>
    <w:p w:rsidR="00BA0AD1" w:rsidRPr="00BA0AD1" w:rsidRDefault="00BA0AD1" w:rsidP="00BA0AD1">
      <w:pPr>
        <w:pStyle w:val="SingleTxtGR"/>
      </w:pPr>
      <w:r w:rsidRPr="00BA0AD1">
        <w:t>273.</w:t>
      </w:r>
      <w:r w:rsidRPr="00BA0AD1">
        <w:tab/>
        <w:t xml:space="preserve">С прошлого года ведется работа по децентрализации услуг реабилитации, которые предоставляет ИНПРО. Теперь такие услуги можно получить в </w:t>
      </w:r>
      <w:proofErr w:type="spellStart"/>
      <w:r w:rsidRPr="00BA0AD1">
        <w:t>Сан-Эстанислао</w:t>
      </w:r>
      <w:proofErr w:type="spellEnd"/>
      <w:r w:rsidRPr="00BA0AD1">
        <w:t xml:space="preserve">, </w:t>
      </w:r>
      <w:proofErr w:type="spellStart"/>
      <w:r w:rsidRPr="00BA0AD1">
        <w:t>Каакупе</w:t>
      </w:r>
      <w:proofErr w:type="spellEnd"/>
      <w:r w:rsidRPr="00BA0AD1">
        <w:t xml:space="preserve">, </w:t>
      </w:r>
      <w:proofErr w:type="spellStart"/>
      <w:r w:rsidRPr="00BA0AD1">
        <w:t>Вилья-Рика</w:t>
      </w:r>
      <w:proofErr w:type="spellEnd"/>
      <w:r w:rsidRPr="00BA0AD1">
        <w:t xml:space="preserve">, а в ближайшем будущем </w:t>
      </w:r>
      <w:r w:rsidR="002B7B9B">
        <w:t>−</w:t>
      </w:r>
      <w:r w:rsidRPr="00BA0AD1">
        <w:t xml:space="preserve"> в </w:t>
      </w:r>
      <w:proofErr w:type="spellStart"/>
      <w:r w:rsidRPr="00BA0AD1">
        <w:t>Пилар</w:t>
      </w:r>
      <w:proofErr w:type="spellEnd"/>
      <w:r w:rsidRPr="00BA0AD1">
        <w:t xml:space="preserve"> и </w:t>
      </w:r>
      <w:proofErr w:type="spellStart"/>
      <w:r w:rsidRPr="00BA0AD1">
        <w:t>Кор</w:t>
      </w:r>
      <w:r w:rsidRPr="00BA0AD1">
        <w:t>о</w:t>
      </w:r>
      <w:r w:rsidRPr="00BA0AD1">
        <w:t>нель-Овьедо</w:t>
      </w:r>
      <w:proofErr w:type="spellEnd"/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274.</w:t>
      </w:r>
      <w:r w:rsidRPr="00BA0AD1">
        <w:tab/>
        <w:t>В отношении статистических данных следует отметить, что Главное управление статистики, обследований и переписи (ГУСОП), учитывая сложн</w:t>
      </w:r>
      <w:r w:rsidRPr="00BA0AD1">
        <w:t>о</w:t>
      </w:r>
      <w:r w:rsidRPr="00BA0AD1">
        <w:t>сти при проведении предыдущей общенациональной переписи, включило в о</w:t>
      </w:r>
      <w:r w:rsidRPr="00BA0AD1">
        <w:t>п</w:t>
      </w:r>
      <w:r w:rsidRPr="00BA0AD1">
        <w:t>росный лист вопросы, позволяющие выявить лиц с инвалидностью. Формул</w:t>
      </w:r>
      <w:r w:rsidRPr="00BA0AD1">
        <w:t>и</w:t>
      </w:r>
      <w:r w:rsidRPr="00BA0AD1">
        <w:t>ровки включенных в опросный лист вопросов, уточнялись при участии гос</w:t>
      </w:r>
      <w:r w:rsidRPr="00BA0AD1">
        <w:t>у</w:t>
      </w:r>
      <w:r w:rsidRPr="00BA0AD1">
        <w:t xml:space="preserve">дарственных учреждений, занимающихся проблемами инвалидности, а также организаций гражданского общества, принимавших участие в семинарах-практикумах. </w:t>
      </w:r>
    </w:p>
    <w:p w:rsidR="00BA0AD1" w:rsidRPr="00BA0AD1" w:rsidRDefault="00BA0AD1" w:rsidP="00BA0AD1">
      <w:pPr>
        <w:pStyle w:val="SingleTxtGR"/>
      </w:pPr>
      <w:r w:rsidRPr="00BA0AD1">
        <w:t>275.</w:t>
      </w:r>
      <w:r w:rsidRPr="00BA0AD1">
        <w:tab/>
        <w:t>Действующий в структуре МЗСО Институт социального обеспечения з</w:t>
      </w:r>
      <w:r w:rsidRPr="00BA0AD1">
        <w:t>а</w:t>
      </w:r>
      <w:r w:rsidRPr="00BA0AD1">
        <w:t>нимается в настоящее время разработкой проекта государственной политики в отношении инвалидности, привлекая к этой работе государственные структуры, организации инвалидов и организации гражданского общества из разных д</w:t>
      </w:r>
      <w:r w:rsidRPr="00BA0AD1">
        <w:t>е</w:t>
      </w:r>
      <w:r w:rsidRPr="00BA0AD1">
        <w:t>партаментов страны и проводя в этих целях региональные форумы. В ходе этих форумов обсуждаются, в числе прочего, проблемы здравоохранения, образов</w:t>
      </w:r>
      <w:r w:rsidRPr="00BA0AD1">
        <w:t>а</w:t>
      </w:r>
      <w:r w:rsidRPr="00BA0AD1">
        <w:t>ния, законодательства, доступности услуг, ситуации в общинах и социальной среды.</w:t>
      </w:r>
    </w:p>
    <w:p w:rsidR="00BA0AD1" w:rsidRPr="00BA0AD1" w:rsidRDefault="00BA0AD1" w:rsidP="00BA0AD1">
      <w:pPr>
        <w:pStyle w:val="SingleTxtGR"/>
      </w:pPr>
      <w:r w:rsidRPr="00BA0AD1">
        <w:t>276.</w:t>
      </w:r>
      <w:r w:rsidRPr="00BA0AD1">
        <w:tab/>
        <w:t>Предполагаемые демографические показатели на 2011</w:t>
      </w:r>
      <w:r w:rsidR="002B7B9B">
        <w:t>−</w:t>
      </w:r>
      <w:r w:rsidRPr="00BA0AD1">
        <w:t>2015 годы в ра</w:t>
      </w:r>
      <w:r w:rsidRPr="00BA0AD1">
        <w:t>з</w:t>
      </w:r>
      <w:r w:rsidRPr="00BA0AD1">
        <w:t>бивке по пятилетиям и по отдельным годам приводятся в приложении XIX.</w:t>
      </w:r>
    </w:p>
    <w:p w:rsidR="00BA0AD1" w:rsidRPr="007D2776" w:rsidRDefault="00BA0AD1" w:rsidP="007D2776">
      <w:pPr>
        <w:pStyle w:val="H23GR"/>
      </w:pPr>
      <w:r w:rsidRPr="007D2776">
        <w:tab/>
        <w:t>7.</w:t>
      </w:r>
      <w:r w:rsidRPr="007D2776">
        <w:tab/>
        <w:t xml:space="preserve">Меры, принятые в рамках программ по борьбе с инфекционными заболеваниями, и их результаты </w:t>
      </w:r>
    </w:p>
    <w:p w:rsidR="00BA0AD1" w:rsidRPr="00BA0AD1" w:rsidRDefault="00BA0AD1" w:rsidP="00BA0AD1">
      <w:pPr>
        <w:pStyle w:val="SingleTxtGR"/>
      </w:pPr>
      <w:r w:rsidRPr="00BA0AD1">
        <w:t>277.</w:t>
      </w:r>
      <w:r w:rsidRPr="00BA0AD1">
        <w:tab/>
        <w:t>Национальная служба борьбы с малярией (СЕНЕПА), будучи технич</w:t>
      </w:r>
      <w:r w:rsidRPr="00BA0AD1">
        <w:t>е</w:t>
      </w:r>
      <w:r w:rsidRPr="00BA0AD1">
        <w:t xml:space="preserve">ским подразделением МЗСО, осуществляет План искоренения малярии </w:t>
      </w:r>
      <w:r w:rsidR="002B7B9B">
        <w:t>−</w:t>
      </w:r>
      <w:r w:rsidRPr="00BA0AD1">
        <w:t xml:space="preserve"> заб</w:t>
      </w:r>
      <w:r w:rsidRPr="00BA0AD1">
        <w:t>о</w:t>
      </w:r>
      <w:r w:rsidRPr="00BA0AD1">
        <w:t>левания, распространенного на 90</w:t>
      </w:r>
      <w:r w:rsidR="004849A7">
        <w:t xml:space="preserve">% </w:t>
      </w:r>
      <w:r w:rsidRPr="00BA0AD1">
        <w:t>территории страны и не затрагивающего только столицу.</w:t>
      </w:r>
    </w:p>
    <w:p w:rsidR="00BA0AD1" w:rsidRPr="00BA0AD1" w:rsidRDefault="00BA0AD1" w:rsidP="00BA0AD1">
      <w:pPr>
        <w:pStyle w:val="SingleTxtGR"/>
      </w:pPr>
      <w:r w:rsidRPr="00BA0AD1">
        <w:t>278.</w:t>
      </w:r>
      <w:r w:rsidRPr="00BA0AD1">
        <w:tab/>
        <w:t>В настоящее время этот орган технически подчиняется Главному упра</w:t>
      </w:r>
      <w:r w:rsidRPr="00BA0AD1">
        <w:t>в</w:t>
      </w:r>
      <w:r w:rsidRPr="00BA0AD1">
        <w:t>лению по надзору в сфере здравоохранения, а в административном отношении находится в непосредственном ведении заместителя министра. Его организац</w:t>
      </w:r>
      <w:r w:rsidRPr="00BA0AD1">
        <w:t>и</w:t>
      </w:r>
      <w:r w:rsidRPr="00BA0AD1">
        <w:t>онная структура, обусловленная актуальными потребностями страны, была у</w:t>
      </w:r>
      <w:r w:rsidRPr="00BA0AD1">
        <w:t>т</w:t>
      </w:r>
      <w:r w:rsidRPr="00BA0AD1">
        <w:t>верждена 30 марта 2009 года постановлением Министерства S.G № 162/09.</w:t>
      </w:r>
    </w:p>
    <w:p w:rsidR="00BA0AD1" w:rsidRPr="00BA0AD1" w:rsidRDefault="00BA0AD1" w:rsidP="00BA0AD1">
      <w:pPr>
        <w:pStyle w:val="SingleTxtGR"/>
      </w:pPr>
      <w:r w:rsidRPr="00BA0AD1">
        <w:t>279.</w:t>
      </w:r>
      <w:r w:rsidRPr="00BA0AD1">
        <w:tab/>
        <w:t>Национальная программа по борьбе с малярией имеет целью предупре</w:t>
      </w:r>
      <w:r w:rsidRPr="00BA0AD1">
        <w:t>ж</w:t>
      </w:r>
      <w:r w:rsidRPr="00BA0AD1">
        <w:t>дение смертности, уменьшение числа заболеваний и экономических потерь в связи с этой болезнью, путем постоянного совершенствования и наращивания потенциала местных и национальных служб. Таким образом, с 2002 года прил</w:t>
      </w:r>
      <w:r w:rsidRPr="00BA0AD1">
        <w:t>а</w:t>
      </w:r>
      <w:r w:rsidRPr="00BA0AD1">
        <w:t>гаются усилия к обеспечению устойчивого достижения ЦРТ. Цель 6 ЦРТ пр</w:t>
      </w:r>
      <w:r w:rsidRPr="00BA0AD1">
        <w:t>е</w:t>
      </w:r>
      <w:r w:rsidRPr="00BA0AD1">
        <w:t>дусматривает снижение к 2015 году показателей распространенности малярии в мире более чем на 50</w:t>
      </w:r>
      <w:r w:rsidR="004849A7">
        <w:t>%</w:t>
      </w:r>
      <w:r w:rsidRPr="00BA0AD1">
        <w:t>. Исходный показатель для Парагвая составлял в 1999</w:t>
      </w:r>
      <w:r w:rsidR="00B85E64">
        <w:t> </w:t>
      </w:r>
      <w:r w:rsidRPr="00BA0AD1">
        <w:t>году 9946 случаев заболевания.</w:t>
      </w:r>
    </w:p>
    <w:p w:rsidR="00BA0AD1" w:rsidRPr="00BA0AD1" w:rsidRDefault="00BA0AD1" w:rsidP="00BA0AD1">
      <w:pPr>
        <w:pStyle w:val="SingleTxtGR"/>
      </w:pPr>
      <w:r w:rsidRPr="00BA0AD1">
        <w:t>280.</w:t>
      </w:r>
      <w:r w:rsidRPr="00BA0AD1">
        <w:tab/>
        <w:t>В отношении эпидемиологической ситуации и достигнутых результатов следует отметить, что в 2010 году в рамках осуществления данной Программы удалось сократить число случаев заболевания малярией на 70</w:t>
      </w:r>
      <w:r w:rsidR="004849A7">
        <w:t xml:space="preserve">% </w:t>
      </w:r>
      <w:r w:rsidRPr="00BA0AD1">
        <w:t>по сравнению с предыдущим годом (27/91).</w:t>
      </w:r>
    </w:p>
    <w:p w:rsidR="00BA0AD1" w:rsidRPr="00BA0AD1" w:rsidRDefault="00BA0AD1" w:rsidP="00BA0AD1">
      <w:pPr>
        <w:pStyle w:val="SingleTxtGR"/>
      </w:pPr>
      <w:r w:rsidRPr="00BA0AD1">
        <w:t>281.</w:t>
      </w:r>
      <w:r w:rsidRPr="00BA0AD1">
        <w:tab/>
        <w:t xml:space="preserve">В настоящее время малярия считается </w:t>
      </w:r>
      <w:proofErr w:type="spellStart"/>
      <w:r w:rsidRPr="00BA0AD1">
        <w:t>эндемичным</w:t>
      </w:r>
      <w:proofErr w:type="spellEnd"/>
      <w:r w:rsidRPr="00BA0AD1">
        <w:t xml:space="preserve"> заболеванием только для департаментов </w:t>
      </w:r>
      <w:proofErr w:type="spellStart"/>
      <w:r w:rsidRPr="00BA0AD1">
        <w:t>Альто-Парана</w:t>
      </w:r>
      <w:proofErr w:type="spellEnd"/>
      <w:r w:rsidRPr="00BA0AD1">
        <w:t xml:space="preserve"> и </w:t>
      </w:r>
      <w:proofErr w:type="spellStart"/>
      <w:r w:rsidRPr="00BA0AD1">
        <w:t>Каагуасу</w:t>
      </w:r>
      <w:proofErr w:type="spellEnd"/>
      <w:r w:rsidRPr="00BA0AD1">
        <w:t xml:space="preserve">. </w:t>
      </w:r>
    </w:p>
    <w:p w:rsidR="00BA0AD1" w:rsidRPr="00BA0AD1" w:rsidRDefault="00BA0AD1" w:rsidP="00BA0AD1">
      <w:pPr>
        <w:pStyle w:val="SingleTxtGR"/>
      </w:pPr>
      <w:r w:rsidRPr="00BA0AD1">
        <w:t>282.</w:t>
      </w:r>
      <w:r w:rsidRPr="00BA0AD1">
        <w:tab/>
        <w:t xml:space="preserve">18 автохтонных случаев заболеваний, подтвержденных в 2010 году, имели место в департаменте </w:t>
      </w:r>
      <w:proofErr w:type="spellStart"/>
      <w:r w:rsidRPr="00BA0AD1">
        <w:t>Альто-Парана</w:t>
      </w:r>
      <w:proofErr w:type="spellEnd"/>
      <w:r w:rsidRPr="00BA0AD1">
        <w:t>. Мужчины составляли 61</w:t>
      </w:r>
      <w:r w:rsidR="004849A7">
        <w:t>%</w:t>
      </w:r>
      <w:r w:rsidRPr="00BA0AD1">
        <w:t xml:space="preserve"> заболевших (11</w:t>
      </w:r>
      <w:r w:rsidR="00B85E64">
        <w:t> </w:t>
      </w:r>
      <w:r w:rsidRPr="00BA0AD1">
        <w:t xml:space="preserve">случаев), а женщины </w:t>
      </w:r>
      <w:r w:rsidR="002B7B9B">
        <w:t>−</w:t>
      </w:r>
      <w:r w:rsidRPr="00BA0AD1">
        <w:t xml:space="preserve"> 39</w:t>
      </w:r>
      <w:r w:rsidR="004849A7">
        <w:t xml:space="preserve">% </w:t>
      </w:r>
      <w:r w:rsidRPr="00BA0AD1">
        <w:t>(7 случаев).</w:t>
      </w:r>
    </w:p>
    <w:p w:rsidR="00BA0AD1" w:rsidRPr="00BA0AD1" w:rsidRDefault="00BA0AD1" w:rsidP="00BA0AD1">
      <w:pPr>
        <w:pStyle w:val="SingleTxtGR"/>
      </w:pPr>
      <w:r w:rsidRPr="00BA0AD1">
        <w:t>283.</w:t>
      </w:r>
      <w:r w:rsidRPr="00BA0AD1">
        <w:tab/>
        <w:t>В отличие от практики предыдущих десятилетий, центральным элеме</w:t>
      </w:r>
      <w:r w:rsidRPr="00BA0AD1">
        <w:t>н</w:t>
      </w:r>
      <w:r w:rsidRPr="00BA0AD1">
        <w:t>том новой стратеги борьбы с малярией являются раннее выявление и немедле</w:t>
      </w:r>
      <w:r w:rsidRPr="00BA0AD1">
        <w:t>н</w:t>
      </w:r>
      <w:r w:rsidRPr="00BA0AD1">
        <w:t>ное принятие комплексных мер по борьбе с ним путем, например, аэрозольной обработки соответствующих территорий.</w:t>
      </w:r>
    </w:p>
    <w:p w:rsidR="00BA0AD1" w:rsidRPr="00BA0AD1" w:rsidRDefault="00BA0AD1" w:rsidP="00BA0AD1">
      <w:pPr>
        <w:pStyle w:val="SingleTxtGR"/>
      </w:pPr>
      <w:r w:rsidRPr="00BA0AD1">
        <w:t>284.</w:t>
      </w:r>
      <w:r w:rsidRPr="00BA0AD1">
        <w:tab/>
        <w:t>Залогом успеха Программы является осуществление мер эпидемиолог</w:t>
      </w:r>
      <w:r w:rsidRPr="00BA0AD1">
        <w:t>и</w:t>
      </w:r>
      <w:r w:rsidRPr="00BA0AD1">
        <w:t>ческого надзора, предусматривающего активное и пассивное выявление случаев заболеваний; в последнем случае эта работа проводится с помощью добровол</w:t>
      </w:r>
      <w:r w:rsidRPr="00BA0AD1">
        <w:t>ь</w:t>
      </w:r>
      <w:r w:rsidRPr="00BA0AD1">
        <w:t>цев, благодаря которым обеспечиваются работа информационной сети, ранняя диагностика и соответствующее лечение этого заболевания.</w:t>
      </w:r>
    </w:p>
    <w:p w:rsidR="00BA0AD1" w:rsidRPr="00BA0AD1" w:rsidRDefault="00BA0AD1" w:rsidP="00BA0AD1">
      <w:pPr>
        <w:pStyle w:val="SingleTxtGR"/>
      </w:pPr>
      <w:r w:rsidRPr="00BA0AD1">
        <w:t>285.</w:t>
      </w:r>
      <w:r w:rsidRPr="00BA0AD1">
        <w:tab/>
        <w:t>По состоянию на 21-ю неделю 2011 года, был зафиксирован только один автохтонный случай этого заболевания и два случая заражения извне, и этот у</w:t>
      </w:r>
      <w:r w:rsidRPr="00BA0AD1">
        <w:t>с</w:t>
      </w:r>
      <w:r w:rsidRPr="00BA0AD1">
        <w:t>пех стал стимулом для переориентации мероприятий в рамках Программы: в настоящее время при техническом содействии со стороны ПОЗ/ВОЗ осущест</w:t>
      </w:r>
      <w:r w:rsidRPr="00BA0AD1">
        <w:t>в</w:t>
      </w:r>
      <w:r w:rsidRPr="00BA0AD1">
        <w:t>ляется план ликвидации малярии в Парагвае.</w:t>
      </w:r>
    </w:p>
    <w:p w:rsidR="00BA0AD1" w:rsidRPr="00BA0AD1" w:rsidRDefault="00BA0AD1" w:rsidP="00BA0AD1">
      <w:pPr>
        <w:pStyle w:val="SingleTxtGR"/>
      </w:pPr>
      <w:r w:rsidRPr="00BA0AD1">
        <w:t>286.</w:t>
      </w:r>
      <w:r w:rsidRPr="00BA0AD1">
        <w:tab/>
        <w:t>Механизмы профилактики: опрыскивание химическими веществами. В</w:t>
      </w:r>
      <w:r w:rsidR="00B85E64">
        <w:t> </w:t>
      </w:r>
      <w:r w:rsidRPr="00BA0AD1">
        <w:t>целях борьбы с переносчиками болезни в 2010 году были обработаны 7207</w:t>
      </w:r>
      <w:r w:rsidR="00B85E64">
        <w:t> </w:t>
      </w:r>
      <w:r w:rsidRPr="00BA0AD1">
        <w:t>жилых домов и 1573 земельных участка. При этом был применен инсект</w:t>
      </w:r>
      <w:r w:rsidRPr="00BA0AD1">
        <w:t>и</w:t>
      </w:r>
      <w:r w:rsidRPr="00BA0AD1">
        <w:t xml:space="preserve">цид длительного действия из группы </w:t>
      </w:r>
      <w:proofErr w:type="spellStart"/>
      <w:r w:rsidRPr="00BA0AD1">
        <w:t>пиретроидов</w:t>
      </w:r>
      <w:proofErr w:type="spellEnd"/>
      <w:r w:rsidRPr="00BA0AD1">
        <w:t xml:space="preserve"> </w:t>
      </w:r>
      <w:r w:rsidR="002B7B9B">
        <w:t>−</w:t>
      </w:r>
      <w:r w:rsidRPr="00BA0AD1">
        <w:t xml:space="preserve"> </w:t>
      </w:r>
      <w:proofErr w:type="spellStart"/>
      <w:r w:rsidRPr="00BA0AD1">
        <w:t>лямбда-цигалотрин</w:t>
      </w:r>
      <w:proofErr w:type="spellEnd"/>
      <w:r w:rsidRPr="00BA0AD1">
        <w:t xml:space="preserve"> 10</w:t>
      </w:r>
      <w:r w:rsidR="004849A7">
        <w:t xml:space="preserve">% </w:t>
      </w:r>
      <w:r w:rsidRPr="00BA0AD1">
        <w:t>ПМ общим объемом 6679 литров.</w:t>
      </w:r>
    </w:p>
    <w:p w:rsidR="00BA0AD1" w:rsidRPr="00BA0AD1" w:rsidRDefault="00BA0AD1" w:rsidP="00BA0AD1">
      <w:pPr>
        <w:pStyle w:val="SingleTxtGR"/>
      </w:pPr>
      <w:r w:rsidRPr="00BA0AD1">
        <w:t>287.</w:t>
      </w:r>
      <w:r w:rsidRPr="00BA0AD1">
        <w:tab/>
        <w:t>Эпидемиологический контроль: сеть диагностических пунктов, дейс</w:t>
      </w:r>
      <w:r w:rsidRPr="00BA0AD1">
        <w:t>т</w:t>
      </w:r>
      <w:r w:rsidRPr="00BA0AD1">
        <w:t>вующих в рамках Национальной программы по борьбе с малярией (НПБМ), провела в 2010 году анализы 56 827 проб крови, взятых у жителей в районах распространения малярии, имея целью раннее выявление случаев этого забол</w:t>
      </w:r>
      <w:r w:rsidRPr="00BA0AD1">
        <w:t>е</w:t>
      </w:r>
      <w:r w:rsidRPr="00BA0AD1">
        <w:t>вания для организации своевременного лечения. В 0,03</w:t>
      </w:r>
      <w:r w:rsidR="004849A7">
        <w:t xml:space="preserve">% </w:t>
      </w:r>
      <w:r w:rsidRPr="00BA0AD1">
        <w:t xml:space="preserve">изученных образцов (18 случаев) был обнаружен паразит вида P. </w:t>
      </w:r>
      <w:proofErr w:type="spellStart"/>
      <w:r w:rsidRPr="00BA0AD1">
        <w:t>Vivax</w:t>
      </w:r>
      <w:proofErr w:type="spellEnd"/>
      <w:r w:rsidRPr="00BA0AD1">
        <w:t>, а в 0,014</w:t>
      </w:r>
      <w:r w:rsidR="004849A7">
        <w:t xml:space="preserve">% </w:t>
      </w:r>
      <w:r w:rsidRPr="00BA0AD1">
        <w:t>образцов (8 сл</w:t>
      </w:r>
      <w:r w:rsidRPr="00BA0AD1">
        <w:t>у</w:t>
      </w:r>
      <w:r w:rsidRPr="00BA0AD1">
        <w:t xml:space="preserve">чаев) </w:t>
      </w:r>
      <w:r w:rsidR="002B7B9B">
        <w:t>−</w:t>
      </w:r>
      <w:r w:rsidRPr="00BA0AD1">
        <w:t xml:space="preserve"> паразит вида P. </w:t>
      </w:r>
      <w:proofErr w:type="spellStart"/>
      <w:r w:rsidRPr="00BA0AD1">
        <w:t>Falciparum</w:t>
      </w:r>
      <w:proofErr w:type="spellEnd"/>
      <w:r w:rsidRPr="00BA0AD1">
        <w:t>, оба завезены из Африки.</w:t>
      </w:r>
    </w:p>
    <w:p w:rsidR="00BA0AD1" w:rsidRPr="00BA0AD1" w:rsidRDefault="00BA0AD1" w:rsidP="00BA0AD1">
      <w:pPr>
        <w:pStyle w:val="SingleTxtGR"/>
      </w:pPr>
      <w:r w:rsidRPr="00BA0AD1">
        <w:t>288.</w:t>
      </w:r>
      <w:r w:rsidRPr="00BA0AD1">
        <w:tab/>
        <w:t>Информирование: в рамках НПБМ были напечатаны 2 тыс. экземпляров информационных бюллетеней, переданных в Национальный секретариат по т</w:t>
      </w:r>
      <w:r w:rsidRPr="00BA0AD1">
        <w:t>у</w:t>
      </w:r>
      <w:r w:rsidRPr="00BA0AD1">
        <w:t>ризму и в туристические агентства для раздачи туристам, направлявшимся на чемпионат мира по футболу в Южную Африку; кроме того, о мерах профила</w:t>
      </w:r>
      <w:r w:rsidRPr="00BA0AD1">
        <w:t>к</w:t>
      </w:r>
      <w:r w:rsidRPr="00BA0AD1">
        <w:t>тики говорилось по телевидению. Проводились беседы о профилактике забол</w:t>
      </w:r>
      <w:r w:rsidRPr="00BA0AD1">
        <w:t>е</w:t>
      </w:r>
      <w:r w:rsidRPr="00BA0AD1">
        <w:t>вания, а 1550 военных, направленных на Гаити, получили необходимые лека</w:t>
      </w:r>
      <w:r w:rsidRPr="00BA0AD1">
        <w:t>р</w:t>
      </w:r>
      <w:r w:rsidRPr="00BA0AD1">
        <w:t>ственные средства. В 2010 году было проведено в общей сложности 614 бесед, в которых приняли участие 8217 человек, и подготовлены 100 радио- и 53 тел</w:t>
      </w:r>
      <w:r w:rsidRPr="00BA0AD1">
        <w:t>е</w:t>
      </w:r>
      <w:r w:rsidRPr="00BA0AD1">
        <w:t>визионные передачи.</w:t>
      </w:r>
    </w:p>
    <w:p w:rsidR="00BA0AD1" w:rsidRPr="00BA0AD1" w:rsidRDefault="00BA0AD1" w:rsidP="00BA0AD1">
      <w:pPr>
        <w:pStyle w:val="SingleTxtGR"/>
      </w:pPr>
      <w:r w:rsidRPr="00BA0AD1">
        <w:t>289.</w:t>
      </w:r>
      <w:r w:rsidRPr="00BA0AD1">
        <w:tab/>
        <w:t>Лечение: с 2007 года применяется курс эффективного лечения, рассч</w:t>
      </w:r>
      <w:r w:rsidRPr="00BA0AD1">
        <w:t>и</w:t>
      </w:r>
      <w:r w:rsidRPr="00BA0AD1">
        <w:t>танный на 7 дней, и это позволяет проводить в полном объеме протокол леч</w:t>
      </w:r>
      <w:r w:rsidRPr="00BA0AD1">
        <w:t>е</w:t>
      </w:r>
      <w:r w:rsidRPr="00BA0AD1">
        <w:t>ния каждого пациента и снижает число случаев преждевременного прекращ</w:t>
      </w:r>
      <w:r w:rsidRPr="00BA0AD1">
        <w:t>е</w:t>
      </w:r>
      <w:r w:rsidRPr="00BA0AD1">
        <w:t>ния лечения, что было частым явлением при применении предыдущей схемы лечения, рассчитанной на 10 дней. Эффективное лечение с использованием 150</w:t>
      </w:r>
      <w:r w:rsidR="00B85E64">
        <w:t> </w:t>
      </w:r>
      <w:r w:rsidRPr="00BA0AD1">
        <w:t xml:space="preserve">мг </w:t>
      </w:r>
      <w:proofErr w:type="spellStart"/>
      <w:r w:rsidRPr="00BA0AD1">
        <w:t>хлорохина</w:t>
      </w:r>
      <w:proofErr w:type="spellEnd"/>
      <w:r w:rsidRPr="00BA0AD1">
        <w:t xml:space="preserve"> и 15 мг </w:t>
      </w:r>
      <w:proofErr w:type="spellStart"/>
      <w:r w:rsidRPr="00BA0AD1">
        <w:t>примахина</w:t>
      </w:r>
      <w:proofErr w:type="spellEnd"/>
      <w:r w:rsidRPr="00BA0AD1">
        <w:t xml:space="preserve"> применялось в 100</w:t>
      </w:r>
      <w:r w:rsidR="004849A7">
        <w:t xml:space="preserve">% </w:t>
      </w:r>
      <w:r w:rsidRPr="00BA0AD1">
        <w:t>выявленных случаев. Для лечения взрослых пациентов, заразившихся через паразита вида P.</w:t>
      </w:r>
      <w:r w:rsidR="00B85E64">
        <w:t> </w:t>
      </w:r>
      <w:proofErr w:type="spellStart"/>
      <w:r w:rsidRPr="00BA0AD1">
        <w:t>Falciparum</w:t>
      </w:r>
      <w:proofErr w:type="spellEnd"/>
      <w:r w:rsidRPr="00BA0AD1">
        <w:t xml:space="preserve">, в течение трех дней выдается по 50 мг </w:t>
      </w:r>
      <w:proofErr w:type="spellStart"/>
      <w:r w:rsidRPr="00BA0AD1">
        <w:t>артесуната</w:t>
      </w:r>
      <w:proofErr w:type="spellEnd"/>
      <w:r w:rsidRPr="00BA0AD1">
        <w:t xml:space="preserve"> и/или </w:t>
      </w:r>
      <w:proofErr w:type="spellStart"/>
      <w:r w:rsidRPr="00BA0AD1">
        <w:t>коартема</w:t>
      </w:r>
      <w:proofErr w:type="spellEnd"/>
      <w:r w:rsidRPr="00BA0AD1">
        <w:t xml:space="preserve"> (20 мг </w:t>
      </w:r>
      <w:proofErr w:type="spellStart"/>
      <w:r w:rsidRPr="00BA0AD1">
        <w:t>артеме</w:t>
      </w:r>
      <w:r w:rsidRPr="00BA0AD1">
        <w:t>т</w:t>
      </w:r>
      <w:r w:rsidRPr="00BA0AD1">
        <w:t>ра</w:t>
      </w:r>
      <w:proofErr w:type="spellEnd"/>
      <w:r w:rsidRPr="00BA0AD1">
        <w:t xml:space="preserve"> + 120 мг </w:t>
      </w:r>
      <w:proofErr w:type="spellStart"/>
      <w:r w:rsidRPr="00BA0AD1">
        <w:t>люмефантрина</w:t>
      </w:r>
      <w:proofErr w:type="spellEnd"/>
      <w:r w:rsidRPr="00BA0AD1">
        <w:t>).</w:t>
      </w:r>
    </w:p>
    <w:p w:rsidR="00BA0AD1" w:rsidRPr="00BA0AD1" w:rsidRDefault="00BA0AD1" w:rsidP="00BA0AD1">
      <w:pPr>
        <w:pStyle w:val="SingleTxtGR"/>
      </w:pPr>
      <w:r w:rsidRPr="00BA0AD1">
        <w:t>290.</w:t>
      </w:r>
      <w:r w:rsidRPr="00BA0AD1">
        <w:tab/>
        <w:t>Задача Национальной программы по борьбе с переносчиками лихорадки денге </w:t>
      </w:r>
      <w:r w:rsidR="002B7B9B">
        <w:t>−</w:t>
      </w:r>
      <w:r w:rsidRPr="00BA0AD1">
        <w:t xml:space="preserve"> обеспечить низкие показатели распространения лихорадки денге и о</w:t>
      </w:r>
      <w:r w:rsidRPr="00BA0AD1">
        <w:t>с</w:t>
      </w:r>
      <w:r w:rsidRPr="00BA0AD1">
        <w:t>лабить социально-экономические последствия этого заболевания в соответс</w:t>
      </w:r>
      <w:r w:rsidRPr="00BA0AD1">
        <w:t>т</w:t>
      </w:r>
      <w:r w:rsidRPr="00BA0AD1">
        <w:t>вии с положениями Национальной стратеги комплексного подхода к лечению, а</w:t>
      </w:r>
      <w:r w:rsidR="00B85E64">
        <w:t> </w:t>
      </w:r>
      <w:r w:rsidRPr="00BA0AD1">
        <w:t xml:space="preserve">также повысить эффективность этой комплексной и </w:t>
      </w:r>
      <w:proofErr w:type="spellStart"/>
      <w:r w:rsidRPr="00BA0AD1">
        <w:t>многосекторальной</w:t>
      </w:r>
      <w:proofErr w:type="spellEnd"/>
      <w:r w:rsidRPr="00BA0AD1">
        <w:t xml:space="preserve"> стр</w:t>
      </w:r>
      <w:r w:rsidRPr="00BA0AD1">
        <w:t>а</w:t>
      </w:r>
      <w:r w:rsidRPr="00BA0AD1">
        <w:t>тегии (обязательство, принятое в рамках МЕРКОСУР на пятилетний период 2007</w:t>
      </w:r>
      <w:r w:rsidR="002B7B9B">
        <w:t>−</w:t>
      </w:r>
      <w:r w:rsidRPr="00BA0AD1">
        <w:t>2011 годов) как средства, дополняющего меры по борьбе с переносчиками лихорадки и позволяющего снизить показатели заболеваемости, смертности и социально-экономические последствия распространения этого заболевания в Парагвае.</w:t>
      </w:r>
    </w:p>
    <w:p w:rsidR="00BA0AD1" w:rsidRPr="00BA0AD1" w:rsidRDefault="00BA0AD1" w:rsidP="00BA0AD1">
      <w:pPr>
        <w:pStyle w:val="SingleTxtGR"/>
      </w:pPr>
      <w:r w:rsidRPr="00BA0AD1">
        <w:t>291.</w:t>
      </w:r>
      <w:r w:rsidRPr="00BA0AD1">
        <w:tab/>
        <w:t>В отношении эпидемиологической ситуации и полученных результатов следует отметить, что меры по борьбе с переносчиками этого заболевания п</w:t>
      </w:r>
      <w:r w:rsidRPr="00BA0AD1">
        <w:t>о</w:t>
      </w:r>
      <w:r w:rsidRPr="00BA0AD1">
        <w:t>зволили обеспечить в 2010 году выполнение на 100</w:t>
      </w:r>
      <w:r w:rsidR="004849A7">
        <w:t xml:space="preserve">% </w:t>
      </w:r>
      <w:r w:rsidRPr="00BA0AD1">
        <w:t>предусмотренного плана эпидемиологического контроля.</w:t>
      </w:r>
    </w:p>
    <w:p w:rsidR="00BA0AD1" w:rsidRPr="00BA0AD1" w:rsidRDefault="00BA0AD1" w:rsidP="00BA0AD1">
      <w:pPr>
        <w:pStyle w:val="SingleTxtGR"/>
      </w:pPr>
      <w:r w:rsidRPr="00BA0AD1">
        <w:t>292.</w:t>
      </w:r>
      <w:r w:rsidRPr="00BA0AD1">
        <w:tab/>
        <w:t>Что касается переносчика лихорадки, то, несмотря на меры по ликвид</w:t>
      </w:r>
      <w:r w:rsidRPr="00BA0AD1">
        <w:t>а</w:t>
      </w:r>
      <w:r w:rsidRPr="00BA0AD1">
        <w:t xml:space="preserve">ции его рассадников, его плотность была очень высокой прежде всего в силу той высокой скорости, с которой происходит восстановление его популяции. </w:t>
      </w:r>
    </w:p>
    <w:p w:rsidR="00BA0AD1" w:rsidRPr="00BA0AD1" w:rsidRDefault="00BA0AD1" w:rsidP="00BA0AD1">
      <w:pPr>
        <w:pStyle w:val="SingleTxtGR"/>
      </w:pPr>
      <w:r w:rsidRPr="00BA0AD1">
        <w:t>293.</w:t>
      </w:r>
      <w:r w:rsidRPr="00BA0AD1">
        <w:tab/>
        <w:t>Осуществлялось зональное планирование мер эпидемиологического ко</w:t>
      </w:r>
      <w:r w:rsidRPr="00BA0AD1">
        <w:t>н</w:t>
      </w:r>
      <w:r w:rsidRPr="00BA0AD1">
        <w:t>троля с учетом степени риска, а округа и департаменты для проведения этой работы определялись исходя из приоритетных задач. С целью эффективного осуществления этих мер во всех районах страны была организована подготовка специалистов, которая проводилась в ходе семинаров с участием руководителей регионов и специалистов-энтомологов.</w:t>
      </w:r>
    </w:p>
    <w:p w:rsidR="00BA0AD1" w:rsidRPr="00BA0AD1" w:rsidRDefault="00BA0AD1" w:rsidP="00BA0AD1">
      <w:pPr>
        <w:pStyle w:val="SingleTxtGR"/>
      </w:pPr>
      <w:r w:rsidRPr="00BA0AD1">
        <w:t>294.</w:t>
      </w:r>
      <w:r w:rsidRPr="00BA0AD1">
        <w:tab/>
        <w:t>В 2010 году началась реализация Плана комплексной борьбы с перено</w:t>
      </w:r>
      <w:r w:rsidRPr="00BA0AD1">
        <w:t>с</w:t>
      </w:r>
      <w:r w:rsidRPr="00BA0AD1">
        <w:t>чиками лихорадки денге, предусматривающего выявление конкретных ситуаций и зон риска и определение стратегических точек, таких как шиномонтажные мастерские, кладбища, места проведения религиозных праздников и скопления людей. В 80</w:t>
      </w:r>
      <w:r w:rsidR="004849A7">
        <w:t xml:space="preserve">% </w:t>
      </w:r>
      <w:r w:rsidRPr="00BA0AD1">
        <w:t>случаев было обеспечено своевременное блокирование домов, в</w:t>
      </w:r>
      <w:r w:rsidR="00B85E64">
        <w:t> </w:t>
      </w:r>
      <w:r w:rsidRPr="00BA0AD1">
        <w:t>которых имели место случаи лихорадки денге: в течение 20/48 часов после получения соответствующих данных здесь проводилась аэрозольная обработка. Помимо целевых мер борьбы, например блокирования, в столице страны, Це</w:t>
      </w:r>
      <w:r w:rsidRPr="00BA0AD1">
        <w:t>н</w:t>
      </w:r>
      <w:r w:rsidRPr="00BA0AD1">
        <w:t>тральном департаменте и некоторых других муниципалитетах совместно с др</w:t>
      </w:r>
      <w:r w:rsidRPr="00BA0AD1">
        <w:t>у</w:t>
      </w:r>
      <w:r w:rsidRPr="00BA0AD1">
        <w:t>гими ведомствами, в том числе управами этих муниципалитетов, пр</w:t>
      </w:r>
      <w:r w:rsidRPr="00BA0AD1">
        <w:t>и</w:t>
      </w:r>
      <w:r w:rsidRPr="00BA0AD1">
        <w:t>нимались меры для осмотра и обработки помещений и территорий.</w:t>
      </w:r>
    </w:p>
    <w:p w:rsidR="00BA0AD1" w:rsidRPr="00BA0AD1" w:rsidRDefault="00BA0AD1" w:rsidP="00BA0AD1">
      <w:pPr>
        <w:pStyle w:val="SingleTxtGR"/>
      </w:pPr>
      <w:r w:rsidRPr="00BA0AD1">
        <w:t>295.</w:t>
      </w:r>
      <w:r w:rsidRPr="00BA0AD1">
        <w:tab/>
        <w:t>В целях привлечения общин к участию и в рамках связей с общественн</w:t>
      </w:r>
      <w:r w:rsidRPr="00BA0AD1">
        <w:t>о</w:t>
      </w:r>
      <w:r w:rsidRPr="00BA0AD1">
        <w:t>стью СЕНЕПА в течение всего года проводила беседы в образовательных учр</w:t>
      </w:r>
      <w:r w:rsidRPr="00BA0AD1">
        <w:t>е</w:t>
      </w:r>
      <w:r w:rsidRPr="00BA0AD1">
        <w:t>ждениях и встречи с советами жителей и местными и муниципальными власт</w:t>
      </w:r>
      <w:r w:rsidRPr="00BA0AD1">
        <w:t>я</w:t>
      </w:r>
      <w:r w:rsidRPr="00BA0AD1">
        <w:t>ми. По всей стране было подготовлено 972 радиопередачи и 292 телевизионных ролика по проблем борьбы с денге, транслировавшихся по разным каналам. В</w:t>
      </w:r>
      <w:r w:rsidR="00B85E64">
        <w:t> </w:t>
      </w:r>
      <w:r w:rsidRPr="00BA0AD1">
        <w:t>этих передачах слушателям и зрителям сообщается о методах предупрежд</w:t>
      </w:r>
      <w:r w:rsidRPr="00BA0AD1">
        <w:t>е</w:t>
      </w:r>
      <w:r w:rsidRPr="00BA0AD1">
        <w:t>ния заболеваний, борьбой с которыми занимается СЕНЕПА, и предоставляемых этим учреждением услугах.</w:t>
      </w:r>
    </w:p>
    <w:p w:rsidR="00BA0AD1" w:rsidRPr="00BA0AD1" w:rsidRDefault="00BA0AD1" w:rsidP="00BA0AD1">
      <w:pPr>
        <w:pStyle w:val="SingleTxtGR"/>
      </w:pPr>
      <w:r w:rsidRPr="00BA0AD1">
        <w:t>296.</w:t>
      </w:r>
      <w:r w:rsidRPr="00BA0AD1">
        <w:tab/>
        <w:t>В целях повышения уровня осведомленности и информирования общес</w:t>
      </w:r>
      <w:r w:rsidRPr="00BA0AD1">
        <w:t>т</w:t>
      </w:r>
      <w:r w:rsidRPr="00BA0AD1">
        <w:t>венности относительно применения автомобильных покрышек и дальнейшей судьбы списанных шин, которые могут являться рассадниками комаров, СЕНЕПА подготовила и издала на средства, предоставленные ПОЗ, рекоменд</w:t>
      </w:r>
      <w:r w:rsidRPr="00BA0AD1">
        <w:t>а</w:t>
      </w:r>
      <w:r w:rsidRPr="00BA0AD1">
        <w:t>ции по альтернативному применению таких шин, в которых говорилось о на</w:t>
      </w:r>
      <w:r w:rsidRPr="00BA0AD1">
        <w:t>д</w:t>
      </w:r>
      <w:r w:rsidRPr="00BA0AD1">
        <w:t>лежащем обращении с ними.</w:t>
      </w:r>
    </w:p>
    <w:p w:rsidR="00BA0AD1" w:rsidRPr="00BA0AD1" w:rsidRDefault="00BA0AD1" w:rsidP="00BA0AD1">
      <w:pPr>
        <w:pStyle w:val="SingleTxtGR"/>
      </w:pPr>
      <w:r w:rsidRPr="00BA0AD1">
        <w:t>297.</w:t>
      </w:r>
      <w:r w:rsidRPr="00BA0AD1">
        <w:tab/>
        <w:t>В настоящее время после реорганизации, проведенной по инициативе СЕНЕПА, во всех департаментах страны в структуре МЗСО созданы группы быстрого реагирования. В стране действует 18 санитарных округов, и, соотве</w:t>
      </w:r>
      <w:r w:rsidRPr="00BA0AD1">
        <w:t>т</w:t>
      </w:r>
      <w:r w:rsidRPr="00BA0AD1">
        <w:t>ственно, 18 групп быстрого реагирования готовы обеспечить блокирование д</w:t>
      </w:r>
      <w:r w:rsidRPr="00BA0AD1">
        <w:t>о</w:t>
      </w:r>
      <w:r w:rsidRPr="00BA0AD1">
        <w:t>мов в случае получения сообщений о случаях лихорадки денге.</w:t>
      </w:r>
    </w:p>
    <w:p w:rsidR="00BA0AD1" w:rsidRPr="00BA0AD1" w:rsidRDefault="00BA0AD1" w:rsidP="00BA0AD1">
      <w:pPr>
        <w:pStyle w:val="SingleTxtGR"/>
      </w:pPr>
      <w:r w:rsidRPr="00BA0AD1">
        <w:t>298.</w:t>
      </w:r>
      <w:r w:rsidRPr="00BA0AD1">
        <w:tab/>
        <w:t xml:space="preserve">Национальная программа по борьбе с болезнью </w:t>
      </w:r>
      <w:proofErr w:type="spellStart"/>
      <w:r w:rsidRPr="00BA0AD1">
        <w:t>Шагаса</w:t>
      </w:r>
      <w:proofErr w:type="spellEnd"/>
      <w:r w:rsidRPr="00BA0AD1">
        <w:t xml:space="preserve"> направлена на предупреждение смертности и снижение уровня заболеваемости и социально-экономических потерь, вызываемых этим заболеванием, путем борьбы с его п</w:t>
      </w:r>
      <w:r w:rsidRPr="00BA0AD1">
        <w:t>е</w:t>
      </w:r>
      <w:r w:rsidRPr="00BA0AD1">
        <w:t>реносчиками, принятия мер по профилактике его передачи при переливании крови и контроля его передачи от матери ребенку в соответствии с обязательс</w:t>
      </w:r>
      <w:r w:rsidRPr="00BA0AD1">
        <w:t>т</w:t>
      </w:r>
      <w:r w:rsidRPr="00BA0AD1">
        <w:t>вами, принятыми в рамках Инициативы стран Южного конуса по борьбе с ра</w:t>
      </w:r>
      <w:r w:rsidRPr="00BA0AD1">
        <w:t>с</w:t>
      </w:r>
      <w:r w:rsidRPr="00BA0AD1">
        <w:t xml:space="preserve">пространением болезни </w:t>
      </w:r>
      <w:proofErr w:type="spellStart"/>
      <w:r w:rsidRPr="00BA0AD1">
        <w:t>Шагаса</w:t>
      </w:r>
      <w:proofErr w:type="spellEnd"/>
      <w:r w:rsidRPr="00BA0AD1">
        <w:t xml:space="preserve"> (ИНКОСУР).</w:t>
      </w:r>
    </w:p>
    <w:p w:rsidR="00BA0AD1" w:rsidRPr="00BA0AD1" w:rsidRDefault="00BA0AD1" w:rsidP="00BA0AD1">
      <w:pPr>
        <w:pStyle w:val="SingleTxtGR"/>
      </w:pPr>
      <w:r w:rsidRPr="00BA0AD1">
        <w:t>299.</w:t>
      </w:r>
      <w:r w:rsidRPr="00BA0AD1">
        <w:tab/>
        <w:t>Эпидемиологическая ситуация и полученные результаты свидетельств</w:t>
      </w:r>
      <w:r w:rsidRPr="00BA0AD1">
        <w:t>у</w:t>
      </w:r>
      <w:r w:rsidRPr="00BA0AD1">
        <w:t>ют о том, что эта проблема остается актуальной для государственного здрав</w:t>
      </w:r>
      <w:r w:rsidRPr="00BA0AD1">
        <w:t>о</w:t>
      </w:r>
      <w:r w:rsidRPr="00BA0AD1">
        <w:t xml:space="preserve">охранения, поскольку болезнь </w:t>
      </w:r>
      <w:proofErr w:type="spellStart"/>
      <w:r w:rsidRPr="00BA0AD1">
        <w:t>Шагаса</w:t>
      </w:r>
      <w:proofErr w:type="spellEnd"/>
      <w:r w:rsidRPr="00BA0AD1">
        <w:t xml:space="preserve"> носит хронический характер, остается малоизвестной и распространяется там, где низок уровень социального и эк</w:t>
      </w:r>
      <w:r w:rsidRPr="00BA0AD1">
        <w:t>о</w:t>
      </w:r>
      <w:r w:rsidRPr="00BA0AD1">
        <w:t>номического развития. Для этой болезни не существует адекватного этиолог</w:t>
      </w:r>
      <w:r w:rsidRPr="00BA0AD1">
        <w:t>и</w:t>
      </w:r>
      <w:r w:rsidRPr="00BA0AD1">
        <w:t>ческого лечения, а применение необходимых мер сопряжено со сложностями в отношении наличия, производства и доставки лекарственных препаратов.</w:t>
      </w:r>
    </w:p>
    <w:p w:rsidR="00BA0AD1" w:rsidRPr="00BA0AD1" w:rsidRDefault="00BA0AD1" w:rsidP="00BA0AD1">
      <w:pPr>
        <w:pStyle w:val="SingleTxtGR"/>
      </w:pPr>
      <w:r w:rsidRPr="00BA0AD1">
        <w:t>300.</w:t>
      </w:r>
      <w:r w:rsidRPr="00BA0AD1">
        <w:tab/>
        <w:t xml:space="preserve">На востоке страны с 2008 года удается не допускать передачи болезни трипаносомами типа </w:t>
      </w:r>
      <w:proofErr w:type="spellStart"/>
      <w:r w:rsidRPr="00BA0AD1">
        <w:t>Trypanosoma</w:t>
      </w:r>
      <w:proofErr w:type="spellEnd"/>
      <w:r w:rsidRPr="00BA0AD1">
        <w:t xml:space="preserve"> </w:t>
      </w:r>
      <w:proofErr w:type="spellStart"/>
      <w:r w:rsidRPr="00BA0AD1">
        <w:t>cruzise</w:t>
      </w:r>
      <w:proofErr w:type="spellEnd"/>
      <w:r w:rsidRPr="00BA0AD1">
        <w:t xml:space="preserve">, и здесь не было зарегистрировано новых острых случаев заболевания, вызываемого этими переносчиками. </w:t>
      </w:r>
    </w:p>
    <w:p w:rsidR="00BA0AD1" w:rsidRPr="00BA0AD1" w:rsidRDefault="00BA0AD1" w:rsidP="00BA0AD1">
      <w:pPr>
        <w:pStyle w:val="SingleTxtGR"/>
      </w:pPr>
      <w:r w:rsidRPr="00BA0AD1">
        <w:t>301.</w:t>
      </w:r>
      <w:r w:rsidRPr="00BA0AD1">
        <w:tab/>
        <w:t xml:space="preserve">Помимо резкого сокращения численности </w:t>
      </w:r>
      <w:proofErr w:type="spellStart"/>
      <w:r w:rsidRPr="00BA0AD1">
        <w:t>триатом</w:t>
      </w:r>
      <w:proofErr w:type="spellEnd"/>
      <w:r w:rsidRPr="00BA0AD1">
        <w:t>, являющихся перено</w:t>
      </w:r>
      <w:r w:rsidRPr="00BA0AD1">
        <w:t>с</w:t>
      </w:r>
      <w:r w:rsidRPr="00BA0AD1">
        <w:t>чиками заболевания, в департаментах, отнесенных к регионам наибольшей э</w:t>
      </w:r>
      <w:r w:rsidRPr="00BA0AD1">
        <w:t>н</w:t>
      </w:r>
      <w:r w:rsidRPr="00BA0AD1">
        <w:t>демической распространенности (</w:t>
      </w:r>
      <w:proofErr w:type="spellStart"/>
      <w:r w:rsidRPr="00BA0AD1">
        <w:t>Кордильера</w:t>
      </w:r>
      <w:proofErr w:type="spellEnd"/>
      <w:r w:rsidRPr="00BA0AD1">
        <w:t xml:space="preserve">, </w:t>
      </w:r>
      <w:proofErr w:type="spellStart"/>
      <w:r w:rsidRPr="00BA0AD1">
        <w:t>Парагуари</w:t>
      </w:r>
      <w:proofErr w:type="spellEnd"/>
      <w:r w:rsidRPr="00BA0AD1">
        <w:t xml:space="preserve">, </w:t>
      </w:r>
      <w:proofErr w:type="spellStart"/>
      <w:r w:rsidRPr="00BA0AD1">
        <w:t>Консепсьон</w:t>
      </w:r>
      <w:proofErr w:type="spellEnd"/>
      <w:r w:rsidRPr="00BA0AD1">
        <w:t>), где в 2000 году исходный показатель зараженности составлял до 15</w:t>
      </w:r>
      <w:r w:rsidR="004849A7">
        <w:t xml:space="preserve">% </w:t>
      </w:r>
      <w:r w:rsidRPr="00BA0AD1">
        <w:t>жилых д</w:t>
      </w:r>
      <w:r w:rsidRPr="00BA0AD1">
        <w:t>о</w:t>
      </w:r>
      <w:r w:rsidRPr="00BA0AD1">
        <w:t>мов, в настоящее время лишь в немногих поселениях сохраняется уровень зараженн</w:t>
      </w:r>
      <w:r w:rsidRPr="00BA0AD1">
        <w:t>о</w:t>
      </w:r>
      <w:r w:rsidRPr="00BA0AD1">
        <w:t>сти в 1,1</w:t>
      </w:r>
      <w:r w:rsidR="004849A7">
        <w:t>%</w:t>
      </w:r>
      <w:r w:rsidRPr="00BA0AD1">
        <w:t xml:space="preserve">, причем очаги заражения сосредоточены почти исключительно вне жилых помещений. В местах, где раньше были распространены </w:t>
      </w:r>
      <w:proofErr w:type="spellStart"/>
      <w:r w:rsidRPr="00BA0AD1">
        <w:t>триатомы</w:t>
      </w:r>
      <w:proofErr w:type="spellEnd"/>
      <w:r w:rsidRPr="00BA0AD1">
        <w:t>, п</w:t>
      </w:r>
      <w:r w:rsidRPr="00BA0AD1">
        <w:t>е</w:t>
      </w:r>
      <w:r w:rsidRPr="00BA0AD1">
        <w:t xml:space="preserve">реносящие болезнь, ныне наблюдается постепенное увеличение численности вида </w:t>
      </w:r>
      <w:proofErr w:type="spellStart"/>
      <w:r w:rsidRPr="00BA0AD1">
        <w:t>Triatoma</w:t>
      </w:r>
      <w:proofErr w:type="spellEnd"/>
      <w:r w:rsidRPr="00BA0AD1">
        <w:t xml:space="preserve"> </w:t>
      </w:r>
      <w:proofErr w:type="spellStart"/>
      <w:r w:rsidRPr="00BA0AD1">
        <w:t>sórdida</w:t>
      </w:r>
      <w:proofErr w:type="spellEnd"/>
      <w:r w:rsidRPr="00BA0AD1">
        <w:t>, и поэтому особый интерес представляют наблюдение за ним и проведение тщательных исследований с целью определения их поте</w:t>
      </w:r>
      <w:r w:rsidRPr="00BA0AD1">
        <w:t>н</w:t>
      </w:r>
      <w:r w:rsidRPr="00BA0AD1">
        <w:t>циала как возможного вторичного переносчика заболевания.</w:t>
      </w:r>
    </w:p>
    <w:p w:rsidR="00BA0AD1" w:rsidRPr="00BA0AD1" w:rsidRDefault="00BA0AD1" w:rsidP="00BA0AD1">
      <w:pPr>
        <w:pStyle w:val="SingleTxtGR"/>
      </w:pPr>
      <w:r w:rsidRPr="00BA0AD1">
        <w:t>302.</w:t>
      </w:r>
      <w:r w:rsidRPr="00BA0AD1">
        <w:tab/>
        <w:t>Постоянные меры контроля и система наблюдения, применяемые в р</w:t>
      </w:r>
      <w:r w:rsidRPr="00BA0AD1">
        <w:t>е</w:t>
      </w:r>
      <w:r w:rsidRPr="00BA0AD1">
        <w:t xml:space="preserve">гионе Западный </w:t>
      </w:r>
      <w:proofErr w:type="spellStart"/>
      <w:r w:rsidRPr="00BA0AD1">
        <w:t>Чако</w:t>
      </w:r>
      <w:proofErr w:type="spellEnd"/>
      <w:r w:rsidRPr="00BA0AD1">
        <w:t>, позволили существенно снизить уровень заражения ж</w:t>
      </w:r>
      <w:r w:rsidRPr="00BA0AD1">
        <w:t>и</w:t>
      </w:r>
      <w:r w:rsidRPr="00BA0AD1">
        <w:t>лищ: если исходный показатель такого заражения составлял в 2002 году до 40</w:t>
      </w:r>
      <w:r w:rsidR="002B7B9B">
        <w:t>−</w:t>
      </w:r>
      <w:r w:rsidRPr="00BA0AD1">
        <w:t>60</w:t>
      </w:r>
      <w:r w:rsidR="004849A7">
        <w:t>%</w:t>
      </w:r>
      <w:r w:rsidRPr="00BA0AD1">
        <w:t>, то в настоящее время он находится на уровне от 1 до 12</w:t>
      </w:r>
      <w:r w:rsidR="004849A7">
        <w:t>%</w:t>
      </w:r>
      <w:r w:rsidRPr="00BA0AD1">
        <w:t>, причем оч</w:t>
      </w:r>
      <w:r w:rsidRPr="00BA0AD1">
        <w:t>а</w:t>
      </w:r>
      <w:r w:rsidRPr="00BA0AD1">
        <w:t>ги заражения находятся исключительно за пределами жилых помещений, а на</w:t>
      </w:r>
      <w:r w:rsidRPr="00BA0AD1">
        <w:t>и</w:t>
      </w:r>
      <w:r w:rsidRPr="00BA0AD1">
        <w:t xml:space="preserve">более распространенными являются автохтонные виды </w:t>
      </w:r>
      <w:r w:rsidR="002B7B9B">
        <w:t>−</w:t>
      </w:r>
      <w:r w:rsidRPr="00BA0AD1">
        <w:t xml:space="preserve"> </w:t>
      </w:r>
      <w:proofErr w:type="spellStart"/>
      <w:r w:rsidRPr="00BA0AD1">
        <w:t>Triatoma</w:t>
      </w:r>
      <w:proofErr w:type="spellEnd"/>
      <w:r w:rsidRPr="00BA0AD1">
        <w:t xml:space="preserve"> </w:t>
      </w:r>
      <w:proofErr w:type="spellStart"/>
      <w:r w:rsidRPr="00BA0AD1">
        <w:t>sórdida</w:t>
      </w:r>
      <w:proofErr w:type="spellEnd"/>
      <w:r w:rsidRPr="00BA0AD1">
        <w:t xml:space="preserve"> и </w:t>
      </w:r>
      <w:proofErr w:type="spellStart"/>
      <w:r w:rsidRPr="00BA0AD1">
        <w:t>Triatoma</w:t>
      </w:r>
      <w:proofErr w:type="spellEnd"/>
      <w:r w:rsidRPr="00BA0AD1">
        <w:t xml:space="preserve"> </w:t>
      </w:r>
      <w:proofErr w:type="spellStart"/>
      <w:r w:rsidRPr="00BA0AD1">
        <w:t>gusayana</w:t>
      </w:r>
      <w:proofErr w:type="spellEnd"/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303.</w:t>
      </w:r>
      <w:r w:rsidRPr="00BA0AD1">
        <w:tab/>
        <w:t>Передача инфекции через кровь находится под контролем, поскольку в полной мере соблюдается норма об обязательности серологического анализа 100</w:t>
      </w:r>
      <w:r w:rsidR="004849A7">
        <w:t xml:space="preserve">% </w:t>
      </w:r>
      <w:r w:rsidRPr="00BA0AD1">
        <w:t>объемов крови, предназначенной для переливания. В общенационал</w:t>
      </w:r>
      <w:r w:rsidRPr="00BA0AD1">
        <w:t>ь</w:t>
      </w:r>
      <w:r w:rsidRPr="00BA0AD1">
        <w:t xml:space="preserve">ном масштабе наиболее распространена трипаносома вида </w:t>
      </w:r>
      <w:proofErr w:type="spellStart"/>
      <w:r w:rsidRPr="00BA0AD1">
        <w:t>Trypanosoma</w:t>
      </w:r>
      <w:proofErr w:type="spellEnd"/>
      <w:r w:rsidRPr="00BA0AD1">
        <w:t xml:space="preserve"> </w:t>
      </w:r>
      <w:proofErr w:type="spellStart"/>
      <w:r w:rsidRPr="00BA0AD1">
        <w:t>cruziactual</w:t>
      </w:r>
      <w:proofErr w:type="spellEnd"/>
      <w:r w:rsidR="00B85E64">
        <w:t> </w:t>
      </w:r>
      <w:r w:rsidR="002B7B9B">
        <w:t>−</w:t>
      </w:r>
      <w:r w:rsidRPr="00BA0AD1">
        <w:t xml:space="preserve"> показатель ее распространения составляет 2,8</w:t>
      </w:r>
      <w:r w:rsidR="004849A7">
        <w:t>%</w:t>
      </w:r>
      <w:r w:rsidRPr="00BA0AD1">
        <w:t>, а в течение года было выявлено 1907 случаев хронического заражения доноров крови. Особую озабоченность вызывает передача инфекции от матери ребе</w:t>
      </w:r>
      <w:r w:rsidRPr="00BA0AD1">
        <w:t>н</w:t>
      </w:r>
      <w:r w:rsidRPr="00BA0AD1">
        <w:t>ку/</w:t>
      </w:r>
      <w:proofErr w:type="spellStart"/>
      <w:r w:rsidRPr="00BA0AD1">
        <w:t>внутриутробно</w:t>
      </w:r>
      <w:proofErr w:type="spellEnd"/>
      <w:r w:rsidRPr="00BA0AD1">
        <w:t xml:space="preserve">. Уровень заражения беременных женщин, проживающих в </w:t>
      </w:r>
      <w:proofErr w:type="spellStart"/>
      <w:r w:rsidRPr="00BA0AD1">
        <w:t>эндемичных</w:t>
      </w:r>
      <w:proofErr w:type="spellEnd"/>
      <w:r w:rsidRPr="00BA0AD1">
        <w:t xml:space="preserve"> депа</w:t>
      </w:r>
      <w:r w:rsidRPr="00BA0AD1">
        <w:t>р</w:t>
      </w:r>
      <w:r w:rsidRPr="00BA0AD1">
        <w:t>таментах, составляет 6,3</w:t>
      </w:r>
      <w:r w:rsidR="004849A7">
        <w:t xml:space="preserve">% </w:t>
      </w:r>
      <w:r w:rsidRPr="00BA0AD1">
        <w:t xml:space="preserve">в </w:t>
      </w:r>
      <w:proofErr w:type="spellStart"/>
      <w:r w:rsidRPr="00BA0AD1">
        <w:t>Кордильере</w:t>
      </w:r>
      <w:proofErr w:type="spellEnd"/>
      <w:r w:rsidRPr="00BA0AD1">
        <w:t xml:space="preserve"> и 5,5</w:t>
      </w:r>
      <w:r w:rsidR="004849A7">
        <w:t xml:space="preserve">% </w:t>
      </w:r>
      <w:r w:rsidRPr="00BA0AD1">
        <w:t xml:space="preserve">в </w:t>
      </w:r>
      <w:proofErr w:type="spellStart"/>
      <w:r w:rsidRPr="00BA0AD1">
        <w:t>Парагуари</w:t>
      </w:r>
      <w:proofErr w:type="spellEnd"/>
      <w:r w:rsidRPr="00BA0AD1">
        <w:t xml:space="preserve"> </w:t>
      </w:r>
      <w:r w:rsidR="002B7B9B">
        <w:t>−</w:t>
      </w:r>
      <w:r w:rsidRPr="00BA0AD1">
        <w:t xml:space="preserve"> здесь зарегис</w:t>
      </w:r>
      <w:r w:rsidRPr="00BA0AD1">
        <w:t>т</w:t>
      </w:r>
      <w:r w:rsidRPr="00BA0AD1">
        <w:t xml:space="preserve">рировано 410 случаев заражения. В департаменте </w:t>
      </w:r>
      <w:proofErr w:type="spellStart"/>
      <w:r w:rsidRPr="00BA0AD1">
        <w:t>Бокерон</w:t>
      </w:r>
      <w:proofErr w:type="spellEnd"/>
      <w:r w:rsidRPr="00BA0AD1">
        <w:t xml:space="preserve"> (Филадельфия </w:t>
      </w:r>
      <w:r w:rsidR="002B7B9B">
        <w:t>−</w:t>
      </w:r>
      <w:r w:rsidRPr="00BA0AD1">
        <w:t xml:space="preserve"> </w:t>
      </w:r>
      <w:proofErr w:type="spellStart"/>
      <w:r w:rsidRPr="00BA0AD1">
        <w:t>Н</w:t>
      </w:r>
      <w:r w:rsidRPr="00BA0AD1">
        <w:t>е</w:t>
      </w:r>
      <w:r w:rsidRPr="00BA0AD1">
        <w:t>уланд</w:t>
      </w:r>
      <w:proofErr w:type="spellEnd"/>
      <w:r w:rsidRPr="00BA0AD1">
        <w:t xml:space="preserve">) доля </w:t>
      </w:r>
      <w:proofErr w:type="spellStart"/>
      <w:r w:rsidRPr="00BA0AD1">
        <w:t>серопозитивных</w:t>
      </w:r>
      <w:proofErr w:type="spellEnd"/>
      <w:r w:rsidRPr="00BA0AD1">
        <w:t xml:space="preserve"> соста</w:t>
      </w:r>
      <w:r w:rsidRPr="00BA0AD1">
        <w:t>в</w:t>
      </w:r>
      <w:r w:rsidRPr="00BA0AD1">
        <w:t>ляет 15</w:t>
      </w:r>
      <w:r w:rsidR="004849A7">
        <w:t>%</w:t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304.</w:t>
      </w:r>
      <w:r w:rsidRPr="00BA0AD1">
        <w:tab/>
        <w:t>С 2010 года удалось обеспечить предоставление службами здравоохран</w:t>
      </w:r>
      <w:r w:rsidRPr="00BA0AD1">
        <w:t>е</w:t>
      </w:r>
      <w:r w:rsidRPr="00BA0AD1">
        <w:t xml:space="preserve">ния информации о подтвержденных случаях болезни </w:t>
      </w:r>
      <w:proofErr w:type="spellStart"/>
      <w:r w:rsidRPr="00BA0AD1">
        <w:t>Шагаса</w:t>
      </w:r>
      <w:proofErr w:type="spellEnd"/>
      <w:r w:rsidRPr="00BA0AD1">
        <w:t>, и поступили с</w:t>
      </w:r>
      <w:r w:rsidRPr="00BA0AD1">
        <w:t>о</w:t>
      </w:r>
      <w:r w:rsidRPr="00BA0AD1">
        <w:t xml:space="preserve">общения о 77 случаях хронического заболевания </w:t>
      </w:r>
      <w:r w:rsidR="002B7B9B">
        <w:t>−</w:t>
      </w:r>
      <w:r w:rsidRPr="00BA0AD1">
        <w:t xml:space="preserve"> 68</w:t>
      </w:r>
      <w:r w:rsidR="004849A7">
        <w:t xml:space="preserve">% </w:t>
      </w:r>
      <w:r w:rsidRPr="00BA0AD1">
        <w:t>бессимптомных и 23</w:t>
      </w:r>
      <w:r w:rsidR="004849A7">
        <w:t xml:space="preserve">% </w:t>
      </w:r>
      <w:r w:rsidRPr="00BA0AD1">
        <w:t>протекающих с симптомами (</w:t>
      </w:r>
      <w:proofErr w:type="spellStart"/>
      <w:r w:rsidRPr="00BA0AD1">
        <w:t>кардиопатия</w:t>
      </w:r>
      <w:proofErr w:type="spellEnd"/>
      <w:r w:rsidRPr="00BA0AD1">
        <w:t xml:space="preserve"> у 24</w:t>
      </w:r>
      <w:r w:rsidR="004849A7">
        <w:t xml:space="preserve">% </w:t>
      </w:r>
      <w:r w:rsidRPr="00BA0AD1">
        <w:t>и увеличение ободочной ки</w:t>
      </w:r>
      <w:r w:rsidRPr="00BA0AD1">
        <w:t>ш</w:t>
      </w:r>
      <w:r w:rsidRPr="00BA0AD1">
        <w:t>ки у 7</w:t>
      </w:r>
      <w:r w:rsidR="004849A7">
        <w:t>%</w:t>
      </w:r>
      <w:r w:rsidRPr="00BA0AD1">
        <w:t>).</w:t>
      </w:r>
    </w:p>
    <w:p w:rsidR="00BA0AD1" w:rsidRPr="00BA0AD1" w:rsidRDefault="00BA0AD1" w:rsidP="00BA0AD1">
      <w:pPr>
        <w:pStyle w:val="SingleTxtGR"/>
      </w:pPr>
      <w:r w:rsidRPr="00BA0AD1">
        <w:t>305.</w:t>
      </w:r>
      <w:r w:rsidRPr="00BA0AD1">
        <w:tab/>
        <w:t xml:space="preserve">Начала действовать Система надзора за переносчиками болезни, задача которой </w:t>
      </w:r>
      <w:r w:rsidR="002B7B9B">
        <w:t>−</w:t>
      </w:r>
      <w:r w:rsidRPr="00BA0AD1">
        <w:t xml:space="preserve"> определять, измерять и осуществлять мониторинг заражения жилищ </w:t>
      </w:r>
      <w:proofErr w:type="spellStart"/>
      <w:r w:rsidRPr="00BA0AD1">
        <w:t>триатоминами</w:t>
      </w:r>
      <w:proofErr w:type="spellEnd"/>
      <w:r w:rsidRPr="00BA0AD1">
        <w:t xml:space="preserve"> с учетом зон риска. </w:t>
      </w:r>
    </w:p>
    <w:p w:rsidR="00BA0AD1" w:rsidRPr="00BA0AD1" w:rsidRDefault="00BA0AD1" w:rsidP="00BA0AD1">
      <w:pPr>
        <w:pStyle w:val="SingleTxtGR"/>
      </w:pPr>
      <w:r w:rsidRPr="00BA0AD1">
        <w:t>306.</w:t>
      </w:r>
      <w:r w:rsidRPr="00BA0AD1">
        <w:tab/>
        <w:t>Для надзора за банками крови вводятся критерии и показатели, призва</w:t>
      </w:r>
      <w:r w:rsidRPr="00BA0AD1">
        <w:t>н</w:t>
      </w:r>
      <w:r w:rsidRPr="00BA0AD1">
        <w:t>ные поставить барьер на пути передачи инфекции при переливаниях крови.</w:t>
      </w:r>
    </w:p>
    <w:p w:rsidR="00BA0AD1" w:rsidRPr="00BA0AD1" w:rsidRDefault="00BA0AD1" w:rsidP="00BA0AD1">
      <w:pPr>
        <w:pStyle w:val="SingleTxtGR"/>
      </w:pPr>
      <w:r w:rsidRPr="00BA0AD1">
        <w:t>307.</w:t>
      </w:r>
      <w:r w:rsidRPr="00BA0AD1">
        <w:tab/>
        <w:t>К числу мер профилактики относится осуществление контроля с участ</w:t>
      </w:r>
      <w:r w:rsidRPr="00BA0AD1">
        <w:t>и</w:t>
      </w:r>
      <w:r w:rsidRPr="00BA0AD1">
        <w:t xml:space="preserve">ем общин в </w:t>
      </w:r>
      <w:proofErr w:type="spellStart"/>
      <w:r w:rsidRPr="00BA0AD1">
        <w:t>эндемичных</w:t>
      </w:r>
      <w:proofErr w:type="spellEnd"/>
      <w:r w:rsidRPr="00BA0AD1">
        <w:t xml:space="preserve"> департаментах Восточного региона: здесь действует сеть мониторинга, в состав которой входят центры оповещения, созданные в каждом округе (20 в </w:t>
      </w:r>
      <w:proofErr w:type="spellStart"/>
      <w:r w:rsidRPr="00BA0AD1">
        <w:t>Кордильере</w:t>
      </w:r>
      <w:proofErr w:type="spellEnd"/>
      <w:r w:rsidRPr="00BA0AD1">
        <w:t xml:space="preserve">, 17 в </w:t>
      </w:r>
      <w:proofErr w:type="spellStart"/>
      <w:r w:rsidRPr="00BA0AD1">
        <w:t>Парагуари</w:t>
      </w:r>
      <w:proofErr w:type="spellEnd"/>
      <w:r w:rsidRPr="00BA0AD1">
        <w:t xml:space="preserve"> и 7 в </w:t>
      </w:r>
      <w:proofErr w:type="spellStart"/>
      <w:r w:rsidRPr="00BA0AD1">
        <w:t>Консепсьоне</w:t>
      </w:r>
      <w:proofErr w:type="spellEnd"/>
      <w:r w:rsidRPr="00BA0AD1">
        <w:t>). Всего со</w:t>
      </w:r>
      <w:r w:rsidRPr="00BA0AD1">
        <w:t>з</w:t>
      </w:r>
      <w:r w:rsidRPr="00BA0AD1">
        <w:t>дано 1892 пункта приема информации о случаях заболеваний, а работающие в них активисты, прошли курс подготовки, и их деятельность постоянно контр</w:t>
      </w:r>
      <w:r w:rsidRPr="00BA0AD1">
        <w:t>о</w:t>
      </w:r>
      <w:r w:rsidRPr="00BA0AD1">
        <w:t>лируется.</w:t>
      </w:r>
    </w:p>
    <w:p w:rsidR="00BA0AD1" w:rsidRPr="00BA0AD1" w:rsidRDefault="00BA0AD1" w:rsidP="00BA0AD1">
      <w:pPr>
        <w:pStyle w:val="SingleTxtGR"/>
      </w:pPr>
      <w:r w:rsidRPr="00BA0AD1">
        <w:t>308.</w:t>
      </w:r>
      <w:r w:rsidRPr="00BA0AD1">
        <w:tab/>
        <w:t xml:space="preserve">В Западном регионе или </w:t>
      </w:r>
      <w:proofErr w:type="spellStart"/>
      <w:r w:rsidRPr="00BA0AD1">
        <w:t>Чако</w:t>
      </w:r>
      <w:proofErr w:type="spellEnd"/>
      <w:r w:rsidRPr="00BA0AD1">
        <w:t xml:space="preserve"> к работе сети мониторинга активно пр</w:t>
      </w:r>
      <w:r w:rsidRPr="00BA0AD1">
        <w:t>и</w:t>
      </w:r>
      <w:r w:rsidRPr="00BA0AD1">
        <w:t>влекается общественность; активисты, прошедшие курс подготовки и раб</w:t>
      </w:r>
      <w:r w:rsidRPr="00BA0AD1">
        <w:t>о</w:t>
      </w:r>
      <w:r w:rsidRPr="00BA0AD1">
        <w:t>тающие в пунктах приема информации, оказывают прямое содействие в этой деятельности и проводят прямой мониторинг. Создано 4 центра оповещения (</w:t>
      </w:r>
      <w:proofErr w:type="spellStart"/>
      <w:r w:rsidRPr="00BA0AD1">
        <w:t>Неуланд</w:t>
      </w:r>
      <w:proofErr w:type="spellEnd"/>
      <w:r w:rsidRPr="00BA0AD1">
        <w:t xml:space="preserve">, Лома-Плата, Филадельфия и </w:t>
      </w:r>
      <w:proofErr w:type="spellStart"/>
      <w:r w:rsidRPr="00BA0AD1">
        <w:t>Марискаль-Эстигаррибиа</w:t>
      </w:r>
      <w:proofErr w:type="spellEnd"/>
      <w:r w:rsidRPr="00BA0AD1">
        <w:t>), а в 88 нас</w:t>
      </w:r>
      <w:r w:rsidRPr="00BA0AD1">
        <w:t>е</w:t>
      </w:r>
      <w:r w:rsidRPr="00BA0AD1">
        <w:t>ленных пунктах действуют пункты приема информации, в которых работает 141 активист.</w:t>
      </w:r>
    </w:p>
    <w:p w:rsidR="00BA0AD1" w:rsidRPr="00BA0AD1" w:rsidRDefault="00BA0AD1" w:rsidP="00BA0AD1">
      <w:pPr>
        <w:pStyle w:val="SingleTxtGR"/>
      </w:pPr>
      <w:r w:rsidRPr="00BA0AD1">
        <w:t>309.</w:t>
      </w:r>
      <w:r w:rsidRPr="00BA0AD1">
        <w:tab/>
        <w:t>Меры институционального надзора осуществляются в соответствии с планом ежегодной проверки жилого фонда и с учетом категории риска, к кот</w:t>
      </w:r>
      <w:r w:rsidRPr="00BA0AD1">
        <w:t>о</w:t>
      </w:r>
      <w:r w:rsidRPr="00BA0AD1">
        <w:t xml:space="preserve">рой отнесен каждый населенный пункт. Такой надзор проводится сотрудниками СЕНЕПА в трех районах ареала распространения этого заболевания </w:t>
      </w:r>
      <w:r w:rsidR="002B7B9B">
        <w:t>−</w:t>
      </w:r>
      <w:r w:rsidRPr="00BA0AD1">
        <w:t xml:space="preserve"> </w:t>
      </w:r>
      <w:proofErr w:type="spellStart"/>
      <w:r w:rsidRPr="00BA0AD1">
        <w:t>Консе</w:t>
      </w:r>
      <w:r w:rsidRPr="00BA0AD1">
        <w:t>п</w:t>
      </w:r>
      <w:r w:rsidRPr="00BA0AD1">
        <w:t>сьоне</w:t>
      </w:r>
      <w:proofErr w:type="spellEnd"/>
      <w:r w:rsidRPr="00BA0AD1">
        <w:t xml:space="preserve">, </w:t>
      </w:r>
      <w:proofErr w:type="spellStart"/>
      <w:r w:rsidRPr="00BA0AD1">
        <w:t>Кордильере</w:t>
      </w:r>
      <w:proofErr w:type="spellEnd"/>
      <w:r w:rsidRPr="00BA0AD1">
        <w:t xml:space="preserve"> и </w:t>
      </w:r>
      <w:proofErr w:type="spellStart"/>
      <w:r w:rsidRPr="00BA0AD1">
        <w:t>Парагуари</w:t>
      </w:r>
      <w:proofErr w:type="spellEnd"/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310.</w:t>
      </w:r>
      <w:r w:rsidRPr="00BA0AD1">
        <w:tab/>
        <w:t xml:space="preserve">В 2010 году 27 детей прошли курс лечения от болезни </w:t>
      </w:r>
      <w:proofErr w:type="spellStart"/>
      <w:r w:rsidRPr="00BA0AD1">
        <w:t>Шагаса</w:t>
      </w:r>
      <w:proofErr w:type="spellEnd"/>
      <w:r w:rsidRPr="00BA0AD1">
        <w:t>, получе</w:t>
      </w:r>
      <w:r w:rsidRPr="00BA0AD1">
        <w:t>н</w:t>
      </w:r>
      <w:r w:rsidRPr="00BA0AD1">
        <w:t xml:space="preserve">ной ими от матерей. </w:t>
      </w:r>
    </w:p>
    <w:p w:rsidR="00BA0AD1" w:rsidRPr="00BA0AD1" w:rsidRDefault="00BA0AD1" w:rsidP="00BA0AD1">
      <w:pPr>
        <w:pStyle w:val="SingleTxtGR"/>
      </w:pPr>
      <w:r w:rsidRPr="00BA0AD1">
        <w:t>311.</w:t>
      </w:r>
      <w:r w:rsidRPr="00BA0AD1">
        <w:tab/>
        <w:t>В задачи Национальной программы по борьбе с лейшманиозом входят снижение уровней заболеваемости и смертности, а также передачи этого заб</w:t>
      </w:r>
      <w:r w:rsidRPr="00BA0AD1">
        <w:t>о</w:t>
      </w:r>
      <w:r w:rsidRPr="00BA0AD1">
        <w:t>левания; проведение объективной диагностики возможно большего числа сл</w:t>
      </w:r>
      <w:r w:rsidRPr="00BA0AD1">
        <w:t>у</w:t>
      </w:r>
      <w:r w:rsidRPr="00BA0AD1">
        <w:t>чаев лейшманиоза; эффективное лечение всех выявленных случаев заболев</w:t>
      </w:r>
      <w:r w:rsidRPr="00BA0AD1">
        <w:t>а</w:t>
      </w:r>
      <w:r w:rsidRPr="00BA0AD1">
        <w:t>ния; повышение квалификации сотрудников местных и региональных медици</w:t>
      </w:r>
      <w:r w:rsidRPr="00BA0AD1">
        <w:t>н</w:t>
      </w:r>
      <w:r w:rsidRPr="00BA0AD1">
        <w:t>ских учреждений; координация, организация и осуществление мер по контролю и надзору за лейшманиозом.</w:t>
      </w:r>
    </w:p>
    <w:p w:rsidR="00BA0AD1" w:rsidRPr="00BA0AD1" w:rsidRDefault="00BA0AD1" w:rsidP="00BA0AD1">
      <w:pPr>
        <w:pStyle w:val="SingleTxtGR"/>
      </w:pPr>
      <w:r w:rsidRPr="00BA0AD1">
        <w:t>312.</w:t>
      </w:r>
      <w:r w:rsidRPr="00BA0AD1">
        <w:tab/>
        <w:t>Эпидемиологическая ситуация: по данным за 2010 год, были получены сведения о 145 случаях висцерального лейшманиоза, большинство из них в о</w:t>
      </w:r>
      <w:r w:rsidRPr="00BA0AD1">
        <w:t>к</w:t>
      </w:r>
      <w:r w:rsidRPr="00BA0AD1">
        <w:t xml:space="preserve">ругах Центрального департамента и в департаментах </w:t>
      </w:r>
      <w:proofErr w:type="spellStart"/>
      <w:r w:rsidRPr="00BA0AD1">
        <w:t>Консепсьон</w:t>
      </w:r>
      <w:proofErr w:type="spellEnd"/>
      <w:r w:rsidRPr="00BA0AD1">
        <w:t xml:space="preserve">, </w:t>
      </w:r>
      <w:proofErr w:type="spellStart"/>
      <w:r w:rsidRPr="00BA0AD1">
        <w:t>Кордильера</w:t>
      </w:r>
      <w:proofErr w:type="spellEnd"/>
      <w:r w:rsidRPr="00BA0AD1">
        <w:t xml:space="preserve">, </w:t>
      </w:r>
      <w:proofErr w:type="spellStart"/>
      <w:r w:rsidRPr="00BA0AD1">
        <w:t>Парагуари</w:t>
      </w:r>
      <w:proofErr w:type="spellEnd"/>
      <w:r w:rsidRPr="00BA0AD1">
        <w:t xml:space="preserve">, </w:t>
      </w:r>
      <w:proofErr w:type="spellStart"/>
      <w:r w:rsidRPr="00BA0AD1">
        <w:t>Каагуасу</w:t>
      </w:r>
      <w:proofErr w:type="spellEnd"/>
      <w:r w:rsidRPr="00BA0AD1">
        <w:t xml:space="preserve">, </w:t>
      </w:r>
      <w:proofErr w:type="spellStart"/>
      <w:r w:rsidRPr="00BA0AD1">
        <w:t>Мисьонес</w:t>
      </w:r>
      <w:proofErr w:type="spellEnd"/>
      <w:r w:rsidRPr="00BA0AD1">
        <w:t xml:space="preserve">, </w:t>
      </w:r>
      <w:proofErr w:type="spellStart"/>
      <w:r w:rsidRPr="00BA0AD1">
        <w:t>Итапуа</w:t>
      </w:r>
      <w:proofErr w:type="spellEnd"/>
      <w:r w:rsidRPr="00BA0AD1">
        <w:t xml:space="preserve">, </w:t>
      </w:r>
      <w:proofErr w:type="spellStart"/>
      <w:r w:rsidRPr="00BA0AD1">
        <w:t>Гуаира</w:t>
      </w:r>
      <w:proofErr w:type="spellEnd"/>
      <w:r w:rsidRPr="00BA0AD1">
        <w:t xml:space="preserve">, Столичном, </w:t>
      </w:r>
      <w:proofErr w:type="spellStart"/>
      <w:r w:rsidRPr="00BA0AD1">
        <w:t>Пресиденте-Аэс</w:t>
      </w:r>
      <w:proofErr w:type="spellEnd"/>
      <w:r w:rsidRPr="00BA0AD1">
        <w:t xml:space="preserve"> и </w:t>
      </w:r>
      <w:proofErr w:type="spellStart"/>
      <w:r w:rsidRPr="00BA0AD1">
        <w:t>Альто-Парана</w:t>
      </w:r>
      <w:proofErr w:type="spellEnd"/>
      <w:r w:rsidRPr="00BA0AD1">
        <w:t>, и 264 случаях подкожного лейшманиоза. В нынешнем году, по состоянию на 21 сентября, имеются сведения о 38 случаях висцерального лейшманиоза и 30 случаях подкожного лейшманиоза.</w:t>
      </w:r>
    </w:p>
    <w:p w:rsidR="00BA0AD1" w:rsidRPr="00BA0AD1" w:rsidRDefault="00BA0AD1" w:rsidP="00BA0AD1">
      <w:pPr>
        <w:pStyle w:val="SingleTxtGR"/>
      </w:pPr>
      <w:r w:rsidRPr="00BA0AD1">
        <w:t>313.</w:t>
      </w:r>
      <w:r w:rsidRPr="00BA0AD1">
        <w:tab/>
        <w:t>В 2010 году в 70</w:t>
      </w:r>
      <w:r w:rsidR="004849A7">
        <w:t xml:space="preserve">% </w:t>
      </w:r>
      <w:r w:rsidRPr="00BA0AD1">
        <w:t>подтвержденных случаев лейшманиоза заболевшими были мужчины, а в 30</w:t>
      </w:r>
      <w:r w:rsidR="004849A7">
        <w:t xml:space="preserve">% </w:t>
      </w:r>
      <w:r w:rsidR="002B7B9B">
        <w:t>−</w:t>
      </w:r>
      <w:r w:rsidRPr="00BA0AD1">
        <w:t xml:space="preserve"> женщины. Большинство заболевших относятся к во</w:t>
      </w:r>
      <w:r w:rsidRPr="00BA0AD1">
        <w:t>з</w:t>
      </w:r>
      <w:r w:rsidRPr="00BA0AD1">
        <w:t xml:space="preserve">растной группе от 1 до 4 лет, меньше всего заболевших </w:t>
      </w:r>
      <w:r w:rsidR="002B7B9B">
        <w:t>−</w:t>
      </w:r>
      <w:r w:rsidRPr="00BA0AD1">
        <w:t xml:space="preserve"> в возрастной группе от 15 до 19 лет.</w:t>
      </w:r>
    </w:p>
    <w:p w:rsidR="00BA0AD1" w:rsidRPr="00BA0AD1" w:rsidRDefault="00BA0AD1" w:rsidP="00BA0AD1">
      <w:pPr>
        <w:pStyle w:val="SingleTxtGR"/>
      </w:pPr>
      <w:r w:rsidRPr="00BA0AD1">
        <w:t>314.</w:t>
      </w:r>
      <w:r w:rsidRPr="00BA0AD1">
        <w:tab/>
        <w:t>Увеличение числа сообщений о заболевании связано, по-видимому, с ув</w:t>
      </w:r>
      <w:r w:rsidRPr="00BA0AD1">
        <w:t>е</w:t>
      </w:r>
      <w:r w:rsidRPr="00BA0AD1">
        <w:t>личением числа выявленных случаев, поскольку удалось повысить эффекти</w:t>
      </w:r>
      <w:r w:rsidRPr="00BA0AD1">
        <w:t>в</w:t>
      </w:r>
      <w:r w:rsidRPr="00BA0AD1">
        <w:t>ность диагностики болезни в центрах наблюдения (Национальная больница, Институт тропической медицины, Клинический госпиталь, Центр материнства и детства, Больница общей педиатрической помощи) и в других государстве</w:t>
      </w:r>
      <w:r w:rsidRPr="00BA0AD1">
        <w:t>н</w:t>
      </w:r>
      <w:r w:rsidRPr="00BA0AD1">
        <w:t xml:space="preserve">ных и частных медицинских учреждениях (Институт социального страхования, Больница </w:t>
      </w:r>
      <w:proofErr w:type="spellStart"/>
      <w:r w:rsidRPr="00BA0AD1">
        <w:t>Баррио</w:t>
      </w:r>
      <w:proofErr w:type="spellEnd"/>
      <w:r w:rsidRPr="00BA0AD1">
        <w:t xml:space="preserve"> </w:t>
      </w:r>
      <w:proofErr w:type="spellStart"/>
      <w:r w:rsidRPr="00BA0AD1">
        <w:t>Обреро</w:t>
      </w:r>
      <w:proofErr w:type="spellEnd"/>
      <w:r w:rsidRPr="00BA0AD1">
        <w:t xml:space="preserve">, Санаторий </w:t>
      </w:r>
      <w:proofErr w:type="spellStart"/>
      <w:r w:rsidRPr="00BA0AD1">
        <w:t>Сан-Роке</w:t>
      </w:r>
      <w:proofErr w:type="spellEnd"/>
      <w:r w:rsidRPr="00BA0AD1">
        <w:t>, Частный детский институт, Р</w:t>
      </w:r>
      <w:r w:rsidRPr="00BA0AD1">
        <w:t>е</w:t>
      </w:r>
      <w:r w:rsidRPr="00BA0AD1">
        <w:t xml:space="preserve">гиональная больница </w:t>
      </w:r>
      <w:proofErr w:type="spellStart"/>
      <w:r w:rsidRPr="00BA0AD1">
        <w:t>Энкарнасьон</w:t>
      </w:r>
      <w:proofErr w:type="spellEnd"/>
      <w:r w:rsidRPr="00BA0AD1">
        <w:t xml:space="preserve">). </w:t>
      </w:r>
    </w:p>
    <w:p w:rsidR="00BA0AD1" w:rsidRPr="00BA0AD1" w:rsidRDefault="00BA0AD1" w:rsidP="00BA0AD1">
      <w:pPr>
        <w:pStyle w:val="SingleTxtGR"/>
      </w:pPr>
      <w:r w:rsidRPr="00BA0AD1">
        <w:t>315.</w:t>
      </w:r>
      <w:r w:rsidRPr="00BA0AD1">
        <w:tab/>
        <w:t>Зарегистрированный уровень смертности от лейшманиоза составил в 2010 году 6,2</w:t>
      </w:r>
      <w:r w:rsidR="004849A7">
        <w:t xml:space="preserve">% </w:t>
      </w:r>
      <w:r w:rsidR="002B7B9B">
        <w:t>−</w:t>
      </w:r>
      <w:r w:rsidRPr="00BA0AD1">
        <w:t xml:space="preserve"> меньше, чем в предыдущие годы. Что касается 2011 года, то по состоянию на 21 сентября зарегистрированный уровень смертности составил 4,80</w:t>
      </w:r>
      <w:r w:rsidR="004849A7">
        <w:t xml:space="preserve">% </w:t>
      </w:r>
      <w:r w:rsidRPr="00BA0AD1">
        <w:t>(было зарегистрировано два смертельных исхода). Это объясняется как улучшением качества лечения случаев лейшманиоза в больницах, я</w:t>
      </w:r>
      <w:r w:rsidRPr="00BA0AD1">
        <w:t>в</w:t>
      </w:r>
      <w:r w:rsidRPr="00BA0AD1">
        <w:t>ляющихся центрами наблюдения, так и повышением показателей ранней диагностики б</w:t>
      </w:r>
      <w:r w:rsidRPr="00BA0AD1">
        <w:t>о</w:t>
      </w:r>
      <w:r w:rsidRPr="00BA0AD1">
        <w:t>лезни.</w:t>
      </w:r>
    </w:p>
    <w:p w:rsidR="00BA0AD1" w:rsidRPr="00BA0AD1" w:rsidRDefault="00BA0AD1" w:rsidP="00BA0AD1">
      <w:pPr>
        <w:pStyle w:val="SingleTxtGR"/>
      </w:pPr>
      <w:r w:rsidRPr="00BA0AD1">
        <w:t>316.</w:t>
      </w:r>
      <w:r w:rsidRPr="00BA0AD1">
        <w:tab/>
        <w:t>В целях профилактики проводились беседы и учебные мероприятия по проблемам борьбы с лейшманиозом в районах, для которых это заболевание я</w:t>
      </w:r>
      <w:r w:rsidRPr="00BA0AD1">
        <w:t>в</w:t>
      </w:r>
      <w:r w:rsidRPr="00BA0AD1">
        <w:t xml:space="preserve">ляется </w:t>
      </w:r>
      <w:proofErr w:type="spellStart"/>
      <w:r w:rsidRPr="00BA0AD1">
        <w:t>энедемическим</w:t>
      </w:r>
      <w:proofErr w:type="spellEnd"/>
      <w:r w:rsidRPr="00BA0AD1">
        <w:t>, а также курсы повышения квалификации в области д</w:t>
      </w:r>
      <w:r w:rsidRPr="00BA0AD1">
        <w:t>и</w:t>
      </w:r>
      <w:r w:rsidRPr="00BA0AD1">
        <w:t>агностики и лечения этого заболевания для работников медицинских учрежд</w:t>
      </w:r>
      <w:r w:rsidRPr="00BA0AD1">
        <w:t>е</w:t>
      </w:r>
      <w:r w:rsidRPr="00BA0AD1">
        <w:t>ний, равно как и для сотрудников СЕНЕПА. В ходе этой работы было распр</w:t>
      </w:r>
      <w:r w:rsidRPr="00BA0AD1">
        <w:t>о</w:t>
      </w:r>
      <w:r w:rsidRPr="00BA0AD1">
        <w:t>странено 126 274 экземпляра информационных материалов.</w:t>
      </w:r>
    </w:p>
    <w:p w:rsidR="00BA0AD1" w:rsidRPr="00BA0AD1" w:rsidRDefault="00BA0AD1" w:rsidP="00BA0AD1">
      <w:pPr>
        <w:pStyle w:val="SingleTxtGR"/>
      </w:pPr>
      <w:r w:rsidRPr="00BA0AD1">
        <w:t>317.</w:t>
      </w:r>
      <w:r w:rsidRPr="00BA0AD1">
        <w:tab/>
        <w:t>Информация о доле детей в возрасте 1 года, получивших прививки от к</w:t>
      </w:r>
      <w:r w:rsidRPr="00BA0AD1">
        <w:t>о</w:t>
      </w:r>
      <w:r w:rsidRPr="00BA0AD1">
        <w:t>ри, приводится в приложении XX.</w:t>
      </w:r>
    </w:p>
    <w:p w:rsidR="00BA0AD1" w:rsidRPr="00BA0AD1" w:rsidRDefault="00BA0AD1" w:rsidP="00BA0AD1">
      <w:pPr>
        <w:pStyle w:val="SingleTxtGR"/>
      </w:pPr>
      <w:r w:rsidRPr="00BA0AD1">
        <w:t>318.</w:t>
      </w:r>
      <w:r w:rsidRPr="00BA0AD1">
        <w:tab/>
        <w:t>Что касается показателя охвата детей в возрасте 1 года, получивших пр</w:t>
      </w:r>
      <w:r w:rsidRPr="00BA0AD1">
        <w:t>и</w:t>
      </w:r>
      <w:r w:rsidRPr="00BA0AD1">
        <w:t>вивки от кори, то за период с 1990 по 2008 год он вырос в общенациональном масштабе с 71</w:t>
      </w:r>
      <w:r w:rsidR="004849A7">
        <w:t xml:space="preserve">% </w:t>
      </w:r>
      <w:r w:rsidRPr="00BA0AD1">
        <w:t>до 77</w:t>
      </w:r>
      <w:r w:rsidR="004849A7">
        <w:t>%</w:t>
      </w:r>
      <w:r w:rsidRPr="00BA0AD1">
        <w:t>, а в следующем году снизился до 71</w:t>
      </w:r>
      <w:r w:rsidR="004849A7">
        <w:t>%</w:t>
      </w:r>
      <w:r w:rsidRPr="00BA0AD1">
        <w:t>. Судя по име</w:t>
      </w:r>
      <w:r w:rsidRPr="00BA0AD1">
        <w:t>ю</w:t>
      </w:r>
      <w:r w:rsidRPr="00BA0AD1">
        <w:t xml:space="preserve">щимся статистическим данным по соответствующим санитарным округам, в 2009 году показатели охвата в Асунсьоне и </w:t>
      </w:r>
      <w:proofErr w:type="spellStart"/>
      <w:r w:rsidRPr="00BA0AD1">
        <w:t>Каасапе</w:t>
      </w:r>
      <w:proofErr w:type="spellEnd"/>
      <w:r w:rsidRPr="00BA0AD1">
        <w:t xml:space="preserve"> </w:t>
      </w:r>
      <w:r w:rsidR="002B7B9B">
        <w:t>−</w:t>
      </w:r>
      <w:r w:rsidRPr="00BA0AD1">
        <w:t xml:space="preserve"> как в городах, так и в сельских районах </w:t>
      </w:r>
      <w:r w:rsidR="002B7B9B">
        <w:t>−</w:t>
      </w:r>
      <w:r w:rsidRPr="00BA0AD1">
        <w:t xml:space="preserve"> достигли 81</w:t>
      </w:r>
      <w:r w:rsidR="004849A7">
        <w:t>%</w:t>
      </w:r>
      <w:r w:rsidRPr="00BA0AD1">
        <w:t>. Хотя эти показатели и имеют тенденцию к росту, они пока не достигают 95</w:t>
      </w:r>
      <w:r w:rsidR="004849A7">
        <w:t xml:space="preserve">% </w:t>
      </w:r>
      <w:r w:rsidR="002B7B9B">
        <w:t>−</w:t>
      </w:r>
      <w:r w:rsidRPr="00BA0AD1">
        <w:t xml:space="preserve"> уровня, который считается оптимальным для решения задачи по полной ликвидации этого заболев</w:t>
      </w:r>
      <w:r w:rsidRPr="00BA0AD1">
        <w:t>а</w:t>
      </w:r>
      <w:r w:rsidRPr="00BA0AD1">
        <w:t>ния.</w:t>
      </w:r>
    </w:p>
    <w:p w:rsidR="00BA0AD1" w:rsidRPr="00BA0AD1" w:rsidRDefault="00BA0AD1" w:rsidP="00BA0AD1">
      <w:pPr>
        <w:pStyle w:val="SingleTxtGR"/>
      </w:pPr>
      <w:r w:rsidRPr="00BA0AD1">
        <w:t>319.</w:t>
      </w:r>
      <w:r w:rsidRPr="00BA0AD1">
        <w:tab/>
        <w:t>В целях уменьшения доли входящих в группы риска людей, расширения доступа к вакцинации и решения задач по обеспечению необходимого охвата прививками МЗСО с 2004 года принимает участие в Американской неделе ва</w:t>
      </w:r>
      <w:r w:rsidRPr="00BA0AD1">
        <w:t>к</w:t>
      </w:r>
      <w:r w:rsidRPr="00BA0AD1">
        <w:t xml:space="preserve">цинации, задача которой </w:t>
      </w:r>
      <w:r w:rsidR="002B7B9B">
        <w:t>−</w:t>
      </w:r>
      <w:r w:rsidRPr="00BA0AD1">
        <w:t xml:space="preserve"> сократить неравенство в доступе к прививкам.</w:t>
      </w:r>
    </w:p>
    <w:p w:rsidR="00BA0AD1" w:rsidRPr="00BA0AD1" w:rsidRDefault="00BA0AD1" w:rsidP="00BA0AD1">
      <w:pPr>
        <w:pStyle w:val="SingleTxtGR"/>
      </w:pPr>
      <w:r w:rsidRPr="00BA0AD1">
        <w:t>320.</w:t>
      </w:r>
      <w:r w:rsidRPr="00BA0AD1">
        <w:tab/>
        <w:t>C 1998 года, когда прошла общенациональная кампания по вакцинации в целях борьбы с корью, обеспечившая 100</w:t>
      </w:r>
      <w:r w:rsidR="004849A7">
        <w:t>-</w:t>
      </w:r>
      <w:r w:rsidRPr="00BA0AD1">
        <w:t>процентный охват, случаев кори в стране не зафиксировано. В период с 2003 по 2009 год было проведено нескол</w:t>
      </w:r>
      <w:r w:rsidRPr="00BA0AD1">
        <w:t>ь</w:t>
      </w:r>
      <w:r w:rsidRPr="00BA0AD1">
        <w:t>ко кампаний по вакцинации вакциной SR/SPR, имевших целью охват категорий населения, входящих в группы риска. Кампании дали следующие результаты: в</w:t>
      </w:r>
      <w:r w:rsidR="00B85E64">
        <w:t> </w:t>
      </w:r>
      <w:r w:rsidRPr="00BA0AD1">
        <w:t>2003 году охват для населения в возрасте от 1 года до 4 лет составил 93</w:t>
      </w:r>
      <w:r w:rsidR="004849A7">
        <w:t>%</w:t>
      </w:r>
      <w:r w:rsidRPr="00BA0AD1">
        <w:t>, в</w:t>
      </w:r>
      <w:r w:rsidR="00B85E64">
        <w:t> </w:t>
      </w:r>
      <w:r w:rsidRPr="00BA0AD1">
        <w:t xml:space="preserve">2005 году охват для населения в возрасте от 5 до 39 лет </w:t>
      </w:r>
      <w:r w:rsidR="002B7B9B">
        <w:t>−</w:t>
      </w:r>
      <w:r w:rsidRPr="00BA0AD1">
        <w:t xml:space="preserve"> 99,7</w:t>
      </w:r>
      <w:r w:rsidR="004849A7">
        <w:t>%</w:t>
      </w:r>
      <w:r w:rsidRPr="00BA0AD1">
        <w:t>, а подтве</w:t>
      </w:r>
      <w:r w:rsidRPr="00BA0AD1">
        <w:t>р</w:t>
      </w:r>
      <w:r w:rsidRPr="00BA0AD1">
        <w:t>жденный результатами быстрого мониторинга уровень охвата населения в во</w:t>
      </w:r>
      <w:r w:rsidRPr="00BA0AD1">
        <w:t>з</w:t>
      </w:r>
      <w:r w:rsidRPr="00BA0AD1">
        <w:t xml:space="preserve">расте от 1 года до 8 лет в ходе кампании 2009 года </w:t>
      </w:r>
      <w:r w:rsidR="002B7B9B">
        <w:t>−</w:t>
      </w:r>
      <w:r w:rsidRPr="00BA0AD1">
        <w:t xml:space="preserve"> 99</w:t>
      </w:r>
      <w:r w:rsidR="004849A7">
        <w:t>%</w:t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321.</w:t>
      </w:r>
      <w:r w:rsidRPr="00BA0AD1">
        <w:tab/>
        <w:t>В стране достигнуты значительные успехи в решении проблем снижения уровня смертности детей, в том числе детей младше 5 лет, и для сохранения этой тенденции необходимо расширять охват услугами здравоохранения в бе</w:t>
      </w:r>
      <w:r w:rsidRPr="00BA0AD1">
        <w:t>д</w:t>
      </w:r>
      <w:r w:rsidRPr="00BA0AD1">
        <w:t>нейших регионах страны.</w:t>
      </w:r>
    </w:p>
    <w:p w:rsidR="00BA0AD1" w:rsidRPr="00BA0AD1" w:rsidRDefault="00BA0AD1" w:rsidP="00BA0AD1">
      <w:pPr>
        <w:pStyle w:val="SingleTxtGR"/>
      </w:pPr>
      <w:r w:rsidRPr="00BA0AD1">
        <w:t>322.</w:t>
      </w:r>
      <w:r w:rsidRPr="00BA0AD1">
        <w:tab/>
        <w:t>Еще одной задачей в сфере борьбы с детской смертностью является раб</w:t>
      </w:r>
      <w:r w:rsidRPr="00BA0AD1">
        <w:t>о</w:t>
      </w:r>
      <w:r w:rsidRPr="00BA0AD1">
        <w:t>та в сфере медицинского просвещения, чтобы повышать спрос со стороны о</w:t>
      </w:r>
      <w:r w:rsidRPr="00BA0AD1">
        <w:t>б</w:t>
      </w:r>
      <w:r w:rsidRPr="00BA0AD1">
        <w:t>щин на услуги профилактической медицины, предоставляемые учреждениями системы здравоохранения. Необходимо ставить во главу угла проблемы здор</w:t>
      </w:r>
      <w:r w:rsidRPr="00BA0AD1">
        <w:t>о</w:t>
      </w:r>
      <w:r w:rsidRPr="00BA0AD1">
        <w:t>вого роста и развития детей младше 5 лет и контроля поддающихся профила</w:t>
      </w:r>
      <w:r w:rsidRPr="00BA0AD1">
        <w:t>к</w:t>
      </w:r>
      <w:r w:rsidRPr="00BA0AD1">
        <w:t>тике заболеваний, которые являются причиной смертности детей этого возра</w:t>
      </w:r>
      <w:r w:rsidRPr="00BA0AD1">
        <w:t>с</w:t>
      </w:r>
      <w:r w:rsidRPr="00BA0AD1">
        <w:t>та.</w:t>
      </w:r>
    </w:p>
    <w:p w:rsidR="00BA0AD1" w:rsidRPr="00BA0AD1" w:rsidRDefault="00BA0AD1" w:rsidP="00BA0AD1">
      <w:pPr>
        <w:pStyle w:val="SingleTxtGR"/>
      </w:pPr>
      <w:r w:rsidRPr="00BA0AD1">
        <w:t>323.</w:t>
      </w:r>
      <w:r w:rsidRPr="00BA0AD1">
        <w:tab/>
        <w:t>По-прежнему актуальной и ждущей своего решения остается проблема сбора и учета информации по проблемам здравоохранения и ее пополнение с</w:t>
      </w:r>
      <w:r w:rsidRPr="00BA0AD1">
        <w:t>о</w:t>
      </w:r>
      <w:r w:rsidRPr="00BA0AD1">
        <w:t>держательными и достоверными данными, поскольку это способствует разр</w:t>
      </w:r>
      <w:r w:rsidRPr="00BA0AD1">
        <w:t>а</w:t>
      </w:r>
      <w:r w:rsidRPr="00BA0AD1">
        <w:t>ботке и осуществлению планов и программ, отвечающих потребностям и отр</w:t>
      </w:r>
      <w:r w:rsidRPr="00BA0AD1">
        <w:t>а</w:t>
      </w:r>
      <w:r w:rsidRPr="00BA0AD1">
        <w:t>жающих реалии страны.</w:t>
      </w:r>
    </w:p>
    <w:p w:rsidR="00BA0AD1" w:rsidRPr="00BA0AD1" w:rsidRDefault="00BA0AD1" w:rsidP="00BA0AD1">
      <w:pPr>
        <w:pStyle w:val="SingleTxtGR"/>
      </w:pPr>
      <w:r w:rsidRPr="00BA0AD1">
        <w:t>324.</w:t>
      </w:r>
      <w:r w:rsidRPr="00BA0AD1">
        <w:tab/>
        <w:t>Первоочередной задачей, решение которой не терпит отлагательства, я</w:t>
      </w:r>
      <w:r w:rsidRPr="00BA0AD1">
        <w:t>в</w:t>
      </w:r>
      <w:r w:rsidRPr="00BA0AD1">
        <w:t>ляется разработка показателей состояния здоровья детей из числа коренного населения, а также подготовка планов и программ, в которых учитывались бы культурные особенности общин коренных народов.</w:t>
      </w:r>
    </w:p>
    <w:p w:rsidR="00BA0AD1" w:rsidRPr="00BA0AD1" w:rsidRDefault="00BA0AD1" w:rsidP="00BA0AD1">
      <w:pPr>
        <w:pStyle w:val="SingleTxtGR"/>
      </w:pPr>
      <w:r w:rsidRPr="00BA0AD1">
        <w:t>325.</w:t>
      </w:r>
      <w:r w:rsidRPr="00BA0AD1">
        <w:tab/>
        <w:t>Местным органам власти следует более ответственно подходить к реш</w:t>
      </w:r>
      <w:r w:rsidRPr="00BA0AD1">
        <w:t>е</w:t>
      </w:r>
      <w:r w:rsidRPr="00BA0AD1">
        <w:t>нию задач по децентрализации медико-санитарной работы, разрабатывая ко</w:t>
      </w:r>
      <w:r w:rsidRPr="00BA0AD1">
        <w:t>н</w:t>
      </w:r>
      <w:r w:rsidRPr="00BA0AD1">
        <w:t>кретные планы, программы и целевые ориентиры по снижению детской забол</w:t>
      </w:r>
      <w:r w:rsidRPr="00BA0AD1">
        <w:t>е</w:t>
      </w:r>
      <w:r w:rsidRPr="00BA0AD1">
        <w:t xml:space="preserve">ваемости и смертности. </w:t>
      </w:r>
    </w:p>
    <w:p w:rsidR="00BA0AD1" w:rsidRPr="00BA0AD1" w:rsidRDefault="00BA0AD1" w:rsidP="00BA0AD1">
      <w:pPr>
        <w:pStyle w:val="SingleTxtGR"/>
      </w:pPr>
      <w:r w:rsidRPr="00BA0AD1">
        <w:t>326.</w:t>
      </w:r>
      <w:r w:rsidRPr="00BA0AD1">
        <w:tab/>
        <w:t>Решая задачу по обеспечению медицинскими услугами всех граждан страны, необходимо обращать самое пристальное внимание на комплексную помощь матери/новорожденному/ребенку.</w:t>
      </w:r>
    </w:p>
    <w:p w:rsidR="00BA0AD1" w:rsidRPr="00BA0AD1" w:rsidRDefault="00BA0AD1" w:rsidP="00BA0AD1">
      <w:pPr>
        <w:pStyle w:val="SingleTxtGR"/>
      </w:pPr>
      <w:r w:rsidRPr="00BA0AD1">
        <w:t>327.</w:t>
      </w:r>
      <w:r w:rsidRPr="00BA0AD1">
        <w:tab/>
        <w:t>Для решения этой задачи необходимо прежде всего обеспечить наличие в каждом санитарном округе специалистов, ресурсов, оборудования и матери</w:t>
      </w:r>
      <w:r w:rsidRPr="00BA0AD1">
        <w:t>а</w:t>
      </w:r>
      <w:r w:rsidRPr="00BA0AD1">
        <w:t>лов, инфраструктуры и потенциала в сфере принятия решений на местном уровне</w:t>
      </w:r>
      <w:r w:rsidRPr="007713F6">
        <w:rPr>
          <w:sz w:val="18"/>
          <w:szCs w:val="18"/>
          <w:vertAlign w:val="superscript"/>
        </w:rPr>
        <w:footnoteReference w:id="43"/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328.</w:t>
      </w:r>
      <w:r w:rsidRPr="00BA0AD1">
        <w:tab/>
        <w:t>Повышение квалификации работников системы здравоохранения в орг</w:t>
      </w:r>
      <w:r w:rsidRPr="00BA0AD1">
        <w:t>а</w:t>
      </w:r>
      <w:r w:rsidRPr="00BA0AD1">
        <w:t>низационном аспекте и аспекте распоряжения ресурсами представляет собой задачу первостепенной важности, поскольку недостатки в этих областях пор</w:t>
      </w:r>
      <w:r w:rsidRPr="00BA0AD1">
        <w:t>о</w:t>
      </w:r>
      <w:r w:rsidRPr="00BA0AD1">
        <w:t>ждают серьезные проблемы в отношении наличия средств и материалов, нео</w:t>
      </w:r>
      <w:r w:rsidRPr="00BA0AD1">
        <w:t>б</w:t>
      </w:r>
      <w:r w:rsidRPr="00BA0AD1">
        <w:t xml:space="preserve">ходимых для нормальной работы медицинских учреждений, и прежде всего за пределами столичного региона. </w:t>
      </w:r>
    </w:p>
    <w:p w:rsidR="00BA0AD1" w:rsidRPr="00BA0AD1" w:rsidRDefault="00BA0AD1" w:rsidP="00BA0AD1">
      <w:pPr>
        <w:pStyle w:val="SingleTxtGR"/>
      </w:pPr>
      <w:r w:rsidRPr="00BA0AD1">
        <w:t>329.</w:t>
      </w:r>
      <w:r w:rsidRPr="00BA0AD1">
        <w:tab/>
        <w:t>Важной проблемой для системы здравоохранения остается также созд</w:t>
      </w:r>
      <w:r w:rsidRPr="00BA0AD1">
        <w:t>а</w:t>
      </w:r>
      <w:r w:rsidRPr="00BA0AD1">
        <w:t>ние сетей медицинских услуг для осуществления стратегии оказания неотло</w:t>
      </w:r>
      <w:r w:rsidRPr="00BA0AD1">
        <w:t>ж</w:t>
      </w:r>
      <w:r w:rsidRPr="00BA0AD1">
        <w:t>ной медицинской помощи в области комплексного лечения детских заболеваний (НМПКЛДЗ), Национальной программы по борьбе с заболеваниями, предо</w:t>
      </w:r>
      <w:r w:rsidRPr="00BA0AD1">
        <w:t>т</w:t>
      </w:r>
      <w:r w:rsidRPr="00BA0AD1">
        <w:t>вращаемыми с помощью вакцинации (ПАИ), и т.д. В разных санитарных окр</w:t>
      </w:r>
      <w:r w:rsidRPr="00BA0AD1">
        <w:t>у</w:t>
      </w:r>
      <w:r w:rsidRPr="00BA0AD1">
        <w:t>гах системы учета НМПКЛДЗ, равно как и ПАИ, находятся на разном уровне, и поэтому требуется принятие мер, которые позволили бы выполнить поставле</w:t>
      </w:r>
      <w:r w:rsidRPr="00BA0AD1">
        <w:t>н</w:t>
      </w:r>
      <w:r w:rsidRPr="00BA0AD1">
        <w:t xml:space="preserve">ные в обеих программах задачи в масштабе всей страны. </w:t>
      </w:r>
    </w:p>
    <w:p w:rsidR="00BA0AD1" w:rsidRPr="007D2776" w:rsidRDefault="00BA0AD1" w:rsidP="007D2776">
      <w:pPr>
        <w:pStyle w:val="H23GR"/>
      </w:pPr>
      <w:r w:rsidRPr="007D2776">
        <w:tab/>
        <w:t>8.</w:t>
      </w:r>
      <w:r w:rsidRPr="007D2776">
        <w:tab/>
        <w:t xml:space="preserve">Улучшение состояния психического здоровья лиц, проходящих лечение от нервно-психиатрических заболеваний </w:t>
      </w:r>
    </w:p>
    <w:p w:rsidR="00BA0AD1" w:rsidRPr="00BA0AD1" w:rsidRDefault="00BA0AD1" w:rsidP="00BA0AD1">
      <w:pPr>
        <w:pStyle w:val="SingleTxtGR"/>
      </w:pPr>
      <w:r w:rsidRPr="00BA0AD1">
        <w:t>330.</w:t>
      </w:r>
      <w:r w:rsidRPr="00BA0AD1">
        <w:tab/>
        <w:t>Еще одним взятым на себя МЗСО обязательством стало осуществление Национальной политики в области психического здоровья на 2011</w:t>
      </w:r>
      <w:r w:rsidR="002B7B9B">
        <w:t>−</w:t>
      </w:r>
      <w:r w:rsidRPr="00BA0AD1">
        <w:t>2020 годы. Процесс разработки, оценки и обнародования Национальной политики в обла</w:t>
      </w:r>
      <w:r w:rsidRPr="00BA0AD1">
        <w:t>с</w:t>
      </w:r>
      <w:r w:rsidRPr="00BA0AD1">
        <w:t xml:space="preserve">ти психического здоровья проходил в рамках сотрудничества Панамериканской организации здравоохранения по линии </w:t>
      </w:r>
      <w:proofErr w:type="spellStart"/>
      <w:r w:rsidRPr="00BA0AD1">
        <w:t>Юг</w:t>
      </w:r>
      <w:r w:rsidR="00B85E64">
        <w:t>−</w:t>
      </w:r>
      <w:r w:rsidRPr="00BA0AD1">
        <w:t>Юг</w:t>
      </w:r>
      <w:proofErr w:type="spellEnd"/>
      <w:r w:rsidRPr="00BA0AD1">
        <w:t xml:space="preserve"> и соглашения, заключенного министерствами здравоохранения Парагвая и Бразилии.</w:t>
      </w:r>
    </w:p>
    <w:p w:rsidR="00BA0AD1" w:rsidRPr="00BA0AD1" w:rsidRDefault="00BA0AD1" w:rsidP="00BA0AD1">
      <w:pPr>
        <w:pStyle w:val="SingleTxtGR"/>
      </w:pPr>
      <w:r w:rsidRPr="00BA0AD1">
        <w:t>331.</w:t>
      </w:r>
      <w:r w:rsidRPr="00BA0AD1">
        <w:tab/>
        <w:t>В 2011 году МЗСО создал в Сети информации о комплексных услугах здравоохранения раздел об услугах по защите психического здоровья, в кот</w:t>
      </w:r>
      <w:r w:rsidRPr="00BA0AD1">
        <w:t>о</w:t>
      </w:r>
      <w:r w:rsidRPr="00BA0AD1">
        <w:t>ром представлена основная информация об услугах, специализации, днях и ч</w:t>
      </w:r>
      <w:r w:rsidRPr="00BA0AD1">
        <w:t>а</w:t>
      </w:r>
      <w:r w:rsidRPr="00BA0AD1">
        <w:t>сах приема, что позволяет пациентам ориентироваться в работе медицинских учреждений всех уровней, начиная со служб первичной помощи и заканчивая службами семейной медицины и учреждениями, оказывающими более сложные услуги.</w:t>
      </w:r>
    </w:p>
    <w:p w:rsidR="00BA0AD1" w:rsidRPr="00BA0AD1" w:rsidRDefault="00BA0AD1" w:rsidP="00BA0AD1">
      <w:pPr>
        <w:pStyle w:val="SingleTxtGR"/>
      </w:pPr>
      <w:r w:rsidRPr="00BA0AD1">
        <w:t>332.</w:t>
      </w:r>
      <w:r w:rsidRPr="00BA0AD1">
        <w:tab/>
        <w:t xml:space="preserve">Отмена в 2010 году временных мер в отношении Нейропсихиатрического госпиталя, наложенных Межамериканской комиссией по правам человека (МАКПЧ), представляет собой важный шаг вперед, наглядно показывающий, </w:t>
      </w:r>
      <w:r w:rsidR="00F96D53">
        <w:t>что у</w:t>
      </w:r>
      <w:r w:rsidRPr="00BA0AD1">
        <w:t>далось сделать этому учреждению для защиты жизни и личной неприко</w:t>
      </w:r>
      <w:r w:rsidRPr="00BA0AD1">
        <w:t>с</w:t>
      </w:r>
      <w:r w:rsidRPr="00BA0AD1">
        <w:t>новенности пациентов.</w:t>
      </w:r>
    </w:p>
    <w:p w:rsidR="00BA0AD1" w:rsidRPr="00BA0AD1" w:rsidRDefault="00BA0AD1" w:rsidP="00B85E64">
      <w:pPr>
        <w:pStyle w:val="H1GR"/>
      </w:pPr>
      <w:r w:rsidRPr="00BA0AD1">
        <w:tab/>
      </w:r>
      <w:r w:rsidRPr="00BA0AD1">
        <w:tab/>
      </w:r>
      <w:bookmarkStart w:id="18" w:name="_Toc368649109"/>
      <w:r w:rsidRPr="00BA0AD1">
        <w:t>Статья 13</w:t>
      </w:r>
      <w:r w:rsidR="00B85E64">
        <w:br/>
      </w:r>
      <w:r w:rsidRPr="00BA0AD1">
        <w:t>Право на образование</w:t>
      </w:r>
      <w:bookmarkEnd w:id="18"/>
    </w:p>
    <w:p w:rsidR="00BA0AD1" w:rsidRPr="00BA0AD1" w:rsidRDefault="00BA0AD1" w:rsidP="00BA0AD1">
      <w:pPr>
        <w:pStyle w:val="SingleTxtGR"/>
      </w:pPr>
      <w:r w:rsidRPr="00BA0AD1">
        <w:t>333.</w:t>
      </w:r>
      <w:r w:rsidRPr="00BA0AD1">
        <w:tab/>
        <w:t>Парагвайское государство сделало шаг вперед в понимании необходим</w:t>
      </w:r>
      <w:r w:rsidRPr="00BA0AD1">
        <w:t>о</w:t>
      </w:r>
      <w:r w:rsidRPr="00BA0AD1">
        <w:t>сти обеспечивать не только право на образование, но и право на изучение прав человека. Соответственно, в 2009 году было создано Главное управление обр</w:t>
      </w:r>
      <w:r w:rsidRPr="00BA0AD1">
        <w:t>а</w:t>
      </w:r>
      <w:r w:rsidRPr="00BA0AD1">
        <w:t xml:space="preserve">зования в области прав человека, основная задача которого </w:t>
      </w:r>
      <w:r w:rsidR="002B7B9B">
        <w:t>−</w:t>
      </w:r>
      <w:r w:rsidRPr="00BA0AD1">
        <w:t xml:space="preserve"> разработка и ос</w:t>
      </w:r>
      <w:r w:rsidRPr="00BA0AD1">
        <w:t>у</w:t>
      </w:r>
      <w:r w:rsidRPr="00BA0AD1">
        <w:t>ществление при активном участии общественности Национального плана обр</w:t>
      </w:r>
      <w:r w:rsidRPr="00BA0AD1">
        <w:t>а</w:t>
      </w:r>
      <w:r w:rsidRPr="00BA0AD1">
        <w:t>зования в области прав человека (ООПЧ). Черновой вариант этого документа проходит этап консультаций, чтобы собрать таким образом мнения и предлож</w:t>
      </w:r>
      <w:r w:rsidRPr="00BA0AD1">
        <w:t>е</w:t>
      </w:r>
      <w:r w:rsidRPr="00BA0AD1">
        <w:t xml:space="preserve">ния по вопросам подготовки преподавательских кадров, учебных материалов, официальных программ, образовательной среды, политики в области ООПЧ и ее осуществления. Первый этап осуществления Плана намечен на 2012 год. </w:t>
      </w:r>
    </w:p>
    <w:p w:rsidR="00BA0AD1" w:rsidRPr="00BA0AD1" w:rsidRDefault="00BA0AD1" w:rsidP="00BA0AD1">
      <w:pPr>
        <w:pStyle w:val="SingleTxtGR"/>
      </w:pPr>
      <w:r w:rsidRPr="00BA0AD1">
        <w:t>334.</w:t>
      </w:r>
      <w:r w:rsidRPr="00BA0AD1">
        <w:tab/>
        <w:t>Закрепленные в официальных документах принципы и основные пол</w:t>
      </w:r>
      <w:r w:rsidRPr="00BA0AD1">
        <w:t>о</w:t>
      </w:r>
      <w:r w:rsidRPr="00BA0AD1">
        <w:t>жения, касающиеся образования в Парагвае, четко отражают курс на всест</w:t>
      </w:r>
      <w:r w:rsidRPr="00BA0AD1">
        <w:t>о</w:t>
      </w:r>
      <w:r w:rsidRPr="00BA0AD1">
        <w:t>роннее развитие человеческой личности. Соответственно, Главное управление ООПЧ активно занимается пропагандой и включением в эти документы пол</w:t>
      </w:r>
      <w:r w:rsidRPr="00BA0AD1">
        <w:t>о</w:t>
      </w:r>
      <w:r w:rsidRPr="00BA0AD1">
        <w:t>жений относительно ООПЧ, в том числе некоторых положений в отношении экономических, социальных и культурных прав. Вместе с тем в более полном виде эта работа будет проводиться в ходе осуществления Национального плана ООПЧ, которым предусматривается полный, постепенный и системный пер</w:t>
      </w:r>
      <w:r w:rsidRPr="00BA0AD1">
        <w:t>е</w:t>
      </w:r>
      <w:r w:rsidRPr="00BA0AD1">
        <w:t>смотр национальных учебных программ и, в случае необходимости, их корре</w:t>
      </w:r>
      <w:r w:rsidRPr="00BA0AD1">
        <w:t>к</w:t>
      </w:r>
      <w:r w:rsidRPr="00BA0AD1">
        <w:t>тировка с позиций защиты прав человека. Пока же Главное управление ООПЧ в рамках своей повседневной деятельности проводит семинары с участием пр</w:t>
      </w:r>
      <w:r w:rsidRPr="00BA0AD1">
        <w:t>е</w:t>
      </w:r>
      <w:r w:rsidRPr="00BA0AD1">
        <w:t>подавателей, учащихся и представителей гражданского общества, обсуждая в их ходе перспективы и проблемы ООПЧ.</w:t>
      </w:r>
    </w:p>
    <w:p w:rsidR="00BA0AD1" w:rsidRPr="007D2776" w:rsidRDefault="00BA0AD1" w:rsidP="007D2776">
      <w:pPr>
        <w:pStyle w:val="H23GR"/>
      </w:pPr>
      <w:r w:rsidRPr="007D2776">
        <w:tab/>
        <w:t>1.</w:t>
      </w:r>
      <w:r w:rsidRPr="007D2776">
        <w:tab/>
        <w:t xml:space="preserve">Общие данные о ликвидации неграмотности </w:t>
      </w:r>
    </w:p>
    <w:p w:rsidR="00BA0AD1" w:rsidRPr="00BA0AD1" w:rsidRDefault="00BA0AD1" w:rsidP="00BA0AD1">
      <w:pPr>
        <w:pStyle w:val="SingleTxtGR"/>
      </w:pPr>
      <w:r w:rsidRPr="00BA0AD1">
        <w:t>335.</w:t>
      </w:r>
      <w:r w:rsidRPr="00BA0AD1">
        <w:tab/>
        <w:t>Уровень грамотности среди населения страны в возрасте от 15 до 24 лет достиг в 2008 году 98,3</w:t>
      </w:r>
      <w:r w:rsidR="004849A7">
        <w:t>%</w:t>
      </w:r>
      <w:r w:rsidRPr="00BA0AD1">
        <w:t>. По-прежнему актуальной остается задача по сниж</w:t>
      </w:r>
      <w:r w:rsidRPr="00BA0AD1">
        <w:t>е</w:t>
      </w:r>
      <w:r w:rsidRPr="00BA0AD1">
        <w:t xml:space="preserve">нию показателей неграмотности коренного населения </w:t>
      </w:r>
      <w:r w:rsidR="002B7B9B">
        <w:t>−</w:t>
      </w:r>
      <w:r w:rsidRPr="00BA0AD1">
        <w:t xml:space="preserve"> они составляют 38,9</w:t>
      </w:r>
      <w:r w:rsidR="004849A7">
        <w:t>%</w:t>
      </w:r>
      <w:r w:rsidRPr="00BA0AD1">
        <w:t>, а для некоторых этнических групп превышают 40</w:t>
      </w:r>
      <w:r w:rsidR="004849A7">
        <w:t>%</w:t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336.</w:t>
      </w:r>
      <w:r w:rsidRPr="00BA0AD1">
        <w:tab/>
        <w:t>МОК обеспечивает реализацию Программы перестройки среднего обр</w:t>
      </w:r>
      <w:r w:rsidRPr="00BA0AD1">
        <w:t>а</w:t>
      </w:r>
      <w:r w:rsidRPr="00BA0AD1">
        <w:t>зования, в рамках которой были подготовлены методические материалы для учителей средних школ и разработаны ежегодные планы для различных уче</w:t>
      </w:r>
      <w:r w:rsidRPr="00BA0AD1">
        <w:t>б</w:t>
      </w:r>
      <w:r w:rsidRPr="00BA0AD1">
        <w:t>ных дисциплин; было распространено 25 тыс. экземпляров этих планов в ци</w:t>
      </w:r>
      <w:r w:rsidRPr="00BA0AD1">
        <w:t>ф</w:t>
      </w:r>
      <w:r w:rsidRPr="00BA0AD1">
        <w:t xml:space="preserve">ровом формате. </w:t>
      </w:r>
    </w:p>
    <w:p w:rsidR="00BA0AD1" w:rsidRPr="00BA0AD1" w:rsidRDefault="00BA0AD1" w:rsidP="00BA0AD1">
      <w:pPr>
        <w:pStyle w:val="SingleTxtGR"/>
      </w:pPr>
      <w:r w:rsidRPr="00BA0AD1">
        <w:t>337.</w:t>
      </w:r>
      <w:r w:rsidRPr="00BA0AD1">
        <w:tab/>
        <w:t>Национальная кампания по ликвидации неграмотности, предусматр</w:t>
      </w:r>
      <w:r w:rsidRPr="00BA0AD1">
        <w:t>и</w:t>
      </w:r>
      <w:r w:rsidRPr="00BA0AD1">
        <w:t>вающая реализацию программ "Парагвай читающий и пишущий" и "Обучение грамоте молодежи и взрослых", имеет целью удовлетворение совместными усилиями МОК и Правительственного управления по социальным вопросам образовательных потребностей молодежи и взрослых, которые не умеют читать и писать. В рамках программы "Обучение грамоте молодежи и взрослых" в 2010 году для 13 департаментов страны были разработаны предложения о м</w:t>
      </w:r>
      <w:r w:rsidRPr="00BA0AD1">
        <w:t>е</w:t>
      </w:r>
      <w:r w:rsidRPr="00BA0AD1">
        <w:t>рах в сфере обучения, и соответствующие курсы прошли 10 500 человек, из них 70</w:t>
      </w:r>
      <w:r w:rsidR="004849A7">
        <w:t xml:space="preserve">% </w:t>
      </w:r>
      <w:r w:rsidR="002B7B9B">
        <w:t>−</w:t>
      </w:r>
      <w:r w:rsidRPr="00BA0AD1">
        <w:t xml:space="preserve"> женщины</w:t>
      </w:r>
      <w:r w:rsidRPr="007713F6">
        <w:rPr>
          <w:sz w:val="18"/>
          <w:szCs w:val="18"/>
          <w:vertAlign w:val="superscript"/>
        </w:rPr>
        <w:footnoteReference w:id="44"/>
      </w:r>
      <w:r w:rsidRPr="00BA0AD1">
        <w:t xml:space="preserve">. </w:t>
      </w:r>
    </w:p>
    <w:p w:rsidR="00BA0AD1" w:rsidRPr="00BA0AD1" w:rsidRDefault="00BA0AD1" w:rsidP="00BA0AD1">
      <w:pPr>
        <w:pStyle w:val="SingleTxtGR"/>
      </w:pPr>
      <w:r w:rsidRPr="00BA0AD1">
        <w:t>338.</w:t>
      </w:r>
      <w:r w:rsidRPr="00BA0AD1">
        <w:tab/>
        <w:t>В соответствии с программой "Достойные школы" в 2010 году в 1271</w:t>
      </w:r>
      <w:r w:rsidR="00B85E64">
        <w:t> </w:t>
      </w:r>
      <w:r w:rsidRPr="00BA0AD1">
        <w:t>учебном заведении были проведены строительные работы на общую су</w:t>
      </w:r>
      <w:r w:rsidRPr="00BA0AD1">
        <w:t>м</w:t>
      </w:r>
      <w:r w:rsidRPr="00BA0AD1">
        <w:t>му 101 977 438 420 </w:t>
      </w:r>
      <w:proofErr w:type="spellStart"/>
      <w:r w:rsidRPr="00BA0AD1">
        <w:t>гуарани</w:t>
      </w:r>
      <w:proofErr w:type="spellEnd"/>
      <w:r w:rsidRPr="00BA0AD1">
        <w:t>. В 2013 году в целях развития образовательной де</w:t>
      </w:r>
      <w:r w:rsidRPr="00BA0AD1">
        <w:t>я</w:t>
      </w:r>
      <w:r w:rsidRPr="00BA0AD1">
        <w:t>тельности предусмотрено соорудить 30 тыс. учебных классов, 9 тыс. санита</w:t>
      </w:r>
      <w:r w:rsidRPr="00BA0AD1">
        <w:t>р</w:t>
      </w:r>
      <w:r w:rsidRPr="00BA0AD1">
        <w:t>но-гигиенических объектов и предоставить 1 млн. 570 тыс. единиц мебели.</w:t>
      </w:r>
    </w:p>
    <w:p w:rsidR="00BA0AD1" w:rsidRPr="00BA0AD1" w:rsidRDefault="00BA0AD1" w:rsidP="00BA0AD1">
      <w:pPr>
        <w:pStyle w:val="SingleTxtGR"/>
      </w:pPr>
      <w:r w:rsidRPr="00BA0AD1">
        <w:t>339.</w:t>
      </w:r>
      <w:r w:rsidRPr="00BA0AD1">
        <w:tab/>
        <w:t>Главное управление по вопросам школьного образования коренных нар</w:t>
      </w:r>
      <w:r w:rsidRPr="00BA0AD1">
        <w:t>о</w:t>
      </w:r>
      <w:r w:rsidRPr="00BA0AD1">
        <w:t>дов, созданное на основании Закона № 3231/07, занимается обеспечением и развитием образования для коренных народов и при их участии, применяя в х</w:t>
      </w:r>
      <w:r w:rsidRPr="00BA0AD1">
        <w:t>о</w:t>
      </w:r>
      <w:r w:rsidRPr="00BA0AD1">
        <w:t xml:space="preserve">де этой работы меж- и </w:t>
      </w:r>
      <w:proofErr w:type="spellStart"/>
      <w:r w:rsidRPr="00BA0AD1">
        <w:t>мультикультурный</w:t>
      </w:r>
      <w:proofErr w:type="spellEnd"/>
      <w:r w:rsidRPr="00BA0AD1">
        <w:t xml:space="preserve"> подход, учитывающий многообразие и способствующий развитию культур этих народов. Декретом № 50/2008 пред</w:t>
      </w:r>
      <w:r w:rsidRPr="00BA0AD1">
        <w:t>у</w:t>
      </w:r>
      <w:r w:rsidRPr="00BA0AD1">
        <w:t>сматривается выделение бюджетных средств на привлечение коренного насел</w:t>
      </w:r>
      <w:r w:rsidRPr="00BA0AD1">
        <w:t>е</w:t>
      </w:r>
      <w:r w:rsidRPr="00BA0AD1">
        <w:t>ния к разработке и осуществлению политики в области образования путем пр</w:t>
      </w:r>
      <w:r w:rsidRPr="00BA0AD1">
        <w:t>о</w:t>
      </w:r>
      <w:r w:rsidRPr="00BA0AD1">
        <w:t xml:space="preserve">ведения консультаций в общинах. В результате 35 выпускников средних школ прошли курс обучения в сфере </w:t>
      </w:r>
      <w:proofErr w:type="spellStart"/>
      <w:r w:rsidRPr="00BA0AD1">
        <w:t>мультикультурного</w:t>
      </w:r>
      <w:proofErr w:type="spellEnd"/>
      <w:r w:rsidRPr="00BA0AD1">
        <w:t xml:space="preserve"> и многоязычного образов</w:t>
      </w:r>
      <w:r w:rsidRPr="00BA0AD1">
        <w:t>а</w:t>
      </w:r>
      <w:r w:rsidRPr="00BA0AD1">
        <w:t>ния, чтобы в дальнейшем работать в школах для коренного населения.</w:t>
      </w:r>
    </w:p>
    <w:p w:rsidR="00BA0AD1" w:rsidRPr="00BA0AD1" w:rsidRDefault="00BA0AD1" w:rsidP="00BA0AD1">
      <w:pPr>
        <w:pStyle w:val="SingleTxtGR"/>
      </w:pPr>
      <w:r w:rsidRPr="00BA0AD1">
        <w:t>340.</w:t>
      </w:r>
      <w:r w:rsidRPr="00BA0AD1">
        <w:tab/>
        <w:t>Цель Официальной программы ликвидации неграмотности и двуязычного основного образования состоит в повышении образовательного уровня 43 тыс. граждан Парагвая и иностранцев, проживающих в стране, путем обучения гр</w:t>
      </w:r>
      <w:r w:rsidRPr="00BA0AD1">
        <w:t>а</w:t>
      </w:r>
      <w:r w:rsidRPr="00BA0AD1">
        <w:t>моте на двух языках, формирования навыков самостоятельной защиты репр</w:t>
      </w:r>
      <w:r w:rsidRPr="00BA0AD1">
        <w:t>о</w:t>
      </w:r>
      <w:r w:rsidRPr="00BA0AD1">
        <w:t xml:space="preserve">дуктивного здоровья и обучения по проблемам культурной идентичности и </w:t>
      </w:r>
      <w:proofErr w:type="spellStart"/>
      <w:r w:rsidRPr="00BA0AD1">
        <w:t>ге</w:t>
      </w:r>
      <w:r w:rsidRPr="00BA0AD1">
        <w:t>н</w:t>
      </w:r>
      <w:r w:rsidRPr="00BA0AD1">
        <w:t>дерного</w:t>
      </w:r>
      <w:proofErr w:type="spellEnd"/>
      <w:r w:rsidRPr="00BA0AD1">
        <w:t xml:space="preserve"> равенства. В настоящее время в департаментах страны действует 1 тыс. центров обучения грамоте на двух языках.</w:t>
      </w:r>
    </w:p>
    <w:p w:rsidR="00BA0AD1" w:rsidRPr="00BA0AD1" w:rsidRDefault="00BA0AD1" w:rsidP="00BA0AD1">
      <w:pPr>
        <w:pStyle w:val="SingleTxtGR"/>
      </w:pPr>
      <w:r w:rsidRPr="00BA0AD1">
        <w:t>341.</w:t>
      </w:r>
      <w:r w:rsidRPr="00BA0AD1">
        <w:tab/>
        <w:t>Программа "Информационно-коммуникационные технологии в школах" направлена на совершенствование образовательной политики в целях пост</w:t>
      </w:r>
      <w:r w:rsidRPr="00BA0AD1">
        <w:t>е</w:t>
      </w:r>
      <w:r w:rsidRPr="00BA0AD1">
        <w:t>пенного включения этих технологий в процесс обучения, прежде всего в шк</w:t>
      </w:r>
      <w:r w:rsidRPr="00BA0AD1">
        <w:t>о</w:t>
      </w:r>
      <w:r w:rsidRPr="00BA0AD1">
        <w:t>лах, расположенных в труднодоступных, приграничных и бедных районах, и предусматривает осуществление мер по совершенствованию инфраструктуры ИКТ. В ходе этой работы было создано 20 центров для видеоконференций, 400</w:t>
      </w:r>
      <w:r w:rsidR="00B85E64">
        <w:t> </w:t>
      </w:r>
      <w:r w:rsidRPr="00BA0AD1">
        <w:t>точек беспроводного доступа к интернету в государственных учебных зав</w:t>
      </w:r>
      <w:r w:rsidRPr="00BA0AD1">
        <w:t>е</w:t>
      </w:r>
      <w:r w:rsidRPr="00BA0AD1">
        <w:t xml:space="preserve">дениях, реализованы проекты "1 учащийся </w:t>
      </w:r>
      <w:r w:rsidR="002B7B9B">
        <w:t>−</w:t>
      </w:r>
      <w:r w:rsidRPr="00BA0AD1">
        <w:t xml:space="preserve"> 1 компьютер", "Виртуальная э</w:t>
      </w:r>
      <w:r w:rsidRPr="00BA0AD1">
        <w:t>н</w:t>
      </w:r>
      <w:r w:rsidRPr="00BA0AD1">
        <w:t>циклопедия Парагвая" и программа "Технологии для всех и каждого", которая обеспечивает доступ преподавателей к ИКТ.</w:t>
      </w:r>
    </w:p>
    <w:p w:rsidR="00BA0AD1" w:rsidRPr="007D2776" w:rsidRDefault="00BA0AD1" w:rsidP="007D2776">
      <w:pPr>
        <w:pStyle w:val="H23GR"/>
      </w:pPr>
      <w:r w:rsidRPr="007D2776">
        <w:tab/>
        <w:t>2.</w:t>
      </w:r>
      <w:r w:rsidRPr="007D2776">
        <w:tab/>
        <w:t>Меры по ликвидации неграмотности</w:t>
      </w:r>
    </w:p>
    <w:p w:rsidR="00BA0AD1" w:rsidRPr="00BA0AD1" w:rsidRDefault="00BA0AD1" w:rsidP="00BA0AD1">
      <w:pPr>
        <w:pStyle w:val="SingleTxtGR"/>
      </w:pPr>
      <w:r w:rsidRPr="00BA0AD1">
        <w:t>342.</w:t>
      </w:r>
      <w:r w:rsidRPr="00BA0AD1">
        <w:tab/>
        <w:t>Министерство образования и культуры (МОК) обеспечивает осуществл</w:t>
      </w:r>
      <w:r w:rsidRPr="00BA0AD1">
        <w:t>е</w:t>
      </w:r>
      <w:r w:rsidRPr="00BA0AD1">
        <w:t>ние ряда программ. Программа основного двуязычного образования молодежи и взрослых направлена на повышение образовательного уровня граждан Пар</w:t>
      </w:r>
      <w:r w:rsidRPr="00BA0AD1">
        <w:t>а</w:t>
      </w:r>
      <w:r w:rsidRPr="00BA0AD1">
        <w:t>гвая в возрасте 15 лет и старше, которые не начинали или не закончили курс основной школы. Программа альтернативного среднего образования молодежи и взрослых обеспечивает удовлетворение конкретных потребностей жителей страны в возрасте 18 лет и старше, которые не имели возможности учиться в средней школе или не закончили ее в установленные сроки. Осуществлением этой программы занимаются государственные и частные учебные заведения всех департаментов страны. Программа дистанционного среднего образования молодежи и взрослых с использованием новых технологий рассчитана на мол</w:t>
      </w:r>
      <w:r w:rsidRPr="00BA0AD1">
        <w:t>о</w:t>
      </w:r>
      <w:r w:rsidRPr="00BA0AD1">
        <w:t>дежь и взрослых в возрасте 18 лет и старше или закончивших 4-ю ступень о</w:t>
      </w:r>
      <w:r w:rsidRPr="00BA0AD1">
        <w:t>с</w:t>
      </w:r>
      <w:r w:rsidRPr="00BA0AD1">
        <w:t>новного двуязычного образования (или ее эквивалент) и желающих продолжить свое образование. Программа профессионального обучения осуществляется в целях расширения спектра и совершенствования качества услуг професси</w:t>
      </w:r>
      <w:r w:rsidRPr="00BA0AD1">
        <w:t>о</w:t>
      </w:r>
      <w:r w:rsidRPr="00BA0AD1">
        <w:t>нального образования и профессиональной ориентации, предоставляемых м</w:t>
      </w:r>
      <w:r w:rsidRPr="00BA0AD1">
        <w:t>о</w:t>
      </w:r>
      <w:r w:rsidRPr="00BA0AD1">
        <w:t xml:space="preserve">лодежи и взрослым людям </w:t>
      </w:r>
      <w:r w:rsidR="002B7B9B">
        <w:t>−</w:t>
      </w:r>
      <w:r w:rsidRPr="00BA0AD1">
        <w:t xml:space="preserve"> участникам программ непрерывного образования, учащимся государственных, субсидируемых или частных профессиональных учебных заведений или центров профессиональной подготовки, действующих на основании постановления Министерства по всей стране, за исключением д</w:t>
      </w:r>
      <w:r w:rsidRPr="00BA0AD1">
        <w:t>е</w:t>
      </w:r>
      <w:r w:rsidRPr="00BA0AD1">
        <w:t xml:space="preserve">партамента </w:t>
      </w:r>
      <w:proofErr w:type="spellStart"/>
      <w:r w:rsidRPr="00BA0AD1">
        <w:t>Альто-Парагвай</w:t>
      </w:r>
      <w:proofErr w:type="spellEnd"/>
      <w:r w:rsidRPr="00BA0AD1">
        <w:t>. Целевой аудиторией этой программы являются лица в возрасте 17 лет и старше, проходящие курс профессионального обуч</w:t>
      </w:r>
      <w:r w:rsidRPr="00BA0AD1">
        <w:t>е</w:t>
      </w:r>
      <w:r w:rsidRPr="00BA0AD1">
        <w:t>ния, как закончившие курс начальной школы, 3-й ступени основного школьного образования (ОШО), 4-й ступени основного двуязычного образования и/или курс средней школы, так и не получившие такого образования. Программа н</w:t>
      </w:r>
      <w:r w:rsidRPr="00BA0AD1">
        <w:t>а</w:t>
      </w:r>
      <w:r w:rsidRPr="00BA0AD1">
        <w:t>чальной профессиональной подготовки (НПП) является неофициальной и п</w:t>
      </w:r>
      <w:r w:rsidRPr="00BA0AD1">
        <w:t>о</w:t>
      </w:r>
      <w:r w:rsidRPr="00BA0AD1">
        <w:t>строенной по модульному принципу программой, направленной на формиров</w:t>
      </w:r>
      <w:r w:rsidRPr="00BA0AD1">
        <w:t>а</w:t>
      </w:r>
      <w:r w:rsidRPr="00BA0AD1">
        <w:t>ние как ключевых компетенций, под которыми понимаются технические и с</w:t>
      </w:r>
      <w:r w:rsidRPr="00BA0AD1">
        <w:t>о</w:t>
      </w:r>
      <w:r w:rsidRPr="00BA0AD1">
        <w:t>циальные навыки, обеспечивающие подходы, модели поведения и возможности трудоустройства, сохранения занятости или поиска нового рабочего места, так и специальных навыков, которые определяются как совокупность знаний и умений, позволяющих осуществлять профессиональную деятельность в соо</w:t>
      </w:r>
      <w:r w:rsidRPr="00BA0AD1">
        <w:t>т</w:t>
      </w:r>
      <w:r w:rsidRPr="00BA0AD1">
        <w:t xml:space="preserve">ветствии с требованиями производства и рынка труда. Осуществлением этой программы занимаются центры образования для молодежи и взрослых, </w:t>
      </w:r>
      <w:proofErr w:type="spellStart"/>
      <w:r w:rsidRPr="00BA0AD1">
        <w:t>пило</w:t>
      </w:r>
      <w:r w:rsidRPr="00BA0AD1">
        <w:t>т</w:t>
      </w:r>
      <w:r w:rsidRPr="00BA0AD1">
        <w:t>ные</w:t>
      </w:r>
      <w:proofErr w:type="spellEnd"/>
      <w:r w:rsidRPr="00BA0AD1">
        <w:t xml:space="preserve"> центры и ресурсные центры. Курс обучения рассчитан на 80 часов в год.</w:t>
      </w:r>
    </w:p>
    <w:p w:rsidR="00BA0AD1" w:rsidRPr="007D2776" w:rsidRDefault="00BA0AD1" w:rsidP="007D2776">
      <w:pPr>
        <w:pStyle w:val="H23GR"/>
      </w:pPr>
      <w:r w:rsidRPr="007D2776">
        <w:tab/>
        <w:t>3.</w:t>
      </w:r>
      <w:r w:rsidRPr="007D2776">
        <w:tab/>
        <w:t>Обучение на родном языке</w:t>
      </w:r>
    </w:p>
    <w:p w:rsidR="00BA0AD1" w:rsidRPr="00BA0AD1" w:rsidRDefault="00BA0AD1" w:rsidP="00BA0AD1">
      <w:pPr>
        <w:pStyle w:val="SingleTxtGR"/>
      </w:pPr>
      <w:r w:rsidRPr="00BA0AD1">
        <w:t>343.</w:t>
      </w:r>
      <w:r w:rsidRPr="00BA0AD1">
        <w:tab/>
        <w:t>В стране имеются 456 учебных заведений для коренного населения: 403 школы, где преподается курс начального образования и ОШО, 18 средних школ и 35 центров непрерывного образования. 97</w:t>
      </w:r>
      <w:r w:rsidR="004849A7">
        <w:t xml:space="preserve">% </w:t>
      </w:r>
      <w:r w:rsidRPr="00BA0AD1">
        <w:t>этих учебных заведений н</w:t>
      </w:r>
      <w:r w:rsidRPr="00BA0AD1">
        <w:t>а</w:t>
      </w:r>
      <w:r w:rsidRPr="00BA0AD1">
        <w:t>ходятся в сельских районах, а 3</w:t>
      </w:r>
      <w:r w:rsidR="004849A7">
        <w:t xml:space="preserve">% </w:t>
      </w:r>
      <w:r w:rsidR="002B7B9B">
        <w:t>−</w:t>
      </w:r>
      <w:r w:rsidRPr="00BA0AD1">
        <w:t xml:space="preserve"> в городах. 97</w:t>
      </w:r>
      <w:r w:rsidR="004849A7">
        <w:t xml:space="preserve">% </w:t>
      </w:r>
      <w:r w:rsidRPr="00BA0AD1">
        <w:t>учебных заведений для к</w:t>
      </w:r>
      <w:r w:rsidRPr="00BA0AD1">
        <w:t>о</w:t>
      </w:r>
      <w:r w:rsidRPr="00BA0AD1">
        <w:t>ренного населения являются государственными, 2,74</w:t>
      </w:r>
      <w:r w:rsidR="004849A7">
        <w:t xml:space="preserve">% </w:t>
      </w:r>
      <w:r w:rsidR="002B7B9B">
        <w:t>−</w:t>
      </w:r>
      <w:r w:rsidRPr="00BA0AD1">
        <w:t xml:space="preserve"> частными, получа</w:t>
      </w:r>
      <w:r w:rsidRPr="00BA0AD1">
        <w:t>ю</w:t>
      </w:r>
      <w:r w:rsidRPr="00BA0AD1">
        <w:t>щими государственные субсидии, и только 0,25</w:t>
      </w:r>
      <w:r w:rsidR="004849A7">
        <w:t xml:space="preserve">% </w:t>
      </w:r>
      <w:r w:rsidR="002B7B9B">
        <w:t>−</w:t>
      </w:r>
      <w:r w:rsidRPr="00BA0AD1">
        <w:t xml:space="preserve"> частными.</w:t>
      </w:r>
    </w:p>
    <w:p w:rsidR="00BA0AD1" w:rsidRPr="00BA0AD1" w:rsidRDefault="00BA0AD1" w:rsidP="00BA0AD1">
      <w:pPr>
        <w:pStyle w:val="SingleTxtGR"/>
      </w:pPr>
      <w:r w:rsidRPr="00BA0AD1">
        <w:t>344.</w:t>
      </w:r>
      <w:r w:rsidRPr="00BA0AD1">
        <w:tab/>
        <w:t>В настоящее время число обучающихся в государственных учебных зав</w:t>
      </w:r>
      <w:r w:rsidRPr="00BA0AD1">
        <w:t>е</w:t>
      </w:r>
      <w:r w:rsidRPr="00BA0AD1">
        <w:t>дениях детей составляет 22 332, тогда как в 2008 году этот показатель соста</w:t>
      </w:r>
      <w:r w:rsidRPr="00BA0AD1">
        <w:t>в</w:t>
      </w:r>
      <w:r w:rsidRPr="00BA0AD1">
        <w:t xml:space="preserve">лял 19 970. Одна из главных задач Главного управления по вопросам школьного образования коренных народов (ГУЩОКН) </w:t>
      </w:r>
      <w:r w:rsidR="002B7B9B">
        <w:t>−</w:t>
      </w:r>
      <w:r w:rsidRPr="00BA0AD1">
        <w:t xml:space="preserve"> увеличить число обучающихся в школах для коренных жителей страны и сократить здесь число учащихся, чей возраст превышает установленный предел.</w:t>
      </w:r>
    </w:p>
    <w:p w:rsidR="00BA0AD1" w:rsidRPr="00BA0AD1" w:rsidRDefault="00BA0AD1" w:rsidP="00BA0AD1">
      <w:pPr>
        <w:pStyle w:val="SingleTxtGR"/>
      </w:pPr>
      <w:r w:rsidRPr="00BA0AD1">
        <w:t>345.</w:t>
      </w:r>
      <w:r w:rsidRPr="00BA0AD1">
        <w:tab/>
        <w:t>В 2009 году были построены и начали функционировать 15, а в 2010 г</w:t>
      </w:r>
      <w:r w:rsidRPr="00BA0AD1">
        <w:t>о</w:t>
      </w:r>
      <w:r w:rsidRPr="00BA0AD1">
        <w:t>ду</w:t>
      </w:r>
      <w:r w:rsidR="00B85E64">
        <w:t> </w:t>
      </w:r>
      <w:r w:rsidR="002B7B9B">
        <w:t>−</w:t>
      </w:r>
      <w:r w:rsidRPr="00BA0AD1">
        <w:t xml:space="preserve"> еще 38 новых начальных школ. Кроме того, в 2010 году было открыто 5</w:t>
      </w:r>
      <w:r w:rsidR="00B85E64">
        <w:t> </w:t>
      </w:r>
      <w:r w:rsidRPr="00BA0AD1">
        <w:t>новых средних школ.</w:t>
      </w:r>
    </w:p>
    <w:p w:rsidR="00BA0AD1" w:rsidRPr="00BA0AD1" w:rsidRDefault="00BA0AD1" w:rsidP="00BA0AD1">
      <w:pPr>
        <w:pStyle w:val="SingleTxtGR"/>
      </w:pPr>
      <w:r w:rsidRPr="00BA0AD1">
        <w:t>346.</w:t>
      </w:r>
      <w:r w:rsidRPr="00BA0AD1">
        <w:tab/>
        <w:t>С 2009 года ГУШОКН начало переговоры с Главным управлением по в</w:t>
      </w:r>
      <w:r w:rsidRPr="00BA0AD1">
        <w:t>о</w:t>
      </w:r>
      <w:r w:rsidRPr="00BA0AD1">
        <w:t>просам начального и основного школьного образования и Главным управлен</w:t>
      </w:r>
      <w:r w:rsidRPr="00BA0AD1">
        <w:t>и</w:t>
      </w:r>
      <w:r w:rsidRPr="00BA0AD1">
        <w:t>ем планирования образовательной деятельности, в ходе которых обсуждались процедуры и требования, необходимые для включения школ для коренного н</w:t>
      </w:r>
      <w:r w:rsidRPr="00BA0AD1">
        <w:t>а</w:t>
      </w:r>
      <w:r w:rsidRPr="00BA0AD1">
        <w:t xml:space="preserve">селения в число бенефициаров процесса </w:t>
      </w:r>
      <w:proofErr w:type="spellStart"/>
      <w:r w:rsidRPr="00BA0AD1">
        <w:t>микропланирования</w:t>
      </w:r>
      <w:proofErr w:type="spellEnd"/>
      <w:r w:rsidRPr="00BA0AD1">
        <w:t xml:space="preserve"> услуг в сфере о</w:t>
      </w:r>
      <w:r w:rsidRPr="00BA0AD1">
        <w:t>б</w:t>
      </w:r>
      <w:r w:rsidRPr="00BA0AD1">
        <w:t>разования. В результате при подготовке государственного бюджета на 2010 год на разных уровнях и в разных департаментах страны было предусмотрено в</w:t>
      </w:r>
      <w:r w:rsidRPr="00BA0AD1">
        <w:t>ы</w:t>
      </w:r>
      <w:r w:rsidRPr="00BA0AD1">
        <w:t>деление средств для образовательных учреждений коренного населения. В</w:t>
      </w:r>
      <w:r w:rsidR="00B85E64">
        <w:t> </w:t>
      </w:r>
      <w:r w:rsidRPr="00BA0AD1">
        <w:t>ближайшем будущем (в 2010</w:t>
      </w:r>
      <w:r w:rsidR="002B7B9B">
        <w:t>−</w:t>
      </w:r>
      <w:r w:rsidRPr="00BA0AD1">
        <w:t>2014 годах) ГУШОКН будет располагать сре</w:t>
      </w:r>
      <w:r w:rsidRPr="00BA0AD1">
        <w:t>д</w:t>
      </w:r>
      <w:r w:rsidRPr="00BA0AD1">
        <w:t>ствами для обучения с выдачей соответствующих дипломов 700 преподават</w:t>
      </w:r>
      <w:r w:rsidRPr="00BA0AD1">
        <w:t>е</w:t>
      </w:r>
      <w:r w:rsidRPr="00BA0AD1">
        <w:t>лям из числа коренных народов, которые будут работать в школах для коренн</w:t>
      </w:r>
      <w:r w:rsidRPr="00BA0AD1">
        <w:t>о</w:t>
      </w:r>
      <w:r w:rsidRPr="00BA0AD1">
        <w:t>го н</w:t>
      </w:r>
      <w:r w:rsidRPr="00BA0AD1">
        <w:t>а</w:t>
      </w:r>
      <w:r w:rsidRPr="00BA0AD1">
        <w:t>селения по программам межкультурного двуязычного образования.</w:t>
      </w:r>
    </w:p>
    <w:p w:rsidR="00BA0AD1" w:rsidRPr="00BA0AD1" w:rsidRDefault="00BA0AD1" w:rsidP="00BA0AD1">
      <w:pPr>
        <w:pStyle w:val="SingleTxtGR"/>
      </w:pPr>
      <w:r w:rsidRPr="00BA0AD1">
        <w:t>347.</w:t>
      </w:r>
      <w:r w:rsidRPr="00BA0AD1">
        <w:tab/>
        <w:t>Национальный институт по делам коренного населения (ИНДИ) обесп</w:t>
      </w:r>
      <w:r w:rsidRPr="00BA0AD1">
        <w:t>е</w:t>
      </w:r>
      <w:r w:rsidRPr="00BA0AD1">
        <w:t>чивает право на получение высшего образования путем обеспечения доступа в университеты молодежи из числа коренного населения. В 2009/2010 году в высшие учебные заведения поступили 26 молодых людей. В целях подготовки технических специалистов ИНДИ выплачивает ежемесячное денежное пособие 55 молодым людям из числа коренных народов, а также разовые пособия 64</w:t>
      </w:r>
      <w:r w:rsidR="00F96D53">
        <w:t> </w:t>
      </w:r>
      <w:r w:rsidRPr="00BA0AD1">
        <w:t xml:space="preserve">учащимся средних учебных заведений. </w:t>
      </w:r>
    </w:p>
    <w:p w:rsidR="00BA0AD1" w:rsidRPr="00BA0AD1" w:rsidRDefault="00BA0AD1" w:rsidP="00BA0AD1">
      <w:pPr>
        <w:pStyle w:val="SingleTxtGR"/>
      </w:pPr>
      <w:r w:rsidRPr="00BA0AD1">
        <w:t>348.</w:t>
      </w:r>
      <w:r w:rsidRPr="00BA0AD1">
        <w:tab/>
        <w:t>ИНДИ принимает участие в строительстве школ в общинах страны. В п</w:t>
      </w:r>
      <w:r w:rsidRPr="00BA0AD1">
        <w:t>я</w:t>
      </w:r>
      <w:r w:rsidRPr="00BA0AD1">
        <w:t xml:space="preserve">ти общинах в департаментах </w:t>
      </w:r>
      <w:proofErr w:type="spellStart"/>
      <w:r w:rsidRPr="00BA0AD1">
        <w:t>Альто-Парана</w:t>
      </w:r>
      <w:proofErr w:type="spellEnd"/>
      <w:r w:rsidRPr="00BA0AD1">
        <w:t xml:space="preserve"> и Сан-Педро </w:t>
      </w:r>
      <w:r w:rsidR="002B7B9B">
        <w:t>−</w:t>
      </w:r>
      <w:r w:rsidRPr="00BA0AD1">
        <w:t xml:space="preserve"> </w:t>
      </w:r>
      <w:proofErr w:type="spellStart"/>
      <w:r w:rsidRPr="00BA0AD1">
        <w:t>Ка’а</w:t>
      </w:r>
      <w:proofErr w:type="spellEnd"/>
      <w:r w:rsidRPr="00BA0AD1">
        <w:t xml:space="preserve"> Поти (округ </w:t>
      </w:r>
      <w:proofErr w:type="spellStart"/>
      <w:r w:rsidRPr="00BA0AD1">
        <w:t>Итакири</w:t>
      </w:r>
      <w:proofErr w:type="spellEnd"/>
      <w:r w:rsidRPr="00BA0AD1">
        <w:t xml:space="preserve">), </w:t>
      </w:r>
      <w:proofErr w:type="spellStart"/>
      <w:r w:rsidRPr="00BA0AD1">
        <w:t>Лома-Тахи</w:t>
      </w:r>
      <w:proofErr w:type="spellEnd"/>
      <w:r w:rsidRPr="00BA0AD1">
        <w:t xml:space="preserve"> (округ </w:t>
      </w:r>
      <w:proofErr w:type="spellStart"/>
      <w:r w:rsidRPr="00BA0AD1">
        <w:t>Итакири</w:t>
      </w:r>
      <w:proofErr w:type="spellEnd"/>
      <w:r w:rsidRPr="00BA0AD1">
        <w:t xml:space="preserve">), </w:t>
      </w:r>
      <w:proofErr w:type="spellStart"/>
      <w:r w:rsidRPr="00BA0AD1">
        <w:t>Формоса</w:t>
      </w:r>
      <w:proofErr w:type="spellEnd"/>
      <w:r w:rsidRPr="00BA0AD1">
        <w:t xml:space="preserve"> (округ </w:t>
      </w:r>
      <w:proofErr w:type="spellStart"/>
      <w:r w:rsidRPr="00BA0AD1">
        <w:t>Итакири</w:t>
      </w:r>
      <w:proofErr w:type="spellEnd"/>
      <w:r w:rsidRPr="00BA0AD1">
        <w:t xml:space="preserve">), </w:t>
      </w:r>
      <w:proofErr w:type="spellStart"/>
      <w:r w:rsidRPr="00BA0AD1">
        <w:t>Исати</w:t>
      </w:r>
      <w:proofErr w:type="spellEnd"/>
      <w:r w:rsidRPr="00BA0AD1">
        <w:t xml:space="preserve"> (округ </w:t>
      </w:r>
      <w:proofErr w:type="spellStart"/>
      <w:r w:rsidRPr="00BA0AD1">
        <w:t>Итакири</w:t>
      </w:r>
      <w:proofErr w:type="spellEnd"/>
      <w:r w:rsidRPr="00BA0AD1">
        <w:t xml:space="preserve">), </w:t>
      </w:r>
      <w:proofErr w:type="spellStart"/>
      <w:r w:rsidRPr="00BA0AD1">
        <w:t>Гуа´ай</w:t>
      </w:r>
      <w:proofErr w:type="spellEnd"/>
      <w:r w:rsidRPr="00BA0AD1">
        <w:t xml:space="preserve"> </w:t>
      </w:r>
      <w:proofErr w:type="spellStart"/>
      <w:r w:rsidRPr="00BA0AD1">
        <w:t>Капи´и</w:t>
      </w:r>
      <w:proofErr w:type="spellEnd"/>
      <w:r w:rsidRPr="00BA0AD1">
        <w:t xml:space="preserve"> </w:t>
      </w:r>
      <w:proofErr w:type="spellStart"/>
      <w:r w:rsidRPr="00BA0AD1">
        <w:t>Тинду</w:t>
      </w:r>
      <w:proofErr w:type="spellEnd"/>
      <w:r w:rsidRPr="00BA0AD1">
        <w:t xml:space="preserve"> (округ </w:t>
      </w:r>
      <w:proofErr w:type="spellStart"/>
      <w:r w:rsidRPr="00BA0AD1">
        <w:t>Такуати</w:t>
      </w:r>
      <w:proofErr w:type="spellEnd"/>
      <w:r w:rsidRPr="00BA0AD1">
        <w:t xml:space="preserve">) </w:t>
      </w:r>
      <w:r w:rsidR="002B7B9B">
        <w:t>−</w:t>
      </w:r>
      <w:r w:rsidRPr="00BA0AD1">
        <w:t xml:space="preserve"> были построены и оборуд</w:t>
      </w:r>
      <w:r w:rsidRPr="00BA0AD1">
        <w:t>о</w:t>
      </w:r>
      <w:r w:rsidRPr="00BA0AD1">
        <w:t>ваны школьные здания и предоставлены школьно-письменные принадлежности.</w:t>
      </w:r>
    </w:p>
    <w:p w:rsidR="00BA0AD1" w:rsidRPr="007D2776" w:rsidRDefault="00BA0AD1" w:rsidP="007D2776">
      <w:pPr>
        <w:pStyle w:val="H23GR"/>
      </w:pPr>
      <w:r w:rsidRPr="007D2776">
        <w:tab/>
        <w:t>4.</w:t>
      </w:r>
      <w:r w:rsidRPr="007D2776">
        <w:tab/>
        <w:t>Всеобщее основное образование: показатели и тенде</w:t>
      </w:r>
      <w:r w:rsidRPr="007D2776">
        <w:t>н</w:t>
      </w:r>
      <w:r w:rsidRPr="007D2776">
        <w:t>ции</w:t>
      </w:r>
      <w:r w:rsidRPr="00F96D53">
        <w:rPr>
          <w:b w:val="0"/>
          <w:sz w:val="18"/>
          <w:szCs w:val="18"/>
          <w:vertAlign w:val="superscript"/>
        </w:rPr>
        <w:footnoteReference w:id="45"/>
      </w:r>
    </w:p>
    <w:p w:rsidR="00BA0AD1" w:rsidRPr="00BA0AD1" w:rsidRDefault="00BA0AD1" w:rsidP="00BA0AD1">
      <w:pPr>
        <w:pStyle w:val="SingleTxtGR"/>
      </w:pPr>
      <w:r w:rsidRPr="00BA0AD1">
        <w:t>349.</w:t>
      </w:r>
      <w:r w:rsidRPr="00BA0AD1">
        <w:tab/>
        <w:t>Чистые показатели охвата дошкольным и ОШО представлены в прилож</w:t>
      </w:r>
      <w:r w:rsidRPr="00BA0AD1">
        <w:t>е</w:t>
      </w:r>
      <w:r w:rsidRPr="00BA0AD1">
        <w:t>нии XXI, рисунок 1.</w:t>
      </w:r>
    </w:p>
    <w:p w:rsidR="00BA0AD1" w:rsidRPr="00BA0AD1" w:rsidRDefault="00BA0AD1" w:rsidP="00BA0AD1">
      <w:pPr>
        <w:pStyle w:val="SingleTxtGR"/>
      </w:pPr>
      <w:r w:rsidRPr="00BA0AD1">
        <w:t>350.</w:t>
      </w:r>
      <w:r w:rsidRPr="00BA0AD1">
        <w:tab/>
        <w:t>В период с 1992 по 2009 год чистый показатель охвата дошкольным обр</w:t>
      </w:r>
      <w:r w:rsidRPr="00BA0AD1">
        <w:t>а</w:t>
      </w:r>
      <w:r w:rsidRPr="00BA0AD1">
        <w:t>зованием увеличился с 17 до 68</w:t>
      </w:r>
      <w:r w:rsidR="004849A7">
        <w:t>%</w:t>
      </w:r>
      <w:r w:rsidRPr="00BA0AD1">
        <w:t>; показатели охвата на первой и второй ступ</w:t>
      </w:r>
      <w:r w:rsidRPr="00BA0AD1">
        <w:t>е</w:t>
      </w:r>
      <w:r w:rsidRPr="00BA0AD1">
        <w:t>нях основного образования в период с 1990 по 2009 год снизились на 8,3 процентных пункта (с 93</w:t>
      </w:r>
      <w:r w:rsidR="004849A7">
        <w:t xml:space="preserve">% </w:t>
      </w:r>
      <w:r w:rsidRPr="00BA0AD1">
        <w:t>до 84,7</w:t>
      </w:r>
      <w:r w:rsidR="004849A7">
        <w:t>%</w:t>
      </w:r>
      <w:r w:rsidRPr="00BA0AD1">
        <w:t>); и показатели охвата на третей ступ</w:t>
      </w:r>
      <w:r w:rsidRPr="00BA0AD1">
        <w:t>е</w:t>
      </w:r>
      <w:r w:rsidRPr="00BA0AD1">
        <w:t>ни за тот же период увеличились на 31,5 процентных пункта (с 27</w:t>
      </w:r>
      <w:r w:rsidR="004849A7">
        <w:t xml:space="preserve">% </w:t>
      </w:r>
      <w:r w:rsidRPr="00BA0AD1">
        <w:t>до 58,5</w:t>
      </w:r>
      <w:r w:rsidR="004849A7">
        <w:t>%</w:t>
      </w:r>
      <w:r w:rsidRPr="00BA0AD1">
        <w:t>)</w:t>
      </w:r>
      <w:r w:rsidRPr="007713F6">
        <w:rPr>
          <w:sz w:val="18"/>
          <w:szCs w:val="18"/>
          <w:vertAlign w:val="superscript"/>
        </w:rPr>
        <w:footnoteReference w:id="46"/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351.</w:t>
      </w:r>
      <w:r w:rsidRPr="00BA0AD1">
        <w:tab/>
        <w:t>Существенно выросли показатели охвата дошкольным образованием и обучением на третей ступени с учетом местожительства. Наиболее заметно в</w:t>
      </w:r>
      <w:r w:rsidRPr="00BA0AD1">
        <w:t>ы</w:t>
      </w:r>
      <w:r w:rsidRPr="00BA0AD1">
        <w:t xml:space="preserve">рос чистый показатель охвата дошкольным образованием </w:t>
      </w:r>
      <w:r w:rsidR="002B7B9B">
        <w:t>−</w:t>
      </w:r>
      <w:r w:rsidRPr="00BA0AD1">
        <w:t xml:space="preserve"> в период с 1992 по 2009 год он увеличился с 34</w:t>
      </w:r>
      <w:r w:rsidR="004849A7">
        <w:t xml:space="preserve">% </w:t>
      </w:r>
      <w:r w:rsidRPr="00BA0AD1">
        <w:t>до 71,8</w:t>
      </w:r>
      <w:r w:rsidR="004849A7">
        <w:t xml:space="preserve">% </w:t>
      </w:r>
      <w:r w:rsidRPr="00BA0AD1">
        <w:t>в городах и с 6</w:t>
      </w:r>
      <w:r w:rsidR="004849A7">
        <w:t xml:space="preserve">% </w:t>
      </w:r>
      <w:r w:rsidRPr="00BA0AD1">
        <w:t>до 63,8</w:t>
      </w:r>
      <w:r w:rsidR="004849A7">
        <w:t xml:space="preserve">% </w:t>
      </w:r>
      <w:r w:rsidRPr="00BA0AD1">
        <w:t>в сельских районах. Что касается первой и второй ступеней начальной школы, то здесь н</w:t>
      </w:r>
      <w:r w:rsidRPr="00BA0AD1">
        <w:t>а</w:t>
      </w:r>
      <w:r w:rsidRPr="00BA0AD1">
        <w:t>блюдалась явная тенденция к превышению 90-процентного показателя в гор</w:t>
      </w:r>
      <w:r w:rsidRPr="00BA0AD1">
        <w:t>о</w:t>
      </w:r>
      <w:r w:rsidRPr="00BA0AD1">
        <w:t>дах (за исключением снижения до 88,1</w:t>
      </w:r>
      <w:r w:rsidR="004849A7">
        <w:t xml:space="preserve">% </w:t>
      </w:r>
      <w:r w:rsidRPr="00BA0AD1">
        <w:t>в 2006 году, пов</w:t>
      </w:r>
      <w:r w:rsidRPr="00BA0AD1">
        <w:t>ы</w:t>
      </w:r>
      <w:r w:rsidRPr="00BA0AD1">
        <w:t>шения до 92</w:t>
      </w:r>
      <w:r w:rsidR="004849A7">
        <w:t xml:space="preserve">% </w:t>
      </w:r>
      <w:r w:rsidRPr="00BA0AD1">
        <w:t>в 2007</w:t>
      </w:r>
      <w:r w:rsidR="00B85E64">
        <w:t> </w:t>
      </w:r>
      <w:r w:rsidRPr="00BA0AD1">
        <w:t>году и нового снижения до 88,9</w:t>
      </w:r>
      <w:r w:rsidR="004849A7">
        <w:t xml:space="preserve">% </w:t>
      </w:r>
      <w:r w:rsidRPr="00BA0AD1">
        <w:t>в 2008 году и до 86,2</w:t>
      </w:r>
      <w:r w:rsidR="004849A7">
        <w:t xml:space="preserve">% </w:t>
      </w:r>
      <w:r w:rsidRPr="00BA0AD1">
        <w:t xml:space="preserve">в 2009 году) и более резкие колебания в сельских районах </w:t>
      </w:r>
      <w:r w:rsidR="002B7B9B">
        <w:t>−</w:t>
      </w:r>
      <w:r w:rsidRPr="00BA0AD1">
        <w:t xml:space="preserve"> в 1990-е годы этот показатель здесь составлял от 83 до 89</w:t>
      </w:r>
      <w:r w:rsidR="004849A7">
        <w:t>%</w:t>
      </w:r>
      <w:r w:rsidRPr="00BA0AD1">
        <w:t>, к 2005 году он поднялся до 98</w:t>
      </w:r>
      <w:r w:rsidR="004849A7">
        <w:t>%</w:t>
      </w:r>
      <w:r w:rsidRPr="00BA0AD1">
        <w:t>, а затем плавно снижался до 83</w:t>
      </w:r>
      <w:r w:rsidR="004849A7">
        <w:t xml:space="preserve">% </w:t>
      </w:r>
      <w:r w:rsidRPr="00BA0AD1">
        <w:t>в 2009 году.</w:t>
      </w:r>
    </w:p>
    <w:p w:rsidR="00BA0AD1" w:rsidRPr="00BA0AD1" w:rsidRDefault="00BA0AD1" w:rsidP="00BA0AD1">
      <w:pPr>
        <w:pStyle w:val="SingleTxtGR"/>
      </w:pPr>
      <w:r w:rsidRPr="00BA0AD1">
        <w:t>352.</w:t>
      </w:r>
      <w:r w:rsidRPr="00BA0AD1">
        <w:tab/>
        <w:t xml:space="preserve">Что касается </w:t>
      </w:r>
      <w:proofErr w:type="spellStart"/>
      <w:r w:rsidRPr="00BA0AD1">
        <w:t>гендерного</w:t>
      </w:r>
      <w:proofErr w:type="spellEnd"/>
      <w:r w:rsidRPr="00BA0AD1">
        <w:t xml:space="preserve"> соотношения, то в 2009 году на ступени дошк</w:t>
      </w:r>
      <w:r w:rsidRPr="00BA0AD1">
        <w:t>о</w:t>
      </w:r>
      <w:r w:rsidRPr="00BA0AD1">
        <w:t>льного образования и на 1-й и 2-й ступенях начальной школы мальчиков и д</w:t>
      </w:r>
      <w:r w:rsidRPr="00BA0AD1">
        <w:t>е</w:t>
      </w:r>
      <w:r w:rsidRPr="00BA0AD1">
        <w:t>вочек было примерно поровну, тогда как на 3-й ступени доля девочек была на 5,2 процентных пункта выше.</w:t>
      </w:r>
    </w:p>
    <w:p w:rsidR="00BA0AD1" w:rsidRPr="00BA0AD1" w:rsidRDefault="00BA0AD1" w:rsidP="00BA0AD1">
      <w:pPr>
        <w:pStyle w:val="SingleTxtGR"/>
      </w:pPr>
      <w:r w:rsidRPr="00BA0AD1">
        <w:t>353.</w:t>
      </w:r>
      <w:r w:rsidRPr="00BA0AD1">
        <w:tab/>
        <w:t>Показатель доли детей, закончивших курс, для 1</w:t>
      </w:r>
      <w:r w:rsidR="002B7B9B">
        <w:t>−</w:t>
      </w:r>
      <w:r w:rsidRPr="00BA0AD1">
        <w:t>5 классов вырос с 70</w:t>
      </w:r>
      <w:r w:rsidR="004849A7">
        <w:t xml:space="preserve">% </w:t>
      </w:r>
      <w:r w:rsidRPr="00BA0AD1">
        <w:t>в 1990 году до 81,3</w:t>
      </w:r>
      <w:r w:rsidR="004849A7">
        <w:t xml:space="preserve">% </w:t>
      </w:r>
      <w:r w:rsidRPr="00BA0AD1">
        <w:t>в 2005 году, а затем снизился до 75</w:t>
      </w:r>
      <w:r w:rsidR="004849A7">
        <w:t>%</w:t>
      </w:r>
      <w:r w:rsidRPr="00BA0AD1">
        <w:t>, оставаясь неизме</w:t>
      </w:r>
      <w:r w:rsidRPr="00BA0AD1">
        <w:t>н</w:t>
      </w:r>
      <w:r w:rsidRPr="00BA0AD1">
        <w:t>ным до 2008 года, и немного увеличился в 2009 году, составив 76,8</w:t>
      </w:r>
      <w:r w:rsidR="004849A7">
        <w:t>%</w:t>
      </w:r>
      <w:r w:rsidRPr="00BA0AD1">
        <w:t>. Данные в разбивке по местожительству показывают, что в городах в период с 1990 по 2009 год этот показатель снизился почти на 5 процен</w:t>
      </w:r>
      <w:r w:rsidRPr="00BA0AD1">
        <w:t>т</w:t>
      </w:r>
      <w:r w:rsidRPr="00BA0AD1">
        <w:t xml:space="preserve">ных пунктов, а в сельских районах увеличился на 8,8 процентных пункта </w:t>
      </w:r>
      <w:r w:rsidR="002B7B9B">
        <w:t>−</w:t>
      </w:r>
      <w:r w:rsidRPr="00BA0AD1">
        <w:t xml:space="preserve"> с 56</w:t>
      </w:r>
      <w:r w:rsidR="004849A7">
        <w:t xml:space="preserve">% </w:t>
      </w:r>
      <w:r w:rsidRPr="00BA0AD1">
        <w:t>в начале п</w:t>
      </w:r>
      <w:r w:rsidRPr="00BA0AD1">
        <w:t>е</w:t>
      </w:r>
      <w:r w:rsidRPr="00BA0AD1">
        <w:t>риода до 64,8</w:t>
      </w:r>
      <w:r w:rsidR="004849A7">
        <w:t xml:space="preserve">% </w:t>
      </w:r>
      <w:r w:rsidRPr="00BA0AD1">
        <w:t xml:space="preserve">в 2009 году, причем своего максимального уровня </w:t>
      </w:r>
      <w:r w:rsidR="002B7B9B">
        <w:t>−</w:t>
      </w:r>
      <w:r w:rsidRPr="00BA0AD1">
        <w:t xml:space="preserve"> 82,6</w:t>
      </w:r>
      <w:r w:rsidR="004849A7">
        <w:t xml:space="preserve">% </w:t>
      </w:r>
      <w:r w:rsidR="002B7B9B">
        <w:t>−</w:t>
      </w:r>
      <w:r w:rsidRPr="00BA0AD1">
        <w:t xml:space="preserve"> он достигал в 2004 году. Что касается данных в разбивке по полу, то различия к 2005 году были минимальными, что свидетельствует об успехах в деле обеспечения </w:t>
      </w:r>
      <w:proofErr w:type="spellStart"/>
      <w:r w:rsidRPr="00BA0AD1">
        <w:t>ге</w:t>
      </w:r>
      <w:r w:rsidRPr="00BA0AD1">
        <w:t>н</w:t>
      </w:r>
      <w:r w:rsidRPr="00BA0AD1">
        <w:t>дерного</w:t>
      </w:r>
      <w:proofErr w:type="spellEnd"/>
      <w:r w:rsidRPr="00BA0AD1">
        <w:t xml:space="preserve"> равенства. Вместе с тем показатели за 2009 год зафиксиров</w:t>
      </w:r>
      <w:r w:rsidRPr="00BA0AD1">
        <w:t>а</w:t>
      </w:r>
      <w:r w:rsidRPr="00BA0AD1">
        <w:t>ли перевес доли девочек почти на 4 процентных пункта. Можно говорить о тенденции к увеличению к 5-му классу доли детей, зако</w:t>
      </w:r>
      <w:r w:rsidRPr="00BA0AD1">
        <w:t>н</w:t>
      </w:r>
      <w:r w:rsidRPr="00BA0AD1">
        <w:t>чивших курс</w:t>
      </w:r>
      <w:r w:rsidRPr="007713F6">
        <w:rPr>
          <w:sz w:val="18"/>
          <w:szCs w:val="18"/>
          <w:vertAlign w:val="superscript"/>
        </w:rPr>
        <w:footnoteReference w:id="47"/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354.</w:t>
      </w:r>
      <w:r w:rsidRPr="00BA0AD1">
        <w:tab/>
        <w:t xml:space="preserve">Из каждых 100 учащихся, пришедших в 1-й класс в 2000 году, 49 начали в 2008 году обучение в 9-м классе ОШО и 45 закончили его. </w:t>
      </w:r>
    </w:p>
    <w:p w:rsidR="00BA0AD1" w:rsidRPr="00BA0AD1" w:rsidRDefault="00BA0AD1" w:rsidP="00BA0AD1">
      <w:pPr>
        <w:pStyle w:val="SingleTxtGR"/>
      </w:pPr>
      <w:r w:rsidRPr="00BA0AD1">
        <w:t>355.</w:t>
      </w:r>
      <w:r w:rsidRPr="00BA0AD1">
        <w:tab/>
        <w:t xml:space="preserve">Общий показатель охвата средним образованием значительно вырос </w:t>
      </w:r>
      <w:r w:rsidR="002B7B9B">
        <w:t>−</w:t>
      </w:r>
      <w:r w:rsidRPr="00BA0AD1">
        <w:t xml:space="preserve"> с</w:t>
      </w:r>
      <w:r w:rsidR="00B85E64">
        <w:t> </w:t>
      </w:r>
      <w:r w:rsidRPr="00BA0AD1">
        <w:t>22</w:t>
      </w:r>
      <w:r w:rsidR="004849A7">
        <w:t xml:space="preserve">% </w:t>
      </w:r>
      <w:r w:rsidRPr="00BA0AD1">
        <w:t>в 1990 году до 55,6</w:t>
      </w:r>
      <w:r w:rsidR="004849A7">
        <w:t xml:space="preserve">% </w:t>
      </w:r>
      <w:r w:rsidRPr="00BA0AD1">
        <w:t>в 2009 году, тем не менее этот показатель требует дальнейшего повышения. В сельских районах показатель охвата средним обр</w:t>
      </w:r>
      <w:r w:rsidRPr="00BA0AD1">
        <w:t>а</w:t>
      </w:r>
      <w:r w:rsidRPr="00BA0AD1">
        <w:t xml:space="preserve">зованием увеличился в пять раз </w:t>
      </w:r>
      <w:r w:rsidR="002B7B9B">
        <w:t>−</w:t>
      </w:r>
      <w:r w:rsidRPr="00BA0AD1">
        <w:t xml:space="preserve"> с 6</w:t>
      </w:r>
      <w:r w:rsidR="004849A7">
        <w:t xml:space="preserve">% </w:t>
      </w:r>
      <w:r w:rsidRPr="00BA0AD1">
        <w:t>в 1990 году до 30,4</w:t>
      </w:r>
      <w:r w:rsidR="004849A7">
        <w:t xml:space="preserve">% </w:t>
      </w:r>
      <w:r w:rsidRPr="00BA0AD1">
        <w:t>в 2009 году, тогда как в городах он увеличился на 38,4 процентных пункта. Для женщин этот п</w:t>
      </w:r>
      <w:r w:rsidRPr="00BA0AD1">
        <w:t>о</w:t>
      </w:r>
      <w:r w:rsidRPr="00BA0AD1">
        <w:t>казатель составляет 57,7</w:t>
      </w:r>
      <w:r w:rsidR="004849A7">
        <w:t>%</w:t>
      </w:r>
      <w:r w:rsidRPr="00BA0AD1">
        <w:t>, а для му</w:t>
      </w:r>
      <w:r w:rsidRPr="00BA0AD1">
        <w:t>ж</w:t>
      </w:r>
      <w:r w:rsidRPr="00BA0AD1">
        <w:t xml:space="preserve">чин </w:t>
      </w:r>
      <w:r w:rsidR="002B7B9B">
        <w:t>−</w:t>
      </w:r>
      <w:r w:rsidRPr="00BA0AD1">
        <w:t xml:space="preserve"> 53,6</w:t>
      </w:r>
      <w:r w:rsidR="004849A7">
        <w:t>%</w:t>
      </w:r>
      <w:r w:rsidRPr="007713F6">
        <w:rPr>
          <w:sz w:val="18"/>
          <w:szCs w:val="18"/>
          <w:vertAlign w:val="superscript"/>
        </w:rPr>
        <w:footnoteReference w:id="48"/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356.</w:t>
      </w:r>
      <w:r w:rsidRPr="00BA0AD1">
        <w:tab/>
        <w:t>Уровень грамотности населения в возрасте от 15 до 24 лет составлял в 2009 году 98,2</w:t>
      </w:r>
      <w:r w:rsidR="004849A7">
        <w:t>%</w:t>
      </w:r>
      <w:r w:rsidRPr="00BA0AD1">
        <w:t>, и в последние годы он оставался практически неизменным вне зависимости от пола, места проживания или уровня доходов. Если эта тенде</w:t>
      </w:r>
      <w:r w:rsidRPr="00BA0AD1">
        <w:t>н</w:t>
      </w:r>
      <w:r w:rsidRPr="00BA0AD1">
        <w:t>ция сохранится, то к 2015 году в стране будет обеспечена всеобщая грамо</w:t>
      </w:r>
      <w:r w:rsidRPr="00BA0AD1">
        <w:t>т</w:t>
      </w:r>
      <w:r w:rsidRPr="00BA0AD1">
        <w:t>ность.</w:t>
      </w:r>
    </w:p>
    <w:p w:rsidR="00BA0AD1" w:rsidRPr="00BA0AD1" w:rsidRDefault="00BA0AD1" w:rsidP="00BA0AD1">
      <w:pPr>
        <w:pStyle w:val="SingleTxtGR"/>
      </w:pPr>
      <w:r w:rsidRPr="00BA0AD1">
        <w:t>357.</w:t>
      </w:r>
      <w:r w:rsidRPr="00BA0AD1">
        <w:tab/>
        <w:t>С неграмотностью предполагалось покончить к 2008 году, и хотя показ</w:t>
      </w:r>
      <w:r w:rsidRPr="00BA0AD1">
        <w:t>а</w:t>
      </w:r>
      <w:r w:rsidRPr="00BA0AD1">
        <w:t>тель в 100</w:t>
      </w:r>
      <w:r w:rsidR="004849A7">
        <w:t xml:space="preserve">% </w:t>
      </w:r>
      <w:r w:rsidRPr="00BA0AD1">
        <w:t>не был достигнут, данные за этот год свидетельствуют о пр</w:t>
      </w:r>
      <w:r w:rsidRPr="00BA0AD1">
        <w:t>о</w:t>
      </w:r>
      <w:r w:rsidRPr="00BA0AD1">
        <w:t>грессе, обеспеченном благодаря осуществляемым политике и программам. В 1995 году уровень неграмотности населения в возрасте 15 лет и старше составлял 8,2</w:t>
      </w:r>
      <w:r w:rsidR="004849A7">
        <w:t>%</w:t>
      </w:r>
      <w:r w:rsidRPr="00BA0AD1">
        <w:t>, а</w:t>
      </w:r>
      <w:r w:rsidR="00F96D53">
        <w:t> </w:t>
      </w:r>
      <w:r w:rsidRPr="00BA0AD1">
        <w:t>к 2009 году он снизился до 5,2</w:t>
      </w:r>
      <w:r w:rsidR="004849A7">
        <w:t>%</w:t>
      </w:r>
      <w:r w:rsidRPr="00BA0AD1">
        <w:t>. Анализ по местам проживания, социальному положению и полу свидетельствует о том, что наиболее заметно этот показ</w:t>
      </w:r>
      <w:r w:rsidRPr="00BA0AD1">
        <w:t>а</w:t>
      </w:r>
      <w:r w:rsidRPr="00BA0AD1">
        <w:t>тель вырос у малообеспеченных женщин, прожива</w:t>
      </w:r>
      <w:r w:rsidRPr="00BA0AD1">
        <w:t>ю</w:t>
      </w:r>
      <w:r w:rsidRPr="00BA0AD1">
        <w:t>щих в сельских районах.</w:t>
      </w:r>
    </w:p>
    <w:p w:rsidR="00BA0AD1" w:rsidRPr="00BA0AD1" w:rsidRDefault="00BA0AD1" w:rsidP="00BA0AD1">
      <w:pPr>
        <w:pStyle w:val="SingleTxtGR"/>
      </w:pPr>
      <w:r w:rsidRPr="00BA0AD1">
        <w:t>358.</w:t>
      </w:r>
      <w:r w:rsidRPr="00BA0AD1">
        <w:tab/>
        <w:t>Показатели для коренного населения по-прежнему остаются самыми ни</w:t>
      </w:r>
      <w:r w:rsidRPr="00BA0AD1">
        <w:t>з</w:t>
      </w:r>
      <w:r w:rsidRPr="00BA0AD1">
        <w:t>кими: проведенное в 2008 году Обследование домохозяйств коренного насел</w:t>
      </w:r>
      <w:r w:rsidRPr="00BA0AD1">
        <w:t>е</w:t>
      </w:r>
      <w:r w:rsidRPr="00BA0AD1">
        <w:t>ния показало, что неграмотными были 40,2</w:t>
      </w:r>
      <w:r w:rsidR="004849A7">
        <w:t xml:space="preserve">% </w:t>
      </w:r>
      <w:r w:rsidRPr="00BA0AD1">
        <w:t>коренных жителей в возрасте 15</w:t>
      </w:r>
      <w:r w:rsidR="00B85E64">
        <w:t> </w:t>
      </w:r>
      <w:r w:rsidRPr="00BA0AD1">
        <w:t>лет и старше. Иными словами, примерно 4 из каждых 10 человек не зако</w:t>
      </w:r>
      <w:r w:rsidRPr="00BA0AD1">
        <w:t>н</w:t>
      </w:r>
      <w:r w:rsidRPr="00BA0AD1">
        <w:t>чили 2-й класс начальной школы.</w:t>
      </w:r>
    </w:p>
    <w:p w:rsidR="00BA0AD1" w:rsidRPr="00BA0AD1" w:rsidRDefault="00BA0AD1" w:rsidP="00BA0AD1">
      <w:pPr>
        <w:pStyle w:val="SingleTxtGR"/>
      </w:pPr>
      <w:r w:rsidRPr="00BA0AD1">
        <w:t>359.</w:t>
      </w:r>
      <w:r w:rsidRPr="00BA0AD1">
        <w:tab/>
        <w:t xml:space="preserve">В период с 1996 по 2009 год страна продвинулась на пути обеспечения </w:t>
      </w:r>
      <w:proofErr w:type="spellStart"/>
      <w:r w:rsidRPr="00BA0AD1">
        <w:t>гендерного</w:t>
      </w:r>
      <w:proofErr w:type="spellEnd"/>
      <w:r w:rsidRPr="00BA0AD1">
        <w:t xml:space="preserve"> равенства в доступе к образованию, о чем свидетельствуют сов</w:t>
      </w:r>
      <w:r w:rsidRPr="00BA0AD1">
        <w:t>о</w:t>
      </w:r>
      <w:r w:rsidRPr="00BA0AD1">
        <w:t>купные показатели охвата общим школьным и средним образованием</w:t>
      </w:r>
      <w:r w:rsidRPr="007713F6">
        <w:rPr>
          <w:sz w:val="18"/>
          <w:szCs w:val="18"/>
          <w:vertAlign w:val="superscript"/>
        </w:rPr>
        <w:footnoteReference w:id="49"/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360.</w:t>
      </w:r>
      <w:r w:rsidRPr="00BA0AD1">
        <w:tab/>
        <w:t>В 2009 году на каждые 100 мальчиков, обучавшихся в системе общего школьного и среднего образования, приходилось 97 девочек. В сельских ра</w:t>
      </w:r>
      <w:r w:rsidRPr="00BA0AD1">
        <w:t>й</w:t>
      </w:r>
      <w:r w:rsidRPr="00BA0AD1">
        <w:t>онах, где сохраняется неравенство в охвате школьным образованием, в том же году на каждых 100 мальчиков, записанных в школы, приходилась 91 девочка. При этом данные по городам свидетельствуют о том, что здесь удалось поко</w:t>
      </w:r>
      <w:r w:rsidRPr="00BA0AD1">
        <w:t>н</w:t>
      </w:r>
      <w:r w:rsidRPr="00BA0AD1">
        <w:t xml:space="preserve">чить с </w:t>
      </w:r>
      <w:proofErr w:type="spellStart"/>
      <w:r w:rsidRPr="00BA0AD1">
        <w:t>гендерными</w:t>
      </w:r>
      <w:proofErr w:type="spellEnd"/>
      <w:r w:rsidRPr="00BA0AD1">
        <w:t xml:space="preserve"> неравенством </w:t>
      </w:r>
      <w:r w:rsidR="002B7B9B">
        <w:t>−</w:t>
      </w:r>
      <w:r w:rsidRPr="00BA0AD1">
        <w:t xml:space="preserve"> на каждые 100 учащихся-женщин приход</w:t>
      </w:r>
      <w:r w:rsidRPr="00BA0AD1">
        <w:t>и</w:t>
      </w:r>
      <w:r w:rsidRPr="00BA0AD1">
        <w:t>лось такое же число мужчин.</w:t>
      </w:r>
    </w:p>
    <w:p w:rsidR="00BA0AD1" w:rsidRPr="00BA0AD1" w:rsidRDefault="00BA0AD1" w:rsidP="00BA0AD1">
      <w:pPr>
        <w:pStyle w:val="SingleTxtGR"/>
      </w:pPr>
      <w:r w:rsidRPr="00BA0AD1">
        <w:t>361.</w:t>
      </w:r>
      <w:r w:rsidRPr="00BA0AD1">
        <w:tab/>
        <w:t>Соотношения в уровне грамотности женщин и мужчин в возрасте от 15</w:t>
      </w:r>
      <w:r w:rsidR="00B85E64">
        <w:t> </w:t>
      </w:r>
      <w:r w:rsidRPr="00BA0AD1">
        <w:t>до 24 лет представлены в приложении XXI, рисунок 5.</w:t>
      </w:r>
    </w:p>
    <w:p w:rsidR="00BA0AD1" w:rsidRPr="00BA0AD1" w:rsidRDefault="00BA0AD1" w:rsidP="00BA0AD1">
      <w:pPr>
        <w:pStyle w:val="SingleTxtGR"/>
      </w:pPr>
      <w:r w:rsidRPr="00BA0AD1">
        <w:t>362.</w:t>
      </w:r>
      <w:r w:rsidRPr="00BA0AD1">
        <w:tab/>
        <w:t>В 2007 и 2008 годах доля женщин по этому показателю значительно пр</w:t>
      </w:r>
      <w:r w:rsidRPr="00BA0AD1">
        <w:t>е</w:t>
      </w:r>
      <w:r w:rsidRPr="00BA0AD1">
        <w:t>вышала долю мужчин: по всей стране на каждые 102 грамотные женщины пр</w:t>
      </w:r>
      <w:r w:rsidRPr="00BA0AD1">
        <w:t>и</w:t>
      </w:r>
      <w:r w:rsidRPr="00BA0AD1">
        <w:t xml:space="preserve">ходилось 100 грамотных мужчин. Аналогичная тенденция была отмечена и на уровне городов </w:t>
      </w:r>
      <w:r w:rsidR="002B7B9B">
        <w:t>−</w:t>
      </w:r>
      <w:r w:rsidRPr="00BA0AD1">
        <w:t xml:space="preserve"> здесь в 2007 году на каждых 100 грамотных мужчин приход</w:t>
      </w:r>
      <w:r w:rsidRPr="00BA0AD1">
        <w:t>и</w:t>
      </w:r>
      <w:r w:rsidRPr="00BA0AD1">
        <w:t xml:space="preserve">лись 123, а в 2008 году </w:t>
      </w:r>
      <w:r w:rsidR="002B7B9B">
        <w:t>−</w:t>
      </w:r>
      <w:r w:rsidRPr="00BA0AD1">
        <w:t xml:space="preserve"> 106 грамотных женщин. В сельских районах в 2007</w:t>
      </w:r>
      <w:r w:rsidR="00B85E64">
        <w:t> </w:t>
      </w:r>
      <w:r w:rsidRPr="00BA0AD1">
        <w:t>году на каждых 100 грамотных мужчин приходились 82 грамотные же</w:t>
      </w:r>
      <w:r w:rsidRPr="00BA0AD1">
        <w:t>н</w:t>
      </w:r>
      <w:r w:rsidRPr="00BA0AD1">
        <w:t xml:space="preserve">щины, а в 2008 году </w:t>
      </w:r>
      <w:r w:rsidR="002B7B9B">
        <w:t>−</w:t>
      </w:r>
      <w:r w:rsidRPr="00BA0AD1">
        <w:t xml:space="preserve"> 96.</w:t>
      </w:r>
    </w:p>
    <w:p w:rsidR="00BA0AD1" w:rsidRPr="00BA0AD1" w:rsidRDefault="00BA0AD1" w:rsidP="00F96D53">
      <w:pPr>
        <w:pStyle w:val="SingleTxtGR"/>
        <w:keepLines/>
      </w:pPr>
      <w:r w:rsidRPr="00BA0AD1">
        <w:t>363.</w:t>
      </w:r>
      <w:r w:rsidRPr="00BA0AD1">
        <w:tab/>
        <w:t>Вместе с тем в 2009 году общенациональные данные об уровне грамо</w:t>
      </w:r>
      <w:r w:rsidRPr="00BA0AD1">
        <w:t>т</w:t>
      </w:r>
      <w:r w:rsidRPr="00BA0AD1">
        <w:t>ности в разбивке по полу вновь зафиксировали диспропорцию: на каждых 100</w:t>
      </w:r>
      <w:r w:rsidR="00B85E64">
        <w:t> </w:t>
      </w:r>
      <w:r w:rsidRPr="00BA0AD1">
        <w:t>грамотных мужчин приходились 94 грамотные женщины. Та же картина н</w:t>
      </w:r>
      <w:r w:rsidRPr="00BA0AD1">
        <w:t>а</w:t>
      </w:r>
      <w:r w:rsidRPr="00BA0AD1">
        <w:t xml:space="preserve">блюдается и в городах, и в сельских районах. В сельских районах на каждых 100 грамотных мужчин приходилось 89, а в городах </w:t>
      </w:r>
      <w:r w:rsidR="002B7B9B">
        <w:t>−</w:t>
      </w:r>
      <w:r w:rsidRPr="00BA0AD1">
        <w:t xml:space="preserve"> 98 грамотных женщин.</w:t>
      </w:r>
    </w:p>
    <w:p w:rsidR="00BA0AD1" w:rsidRPr="00BA0AD1" w:rsidRDefault="00BA0AD1" w:rsidP="00B85E64">
      <w:pPr>
        <w:pStyle w:val="H1GR"/>
      </w:pPr>
      <w:r w:rsidRPr="00BA0AD1">
        <w:tab/>
      </w:r>
      <w:r w:rsidRPr="00BA0AD1">
        <w:tab/>
      </w:r>
      <w:bookmarkStart w:id="19" w:name="_Toc368649110"/>
      <w:r w:rsidRPr="00BA0AD1">
        <w:t>Статья 14</w:t>
      </w:r>
      <w:r w:rsidR="00B85E64">
        <w:br/>
      </w:r>
      <w:r w:rsidRPr="00BA0AD1">
        <w:t>Обязательность и бесплатность начального образования</w:t>
      </w:r>
      <w:bookmarkEnd w:id="19"/>
    </w:p>
    <w:p w:rsidR="00BA0AD1" w:rsidRPr="007D2776" w:rsidRDefault="00BA0AD1" w:rsidP="007D2776">
      <w:pPr>
        <w:pStyle w:val="H23GR"/>
      </w:pPr>
      <w:r w:rsidRPr="007D2776">
        <w:tab/>
      </w:r>
      <w:r w:rsidRPr="007D2776">
        <w:tab/>
        <w:t xml:space="preserve">Обязательность доступа к образованию </w:t>
      </w:r>
    </w:p>
    <w:p w:rsidR="00BA0AD1" w:rsidRPr="00BA0AD1" w:rsidRDefault="00BA0AD1" w:rsidP="00BA0AD1">
      <w:pPr>
        <w:pStyle w:val="SingleTxtGR"/>
      </w:pPr>
      <w:r w:rsidRPr="00BA0AD1">
        <w:t>364.</w:t>
      </w:r>
      <w:r w:rsidRPr="00BA0AD1">
        <w:tab/>
        <w:t xml:space="preserve">В Конституции парагвайского государства закреплена бесплатность </w:t>
      </w:r>
      <w:r w:rsidR="00B85E64">
        <w:br/>
      </w:r>
      <w:r w:rsidRPr="00BA0AD1">
        <w:t xml:space="preserve">9-классного основного школьного образования. </w:t>
      </w:r>
    </w:p>
    <w:p w:rsidR="00BA0AD1" w:rsidRPr="00BA0AD1" w:rsidRDefault="00BA0AD1" w:rsidP="00BA0AD1">
      <w:pPr>
        <w:pStyle w:val="SingleTxtGR"/>
      </w:pPr>
      <w:r w:rsidRPr="00BA0AD1">
        <w:t>365.</w:t>
      </w:r>
      <w:r w:rsidRPr="00BA0AD1">
        <w:tab/>
        <w:t>Принятый 13 сентября 2010 года Закон № 4088 о бесплатности начальн</w:t>
      </w:r>
      <w:r w:rsidRPr="00BA0AD1">
        <w:t>о</w:t>
      </w:r>
      <w:r w:rsidRPr="00BA0AD1">
        <w:t>го и среднего образования распространил принципы бесплатности и обязател</w:t>
      </w:r>
      <w:r w:rsidRPr="00BA0AD1">
        <w:t>ь</w:t>
      </w:r>
      <w:r w:rsidRPr="00BA0AD1">
        <w:t>ности на соответствующие ступени образования. Законом предусматриваются полная бесплатность обучения, сдачи экзаменов и выдачи аттестатов, а также полное обеспечение учащихся государственных школ учебными материалами и школьно-письменными принадлежностями, что требует значительных средств. Впервые все учебные заведения будут иметь библиотеки, телевизоры, DVD-проигрыватели, компьютеры и другое оборудование, позволяющее повысить р</w:t>
      </w:r>
      <w:r w:rsidRPr="00BA0AD1">
        <w:t>е</w:t>
      </w:r>
      <w:r w:rsidRPr="00BA0AD1">
        <w:t>зультаты обучения. Предусматривается увеличивать количество учебных мат</w:t>
      </w:r>
      <w:r w:rsidRPr="00BA0AD1">
        <w:t>е</w:t>
      </w:r>
      <w:r w:rsidRPr="00BA0AD1">
        <w:t>риалов, выдаваемых каждому учащемуся. Кроме того, каждое учебное завед</w:t>
      </w:r>
      <w:r w:rsidRPr="00BA0AD1">
        <w:t>е</w:t>
      </w:r>
      <w:r w:rsidRPr="00BA0AD1">
        <w:t>ние, с учетом его вида, будет получать от 20 до 60 долл. США на каждого уч</w:t>
      </w:r>
      <w:r w:rsidRPr="00BA0AD1">
        <w:t>а</w:t>
      </w:r>
      <w:r w:rsidRPr="00BA0AD1">
        <w:t>щегося. Директора школ с регулярной посещаемостью смогут с помощью этих средств помочь учащимся продолжать обучение.</w:t>
      </w:r>
    </w:p>
    <w:p w:rsidR="00BA0AD1" w:rsidRPr="00BA0AD1" w:rsidRDefault="00BA0AD1" w:rsidP="00BA0AD1">
      <w:pPr>
        <w:pStyle w:val="SingleTxtGR"/>
      </w:pPr>
      <w:r w:rsidRPr="00BA0AD1">
        <w:t>366.</w:t>
      </w:r>
      <w:r w:rsidRPr="00BA0AD1">
        <w:tab/>
        <w:t>Принцип бесплатности действует во всех государственных учебных зав</w:t>
      </w:r>
      <w:r w:rsidRPr="00BA0AD1">
        <w:t>е</w:t>
      </w:r>
      <w:r w:rsidRPr="00BA0AD1">
        <w:t>дениях. В классных (предметных) библиотеках имеется примерно по 150 учебников. На каждое учебное заведение приходится до 400 учебников, к</w:t>
      </w:r>
      <w:r w:rsidRPr="00BA0AD1">
        <w:t>о</w:t>
      </w:r>
      <w:r w:rsidRPr="00BA0AD1">
        <w:t>торые распределяются примерно по 130 учебников на класс. В настоящее время проходит конкурс на право издания первых комплектов учебников для 500</w:t>
      </w:r>
      <w:r w:rsidR="00A82CB2">
        <w:t> </w:t>
      </w:r>
      <w:r w:rsidRPr="00BA0AD1">
        <w:t>учебных заведений. Первоначально предусматривается передать в каждое из них примерно по 250 книг.</w:t>
      </w:r>
    </w:p>
    <w:p w:rsidR="00BA0AD1" w:rsidRPr="00BA0AD1" w:rsidRDefault="00BA0AD1" w:rsidP="00BA0AD1">
      <w:pPr>
        <w:pStyle w:val="SingleTxtGR"/>
      </w:pPr>
      <w:r w:rsidRPr="00BA0AD1">
        <w:t>367.</w:t>
      </w:r>
      <w:r w:rsidRPr="00BA0AD1">
        <w:tab/>
        <w:t>При оборудовании предметных кабинетов предусматривается установка телевизоров, DVD-проигрывателей, компьютеров, а учебным заведениям пр</w:t>
      </w:r>
      <w:r w:rsidRPr="00BA0AD1">
        <w:t>е</w:t>
      </w:r>
      <w:r w:rsidRPr="00BA0AD1">
        <w:t>доставляются проекторы, аудиоаппаратура, музыкальные инструменты, спо</w:t>
      </w:r>
      <w:r w:rsidRPr="00BA0AD1">
        <w:t>р</w:t>
      </w:r>
      <w:r w:rsidRPr="00BA0AD1">
        <w:t>тивный инвентарь (мячи, сетки), краски, оборудование для лабораторий по е</w:t>
      </w:r>
      <w:r w:rsidRPr="00BA0AD1">
        <w:t>с</w:t>
      </w:r>
      <w:r w:rsidRPr="00BA0AD1">
        <w:t>тественным наукам, карты и глобусы.</w:t>
      </w:r>
    </w:p>
    <w:p w:rsidR="00BA0AD1" w:rsidRPr="00BA0AD1" w:rsidRDefault="00BA0AD1" w:rsidP="00BA0AD1">
      <w:pPr>
        <w:pStyle w:val="SingleTxtGR"/>
      </w:pPr>
      <w:r w:rsidRPr="00BA0AD1">
        <w:t>368.</w:t>
      </w:r>
      <w:r w:rsidRPr="00BA0AD1">
        <w:tab/>
        <w:t>В официальных государственных учебных заведениях плата за сдачу э</w:t>
      </w:r>
      <w:r w:rsidRPr="00BA0AD1">
        <w:t>к</w:t>
      </w:r>
      <w:r w:rsidRPr="00BA0AD1">
        <w:t>заменов не взимается.</w:t>
      </w:r>
    </w:p>
    <w:p w:rsidR="00BA0AD1" w:rsidRPr="00BA0AD1" w:rsidRDefault="00BA0AD1" w:rsidP="00BA0AD1">
      <w:pPr>
        <w:pStyle w:val="SingleTxtGR"/>
      </w:pPr>
      <w:r w:rsidRPr="00BA0AD1">
        <w:t>369.</w:t>
      </w:r>
      <w:r w:rsidRPr="00BA0AD1">
        <w:tab/>
        <w:t>МОК предусматривает выдачу учащимся удостоверений учащихся сре</w:t>
      </w:r>
      <w:r w:rsidRPr="00BA0AD1">
        <w:t>д</w:t>
      </w:r>
      <w:r w:rsidRPr="00BA0AD1">
        <w:t>ней школы, чтобы на их основании они могли приобретать проездные билеты с 50-процентной скидкой.</w:t>
      </w:r>
    </w:p>
    <w:p w:rsidR="00BA0AD1" w:rsidRPr="00BA0AD1" w:rsidRDefault="00BA0AD1" w:rsidP="00BA0AD1">
      <w:pPr>
        <w:pStyle w:val="SingleTxtGR"/>
      </w:pPr>
      <w:r w:rsidRPr="00BA0AD1">
        <w:t>370.</w:t>
      </w:r>
      <w:r w:rsidRPr="00BA0AD1">
        <w:tab/>
        <w:t>Ежегодно МОК обеспечивает выдачу каждому учащемуся системы д</w:t>
      </w:r>
      <w:r w:rsidRPr="00BA0AD1">
        <w:t>о</w:t>
      </w:r>
      <w:r w:rsidRPr="00BA0AD1">
        <w:t>школьного, основного и среднего образования базового комплекта школьно-письменных принадлежностей, рассчитанного на один год. Учащиеся средней школы получают такие комплекты с 2011 года после принятия закона о бе</w:t>
      </w:r>
      <w:r w:rsidRPr="00BA0AD1">
        <w:t>с</w:t>
      </w:r>
      <w:r w:rsidRPr="00BA0AD1">
        <w:t>платности этой ступени образования. Вместе с тем пока не везде удалось нал</w:t>
      </w:r>
      <w:r w:rsidRPr="00BA0AD1">
        <w:t>а</w:t>
      </w:r>
      <w:r w:rsidRPr="00BA0AD1">
        <w:t xml:space="preserve">дить своевременную выдачу таких комплектов. </w:t>
      </w:r>
    </w:p>
    <w:p w:rsidR="00BA0AD1" w:rsidRPr="00BA0AD1" w:rsidRDefault="00BA0AD1" w:rsidP="00BA0AD1">
      <w:pPr>
        <w:pStyle w:val="SingleTxtGR"/>
      </w:pPr>
      <w:r w:rsidRPr="00BA0AD1">
        <w:t>371.</w:t>
      </w:r>
      <w:r w:rsidRPr="00BA0AD1">
        <w:tab/>
        <w:t>В стране существует система предоставления стипендий учащимся третьей ступени основной и средней школы, что дает им возможность пройти полный курс обучения. Такие стипендии предоставляются, прежде всего пре</w:t>
      </w:r>
      <w:r w:rsidRPr="00BA0AD1">
        <w:t>д</w:t>
      </w:r>
      <w:r w:rsidRPr="00BA0AD1">
        <w:t>ставителям малообеспеченных категорий населения.</w:t>
      </w:r>
    </w:p>
    <w:p w:rsidR="00BA0AD1" w:rsidRPr="00BA0AD1" w:rsidRDefault="00BA0AD1" w:rsidP="00BA0AD1">
      <w:pPr>
        <w:pStyle w:val="SingleTxtGR"/>
      </w:pPr>
      <w:r w:rsidRPr="00BA0AD1">
        <w:t>372.</w:t>
      </w:r>
      <w:r w:rsidRPr="00BA0AD1">
        <w:tab/>
        <w:t xml:space="preserve">К сфере ответственности МОК относятся и высшие неуниверситетские учебные заведения, </w:t>
      </w:r>
      <w:r w:rsidR="009F276B">
        <w:t>т.е.</w:t>
      </w:r>
      <w:r w:rsidRPr="00BA0AD1">
        <w:t xml:space="preserve"> педагогические и технические институты. Обучение в таких институтах не является полностью бесплатным, поскольку, хотя плата за само обучение и не взимается, учащимся приходится оплачивать оформление зачисления, учебные материалы и питание. Вместе с тем стипендиальная си</w:t>
      </w:r>
      <w:r w:rsidRPr="00BA0AD1">
        <w:t>с</w:t>
      </w:r>
      <w:r w:rsidRPr="00BA0AD1">
        <w:t>тема МОК предусматривает предоставление стипендий учащимся, которые х</w:t>
      </w:r>
      <w:r w:rsidRPr="00BA0AD1">
        <w:t>о</w:t>
      </w:r>
      <w:r w:rsidRPr="00BA0AD1">
        <w:t>тели бы продолжить свое обучение в университетах.</w:t>
      </w:r>
    </w:p>
    <w:p w:rsidR="00BA0AD1" w:rsidRPr="00BA0AD1" w:rsidRDefault="00BA0AD1" w:rsidP="00BA0AD1">
      <w:pPr>
        <w:pStyle w:val="SingleTxtGR"/>
      </w:pPr>
      <w:r w:rsidRPr="00BA0AD1">
        <w:t>373.</w:t>
      </w:r>
      <w:r w:rsidRPr="00BA0AD1">
        <w:tab/>
        <w:t>Национальный план ликвидации неграмотности (2004</w:t>
      </w:r>
      <w:r w:rsidR="002B7B9B">
        <w:t>−</w:t>
      </w:r>
      <w:r w:rsidRPr="00BA0AD1">
        <w:t>2008 годы) ос</w:t>
      </w:r>
      <w:r w:rsidRPr="00BA0AD1">
        <w:t>у</w:t>
      </w:r>
      <w:r w:rsidRPr="00BA0AD1">
        <w:t xml:space="preserve">ществлялся прежде всего в рамках: a) Двуязычной программы повышения уровня грамотности на языке </w:t>
      </w:r>
      <w:proofErr w:type="spellStart"/>
      <w:r w:rsidRPr="00BA0AD1">
        <w:t>гуарани</w:t>
      </w:r>
      <w:proofErr w:type="spellEnd"/>
      <w:r w:rsidRPr="00BA0AD1">
        <w:t xml:space="preserve"> и испанском языке и создания организ</w:t>
      </w:r>
      <w:r w:rsidRPr="00BA0AD1">
        <w:t>а</w:t>
      </w:r>
      <w:r w:rsidRPr="00BA0AD1">
        <w:t xml:space="preserve">ций на базе общин, чтобы содействовать тем самым развитию человеческого потенциала неграмотных жителей страны, говорящих на языке </w:t>
      </w:r>
      <w:proofErr w:type="spellStart"/>
      <w:r w:rsidRPr="00BA0AD1">
        <w:t>гуарани</w:t>
      </w:r>
      <w:proofErr w:type="spellEnd"/>
      <w:r w:rsidRPr="00BA0AD1">
        <w:t>, путем совершенствования навыков грамотности на двух языках, производственного обучения, обучения навыкам охраны окружающей среды и заботы о репроду</w:t>
      </w:r>
      <w:r w:rsidRPr="00BA0AD1">
        <w:t>к</w:t>
      </w:r>
      <w:r w:rsidRPr="00BA0AD1">
        <w:t xml:space="preserve">тивном здоровье при уважительном отношении к культурной самобытности и обеспечении </w:t>
      </w:r>
      <w:proofErr w:type="spellStart"/>
      <w:r w:rsidRPr="00BA0AD1">
        <w:t>гендерного</w:t>
      </w:r>
      <w:proofErr w:type="spellEnd"/>
      <w:r w:rsidRPr="00BA0AD1">
        <w:t xml:space="preserve"> равенства. Упор при этом делается на внешкольное обучение, прежде всего взрослых сельских жителей; b) Программы двуязычн</w:t>
      </w:r>
      <w:r w:rsidRPr="00BA0AD1">
        <w:t>о</w:t>
      </w:r>
      <w:r w:rsidRPr="00BA0AD1">
        <w:t>го основного и среднего образования молодежи и взрослых ПРОДЕПА</w:t>
      </w:r>
      <w:r w:rsidRPr="007713F6">
        <w:rPr>
          <w:sz w:val="18"/>
          <w:szCs w:val="18"/>
          <w:vertAlign w:val="superscript"/>
        </w:rPr>
        <w:footnoteReference w:id="50"/>
      </w:r>
      <w:r w:rsidRPr="00BA0AD1">
        <w:t xml:space="preserve"> </w:t>
      </w:r>
      <w:r w:rsidR="002B7B9B">
        <w:t>−</w:t>
      </w:r>
      <w:r w:rsidRPr="00BA0AD1">
        <w:t xml:space="preserve"> </w:t>
      </w:r>
      <w:proofErr w:type="spellStart"/>
      <w:r w:rsidRPr="00BA0AD1">
        <w:t>Ко’е</w:t>
      </w:r>
      <w:proofErr w:type="spellEnd"/>
      <w:r w:rsidRPr="00BA0AD1">
        <w:t xml:space="preserve"> </w:t>
      </w:r>
      <w:proofErr w:type="spellStart"/>
      <w:r w:rsidRPr="00BA0AD1">
        <w:t>Пиау</w:t>
      </w:r>
      <w:proofErr w:type="spellEnd"/>
      <w:r w:rsidRPr="00BA0AD1">
        <w:t xml:space="preserve"> </w:t>
      </w:r>
      <w:r w:rsidR="002B7B9B">
        <w:t>−</w:t>
      </w:r>
      <w:r w:rsidRPr="00BA0AD1">
        <w:t xml:space="preserve"> ("Новый рассвет") </w:t>
      </w:r>
      <w:r w:rsidR="002B7B9B">
        <w:t>−</w:t>
      </w:r>
      <w:r w:rsidRPr="00BA0AD1">
        <w:t xml:space="preserve"> официальной программы двуязычного образования, участники которой </w:t>
      </w:r>
      <w:r w:rsidR="002B7B9B">
        <w:t>−</w:t>
      </w:r>
      <w:r w:rsidRPr="00BA0AD1">
        <w:t xml:space="preserve"> лица старше 15 лет </w:t>
      </w:r>
      <w:r w:rsidR="002B7B9B">
        <w:t>−</w:t>
      </w:r>
      <w:r w:rsidRPr="00BA0AD1">
        <w:t xml:space="preserve"> после четырех лет обучения получ</w:t>
      </w:r>
      <w:r w:rsidRPr="00BA0AD1">
        <w:t>а</w:t>
      </w:r>
      <w:r w:rsidRPr="00BA0AD1">
        <w:t>ют аттестат об основном образовании.</w:t>
      </w:r>
    </w:p>
    <w:p w:rsidR="00BA0AD1" w:rsidRPr="00BA0AD1" w:rsidRDefault="00BA0AD1" w:rsidP="00BA0AD1">
      <w:pPr>
        <w:pStyle w:val="SingleTxtGR"/>
      </w:pPr>
      <w:r w:rsidRPr="00BA0AD1">
        <w:t>374.</w:t>
      </w:r>
      <w:r w:rsidRPr="00BA0AD1">
        <w:tab/>
        <w:t>Национальная система оценки результативности образовательного пр</w:t>
      </w:r>
      <w:r w:rsidRPr="00BA0AD1">
        <w:t>о</w:t>
      </w:r>
      <w:r w:rsidRPr="00BA0AD1">
        <w:t>цесса (СНЕПЕ) оказывает содействие в реформировании системы образования и позволяет получить данные об учебных достижениях учащихся образовател</w:t>
      </w:r>
      <w:r w:rsidRPr="00BA0AD1">
        <w:t>ь</w:t>
      </w:r>
      <w:r w:rsidRPr="00BA0AD1">
        <w:t>ных учреждений на основании измерений, проводимых по окончании учебного года на каждой ступени основного школьного и среднего образования. Благод</w:t>
      </w:r>
      <w:r w:rsidRPr="00BA0AD1">
        <w:t>а</w:t>
      </w:r>
      <w:r w:rsidRPr="00BA0AD1">
        <w:t>ря СНЕПЕ удается оценивать качество образования и выявлять проблемы, имеющие место в системе образования в годы ее реформирования.</w:t>
      </w:r>
    </w:p>
    <w:p w:rsidR="00BA0AD1" w:rsidRPr="00BA0AD1" w:rsidRDefault="00BA0AD1" w:rsidP="00BA0AD1">
      <w:pPr>
        <w:pStyle w:val="SingleTxtGR"/>
      </w:pPr>
      <w:r w:rsidRPr="00BA0AD1">
        <w:t>375.</w:t>
      </w:r>
      <w:r w:rsidRPr="00BA0AD1">
        <w:tab/>
        <w:t xml:space="preserve">Цель программы "Живая школа </w:t>
      </w:r>
      <w:r w:rsidR="002B7B9B">
        <w:t>−</w:t>
      </w:r>
      <w:r w:rsidRPr="00BA0AD1">
        <w:t xml:space="preserve"> </w:t>
      </w:r>
      <w:proofErr w:type="spellStart"/>
      <w:r w:rsidRPr="00BA0AD1">
        <w:t>Экокатува</w:t>
      </w:r>
      <w:proofErr w:type="spellEnd"/>
      <w:r w:rsidRPr="00BA0AD1">
        <w:t>" заключается в повышении эффективности реформирования системы основного школьного образования путем проведения дифференцированной и индивидуальной работы с теми шк</w:t>
      </w:r>
      <w:r w:rsidRPr="00BA0AD1">
        <w:t>о</w:t>
      </w:r>
      <w:r w:rsidRPr="00BA0AD1">
        <w:t>лами страны, которые обеспечивают обучение наиболее нуждающихся катег</w:t>
      </w:r>
      <w:r w:rsidRPr="00BA0AD1">
        <w:t>о</w:t>
      </w:r>
      <w:r w:rsidRPr="00BA0AD1">
        <w:t>рий населения.</w:t>
      </w:r>
    </w:p>
    <w:p w:rsidR="00BA0AD1" w:rsidRPr="00BA0AD1" w:rsidRDefault="00BA0AD1" w:rsidP="00BA0AD1">
      <w:pPr>
        <w:pStyle w:val="SingleTxtGR"/>
      </w:pPr>
      <w:r w:rsidRPr="00BA0AD1">
        <w:t>376.</w:t>
      </w:r>
      <w:r w:rsidRPr="00BA0AD1">
        <w:tab/>
        <w:t>В таблицах в приложении XXI приводятся сведения по данным разделам.</w:t>
      </w:r>
    </w:p>
    <w:p w:rsidR="00BA0AD1" w:rsidRPr="00BA0AD1" w:rsidRDefault="00BA0AD1" w:rsidP="00A82CB2">
      <w:pPr>
        <w:pStyle w:val="H1GR"/>
      </w:pPr>
      <w:r w:rsidRPr="00BA0AD1">
        <w:tab/>
      </w:r>
      <w:r w:rsidRPr="00BA0AD1">
        <w:tab/>
      </w:r>
      <w:bookmarkStart w:id="20" w:name="_Toc368649111"/>
      <w:r w:rsidRPr="00BA0AD1">
        <w:t>Статья 15</w:t>
      </w:r>
      <w:r w:rsidR="00A82CB2">
        <w:br/>
      </w:r>
      <w:r w:rsidRPr="00BA0AD1">
        <w:t>Право на культуру</w:t>
      </w:r>
      <w:r w:rsidRPr="00A82CB2">
        <w:rPr>
          <w:b w:val="0"/>
          <w:sz w:val="18"/>
          <w:szCs w:val="18"/>
          <w:vertAlign w:val="superscript"/>
        </w:rPr>
        <w:footnoteReference w:id="51"/>
      </w:r>
      <w:bookmarkEnd w:id="20"/>
    </w:p>
    <w:p w:rsidR="00BA0AD1" w:rsidRPr="00BA0AD1" w:rsidRDefault="00BA0AD1" w:rsidP="00BA0AD1">
      <w:pPr>
        <w:pStyle w:val="SingleTxtGR"/>
      </w:pPr>
      <w:r w:rsidRPr="00BA0AD1">
        <w:t>377.</w:t>
      </w:r>
      <w:r w:rsidRPr="00BA0AD1">
        <w:tab/>
        <w:t>Национальный секретариат по культуре (НСК) будучи органом, отвеча</w:t>
      </w:r>
      <w:r w:rsidRPr="00BA0AD1">
        <w:t>ю</w:t>
      </w:r>
      <w:r w:rsidRPr="00BA0AD1">
        <w:t>щим за проведение государственной политики в области культуры, внимательно следит за выступлениями и докладами Независимого эксперта по культурным правам. Секретариат, осознавая особую важность прав человека, обеспечивает применение подхода с позиций защиты этих прав при разработке, осуществл</w:t>
      </w:r>
      <w:r w:rsidRPr="00BA0AD1">
        <w:t>е</w:t>
      </w:r>
      <w:r w:rsidRPr="00BA0AD1">
        <w:t>нии и оценке политики страны в области культуры.</w:t>
      </w:r>
    </w:p>
    <w:p w:rsidR="00BA0AD1" w:rsidRPr="007D2776" w:rsidRDefault="00BA0AD1" w:rsidP="007D2776">
      <w:pPr>
        <w:pStyle w:val="H23GR"/>
      </w:pPr>
      <w:r w:rsidRPr="007D2776">
        <w:tab/>
        <w:t>1.</w:t>
      </w:r>
      <w:r w:rsidRPr="007D2776">
        <w:tab/>
        <w:t>Меры общего характера: корректировка правовых норм</w:t>
      </w:r>
    </w:p>
    <w:p w:rsidR="00BA0AD1" w:rsidRPr="00BA0AD1" w:rsidRDefault="00BA0AD1" w:rsidP="00BA0AD1">
      <w:pPr>
        <w:pStyle w:val="SingleTxtGR"/>
      </w:pPr>
      <w:r w:rsidRPr="00BA0AD1">
        <w:t>378.</w:t>
      </w:r>
      <w:r w:rsidRPr="00BA0AD1">
        <w:tab/>
        <w:t>В рамках выполнения обязательств, принятых государством в отношении статьи 15 Пакта, в 2006 году в Парагвае был принят Национальный закон №</w:t>
      </w:r>
      <w:r w:rsidR="00A82CB2">
        <w:t> </w:t>
      </w:r>
      <w:r w:rsidRPr="00BA0AD1">
        <w:t>3051 о культуре.</w:t>
      </w:r>
    </w:p>
    <w:p w:rsidR="00BA0AD1" w:rsidRPr="00BA0AD1" w:rsidRDefault="00BA0AD1" w:rsidP="00BA0AD1">
      <w:pPr>
        <w:pStyle w:val="SingleTxtGR"/>
      </w:pPr>
      <w:r w:rsidRPr="00BA0AD1">
        <w:t>379.</w:t>
      </w:r>
      <w:r w:rsidRPr="00BA0AD1">
        <w:tab/>
        <w:t xml:space="preserve">Учитывая </w:t>
      </w:r>
      <w:proofErr w:type="spellStart"/>
      <w:r w:rsidRPr="00BA0AD1">
        <w:t>многокультурность</w:t>
      </w:r>
      <w:proofErr w:type="spellEnd"/>
      <w:r w:rsidRPr="00BA0AD1">
        <w:t xml:space="preserve"> парагвайского государства, органы испо</w:t>
      </w:r>
      <w:r w:rsidRPr="00BA0AD1">
        <w:t>л</w:t>
      </w:r>
      <w:r w:rsidRPr="00BA0AD1">
        <w:t>нительной власти добились принятия в 2010 году Закона № 4251 о языках, к</w:t>
      </w:r>
      <w:r w:rsidRPr="00BA0AD1">
        <w:t>о</w:t>
      </w:r>
      <w:r w:rsidRPr="00BA0AD1">
        <w:t>торый призван содействовать развитию двух официальных языков страны и с</w:t>
      </w:r>
      <w:r w:rsidRPr="00BA0AD1">
        <w:t>о</w:t>
      </w:r>
      <w:r w:rsidRPr="00BA0AD1">
        <w:t xml:space="preserve">хранению культуры коренных народов. </w:t>
      </w:r>
    </w:p>
    <w:p w:rsidR="00BA0AD1" w:rsidRPr="007D2776" w:rsidRDefault="00BA0AD1" w:rsidP="007D2776">
      <w:pPr>
        <w:pStyle w:val="H23GR"/>
      </w:pPr>
      <w:r w:rsidRPr="007D2776">
        <w:tab/>
        <w:t>2.</w:t>
      </w:r>
      <w:r w:rsidRPr="007D2776">
        <w:tab/>
        <w:t>Политика в области культуры: совершенствование организационной структуры</w:t>
      </w:r>
    </w:p>
    <w:p w:rsidR="00BA0AD1" w:rsidRPr="00BA0AD1" w:rsidRDefault="00BA0AD1" w:rsidP="00BA0AD1">
      <w:pPr>
        <w:pStyle w:val="SingleTxtGR"/>
      </w:pPr>
      <w:r w:rsidRPr="00BA0AD1">
        <w:t>380.</w:t>
      </w:r>
      <w:r w:rsidRPr="00BA0AD1">
        <w:tab/>
        <w:t>В рамках выполнения обязательств парагвайского государства в сфере культуры и на основании Национального закона о культуре в структуре Канц</w:t>
      </w:r>
      <w:r w:rsidRPr="00BA0AD1">
        <w:t>е</w:t>
      </w:r>
      <w:r w:rsidRPr="00BA0AD1">
        <w:t>лярии президента Республики был создан Национальный секретариат по кул</w:t>
      </w:r>
      <w:r w:rsidRPr="00BA0AD1">
        <w:t>ь</w:t>
      </w:r>
      <w:r w:rsidRPr="00BA0AD1">
        <w:t xml:space="preserve">туре (НСК) </w:t>
      </w:r>
      <w:r w:rsidR="002B7B9B">
        <w:t>−</w:t>
      </w:r>
      <w:r w:rsidRPr="00BA0AD1">
        <w:t xml:space="preserve"> орган, наделенный министерскими полномочиями и осущест</w:t>
      </w:r>
      <w:r w:rsidRPr="00BA0AD1">
        <w:t>в</w:t>
      </w:r>
      <w:r w:rsidRPr="00BA0AD1">
        <w:t>ляющий руководство государственной политикой в этой области. Данный орган был создан 2007 году, а в 2008 году получил самостоятельный бюджет.</w:t>
      </w:r>
    </w:p>
    <w:p w:rsidR="00BA0AD1" w:rsidRPr="00BA0AD1" w:rsidRDefault="00BA0AD1" w:rsidP="00BA0AD1">
      <w:pPr>
        <w:pStyle w:val="SingleTxtGR"/>
      </w:pPr>
      <w:r w:rsidRPr="00BA0AD1">
        <w:t>381.</w:t>
      </w:r>
      <w:r w:rsidRPr="00BA0AD1">
        <w:tab/>
        <w:t>Национальным законом о культуре предусматривается создание Наци</w:t>
      </w:r>
      <w:r w:rsidRPr="00BA0AD1">
        <w:t>о</w:t>
      </w:r>
      <w:r w:rsidRPr="00BA0AD1">
        <w:t>нального комитета по культуре (НКК) как вспомогательного и консультативного органа при Национальном секретариате по культуре. В состав Комитета входят представители различных ведомств и организаций гражданского общества.</w:t>
      </w:r>
    </w:p>
    <w:p w:rsidR="00BA0AD1" w:rsidRPr="00BA0AD1" w:rsidRDefault="00BA0AD1" w:rsidP="00BA0AD1">
      <w:pPr>
        <w:pStyle w:val="SingleTxtGR"/>
      </w:pPr>
      <w:r w:rsidRPr="00BA0AD1">
        <w:t>382.</w:t>
      </w:r>
      <w:r w:rsidRPr="00BA0AD1">
        <w:tab/>
        <w:t>НКК в координации с НСК совместно занимались распространением и</w:t>
      </w:r>
      <w:r w:rsidRPr="00BA0AD1">
        <w:t>н</w:t>
      </w:r>
      <w:r w:rsidRPr="00BA0AD1">
        <w:t>формации относительно Национального закона № 3051 о культуре и подгото</w:t>
      </w:r>
      <w:r w:rsidRPr="00BA0AD1">
        <w:t>в</w:t>
      </w:r>
      <w:r w:rsidRPr="00BA0AD1">
        <w:t>кой организаций к работе в составе Национального комитета по культуре. Для</w:t>
      </w:r>
      <w:r w:rsidR="00A82CB2">
        <w:t> </w:t>
      </w:r>
      <w:r w:rsidRPr="00BA0AD1">
        <w:t xml:space="preserve">этого в центрах и в округах ряда департаментов страны </w:t>
      </w:r>
      <w:r w:rsidR="002B7B9B">
        <w:t>−</w:t>
      </w:r>
      <w:r w:rsidRPr="00BA0AD1">
        <w:t xml:space="preserve"> </w:t>
      </w:r>
      <w:proofErr w:type="spellStart"/>
      <w:r w:rsidRPr="00BA0AD1">
        <w:t>Ньембуку</w:t>
      </w:r>
      <w:proofErr w:type="spellEnd"/>
      <w:r w:rsidRPr="00BA0AD1">
        <w:t xml:space="preserve">, </w:t>
      </w:r>
      <w:proofErr w:type="spellStart"/>
      <w:r w:rsidRPr="00BA0AD1">
        <w:t>Пар</w:t>
      </w:r>
      <w:r w:rsidRPr="00BA0AD1">
        <w:t>а</w:t>
      </w:r>
      <w:r w:rsidRPr="00BA0AD1">
        <w:t>гуари</w:t>
      </w:r>
      <w:proofErr w:type="spellEnd"/>
      <w:r w:rsidRPr="00BA0AD1">
        <w:t xml:space="preserve">, </w:t>
      </w:r>
      <w:proofErr w:type="spellStart"/>
      <w:r w:rsidRPr="00BA0AD1">
        <w:t>Мисьонес</w:t>
      </w:r>
      <w:proofErr w:type="spellEnd"/>
      <w:r w:rsidRPr="00BA0AD1">
        <w:t xml:space="preserve">, </w:t>
      </w:r>
      <w:proofErr w:type="spellStart"/>
      <w:r w:rsidRPr="00BA0AD1">
        <w:t>Итапуа</w:t>
      </w:r>
      <w:proofErr w:type="spellEnd"/>
      <w:r w:rsidRPr="00BA0AD1">
        <w:t xml:space="preserve">, </w:t>
      </w:r>
      <w:proofErr w:type="spellStart"/>
      <w:r w:rsidRPr="00BA0AD1">
        <w:t>Альто-Парана</w:t>
      </w:r>
      <w:proofErr w:type="spellEnd"/>
      <w:r w:rsidRPr="00BA0AD1">
        <w:t xml:space="preserve"> и Центральном </w:t>
      </w:r>
      <w:r w:rsidR="002B7B9B">
        <w:t>−</w:t>
      </w:r>
      <w:r w:rsidRPr="00BA0AD1">
        <w:t xml:space="preserve"> проводились отра</w:t>
      </w:r>
      <w:r w:rsidRPr="00BA0AD1">
        <w:t>с</w:t>
      </w:r>
      <w:r w:rsidRPr="00BA0AD1">
        <w:t>левые технические совещания, форумы и мероприятия по подготовке форумов.</w:t>
      </w:r>
    </w:p>
    <w:p w:rsidR="00BA0AD1" w:rsidRPr="00BA0AD1" w:rsidRDefault="00BA0AD1" w:rsidP="00BA0AD1">
      <w:pPr>
        <w:pStyle w:val="SingleTxtGR"/>
      </w:pPr>
      <w:r w:rsidRPr="00BA0AD1">
        <w:t>383.</w:t>
      </w:r>
      <w:r w:rsidRPr="00BA0AD1">
        <w:tab/>
        <w:t>Сложности организационного и политического характера возникают в связи с недостаточным учетом положений Национального закона о культуре. Создание НСК как органа, руководящего осуществлением государственной п</w:t>
      </w:r>
      <w:r w:rsidRPr="00BA0AD1">
        <w:t>о</w:t>
      </w:r>
      <w:r w:rsidRPr="00BA0AD1">
        <w:t xml:space="preserve">литики в этой области, влечет за собой дублирование функций МОК </w:t>
      </w:r>
      <w:r w:rsidR="002B7B9B">
        <w:t>−</w:t>
      </w:r>
      <w:r w:rsidRPr="00BA0AD1">
        <w:t xml:space="preserve"> органа, в название которого входит термин "культура", на котором лежит ответственность за проведение отраслевой политики, в структуре которого действует Наци</w:t>
      </w:r>
      <w:r w:rsidRPr="00BA0AD1">
        <w:t>о</w:t>
      </w:r>
      <w:r w:rsidRPr="00BA0AD1">
        <w:t>нальная комиссия по связям с ЮНЕСКО, а также реализуются программы, к</w:t>
      </w:r>
      <w:r w:rsidRPr="00BA0AD1">
        <w:t>о</w:t>
      </w:r>
      <w:r w:rsidRPr="00BA0AD1">
        <w:t>торые могли бы повысить эффективность деятельности НСК как органа, в</w:t>
      </w:r>
      <w:r w:rsidRPr="00BA0AD1">
        <w:t>е</w:t>
      </w:r>
      <w:r w:rsidRPr="00BA0AD1">
        <w:t xml:space="preserve">дающего осуществлением и координацией соответствующих Конвенций. </w:t>
      </w:r>
    </w:p>
    <w:p w:rsidR="00BA0AD1" w:rsidRPr="007D2776" w:rsidRDefault="00BA0AD1" w:rsidP="007D2776">
      <w:pPr>
        <w:pStyle w:val="H23GR"/>
      </w:pPr>
      <w:r w:rsidRPr="007D2776">
        <w:tab/>
        <w:t>3.</w:t>
      </w:r>
      <w:r w:rsidRPr="007D2776">
        <w:tab/>
        <w:t>Сбор данных</w:t>
      </w:r>
    </w:p>
    <w:p w:rsidR="00BA0AD1" w:rsidRPr="00BA0AD1" w:rsidRDefault="00BA0AD1" w:rsidP="00BA0AD1">
      <w:pPr>
        <w:pStyle w:val="SingleTxtGR"/>
      </w:pPr>
      <w:r w:rsidRPr="00BA0AD1">
        <w:t>384.</w:t>
      </w:r>
      <w:r w:rsidRPr="00BA0AD1">
        <w:tab/>
        <w:t>В рамках выявления, инвентаризации и учета национального культурного наследия НСК удалось ввести в действие Систему документального учета об</w:t>
      </w:r>
      <w:r w:rsidRPr="00BA0AD1">
        <w:t>ъ</w:t>
      </w:r>
      <w:r w:rsidRPr="00BA0AD1">
        <w:t>ектов культурного наследия, привести в порядок Библиотеку культурного н</w:t>
      </w:r>
      <w:r w:rsidRPr="00BA0AD1">
        <w:t>а</w:t>
      </w:r>
      <w:r w:rsidRPr="00BA0AD1">
        <w:t>следия и разработать Бланк национального учета. Идет пополнение фонда об</w:t>
      </w:r>
      <w:r w:rsidRPr="00BA0AD1">
        <w:t>ъ</w:t>
      </w:r>
      <w:r w:rsidRPr="00BA0AD1">
        <w:t>ектов культурно-исторического наследия. Создана база данных о ввозе в страну и вывозе из нее культурных ценностей за период с 2000 по 2009 год, включа</w:t>
      </w:r>
      <w:r w:rsidRPr="00BA0AD1">
        <w:t>ю</w:t>
      </w:r>
      <w:r w:rsidRPr="00BA0AD1">
        <w:t>щая три основные категории таких ценностей: печатную продукцию, аудиов</w:t>
      </w:r>
      <w:r w:rsidRPr="00BA0AD1">
        <w:t>и</w:t>
      </w:r>
      <w:r w:rsidRPr="00BA0AD1">
        <w:t>зуальную продукцию и звукозаписи.</w:t>
      </w:r>
    </w:p>
    <w:p w:rsidR="00BA0AD1" w:rsidRPr="007D2776" w:rsidRDefault="00BA0AD1" w:rsidP="007D2776">
      <w:pPr>
        <w:pStyle w:val="H23GR"/>
      </w:pPr>
      <w:r w:rsidRPr="007D2776">
        <w:tab/>
        <w:t>4.</w:t>
      </w:r>
      <w:r w:rsidRPr="007D2776">
        <w:tab/>
        <w:t>Бюджетные ассигнования</w:t>
      </w:r>
    </w:p>
    <w:p w:rsidR="00BA0AD1" w:rsidRPr="00BA0AD1" w:rsidRDefault="00BA0AD1" w:rsidP="00BA0AD1">
      <w:pPr>
        <w:pStyle w:val="SingleTxtGR"/>
      </w:pPr>
      <w:r w:rsidRPr="00BA0AD1">
        <w:t>385.</w:t>
      </w:r>
      <w:r w:rsidRPr="00BA0AD1">
        <w:tab/>
        <w:t>Три года назад (в 2008 году) НСК был вновь созданным ведомством, ра</w:t>
      </w:r>
      <w:r w:rsidRPr="00BA0AD1">
        <w:t>с</w:t>
      </w:r>
      <w:r w:rsidRPr="00BA0AD1">
        <w:t>полагавшим лишь весьма небольшими средствами для работы и сотрудниками, не имевшими достаточной подготовки для осуществления политики и программ в соответствии с требованиями Национального закона о культуре. Больше ф</w:t>
      </w:r>
      <w:r w:rsidRPr="00BA0AD1">
        <w:t>и</w:t>
      </w:r>
      <w:r w:rsidRPr="00BA0AD1">
        <w:t>нансовых средств требуется ему и сегодня, однако серьезных успехов удалось достичь в том, что касается получения финансирования со стороны государс</w:t>
      </w:r>
      <w:r w:rsidRPr="00BA0AD1">
        <w:t>т</w:t>
      </w:r>
      <w:r w:rsidRPr="00BA0AD1">
        <w:t xml:space="preserve">ва, организаций международного сотрудничества и </w:t>
      </w:r>
      <w:proofErr w:type="spellStart"/>
      <w:r w:rsidRPr="00BA0AD1">
        <w:t>бинациональных</w:t>
      </w:r>
      <w:proofErr w:type="spellEnd"/>
      <w:r w:rsidRPr="00BA0AD1">
        <w:t xml:space="preserve"> организ</w:t>
      </w:r>
      <w:r w:rsidRPr="00BA0AD1">
        <w:t>а</w:t>
      </w:r>
      <w:r w:rsidRPr="00BA0AD1">
        <w:t>ций "</w:t>
      </w:r>
      <w:proofErr w:type="spellStart"/>
      <w:r w:rsidRPr="00BA0AD1">
        <w:t>Итаипу</w:t>
      </w:r>
      <w:proofErr w:type="spellEnd"/>
      <w:r w:rsidRPr="00BA0AD1">
        <w:t>" и "</w:t>
      </w:r>
      <w:proofErr w:type="spellStart"/>
      <w:r w:rsidRPr="00BA0AD1">
        <w:t>Ясирета</w:t>
      </w:r>
      <w:proofErr w:type="spellEnd"/>
      <w:r w:rsidRPr="00BA0AD1">
        <w:t>", которые предоставляют средства на проведение с</w:t>
      </w:r>
      <w:r w:rsidRPr="00BA0AD1">
        <w:t>о</w:t>
      </w:r>
      <w:r w:rsidRPr="00BA0AD1">
        <w:t>циальных и культурных мероприятий.</w:t>
      </w:r>
    </w:p>
    <w:p w:rsidR="00BA0AD1" w:rsidRPr="00BA0AD1" w:rsidRDefault="00BA0AD1" w:rsidP="00BA0AD1">
      <w:pPr>
        <w:pStyle w:val="SingleTxtGR"/>
      </w:pPr>
      <w:r w:rsidRPr="00BA0AD1">
        <w:t>386.</w:t>
      </w:r>
      <w:r w:rsidRPr="00BA0AD1">
        <w:tab/>
        <w:t>Данные о бюджете Национального секретариата по культуре за 2008</w:t>
      </w:r>
      <w:r w:rsidR="002B7B9B">
        <w:t>−</w:t>
      </w:r>
      <w:r w:rsidRPr="00BA0AD1">
        <w:t>2011 годы: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2457"/>
        <w:gridCol w:w="2456"/>
        <w:gridCol w:w="2457"/>
      </w:tblGrid>
      <w:tr w:rsidR="00BA0AD1" w:rsidRPr="00A82CB2" w:rsidTr="00A82CB2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tcBorders>
              <w:bottom w:val="single" w:sz="12" w:space="0" w:color="auto"/>
            </w:tcBorders>
            <w:shd w:val="clear" w:color="auto" w:fill="auto"/>
          </w:tcPr>
          <w:p w:rsidR="00BA0AD1" w:rsidRPr="00A82CB2" w:rsidRDefault="00BA0AD1" w:rsidP="00A82CB2">
            <w:pPr>
              <w:spacing w:before="80" w:after="80" w:line="200" w:lineRule="exact"/>
              <w:rPr>
                <w:i/>
                <w:sz w:val="16"/>
              </w:rPr>
            </w:pPr>
            <w:r w:rsidRPr="00A82CB2">
              <w:rPr>
                <w:i/>
                <w:sz w:val="16"/>
              </w:rPr>
              <w:t>Год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0AD1" w:rsidRPr="00A82CB2" w:rsidRDefault="00BA0AD1" w:rsidP="00A82CB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proofErr w:type="spellStart"/>
            <w:r w:rsidRPr="00A82CB2">
              <w:rPr>
                <w:i/>
                <w:sz w:val="16"/>
              </w:rPr>
              <w:t>Гуарани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0AD1" w:rsidRPr="00A82CB2" w:rsidRDefault="00BA0AD1" w:rsidP="00A82CB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82CB2">
              <w:rPr>
                <w:i/>
                <w:sz w:val="16"/>
              </w:rPr>
              <w:t>Долл. США</w:t>
            </w:r>
          </w:p>
        </w:tc>
      </w:tr>
      <w:tr w:rsidR="00BA0AD1" w:rsidRPr="00A82CB2" w:rsidTr="00A82CB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tcBorders>
              <w:top w:val="single" w:sz="12" w:space="0" w:color="auto"/>
            </w:tcBorders>
          </w:tcPr>
          <w:p w:rsidR="00BA0AD1" w:rsidRPr="00A82CB2" w:rsidRDefault="00BA0AD1" w:rsidP="00A82CB2">
            <w:r w:rsidRPr="00A82CB2">
              <w:t>2008</w:t>
            </w:r>
          </w:p>
        </w:tc>
        <w:tc>
          <w:tcPr>
            <w:tcW w:w="2456" w:type="dxa"/>
            <w:tcBorders>
              <w:top w:val="single" w:sz="12" w:space="0" w:color="auto"/>
            </w:tcBorders>
          </w:tcPr>
          <w:p w:rsidR="00BA0AD1" w:rsidRPr="00A82CB2" w:rsidRDefault="00BA0AD1" w:rsidP="00A82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CB2">
              <w:t xml:space="preserve">10 588 238 536                 </w:t>
            </w:r>
          </w:p>
        </w:tc>
        <w:tc>
          <w:tcPr>
            <w:tcW w:w="2457" w:type="dxa"/>
            <w:tcBorders>
              <w:top w:val="single" w:sz="12" w:space="0" w:color="auto"/>
            </w:tcBorders>
          </w:tcPr>
          <w:p w:rsidR="00BA0AD1" w:rsidRPr="00A82CB2" w:rsidRDefault="00BA0AD1" w:rsidP="00A82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CB2">
              <w:t>2 647 059</w:t>
            </w:r>
          </w:p>
        </w:tc>
      </w:tr>
      <w:tr w:rsidR="00BA0AD1" w:rsidRPr="00A82CB2" w:rsidTr="00A82CB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BA0AD1" w:rsidRPr="00A82CB2" w:rsidRDefault="00BA0AD1" w:rsidP="00A82CB2">
            <w:r w:rsidRPr="00A82CB2">
              <w:t xml:space="preserve">2009  </w:t>
            </w:r>
          </w:p>
        </w:tc>
        <w:tc>
          <w:tcPr>
            <w:tcW w:w="2456" w:type="dxa"/>
          </w:tcPr>
          <w:p w:rsidR="00BA0AD1" w:rsidRPr="00A82CB2" w:rsidRDefault="00BA0AD1" w:rsidP="00A82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CB2">
              <w:t xml:space="preserve">12 389 143 868                 </w:t>
            </w:r>
          </w:p>
        </w:tc>
        <w:tc>
          <w:tcPr>
            <w:tcW w:w="2457" w:type="dxa"/>
          </w:tcPr>
          <w:p w:rsidR="00BA0AD1" w:rsidRPr="00A82CB2" w:rsidRDefault="00BA0AD1" w:rsidP="00A82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CB2">
              <w:t>3 097 285</w:t>
            </w:r>
          </w:p>
        </w:tc>
      </w:tr>
      <w:tr w:rsidR="00BA0AD1" w:rsidRPr="00A82CB2" w:rsidTr="00A82CB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BA0AD1" w:rsidRPr="00A82CB2" w:rsidRDefault="00BA0AD1" w:rsidP="00A82CB2">
            <w:r w:rsidRPr="00A82CB2">
              <w:t>2010</w:t>
            </w:r>
          </w:p>
        </w:tc>
        <w:tc>
          <w:tcPr>
            <w:tcW w:w="2456" w:type="dxa"/>
          </w:tcPr>
          <w:p w:rsidR="00BA0AD1" w:rsidRPr="00A82CB2" w:rsidRDefault="00BA0AD1" w:rsidP="00A82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CB2">
              <w:t>15 543 969 018</w:t>
            </w:r>
          </w:p>
        </w:tc>
        <w:tc>
          <w:tcPr>
            <w:tcW w:w="2457" w:type="dxa"/>
          </w:tcPr>
          <w:p w:rsidR="00BA0AD1" w:rsidRPr="00A82CB2" w:rsidRDefault="00BA0AD1" w:rsidP="00A82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CB2">
              <w:t>3 885 992</w:t>
            </w:r>
          </w:p>
        </w:tc>
      </w:tr>
      <w:tr w:rsidR="00BA0AD1" w:rsidRPr="00A82CB2" w:rsidTr="00A82CB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BA0AD1" w:rsidRPr="00A82CB2" w:rsidRDefault="00BA0AD1" w:rsidP="00A82CB2">
            <w:r w:rsidRPr="00A82CB2">
              <w:t>2011*</w:t>
            </w:r>
          </w:p>
        </w:tc>
        <w:tc>
          <w:tcPr>
            <w:tcW w:w="2456" w:type="dxa"/>
          </w:tcPr>
          <w:p w:rsidR="00BA0AD1" w:rsidRPr="00A82CB2" w:rsidRDefault="00BA0AD1" w:rsidP="00A82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CB2">
              <w:t xml:space="preserve">18 014 730 173                 </w:t>
            </w:r>
          </w:p>
        </w:tc>
        <w:tc>
          <w:tcPr>
            <w:tcW w:w="2457" w:type="dxa"/>
          </w:tcPr>
          <w:p w:rsidR="00BA0AD1" w:rsidRPr="00A82CB2" w:rsidRDefault="00BA0AD1" w:rsidP="00A82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CB2">
              <w:t xml:space="preserve">4 503 682     </w:t>
            </w:r>
          </w:p>
        </w:tc>
      </w:tr>
    </w:tbl>
    <w:p w:rsidR="00BA0AD1" w:rsidRPr="00A82CB2" w:rsidRDefault="00BA0AD1" w:rsidP="00A82CB2">
      <w:pPr>
        <w:pStyle w:val="SingleTxtGR"/>
        <w:suppressAutoHyphens/>
        <w:spacing w:before="120"/>
        <w:ind w:left="1440" w:hanging="181"/>
        <w:jc w:val="left"/>
        <w:rPr>
          <w:sz w:val="18"/>
          <w:szCs w:val="18"/>
        </w:rPr>
      </w:pPr>
      <w:r w:rsidRPr="00A82CB2">
        <w:rPr>
          <w:sz w:val="18"/>
          <w:szCs w:val="18"/>
        </w:rPr>
        <w:t>*</w:t>
      </w:r>
      <w:r w:rsidR="00A82CB2">
        <w:rPr>
          <w:sz w:val="18"/>
          <w:szCs w:val="18"/>
        </w:rPr>
        <w:tab/>
      </w:r>
      <w:r w:rsidRPr="00A82CB2">
        <w:rPr>
          <w:sz w:val="18"/>
          <w:szCs w:val="18"/>
        </w:rPr>
        <w:t>Примечание: В данных за 2011 год не учитываются средства, предоставленные Фондами двухсотлетия.</w:t>
      </w:r>
    </w:p>
    <w:p w:rsidR="00BA0AD1" w:rsidRPr="00BA0AD1" w:rsidRDefault="00BA0AD1" w:rsidP="00BA0AD1">
      <w:pPr>
        <w:pStyle w:val="SingleTxtGR"/>
      </w:pPr>
      <w:r w:rsidRPr="00BA0AD1">
        <w:t>387.</w:t>
      </w:r>
      <w:r w:rsidRPr="00BA0AD1">
        <w:tab/>
        <w:t>Эти суммы включают и средства, предоставленные в рамках междун</w:t>
      </w:r>
      <w:r w:rsidRPr="00BA0AD1">
        <w:t>а</w:t>
      </w:r>
      <w:r w:rsidRPr="00BA0AD1">
        <w:t>родного сотрудничества непосредственно на цели наращивания институци</w:t>
      </w:r>
      <w:r w:rsidRPr="00BA0AD1">
        <w:t>о</w:t>
      </w:r>
      <w:r w:rsidRPr="00BA0AD1">
        <w:t>нального потенциала Испанией (ИАМСИР), Тайванем и Гарвардским универс</w:t>
      </w:r>
      <w:r w:rsidRPr="00BA0AD1">
        <w:t>и</w:t>
      </w:r>
      <w:r w:rsidRPr="00BA0AD1">
        <w:t>тетом (на перевод в цифровой формат материалов Гражданского и юридическ</w:t>
      </w:r>
      <w:r w:rsidRPr="00BA0AD1">
        <w:t>о</w:t>
      </w:r>
      <w:r w:rsidRPr="00BA0AD1">
        <w:t>го отдела Национального архива Асунсьона в рамках программы "Латиноам</w:t>
      </w:r>
      <w:r w:rsidRPr="00BA0AD1">
        <w:t>е</w:t>
      </w:r>
      <w:r w:rsidRPr="00BA0AD1">
        <w:t>риканские библиотеки и архивы").</w:t>
      </w:r>
    </w:p>
    <w:p w:rsidR="00BA0AD1" w:rsidRPr="00BA0AD1" w:rsidRDefault="00BA0AD1" w:rsidP="00BA0AD1">
      <w:pPr>
        <w:pStyle w:val="SingleTxtGR"/>
      </w:pPr>
      <w:r w:rsidRPr="00BA0AD1">
        <w:t>388.</w:t>
      </w:r>
      <w:r w:rsidRPr="00BA0AD1">
        <w:tab/>
        <w:t>В 2011 году НСК взял на себя основную работу по подготовке к праздн</w:t>
      </w:r>
      <w:r w:rsidRPr="00BA0AD1">
        <w:t>о</w:t>
      </w:r>
      <w:r w:rsidRPr="00BA0AD1">
        <w:t>ванию двухсотлетия независимости Парагвая, получив на эти цели 11 млн. 321 тыс. долл. США. Подготовкой и организацией основных мероприятий Се</w:t>
      </w:r>
      <w:r w:rsidRPr="00BA0AD1">
        <w:t>к</w:t>
      </w:r>
      <w:r w:rsidRPr="00BA0AD1">
        <w:t>ретариат занимался совместно с парламентским фондом КАБИЛЬДО.</w:t>
      </w:r>
    </w:p>
    <w:p w:rsidR="00BA0AD1" w:rsidRPr="00BA0AD1" w:rsidRDefault="00BA0AD1" w:rsidP="00BA0AD1">
      <w:pPr>
        <w:pStyle w:val="SingleTxtGR"/>
      </w:pPr>
      <w:r w:rsidRPr="00BA0AD1">
        <w:t>389.</w:t>
      </w:r>
      <w:r w:rsidRPr="00BA0AD1">
        <w:tab/>
        <w:t>Проведение политики в области культуры по-прежнему сопряжено со значительными трудностями в силу недостаточности необходимой материал</w:t>
      </w:r>
      <w:r w:rsidRPr="00BA0AD1">
        <w:t>ь</w:t>
      </w:r>
      <w:r w:rsidRPr="00BA0AD1">
        <w:t>ной базы. В 2008 году действовало два административных управления НСК (оба располагались в арендуемых помещениях), а в настоящее время их пять, но этого недостаточно, тем более что все они находятся в столице страны Асунс</w:t>
      </w:r>
      <w:r w:rsidRPr="00BA0AD1">
        <w:t>ь</w:t>
      </w:r>
      <w:r w:rsidRPr="00BA0AD1">
        <w:t>оне. Хотя в 2008 году транспортных средств в распоряжении Секретариата не было, а сейчас имеется пять, их, как и специального профессионального обор</w:t>
      </w:r>
      <w:r w:rsidRPr="00BA0AD1">
        <w:t>у</w:t>
      </w:r>
      <w:r w:rsidRPr="00BA0AD1">
        <w:t>дования, не хватает.</w:t>
      </w:r>
    </w:p>
    <w:p w:rsidR="00BA0AD1" w:rsidRPr="00BA0AD1" w:rsidRDefault="00BA0AD1" w:rsidP="00BA0AD1">
      <w:pPr>
        <w:pStyle w:val="SingleTxtGR"/>
      </w:pPr>
      <w:r w:rsidRPr="00BA0AD1">
        <w:t>390.</w:t>
      </w:r>
      <w:r w:rsidRPr="00BA0AD1">
        <w:tab/>
        <w:t>Вопросами культуры в стране занимаются и другие ведомства, в том чи</w:t>
      </w:r>
      <w:r w:rsidRPr="00BA0AD1">
        <w:t>с</w:t>
      </w:r>
      <w:r w:rsidRPr="00BA0AD1">
        <w:t>ле МОК и Парламентский фонд образования и культуры (ФОНДЕК). Эти в</w:t>
      </w:r>
      <w:r w:rsidRPr="00BA0AD1">
        <w:t>е</w:t>
      </w:r>
      <w:r w:rsidRPr="00BA0AD1">
        <w:t>домства решают важные задачи и вкладывают значительные финансовые сре</w:t>
      </w:r>
      <w:r w:rsidRPr="00BA0AD1">
        <w:t>д</w:t>
      </w:r>
      <w:r w:rsidRPr="00BA0AD1">
        <w:t>ства в сферу культуры.</w:t>
      </w:r>
    </w:p>
    <w:p w:rsidR="00BA0AD1" w:rsidRPr="00BA0AD1" w:rsidRDefault="00BA0AD1" w:rsidP="00BA0AD1">
      <w:pPr>
        <w:pStyle w:val="SingleTxtGR"/>
      </w:pPr>
      <w:r w:rsidRPr="00BA0AD1">
        <w:t>391.</w:t>
      </w:r>
      <w:r w:rsidRPr="00BA0AD1">
        <w:tab/>
        <w:t>В структуре муниципальных и департаментских органов власти фун</w:t>
      </w:r>
      <w:r w:rsidRPr="00BA0AD1">
        <w:t>к</w:t>
      </w:r>
      <w:r w:rsidRPr="00BA0AD1">
        <w:t>ционируют отделы или управления культуры. НСК выступает инициатором подписания с этими местными органами власти соглашений, имея в виду со</w:t>
      </w:r>
      <w:r w:rsidRPr="00BA0AD1">
        <w:t>з</w:t>
      </w:r>
      <w:r w:rsidRPr="00BA0AD1">
        <w:t>дание Национальной системы поддержки культуры.</w:t>
      </w:r>
    </w:p>
    <w:p w:rsidR="00BA0AD1" w:rsidRPr="00BA0AD1" w:rsidRDefault="00BA0AD1" w:rsidP="00BA0AD1">
      <w:pPr>
        <w:pStyle w:val="SingleTxtGR"/>
      </w:pPr>
      <w:r w:rsidRPr="00BA0AD1">
        <w:t>392.</w:t>
      </w:r>
      <w:r w:rsidRPr="00BA0AD1">
        <w:tab/>
        <w:t>Вследствие отсутствия или недостаточности системы социального стр</w:t>
      </w:r>
      <w:r w:rsidRPr="00BA0AD1">
        <w:t>а</w:t>
      </w:r>
      <w:r w:rsidRPr="00BA0AD1">
        <w:t>хования работников искусства распространена практика предоставления им з</w:t>
      </w:r>
      <w:r w:rsidRPr="00BA0AD1">
        <w:t>а</w:t>
      </w:r>
      <w:r w:rsidRPr="00BA0AD1">
        <w:t>конодательной властью почетных пенсий. Подобная паллиативная мера не обеспечивает осуществления права артистов на социальное обеспечение.</w:t>
      </w:r>
    </w:p>
    <w:p w:rsidR="00BA0AD1" w:rsidRPr="00BA0AD1" w:rsidRDefault="00BA0AD1" w:rsidP="00BA0AD1">
      <w:pPr>
        <w:pStyle w:val="SingleTxtGR"/>
      </w:pPr>
      <w:r w:rsidRPr="00BA0AD1">
        <w:t>393.</w:t>
      </w:r>
      <w:r w:rsidRPr="00BA0AD1">
        <w:tab/>
        <w:t>Техническое и финансовое содействие в проведении политики в сфере культуры оказывали Испанское агентство по международному сотрудничеству в интересах развития, Тайвань, Корейское агентство по международному сотру</w:t>
      </w:r>
      <w:r w:rsidRPr="00BA0AD1">
        <w:t>д</w:t>
      </w:r>
      <w:r w:rsidRPr="00BA0AD1">
        <w:t xml:space="preserve">ничеству, Японское агентство по международному сотрудничеству, Институт латиноамериканских исследований (ИЛАИ), ЮНЕСКО, ОАГ, Организация </w:t>
      </w:r>
      <w:proofErr w:type="spellStart"/>
      <w:r w:rsidRPr="00BA0AD1">
        <w:t>иб</w:t>
      </w:r>
      <w:r w:rsidRPr="00BA0AD1">
        <w:t>е</w:t>
      </w:r>
      <w:r w:rsidRPr="00BA0AD1">
        <w:t>роамериканских</w:t>
      </w:r>
      <w:proofErr w:type="spellEnd"/>
      <w:r w:rsidRPr="00BA0AD1">
        <w:t xml:space="preserve"> государств (ОИАГ).</w:t>
      </w:r>
    </w:p>
    <w:p w:rsidR="00BA0AD1" w:rsidRPr="007D2776" w:rsidRDefault="00BA0AD1" w:rsidP="007D2776">
      <w:pPr>
        <w:pStyle w:val="H23GR"/>
      </w:pPr>
      <w:r w:rsidRPr="007D2776">
        <w:tab/>
        <w:t>5.</w:t>
      </w:r>
      <w:r w:rsidRPr="007D2776">
        <w:tab/>
        <w:t xml:space="preserve">Региональная и международная координация </w:t>
      </w:r>
    </w:p>
    <w:p w:rsidR="00BA0AD1" w:rsidRPr="00BA0AD1" w:rsidRDefault="00BA0AD1" w:rsidP="00BA0AD1">
      <w:pPr>
        <w:pStyle w:val="SingleTxtGR"/>
      </w:pPr>
      <w:r w:rsidRPr="00BA0AD1">
        <w:t>394.</w:t>
      </w:r>
      <w:r w:rsidRPr="00BA0AD1">
        <w:tab/>
        <w:t>Участие НСК в международной деятельности осуществляется по трем направлениям: a) политическому, где Секретариат сотрудничает с тремя орган</w:t>
      </w:r>
      <w:r w:rsidRPr="00BA0AD1">
        <w:t>и</w:t>
      </w:r>
      <w:r w:rsidRPr="00BA0AD1">
        <w:t xml:space="preserve">зациями </w:t>
      </w:r>
      <w:r w:rsidR="002B7B9B">
        <w:t>−</w:t>
      </w:r>
      <w:r w:rsidRPr="00BA0AD1">
        <w:t xml:space="preserve"> ОАГ, Форумом министров культуры и уполномоченных по политике в сфере культуры стран Латинской Америки и Карибского бассейна (АРПА): b)</w:t>
      </w:r>
      <w:r w:rsidR="00A82CB2">
        <w:t> </w:t>
      </w:r>
      <w:r w:rsidRPr="00BA0AD1">
        <w:t xml:space="preserve">техническому </w:t>
      </w:r>
      <w:r w:rsidR="002B7B9B">
        <w:t>−</w:t>
      </w:r>
      <w:r w:rsidRPr="00BA0AD1">
        <w:t xml:space="preserve"> здесь Секретариат сотрудничает с шестью организациями </w:t>
      </w:r>
      <w:r w:rsidR="002B7B9B">
        <w:t>−</w:t>
      </w:r>
      <w:r w:rsidRPr="00BA0AD1">
        <w:t xml:space="preserve"> Региональным центром по охране нематериального культурного наследия Л</w:t>
      </w:r>
      <w:r w:rsidRPr="00BA0AD1">
        <w:t>а</w:t>
      </w:r>
      <w:r w:rsidRPr="00BA0AD1">
        <w:t xml:space="preserve">тинской Америки (КРЕСПИАЛ), Региональным центром содействия развитию книжного дела в Латинской Америке и Карибском бассейне (СЕРЛАЛК), ИЛАИ, ЮНЕСКО, </w:t>
      </w:r>
      <w:proofErr w:type="spellStart"/>
      <w:r w:rsidRPr="00BA0AD1">
        <w:t>Ибероамериканским</w:t>
      </w:r>
      <w:proofErr w:type="spellEnd"/>
      <w:r w:rsidRPr="00BA0AD1">
        <w:t xml:space="preserve"> университетским фондом, Гарвардским университетом; с) смешанному (политическому и техническому), где имеет м</w:t>
      </w:r>
      <w:r w:rsidRPr="00BA0AD1">
        <w:t>е</w:t>
      </w:r>
      <w:r w:rsidRPr="00BA0AD1">
        <w:t xml:space="preserve">сто сотрудничество с пятью организациями </w:t>
      </w:r>
      <w:r w:rsidR="002B7B9B">
        <w:t>−</w:t>
      </w:r>
      <w:r w:rsidRPr="00BA0AD1">
        <w:t xml:space="preserve"> культурным отделом МЕРКОСУР, культурным отделом </w:t>
      </w:r>
      <w:proofErr w:type="spellStart"/>
      <w:r w:rsidRPr="00BA0AD1">
        <w:t>Боливарианского</w:t>
      </w:r>
      <w:proofErr w:type="spellEnd"/>
      <w:r w:rsidRPr="00BA0AD1">
        <w:t xml:space="preserve"> альянса для народов нашей Америки (АЛБА), Союзом южноамериканских наций (УНАСУР), Ассоциация наци</w:t>
      </w:r>
      <w:r w:rsidRPr="00BA0AD1">
        <w:t>о</w:t>
      </w:r>
      <w:r w:rsidRPr="00BA0AD1">
        <w:t xml:space="preserve">нальных библиотек </w:t>
      </w:r>
      <w:proofErr w:type="spellStart"/>
      <w:r w:rsidRPr="00BA0AD1">
        <w:t>ибероамериканских</w:t>
      </w:r>
      <w:proofErr w:type="spellEnd"/>
      <w:r w:rsidRPr="00BA0AD1">
        <w:t xml:space="preserve"> государств (АБИНИА), ОИАГ. В общей сложности Секретариат сотрудничает с 14 международными организациями.</w:t>
      </w:r>
    </w:p>
    <w:p w:rsidR="00BA0AD1" w:rsidRPr="007D2776" w:rsidRDefault="00BA0AD1" w:rsidP="007D2776">
      <w:pPr>
        <w:pStyle w:val="H23GR"/>
      </w:pPr>
      <w:r w:rsidRPr="007D2776">
        <w:tab/>
        <w:t>6.</w:t>
      </w:r>
      <w:r w:rsidRPr="007D2776">
        <w:tab/>
        <w:t xml:space="preserve">Независимое национальное учреждение по защите прав человека </w:t>
      </w:r>
    </w:p>
    <w:p w:rsidR="00BA0AD1" w:rsidRPr="00BA0AD1" w:rsidRDefault="00BA0AD1" w:rsidP="00BA0AD1">
      <w:pPr>
        <w:pStyle w:val="SingleTxtGR"/>
      </w:pPr>
      <w:r w:rsidRPr="00BA0AD1">
        <w:t>395.</w:t>
      </w:r>
      <w:r w:rsidRPr="00BA0AD1">
        <w:tab/>
        <w:t>В Парагвае функционирует Управление уполномоченного по правам ч</w:t>
      </w:r>
      <w:r w:rsidRPr="00BA0AD1">
        <w:t>е</w:t>
      </w:r>
      <w:r w:rsidRPr="00BA0AD1">
        <w:t xml:space="preserve">ловека (УУПЧ) </w:t>
      </w:r>
      <w:r w:rsidR="002B7B9B">
        <w:t>−</w:t>
      </w:r>
      <w:r w:rsidRPr="00BA0AD1">
        <w:t xml:space="preserve"> учреждение, созданное в соответствии с Конституцией и ос</w:t>
      </w:r>
      <w:r w:rsidRPr="00BA0AD1">
        <w:t>у</w:t>
      </w:r>
      <w:r w:rsidRPr="00BA0AD1">
        <w:t>ществляющее мониторинг соблюдения прав человека. Вместе с тем это учре</w:t>
      </w:r>
      <w:r w:rsidRPr="00BA0AD1">
        <w:t>ж</w:t>
      </w:r>
      <w:r w:rsidRPr="00BA0AD1">
        <w:t>дение не имеет достаточного технического опыта для защиты прав человека в сфере культуры. Защита культуры как права человека является той проблемой, решение которой должно быть официально возложено на УУПЧ.</w:t>
      </w:r>
    </w:p>
    <w:p w:rsidR="00BA0AD1" w:rsidRPr="00BA0AD1" w:rsidRDefault="00BA0AD1" w:rsidP="00BA0AD1">
      <w:pPr>
        <w:pStyle w:val="SingleTxtGR"/>
      </w:pPr>
      <w:r w:rsidRPr="00BA0AD1">
        <w:t>396.</w:t>
      </w:r>
      <w:r w:rsidRPr="00BA0AD1">
        <w:tab/>
        <w:t>Комиссия по установлению истины, справедливости и возмещению ущерба (КУИСВУ), действующая в структуре УУПЧ, создала Межведомстве</w:t>
      </w:r>
      <w:r w:rsidRPr="00BA0AD1">
        <w:t>н</w:t>
      </w:r>
      <w:r w:rsidRPr="00BA0AD1">
        <w:t>ную сеть исторических и памятных мест, в деятельности которой также прин</w:t>
      </w:r>
      <w:r w:rsidRPr="00BA0AD1">
        <w:t>и</w:t>
      </w:r>
      <w:r w:rsidRPr="00BA0AD1">
        <w:t>мает участие НСК.</w:t>
      </w:r>
    </w:p>
    <w:p w:rsidR="00BA0AD1" w:rsidRPr="00BA0AD1" w:rsidRDefault="00BA0AD1" w:rsidP="00BA0AD1">
      <w:pPr>
        <w:pStyle w:val="SingleTxtGR"/>
      </w:pPr>
      <w:r w:rsidRPr="00BA0AD1">
        <w:t>397.</w:t>
      </w:r>
      <w:r w:rsidRPr="00BA0AD1">
        <w:tab/>
        <w:t>Был определен круг решений, вынесенных Межамериканским судом по правам человека (МСПЧ) в отношении парагвайского государства и связанных со сферой культуры, в том числе касающихся памятников, площадей, системы указателей, расследований, распространения информации, сохранения памяти о жертвах диктатуры и др. Кроме того, НСК входит в состав Национальной гру</w:t>
      </w:r>
      <w:r w:rsidRPr="00BA0AD1">
        <w:t>п</w:t>
      </w:r>
      <w:r w:rsidRPr="00BA0AD1">
        <w:t>пы по расследованиям, поиску и установлению личности лиц, арестованных, пропавших без вести и казненных во внесудебном порядке в 1954</w:t>
      </w:r>
      <w:r w:rsidR="002B7B9B">
        <w:t>−</w:t>
      </w:r>
      <w:r w:rsidRPr="00BA0AD1">
        <w:t>1989 годах. В своих планах на 2012 год НСК предусматривает проведение соответству</w:t>
      </w:r>
      <w:r w:rsidRPr="00BA0AD1">
        <w:t>ю</w:t>
      </w:r>
      <w:r w:rsidRPr="00BA0AD1">
        <w:t>щей работы.</w:t>
      </w:r>
    </w:p>
    <w:p w:rsidR="00BA0AD1" w:rsidRPr="007D2776" w:rsidRDefault="00BA0AD1" w:rsidP="007D2776">
      <w:pPr>
        <w:pStyle w:val="H23GR"/>
      </w:pPr>
      <w:r w:rsidRPr="007D2776">
        <w:tab/>
        <w:t>7.</w:t>
      </w:r>
      <w:r w:rsidRPr="007D2776">
        <w:tab/>
        <w:t>Сеть органов исполнительной власти по защите прав ч</w:t>
      </w:r>
      <w:r w:rsidRPr="007D2776">
        <w:t>е</w:t>
      </w:r>
      <w:r w:rsidRPr="007D2776">
        <w:t xml:space="preserve">ловека </w:t>
      </w:r>
    </w:p>
    <w:p w:rsidR="00BA0AD1" w:rsidRPr="00BA0AD1" w:rsidRDefault="00BA0AD1" w:rsidP="00BA0AD1">
      <w:pPr>
        <w:pStyle w:val="SingleTxtGR"/>
      </w:pPr>
      <w:r w:rsidRPr="00BA0AD1">
        <w:t>398.</w:t>
      </w:r>
      <w:r w:rsidRPr="00BA0AD1">
        <w:tab/>
        <w:t>Участие НСК в заседаниях этой Сети позволило определить партнеров по совместному выполнению обязательств, принятых на себя парагвайским гос</w:t>
      </w:r>
      <w:r w:rsidRPr="00BA0AD1">
        <w:t>у</w:t>
      </w:r>
      <w:r w:rsidRPr="00BA0AD1">
        <w:t>дарством в сфере культурных прав; определить другие ведомства системы и</w:t>
      </w:r>
      <w:r w:rsidRPr="00BA0AD1">
        <w:t>с</w:t>
      </w:r>
      <w:r w:rsidRPr="00BA0AD1">
        <w:t>полнительной власти, занимающиеся культурными правами; включать соотве</w:t>
      </w:r>
      <w:r w:rsidRPr="00BA0AD1">
        <w:t>т</w:t>
      </w:r>
      <w:r w:rsidRPr="00BA0AD1">
        <w:t>ствующую информацию о культурных правах в доклады, представляемые пар</w:t>
      </w:r>
      <w:r w:rsidRPr="00BA0AD1">
        <w:t>а</w:t>
      </w:r>
      <w:r w:rsidRPr="00BA0AD1">
        <w:t>гвайским государством в комитеты по правам человека; принимать участие в подготовке периодического универсального доклада, представляемого в Ком</w:t>
      </w:r>
      <w:r w:rsidRPr="00BA0AD1">
        <w:t>и</w:t>
      </w:r>
      <w:r w:rsidRPr="00BA0AD1">
        <w:t>тет по правам человека Организации Объединенных Наций; проводить анализ законопроектов, затрагивающих права человека, например проекта Закона о борьбе со всеми видами дискриминации; осуществлять мониторинг прохожд</w:t>
      </w:r>
      <w:r w:rsidRPr="00BA0AD1">
        <w:t>е</w:t>
      </w:r>
      <w:r w:rsidRPr="00BA0AD1">
        <w:t>ния через парламент законодательных инициатив, связанных с культурными правами, например процедуры ратификации Факультативного протокола к М</w:t>
      </w:r>
      <w:r w:rsidRPr="00BA0AD1">
        <w:t>е</w:t>
      </w:r>
      <w:r w:rsidRPr="00BA0AD1">
        <w:t>ждународному пакту об экономических, социальных и культурных правах и З</w:t>
      </w:r>
      <w:r w:rsidRPr="00BA0AD1">
        <w:t>а</w:t>
      </w:r>
      <w:r w:rsidRPr="00BA0AD1">
        <w:t>кона о языках; принимать участие в разработке и осуществлении Национальн</w:t>
      </w:r>
      <w:r w:rsidRPr="00BA0AD1">
        <w:t>о</w:t>
      </w:r>
      <w:r w:rsidRPr="00BA0AD1">
        <w:t>го плана защиты прав человека.</w:t>
      </w:r>
    </w:p>
    <w:p w:rsidR="00BA0AD1" w:rsidRPr="007D2776" w:rsidDel="005B1366" w:rsidRDefault="00BA0AD1" w:rsidP="007D2776">
      <w:pPr>
        <w:pStyle w:val="H23GR"/>
      </w:pPr>
      <w:r w:rsidRPr="007D2776">
        <w:tab/>
        <w:t>8.</w:t>
      </w:r>
      <w:r w:rsidRPr="007D2776">
        <w:tab/>
        <w:t>Распространение информации</w:t>
      </w:r>
    </w:p>
    <w:p w:rsidR="00BA0AD1" w:rsidRPr="00BA0AD1" w:rsidRDefault="00BA0AD1" w:rsidP="00BA0AD1">
      <w:pPr>
        <w:pStyle w:val="SingleTxtGR"/>
      </w:pPr>
      <w:r w:rsidRPr="00BA0AD1">
        <w:t>399.</w:t>
      </w:r>
      <w:r w:rsidRPr="00BA0AD1">
        <w:tab/>
        <w:t>Примерами подготовки и распространения материалов в период с 2008 по 2011 год являются утверждение фондами совместного финансирования ряда проектов по распространению материалов в печати, на радио и в аудиовизуал</w:t>
      </w:r>
      <w:r w:rsidRPr="00BA0AD1">
        <w:t>ь</w:t>
      </w:r>
      <w:r w:rsidRPr="00BA0AD1">
        <w:t xml:space="preserve">ных средствах массовой информации; создание </w:t>
      </w:r>
      <w:proofErr w:type="spellStart"/>
      <w:r w:rsidRPr="00BA0AD1">
        <w:t>веб-сайта</w:t>
      </w:r>
      <w:proofErr w:type="spellEnd"/>
      <w:r w:rsidRPr="00BA0AD1">
        <w:t xml:space="preserve"> НСК (на испанском языке и языке </w:t>
      </w:r>
      <w:proofErr w:type="spellStart"/>
      <w:r w:rsidRPr="00BA0AD1">
        <w:t>гуарани</w:t>
      </w:r>
      <w:proofErr w:type="spellEnd"/>
      <w:r w:rsidRPr="00BA0AD1">
        <w:t xml:space="preserve">: </w:t>
      </w:r>
      <w:hyperlink r:id="rId8" w:history="1">
        <w:r w:rsidRPr="00A82CB2">
          <w:rPr>
            <w:rStyle w:val="Hyperlink"/>
            <w:u w:val="none"/>
          </w:rPr>
          <w:t>www.cultura.gov.py/lang</w:t>
        </w:r>
      </w:hyperlink>
      <w:r w:rsidRPr="00BA0AD1">
        <w:t xml:space="preserve">), подготовка информационной страницы в социальной сети </w:t>
      </w:r>
      <w:proofErr w:type="spellStart"/>
      <w:r w:rsidRPr="00BA0AD1">
        <w:t>Facebook</w:t>
      </w:r>
      <w:proofErr w:type="spellEnd"/>
      <w:r w:rsidRPr="00BA0AD1">
        <w:t>; создание с помощью НСК Национал</w:t>
      </w:r>
      <w:r w:rsidRPr="00BA0AD1">
        <w:t>ь</w:t>
      </w:r>
      <w:r w:rsidRPr="00BA0AD1">
        <w:t xml:space="preserve">ной системы культурной информации; трансляция по радио и публикация </w:t>
      </w:r>
      <w:proofErr w:type="spellStart"/>
      <w:r w:rsidRPr="00BA0AD1">
        <w:t>Иб</w:t>
      </w:r>
      <w:r w:rsidRPr="00BA0AD1">
        <w:t>е</w:t>
      </w:r>
      <w:r w:rsidRPr="00BA0AD1">
        <w:t>роамериканской</w:t>
      </w:r>
      <w:proofErr w:type="spellEnd"/>
      <w:r w:rsidRPr="00BA0AD1">
        <w:t xml:space="preserve"> хартии по вопросам культуры; публикация Конвенции об охр</w:t>
      </w:r>
      <w:r w:rsidRPr="00BA0AD1">
        <w:t>а</w:t>
      </w:r>
      <w:r w:rsidRPr="00BA0AD1">
        <w:t>не и поощрении разнообразия форм культурного самовыражения; подготовка телевизионных передач о пяти аспектах многообразия в Парагвае (для Общес</w:t>
      </w:r>
      <w:r w:rsidRPr="00BA0AD1">
        <w:t>т</w:t>
      </w:r>
      <w:r w:rsidRPr="00BA0AD1">
        <w:t>венного телевидения); подготовка буклетов о национальных музеях, библиот</w:t>
      </w:r>
      <w:r w:rsidRPr="00BA0AD1">
        <w:t>е</w:t>
      </w:r>
      <w:r w:rsidRPr="00BA0AD1">
        <w:t>ках и архивах; работа по сбору фотографических и аудиовизуальных матери</w:t>
      </w:r>
      <w:r w:rsidRPr="00BA0AD1">
        <w:t>а</w:t>
      </w:r>
      <w:r w:rsidRPr="00BA0AD1">
        <w:t>лов о народных праздниках и праздниках коренного населения; предоставление Коалиции за многообразие и другим организациям гражданского общества (ОГО) финансовых средств для пропаганды Национального закона о культуре и Конвенции о разнообразии форм культурного самовыражения.</w:t>
      </w:r>
    </w:p>
    <w:p w:rsidR="00BA0AD1" w:rsidRPr="007D2776" w:rsidRDefault="00BA0AD1" w:rsidP="007D2776">
      <w:pPr>
        <w:pStyle w:val="H23GR"/>
      </w:pPr>
      <w:r w:rsidRPr="007D2776">
        <w:tab/>
        <w:t>9.</w:t>
      </w:r>
      <w:r w:rsidRPr="007D2776">
        <w:tab/>
        <w:t>Профессиональная подготовка</w:t>
      </w:r>
    </w:p>
    <w:p w:rsidR="00BA0AD1" w:rsidRPr="00BA0AD1" w:rsidRDefault="00BA0AD1" w:rsidP="00BA0AD1">
      <w:pPr>
        <w:pStyle w:val="SingleTxtGR"/>
      </w:pPr>
      <w:r w:rsidRPr="00BA0AD1">
        <w:t>400.</w:t>
      </w:r>
      <w:r w:rsidRPr="00BA0AD1">
        <w:tab/>
        <w:t>Были проведены курсы по изучению культурных прав, а также конвенций ЮНЕСКО и других международных конвенций о культурном наследии для с</w:t>
      </w:r>
      <w:r w:rsidRPr="00BA0AD1">
        <w:t>о</w:t>
      </w:r>
      <w:r w:rsidRPr="00BA0AD1">
        <w:t>трудников различных министерств: по проблемам политики в области культ</w:t>
      </w:r>
      <w:r w:rsidRPr="00BA0AD1">
        <w:t>у</w:t>
      </w:r>
      <w:r w:rsidRPr="00BA0AD1">
        <w:t>ры</w:t>
      </w:r>
      <w:r w:rsidR="00F96D53">
        <w:t> </w:t>
      </w:r>
      <w:r w:rsidR="002B7B9B">
        <w:t>−</w:t>
      </w:r>
      <w:r w:rsidRPr="00BA0AD1">
        <w:t xml:space="preserve"> для 500 сотрудников ведомств, занимающихся проблемами культуры в д</w:t>
      </w:r>
      <w:r w:rsidRPr="00BA0AD1">
        <w:t>е</w:t>
      </w:r>
      <w:r w:rsidRPr="00BA0AD1">
        <w:t xml:space="preserve">партаментах </w:t>
      </w:r>
      <w:proofErr w:type="spellStart"/>
      <w:r w:rsidRPr="00BA0AD1">
        <w:t>Каасапа</w:t>
      </w:r>
      <w:proofErr w:type="spellEnd"/>
      <w:r w:rsidRPr="00BA0AD1">
        <w:t xml:space="preserve">, </w:t>
      </w:r>
      <w:proofErr w:type="spellStart"/>
      <w:r w:rsidRPr="00BA0AD1">
        <w:t>Каагуасу</w:t>
      </w:r>
      <w:proofErr w:type="spellEnd"/>
      <w:r w:rsidRPr="00BA0AD1">
        <w:t xml:space="preserve">, </w:t>
      </w:r>
      <w:proofErr w:type="spellStart"/>
      <w:r w:rsidRPr="00BA0AD1">
        <w:t>Альто-Парана</w:t>
      </w:r>
      <w:proofErr w:type="spellEnd"/>
      <w:r w:rsidRPr="00BA0AD1">
        <w:t xml:space="preserve">, </w:t>
      </w:r>
      <w:proofErr w:type="spellStart"/>
      <w:r w:rsidRPr="00BA0AD1">
        <w:t>Гуаира</w:t>
      </w:r>
      <w:proofErr w:type="spellEnd"/>
      <w:r w:rsidRPr="00BA0AD1">
        <w:t xml:space="preserve">, </w:t>
      </w:r>
      <w:proofErr w:type="spellStart"/>
      <w:r w:rsidRPr="00BA0AD1">
        <w:t>Мисьонес</w:t>
      </w:r>
      <w:proofErr w:type="spellEnd"/>
      <w:r w:rsidRPr="00BA0AD1">
        <w:t xml:space="preserve">, </w:t>
      </w:r>
      <w:proofErr w:type="spellStart"/>
      <w:r w:rsidRPr="00BA0AD1">
        <w:t>Итапуа</w:t>
      </w:r>
      <w:proofErr w:type="spellEnd"/>
      <w:r w:rsidRPr="00BA0AD1">
        <w:t xml:space="preserve">, </w:t>
      </w:r>
      <w:proofErr w:type="spellStart"/>
      <w:r w:rsidRPr="00BA0AD1">
        <w:t>Амамбай</w:t>
      </w:r>
      <w:proofErr w:type="spellEnd"/>
      <w:r w:rsidRPr="00BA0AD1">
        <w:t xml:space="preserve">, </w:t>
      </w:r>
      <w:proofErr w:type="spellStart"/>
      <w:r w:rsidRPr="00BA0AD1">
        <w:t>Парагуари</w:t>
      </w:r>
      <w:proofErr w:type="spellEnd"/>
      <w:r w:rsidRPr="00BA0AD1">
        <w:t xml:space="preserve">, </w:t>
      </w:r>
      <w:proofErr w:type="spellStart"/>
      <w:r w:rsidRPr="00BA0AD1">
        <w:t>Ньембуку</w:t>
      </w:r>
      <w:proofErr w:type="spellEnd"/>
      <w:r w:rsidRPr="00BA0AD1">
        <w:t xml:space="preserve"> и Столичном; по вопросам законодательства о культуре </w:t>
      </w:r>
      <w:r w:rsidR="002B7B9B">
        <w:t>−</w:t>
      </w:r>
      <w:r w:rsidRPr="00BA0AD1">
        <w:t xml:space="preserve"> для 50 сотрудников и руководителей различных государственных о</w:t>
      </w:r>
      <w:r w:rsidRPr="00BA0AD1">
        <w:t>р</w:t>
      </w:r>
      <w:r w:rsidRPr="00BA0AD1">
        <w:t>ганизаций; а также по вопросам консультаций с коренными народами. Сотру</w:t>
      </w:r>
      <w:r w:rsidRPr="00BA0AD1">
        <w:t>д</w:t>
      </w:r>
      <w:r w:rsidRPr="00BA0AD1">
        <w:t xml:space="preserve">ники НСК проходили курс повышения квалификации в отношении прав лиц с инвалидностью; сотрудники Секретариата по мерам социальной политики (СМСП), ведущие </w:t>
      </w:r>
      <w:proofErr w:type="spellStart"/>
      <w:r w:rsidRPr="00BA0AD1">
        <w:t>социокультурную</w:t>
      </w:r>
      <w:proofErr w:type="spellEnd"/>
      <w:r w:rsidRPr="00BA0AD1">
        <w:t xml:space="preserve"> работу на территориях совместного пр</w:t>
      </w:r>
      <w:r w:rsidRPr="00BA0AD1">
        <w:t>о</w:t>
      </w:r>
      <w:r w:rsidRPr="00BA0AD1">
        <w:t xml:space="preserve">живания, </w:t>
      </w:r>
      <w:r w:rsidR="002B7B9B">
        <w:t>−</w:t>
      </w:r>
      <w:r w:rsidRPr="00BA0AD1">
        <w:t xml:space="preserve"> по теме "Учет культурных прав в проектах развития среды обит</w:t>
      </w:r>
      <w:r w:rsidRPr="00BA0AD1">
        <w:t>а</w:t>
      </w:r>
      <w:r w:rsidRPr="00BA0AD1">
        <w:t>ния", по Конвенции № 169 МОТ и по проблемам культуры и прав детей и по</w:t>
      </w:r>
      <w:r w:rsidRPr="00BA0AD1">
        <w:t>д</w:t>
      </w:r>
      <w:r w:rsidRPr="00BA0AD1">
        <w:t xml:space="preserve">ростков стран МЕРКОСУР в рамках проекта НИНЬОСУР. </w:t>
      </w:r>
    </w:p>
    <w:p w:rsidR="00BA0AD1" w:rsidRPr="00BA0AD1" w:rsidRDefault="00BA0AD1" w:rsidP="00BA0AD1">
      <w:pPr>
        <w:pStyle w:val="SingleTxtGR"/>
      </w:pPr>
      <w:r w:rsidRPr="00BA0AD1">
        <w:t>401.</w:t>
      </w:r>
      <w:r w:rsidRPr="00BA0AD1">
        <w:tab/>
        <w:t>В настоящее время 100 сотрудников НСК и 50 представителей ОГО пр</w:t>
      </w:r>
      <w:r w:rsidRPr="00BA0AD1">
        <w:t>о</w:t>
      </w:r>
      <w:r w:rsidRPr="00BA0AD1">
        <w:t xml:space="preserve">ходят курс обучения по методике разработки политики в области многообразия. </w:t>
      </w:r>
    </w:p>
    <w:p w:rsidR="00BA0AD1" w:rsidRPr="007D2776" w:rsidRDefault="00BA0AD1" w:rsidP="007D2776">
      <w:pPr>
        <w:pStyle w:val="H23GR"/>
      </w:pPr>
      <w:r w:rsidRPr="007D2776">
        <w:tab/>
        <w:t>10.</w:t>
      </w:r>
      <w:r w:rsidRPr="007D2776">
        <w:tab/>
        <w:t xml:space="preserve">Сотрудничество с гражданским обществом </w:t>
      </w:r>
    </w:p>
    <w:p w:rsidR="00BA0AD1" w:rsidRPr="00BA0AD1" w:rsidRDefault="00BA0AD1" w:rsidP="00BA0AD1">
      <w:pPr>
        <w:pStyle w:val="SingleTxtGR"/>
      </w:pPr>
      <w:r w:rsidRPr="00BA0AD1">
        <w:t>402.</w:t>
      </w:r>
      <w:r w:rsidRPr="00BA0AD1">
        <w:tab/>
        <w:t>НСК поддерживает связи с ОГО, а само создание Секретариата стало р</w:t>
      </w:r>
      <w:r w:rsidRPr="00BA0AD1">
        <w:t>е</w:t>
      </w:r>
      <w:r w:rsidRPr="00BA0AD1">
        <w:t>зультатом усилий, прилагаемых организованным гражданским обществом в ц</w:t>
      </w:r>
      <w:r w:rsidRPr="00BA0AD1">
        <w:t>е</w:t>
      </w:r>
      <w:r w:rsidRPr="00BA0AD1">
        <w:t>лях развития культуры, в первую очередь искусства. НСК сотрудничает, в числе прочего, с Коалицией ОГО за культурное многообразие, Постоянным культу</w:t>
      </w:r>
      <w:r w:rsidRPr="00BA0AD1">
        <w:t>р</w:t>
      </w:r>
      <w:r w:rsidRPr="00BA0AD1">
        <w:t>ным форумом, Парагвайским форумом танца, Парагвайским центром театра, организацией "Люди кино", Организацией работников аудиовизуального сект</w:t>
      </w:r>
      <w:r w:rsidRPr="00BA0AD1">
        <w:t>о</w:t>
      </w:r>
      <w:r w:rsidRPr="00BA0AD1">
        <w:t xml:space="preserve">ра Парагвая (ОПРАП), Парагвайской палатой предприятий </w:t>
      </w:r>
      <w:r w:rsidR="002B7B9B">
        <w:t>−</w:t>
      </w:r>
      <w:r w:rsidRPr="00BA0AD1">
        <w:t xml:space="preserve"> производителей кино- и телевизионной продукции (КАМПРО), Обществом парагвайских пис</w:t>
      </w:r>
      <w:r w:rsidRPr="00BA0AD1">
        <w:t>а</w:t>
      </w:r>
      <w:r w:rsidRPr="00BA0AD1">
        <w:t xml:space="preserve">телей, Ассоциацией писателей Парагвая, Парагвайским </w:t>
      </w:r>
      <w:proofErr w:type="spellStart"/>
      <w:r w:rsidRPr="00BA0AD1">
        <w:t>ПЕН-клубом</w:t>
      </w:r>
      <w:proofErr w:type="spellEnd"/>
      <w:r w:rsidRPr="00BA0AD1">
        <w:t>, Парагва</w:t>
      </w:r>
      <w:r w:rsidRPr="00BA0AD1">
        <w:t>й</w:t>
      </w:r>
      <w:r w:rsidRPr="00BA0AD1">
        <w:t>ской палатой издателей, книгоиздателей и работников смежных отраслей, Асс</w:t>
      </w:r>
      <w:r w:rsidRPr="00BA0AD1">
        <w:t>о</w:t>
      </w:r>
      <w:r w:rsidRPr="00BA0AD1">
        <w:t>циацией парагвайских авторов, Ассоциацией парагвайских музыкантов, орган</w:t>
      </w:r>
      <w:r w:rsidRPr="00BA0AD1">
        <w:t>и</w:t>
      </w:r>
      <w:r w:rsidRPr="00BA0AD1">
        <w:t>зацией, объединяющей независимых музыкантов, организацией "Артисты, а</w:t>
      </w:r>
      <w:r w:rsidRPr="00BA0AD1">
        <w:t>р</w:t>
      </w:r>
      <w:r w:rsidRPr="00BA0AD1">
        <w:t>тисты-исполнители и исполнители", группами, объединяющими потомков в</w:t>
      </w:r>
      <w:r w:rsidRPr="00BA0AD1">
        <w:t>ы</w:t>
      </w:r>
      <w:r w:rsidRPr="00BA0AD1">
        <w:t>ходцев из Африки. Представителям ОГО было предложено войти в состав НСК.</w:t>
      </w:r>
    </w:p>
    <w:p w:rsidR="00BA0AD1" w:rsidRPr="00BA0AD1" w:rsidRDefault="00BA0AD1" w:rsidP="00BA0AD1">
      <w:pPr>
        <w:pStyle w:val="SingleTxtGR"/>
      </w:pPr>
      <w:r w:rsidRPr="00BA0AD1">
        <w:t>403.</w:t>
      </w:r>
      <w:r w:rsidRPr="00BA0AD1">
        <w:tab/>
        <w:t>Лишь 25</w:t>
      </w:r>
      <w:r w:rsidR="004849A7">
        <w:t xml:space="preserve">% </w:t>
      </w:r>
      <w:r w:rsidRPr="00BA0AD1">
        <w:t>проектов, получающих финансирование из средств фондов с</w:t>
      </w:r>
      <w:r w:rsidRPr="00BA0AD1">
        <w:t>о</w:t>
      </w:r>
      <w:r w:rsidRPr="00BA0AD1">
        <w:t>вместного финансирования, являются проектами, которые реализуются юрид</w:t>
      </w:r>
      <w:r w:rsidRPr="00BA0AD1">
        <w:t>и</w:t>
      </w:r>
      <w:r w:rsidRPr="00BA0AD1">
        <w:t>ческими лицами, имеющими отношение к сфере культуры. Это связано с и</w:t>
      </w:r>
      <w:r w:rsidRPr="00BA0AD1">
        <w:t>н</w:t>
      </w:r>
      <w:r w:rsidRPr="00BA0AD1">
        <w:t>ституциональной слабостью организаций, объединяющих работников искусства и культуры, и их несоответствием требованиям, предъявляемым г</w:t>
      </w:r>
      <w:r w:rsidRPr="00BA0AD1">
        <w:t>о</w:t>
      </w:r>
      <w:r w:rsidRPr="00BA0AD1">
        <w:t xml:space="preserve">сударством. По-прежнему </w:t>
      </w:r>
      <w:proofErr w:type="spellStart"/>
      <w:r w:rsidRPr="00BA0AD1">
        <w:t>бóльшую</w:t>
      </w:r>
      <w:proofErr w:type="spellEnd"/>
      <w:r w:rsidRPr="00BA0AD1">
        <w:t xml:space="preserve"> часть средств получают конкретные деят</w:t>
      </w:r>
      <w:r w:rsidRPr="00BA0AD1">
        <w:t>е</w:t>
      </w:r>
      <w:r w:rsidRPr="00BA0AD1">
        <w:t>ли культуры. Примерно 20</w:t>
      </w:r>
      <w:r w:rsidR="004849A7">
        <w:t xml:space="preserve">% </w:t>
      </w:r>
      <w:r w:rsidRPr="00BA0AD1">
        <w:t>средств предоставляется ОГО, для которых культура не явл</w:t>
      </w:r>
      <w:r w:rsidRPr="00BA0AD1">
        <w:t>я</w:t>
      </w:r>
      <w:r w:rsidRPr="00BA0AD1">
        <w:t>ется основной сферой деятельности, но которые иногда представляют пр</w:t>
      </w:r>
      <w:r w:rsidRPr="00BA0AD1">
        <w:t>о</w:t>
      </w:r>
      <w:r w:rsidRPr="00BA0AD1">
        <w:t xml:space="preserve">екты в этой области. </w:t>
      </w:r>
    </w:p>
    <w:p w:rsidR="00BA0AD1" w:rsidRPr="00BA0AD1" w:rsidRDefault="00BA0AD1" w:rsidP="00BA0AD1">
      <w:pPr>
        <w:pStyle w:val="SingleTxtGR"/>
      </w:pPr>
      <w:r w:rsidRPr="00BA0AD1">
        <w:t>404.</w:t>
      </w:r>
      <w:r w:rsidRPr="00BA0AD1">
        <w:tab/>
        <w:t>На первый конкурс, проводившийся фондами совместного финансиров</w:t>
      </w:r>
      <w:r w:rsidRPr="00BA0AD1">
        <w:t>а</w:t>
      </w:r>
      <w:r w:rsidRPr="00BA0AD1">
        <w:t>ния в июле 2010 года, поступило 427 проектов. 127 проектов получили фина</w:t>
      </w:r>
      <w:r w:rsidRPr="00BA0AD1">
        <w:t>н</w:t>
      </w:r>
      <w:r w:rsidRPr="00BA0AD1">
        <w:t xml:space="preserve">сирование на общую сумму 2 млрд. 469 млн. </w:t>
      </w:r>
      <w:proofErr w:type="spellStart"/>
      <w:r w:rsidRPr="00BA0AD1">
        <w:t>гуарани</w:t>
      </w:r>
      <w:proofErr w:type="spellEnd"/>
      <w:r w:rsidRPr="00BA0AD1">
        <w:t xml:space="preserve"> (60</w:t>
      </w:r>
      <w:r w:rsidR="004849A7">
        <w:t xml:space="preserve">% </w:t>
      </w:r>
      <w:r w:rsidRPr="00BA0AD1">
        <w:t>проектов реализ</w:t>
      </w:r>
      <w:r w:rsidRPr="00BA0AD1">
        <w:t>у</w:t>
      </w:r>
      <w:r w:rsidRPr="00BA0AD1">
        <w:t>ются в Асунсьоне и Центральном департаменте, а 40</w:t>
      </w:r>
      <w:r w:rsidR="004849A7">
        <w:t xml:space="preserve">% </w:t>
      </w:r>
      <w:r w:rsidR="002B7B9B">
        <w:t>−</w:t>
      </w:r>
      <w:r w:rsidRPr="00BA0AD1">
        <w:t xml:space="preserve"> в 14 других департ</w:t>
      </w:r>
      <w:r w:rsidRPr="00BA0AD1">
        <w:t>а</w:t>
      </w:r>
      <w:r w:rsidRPr="00BA0AD1">
        <w:t>ментах страны).</w:t>
      </w:r>
    </w:p>
    <w:p w:rsidR="00BA0AD1" w:rsidRPr="00BA0AD1" w:rsidRDefault="00BA0AD1" w:rsidP="00BA0AD1">
      <w:pPr>
        <w:pStyle w:val="SingleTxtGR"/>
      </w:pPr>
      <w:r w:rsidRPr="00BA0AD1">
        <w:t>405.</w:t>
      </w:r>
      <w:r w:rsidRPr="00BA0AD1">
        <w:tab/>
        <w:t>Средства были предоставлены, в числе прочего, на осуществление сл</w:t>
      </w:r>
      <w:r w:rsidRPr="00BA0AD1">
        <w:t>е</w:t>
      </w:r>
      <w:r w:rsidRPr="00BA0AD1">
        <w:t xml:space="preserve">дующих проектов: исследовательские/издательские проекты </w:t>
      </w:r>
      <w:r w:rsidR="002B7B9B">
        <w:t>−</w:t>
      </w:r>
      <w:r w:rsidRPr="00BA0AD1">
        <w:t xml:space="preserve"> 345 млн. </w:t>
      </w:r>
      <w:proofErr w:type="spellStart"/>
      <w:r w:rsidRPr="00BA0AD1">
        <w:t>гуар</w:t>
      </w:r>
      <w:r w:rsidRPr="00BA0AD1">
        <w:t>а</w:t>
      </w:r>
      <w:r w:rsidRPr="00BA0AD1">
        <w:t>ни</w:t>
      </w:r>
      <w:proofErr w:type="spellEnd"/>
      <w:r w:rsidRPr="00BA0AD1">
        <w:t xml:space="preserve">, тематические проекты по развитию территорий и общин </w:t>
      </w:r>
      <w:r w:rsidR="002B7B9B">
        <w:t>−</w:t>
      </w:r>
      <w:r w:rsidRPr="00BA0AD1">
        <w:t xml:space="preserve"> 867 млн. 970 тыс. </w:t>
      </w:r>
      <w:proofErr w:type="spellStart"/>
      <w:r w:rsidRPr="00BA0AD1">
        <w:t>гуарани</w:t>
      </w:r>
      <w:proofErr w:type="spellEnd"/>
      <w:r w:rsidRPr="00BA0AD1">
        <w:t xml:space="preserve"> (216 992 долл. США), творческие проекты в различных областях и</w:t>
      </w:r>
      <w:r w:rsidRPr="00BA0AD1">
        <w:t>с</w:t>
      </w:r>
      <w:r w:rsidRPr="00BA0AD1">
        <w:t xml:space="preserve">кусства </w:t>
      </w:r>
      <w:r w:rsidR="002B7B9B">
        <w:t>−</w:t>
      </w:r>
      <w:r w:rsidRPr="00BA0AD1">
        <w:t xml:space="preserve"> 1 млрд. 665 млн. 500 тыс. </w:t>
      </w:r>
      <w:proofErr w:type="spellStart"/>
      <w:r w:rsidRPr="00BA0AD1">
        <w:t>гуарани</w:t>
      </w:r>
      <w:proofErr w:type="spellEnd"/>
      <w:r w:rsidRPr="00BA0AD1">
        <w:t xml:space="preserve"> (416 375 долл. США), организац</w:t>
      </w:r>
      <w:r w:rsidRPr="00BA0AD1">
        <w:t>и</w:t>
      </w:r>
      <w:r w:rsidRPr="00BA0AD1">
        <w:t>онные, творческие и исследовательские проекты с участием коренных нар</w:t>
      </w:r>
      <w:r w:rsidRPr="00BA0AD1">
        <w:t>о</w:t>
      </w:r>
      <w:r w:rsidRPr="00BA0AD1">
        <w:t>дов</w:t>
      </w:r>
      <w:r w:rsidR="00A82CB2">
        <w:t> </w:t>
      </w:r>
      <w:r w:rsidR="002B7B9B">
        <w:t>−</w:t>
      </w:r>
      <w:r w:rsidRPr="00BA0AD1">
        <w:t xml:space="preserve"> 368 млн. 970 тыс. </w:t>
      </w:r>
      <w:proofErr w:type="spellStart"/>
      <w:r w:rsidRPr="00BA0AD1">
        <w:t>гуарани</w:t>
      </w:r>
      <w:proofErr w:type="spellEnd"/>
      <w:r w:rsidRPr="00BA0AD1">
        <w:t xml:space="preserve"> (92 242 долл. США).</w:t>
      </w:r>
    </w:p>
    <w:p w:rsidR="00BA0AD1" w:rsidRPr="007D2776" w:rsidRDefault="00BA0AD1" w:rsidP="007D2776">
      <w:pPr>
        <w:pStyle w:val="H23GR"/>
      </w:pPr>
      <w:r w:rsidRPr="007D2776">
        <w:tab/>
        <w:t>11.</w:t>
      </w:r>
      <w:r w:rsidRPr="007D2776">
        <w:tab/>
        <w:t xml:space="preserve">Двухсотлетие независимости Парагвая, многообразие и гражданское воспитание </w:t>
      </w:r>
    </w:p>
    <w:p w:rsidR="00BA0AD1" w:rsidRPr="00BA0AD1" w:rsidRDefault="00BA0AD1" w:rsidP="00BA0AD1">
      <w:pPr>
        <w:pStyle w:val="SingleTxtGR"/>
      </w:pPr>
      <w:r w:rsidRPr="00BA0AD1">
        <w:t>406.</w:t>
      </w:r>
      <w:r w:rsidRPr="00BA0AD1">
        <w:tab/>
        <w:t>Празднование двухсотлетнего юбилея независимости Парагвая стало п</w:t>
      </w:r>
      <w:r w:rsidRPr="00BA0AD1">
        <w:t>о</w:t>
      </w:r>
      <w:r w:rsidRPr="00BA0AD1">
        <w:t>водом для демонстрации культурного многообразия страны и привлечения гр</w:t>
      </w:r>
      <w:r w:rsidRPr="00BA0AD1">
        <w:t>а</w:t>
      </w:r>
      <w:r w:rsidRPr="00BA0AD1">
        <w:t>ждан к заинтересованному участию. При этом широко использовались язык жестов и двуязычие. В праздновании участвовали разные категории населения: коренные народы, потомки выходцев из Африки, инвалиды, пожилые граждане, крестьяне, иммигранты, дети и молодежь. Лицам с инвалидностью были обе</w:t>
      </w:r>
      <w:r w:rsidRPr="00BA0AD1">
        <w:t>с</w:t>
      </w:r>
      <w:r w:rsidRPr="00BA0AD1">
        <w:t>печены возможности доступа и предоставлялись наиболее удобные места.</w:t>
      </w:r>
    </w:p>
    <w:p w:rsidR="00BA0AD1" w:rsidRPr="00BA0AD1" w:rsidRDefault="00BA0AD1" w:rsidP="00BA0AD1">
      <w:pPr>
        <w:pStyle w:val="SingleTxtGR"/>
      </w:pPr>
      <w:r w:rsidRPr="00BA0AD1">
        <w:t>407.</w:t>
      </w:r>
      <w:r w:rsidRPr="00BA0AD1">
        <w:tab/>
        <w:t xml:space="preserve">Работники искусства принимали участие в предварительных отраслевых совещаниях. Центральные мероприятия празднования проходили с участием 2 тыс. человек </w:t>
      </w:r>
      <w:r w:rsidR="002B7B9B">
        <w:t>−</w:t>
      </w:r>
      <w:r w:rsidRPr="00BA0AD1">
        <w:t xml:space="preserve"> артистов и технических работников. В главных событиях празднований, проходивших в течение трех дней, приняли участие более 100 тыс. человек, а непрерывная прямая телевизионная трансляция этих мер</w:t>
      </w:r>
      <w:r w:rsidRPr="00BA0AD1">
        <w:t>о</w:t>
      </w:r>
      <w:r w:rsidRPr="00BA0AD1">
        <w:t>приятий позволила всем жителям страны стать их свидетелями.</w:t>
      </w:r>
    </w:p>
    <w:p w:rsidR="00BA0AD1" w:rsidRPr="007D2776" w:rsidRDefault="00BA0AD1" w:rsidP="007D2776">
      <w:pPr>
        <w:pStyle w:val="H23GR"/>
      </w:pPr>
      <w:r w:rsidRPr="007D2776">
        <w:tab/>
        <w:t>12.</w:t>
      </w:r>
      <w:r w:rsidRPr="007D2776">
        <w:tab/>
        <w:t>Принцип недопущения дискриминации</w:t>
      </w:r>
    </w:p>
    <w:p w:rsidR="00BA0AD1" w:rsidRPr="00BA0AD1" w:rsidRDefault="00BA0AD1" w:rsidP="00BA0AD1">
      <w:pPr>
        <w:pStyle w:val="SingleTxtGR"/>
      </w:pPr>
      <w:r w:rsidRPr="00BA0AD1">
        <w:t>408.</w:t>
      </w:r>
      <w:r w:rsidRPr="00BA0AD1">
        <w:tab/>
        <w:t>Учет принципа защиты прав человека в институциональной политике НСК позволил выявить те категории населения, которые испытывают наибол</w:t>
      </w:r>
      <w:r w:rsidRPr="00BA0AD1">
        <w:t>ь</w:t>
      </w:r>
      <w:r w:rsidRPr="00BA0AD1">
        <w:t>шие трудности с доступом к культурным ценностям и услугам, например, в том, что касается активного участия в культурно-творческой деятельности и в разр</w:t>
      </w:r>
      <w:r w:rsidRPr="00BA0AD1">
        <w:t>а</w:t>
      </w:r>
      <w:r w:rsidRPr="00BA0AD1">
        <w:t>ботке государственной политики в области культуры. Работа с этими группами населения стала для НСК первоочередной задачей.</w:t>
      </w:r>
    </w:p>
    <w:p w:rsidR="00BA0AD1" w:rsidRPr="00BA0AD1" w:rsidRDefault="00BA0AD1" w:rsidP="00BA0AD1">
      <w:pPr>
        <w:pStyle w:val="SingleTxtGR"/>
      </w:pPr>
      <w:r w:rsidRPr="00BA0AD1">
        <w:t>409.</w:t>
      </w:r>
      <w:r w:rsidRPr="00BA0AD1">
        <w:tab/>
        <w:t>Фонды совместного финансирования выделяют средства по тематич</w:t>
      </w:r>
      <w:r w:rsidRPr="00BA0AD1">
        <w:t>е</w:t>
      </w:r>
      <w:r w:rsidRPr="00BA0AD1">
        <w:t>ским направлениям, способствующим инклюзии этих групп населения. Хотя сельским жителям и коренному населению по-прежнему не уделяется дост</w:t>
      </w:r>
      <w:r w:rsidRPr="00BA0AD1">
        <w:t>а</w:t>
      </w:r>
      <w:r w:rsidRPr="00BA0AD1">
        <w:t>точного внимания, НСК предусматривает программы для этих категорий гра</w:t>
      </w:r>
      <w:r w:rsidRPr="00BA0AD1">
        <w:t>ж</w:t>
      </w:r>
      <w:r w:rsidRPr="00BA0AD1">
        <w:t>дан.</w:t>
      </w:r>
    </w:p>
    <w:p w:rsidR="00BA0AD1" w:rsidRPr="00BA0AD1" w:rsidRDefault="00BA0AD1" w:rsidP="00BA0AD1">
      <w:pPr>
        <w:pStyle w:val="SingleTxtGR"/>
      </w:pPr>
      <w:r w:rsidRPr="00BA0AD1">
        <w:t>410.</w:t>
      </w:r>
      <w:r w:rsidRPr="00BA0AD1">
        <w:tab/>
        <w:t>Для пожилых граждан организуется ряд мероприятий, таких как, напр</w:t>
      </w:r>
      <w:r w:rsidRPr="00BA0AD1">
        <w:t>и</w:t>
      </w:r>
      <w:r w:rsidRPr="00BA0AD1">
        <w:t xml:space="preserve">мер, танцы </w:t>
      </w:r>
      <w:proofErr w:type="spellStart"/>
      <w:r w:rsidRPr="00BA0AD1">
        <w:t>кугуа-вера</w:t>
      </w:r>
      <w:proofErr w:type="spellEnd"/>
      <w:r w:rsidRPr="00BA0AD1">
        <w:t xml:space="preserve">. В поселках индейцев </w:t>
      </w:r>
      <w:proofErr w:type="spellStart"/>
      <w:r w:rsidRPr="00BA0AD1">
        <w:t>гуарани</w:t>
      </w:r>
      <w:proofErr w:type="spellEnd"/>
      <w:r w:rsidRPr="00BA0AD1">
        <w:t xml:space="preserve"> авторитет старейшин уд</w:t>
      </w:r>
      <w:r w:rsidRPr="00BA0AD1">
        <w:t>а</w:t>
      </w:r>
      <w:r w:rsidRPr="00BA0AD1">
        <w:t>лось повысить благодаря приведению в порядок традиционных культовых мест, где жители могут петь и танцевать, отправляя свои религиозные культы. Неда</w:t>
      </w:r>
      <w:r w:rsidRPr="00BA0AD1">
        <w:t>в</w:t>
      </w:r>
      <w:r w:rsidRPr="00BA0AD1">
        <w:t>но индейские старейшины обратились с просьбой об издании их священных песнопений, чтобы использовать их в общинных школах в качестве пособий для обучения детей.</w:t>
      </w:r>
    </w:p>
    <w:p w:rsidR="00BA0AD1" w:rsidRPr="00BA0AD1" w:rsidRDefault="00BA0AD1" w:rsidP="00BA0AD1">
      <w:pPr>
        <w:pStyle w:val="SingleTxtGR"/>
      </w:pPr>
      <w:r w:rsidRPr="00BA0AD1">
        <w:t>411.</w:t>
      </w:r>
      <w:r w:rsidRPr="00BA0AD1">
        <w:tab/>
        <w:t xml:space="preserve">Что касается проблемы сексуальной ориентации, то были организованы просмотры фильма "Деревянный нож", снятого парагвайским режиссером и дающего возможность обсудить то, как общество и государство относятся к </w:t>
      </w:r>
      <w:proofErr w:type="spellStart"/>
      <w:r w:rsidRPr="00BA0AD1">
        <w:t>ЛГБТ-сообществу</w:t>
      </w:r>
      <w:proofErr w:type="spellEnd"/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412.</w:t>
      </w:r>
      <w:r w:rsidRPr="00BA0AD1">
        <w:tab/>
        <w:t>НСК проводил мероприятия, направленные на обеспечение прав лиц с инвалидностью, в том числе организовывал занятия на курсах повышения кв</w:t>
      </w:r>
      <w:r w:rsidRPr="00BA0AD1">
        <w:t>а</w:t>
      </w:r>
      <w:r w:rsidRPr="00BA0AD1">
        <w:t>лификации для своих сотрудников, вводил язык жестов в ряде свих программ, благоустраивал помещения контактных центров, музеев, архивов и культурных центров, делая их доступными для инвалидов; кроме того, на работу в НСК приняты три сотрудника с различными видами инвалидности, что стало пра</w:t>
      </w:r>
      <w:r w:rsidRPr="00BA0AD1">
        <w:t>к</w:t>
      </w:r>
      <w:r w:rsidRPr="00BA0AD1">
        <w:t>тическим воплощением исполнения возложенных на Секретариат обязанностей по работе с этой категорией населения.</w:t>
      </w:r>
    </w:p>
    <w:p w:rsidR="00BA0AD1" w:rsidRPr="00BA0AD1" w:rsidRDefault="00BA0AD1" w:rsidP="00BA0AD1">
      <w:pPr>
        <w:pStyle w:val="SingleTxtGR"/>
      </w:pPr>
      <w:r w:rsidRPr="00BA0AD1">
        <w:t>413.</w:t>
      </w:r>
      <w:r w:rsidRPr="00BA0AD1">
        <w:tab/>
        <w:t>Были выявлены те категории населения, социальной интеграции которых требуется уделять больше внимания или же принимать с этой целью меры п</w:t>
      </w:r>
      <w:r w:rsidRPr="00BA0AD1">
        <w:t>о</w:t>
      </w:r>
      <w:r w:rsidRPr="00BA0AD1">
        <w:t>зитивного действия. К таким категориям относятся женщины, дети и подрос</w:t>
      </w:r>
      <w:r w:rsidRPr="00BA0AD1">
        <w:t>т</w:t>
      </w:r>
      <w:r w:rsidRPr="00BA0AD1">
        <w:t xml:space="preserve">ки, представители </w:t>
      </w:r>
      <w:proofErr w:type="spellStart"/>
      <w:r w:rsidRPr="00BA0AD1">
        <w:t>ЛГБТ-сообщества</w:t>
      </w:r>
      <w:proofErr w:type="spellEnd"/>
      <w:r w:rsidRPr="00BA0AD1">
        <w:t xml:space="preserve"> и, в меньшей степени, пожилые люди и потомки выходцев из Африки.</w:t>
      </w:r>
    </w:p>
    <w:p w:rsidR="00BA0AD1" w:rsidRPr="007D2776" w:rsidRDefault="00BA0AD1" w:rsidP="007D2776">
      <w:pPr>
        <w:pStyle w:val="H23GR"/>
      </w:pPr>
      <w:r w:rsidRPr="007D2776">
        <w:tab/>
        <w:t>13.</w:t>
      </w:r>
      <w:r w:rsidRPr="007D2776">
        <w:tab/>
        <w:t>Доступ к культурным ценностям и услугам, активное участие и вклад в культурную жизнь</w:t>
      </w:r>
      <w:r w:rsidRPr="00F96D53">
        <w:rPr>
          <w:b w:val="0"/>
          <w:sz w:val="18"/>
          <w:szCs w:val="18"/>
          <w:vertAlign w:val="superscript"/>
        </w:rPr>
        <w:footnoteReference w:id="52"/>
      </w:r>
    </w:p>
    <w:p w:rsidR="00BA0AD1" w:rsidRPr="00BA0AD1" w:rsidRDefault="00BA0AD1" w:rsidP="00BA0AD1">
      <w:pPr>
        <w:pStyle w:val="SingleTxtGR"/>
      </w:pPr>
      <w:r w:rsidRPr="00BA0AD1">
        <w:t>414</w:t>
      </w:r>
      <w:r w:rsidRPr="00BA0AD1">
        <w:tab/>
        <w:t xml:space="preserve">Доступ к культурной жизни, активное участие в ней и вклад в нее </w:t>
      </w:r>
      <w:r w:rsidR="002B7B9B">
        <w:t>−</w:t>
      </w:r>
      <w:r w:rsidRPr="00BA0AD1">
        <w:t xml:space="preserve"> это те ключевые элементы, которые соответствуют стратегическим целям инстит</w:t>
      </w:r>
      <w:r w:rsidRPr="00BA0AD1">
        <w:t>у</w:t>
      </w:r>
      <w:r w:rsidRPr="00BA0AD1">
        <w:t>циональной политики, предполагающим стимулирование и содействие в реал</w:t>
      </w:r>
      <w:r w:rsidRPr="00BA0AD1">
        <w:t>и</w:t>
      </w:r>
      <w:r w:rsidRPr="00BA0AD1">
        <w:t>зации инициатив и творческой деятельности в сфере культуры, защиту и проп</w:t>
      </w:r>
      <w:r w:rsidRPr="00BA0AD1">
        <w:t>а</w:t>
      </w:r>
      <w:r w:rsidRPr="00BA0AD1">
        <w:t>ганду ценности культурного наследия и культурного многообразия Парагвая, привлечение граждан к разработке и осуществлению политики в области кул</w:t>
      </w:r>
      <w:r w:rsidRPr="00BA0AD1">
        <w:t>ь</w:t>
      </w:r>
      <w:r w:rsidRPr="00BA0AD1">
        <w:t>туры.</w:t>
      </w:r>
    </w:p>
    <w:p w:rsidR="00BA0AD1" w:rsidRPr="00BA0AD1" w:rsidRDefault="00BA0AD1" w:rsidP="00BA0AD1">
      <w:pPr>
        <w:pStyle w:val="SingleTxtGR"/>
      </w:pPr>
      <w:r w:rsidRPr="00BA0AD1">
        <w:t>415.</w:t>
      </w:r>
      <w:r w:rsidRPr="00BA0AD1">
        <w:tab/>
        <w:t>Празднование двухсотлетия независимости Парагвая сопровождалось в</w:t>
      </w:r>
      <w:r w:rsidRPr="00BA0AD1">
        <w:t>ы</w:t>
      </w:r>
      <w:r w:rsidRPr="00BA0AD1">
        <w:t>ступлениями артистов по всей стране. Эти выступления, организованные при содействии со стороны НСК, проходили в самых отдаленных уголках страны, были бесплатными, доступными и проводились на открытых площадках, что давало возможность большинству жителей общин увидеть их и принять участие в празднованиях, демонстрируя тем самым культурное многообразие, социал</w:t>
      </w:r>
      <w:r w:rsidRPr="00BA0AD1">
        <w:t>ь</w:t>
      </w:r>
      <w:r w:rsidRPr="00BA0AD1">
        <w:t>ную сплоченность и чувство единения со страной. Впервые НСК выплатил а</w:t>
      </w:r>
      <w:r w:rsidRPr="00BA0AD1">
        <w:t>р</w:t>
      </w:r>
      <w:r w:rsidRPr="00BA0AD1">
        <w:t>тистам отчисления за распространение или копирование их исполнений.</w:t>
      </w:r>
    </w:p>
    <w:p w:rsidR="00BA0AD1" w:rsidRPr="00BA0AD1" w:rsidRDefault="00BA0AD1" w:rsidP="00BA0AD1">
      <w:pPr>
        <w:pStyle w:val="SingleTxtGR"/>
      </w:pPr>
      <w:r w:rsidRPr="00BA0AD1">
        <w:t>416.</w:t>
      </w:r>
      <w:r w:rsidRPr="00BA0AD1">
        <w:tab/>
        <w:t>12 200 граждан, в том числе артисты и общины из разных районов стр</w:t>
      </w:r>
      <w:r w:rsidRPr="00BA0AD1">
        <w:t>а</w:t>
      </w:r>
      <w:r w:rsidRPr="00BA0AD1">
        <w:t>ны, получили средства из фондов совместного финансирования. Среди получ</w:t>
      </w:r>
      <w:r w:rsidRPr="00BA0AD1">
        <w:t>а</w:t>
      </w:r>
      <w:r w:rsidRPr="00BA0AD1">
        <w:t xml:space="preserve">телей этих средств </w:t>
      </w:r>
      <w:r w:rsidR="002B7B9B">
        <w:t>−</w:t>
      </w:r>
      <w:r w:rsidRPr="00BA0AD1">
        <w:t xml:space="preserve"> 160 культурных центров и организаций, созданных в о</w:t>
      </w:r>
      <w:r w:rsidRPr="00BA0AD1">
        <w:t>б</w:t>
      </w:r>
      <w:r w:rsidRPr="00BA0AD1">
        <w:t xml:space="preserve">щинах или местными органами власти в Асунсьоне и 17 </w:t>
      </w:r>
      <w:r w:rsidR="002B7B9B">
        <w:t>−</w:t>
      </w:r>
      <w:r w:rsidRPr="00BA0AD1">
        <w:t xml:space="preserve"> в департаментах страны, получивших техническую и финансовую помощь, Национальный си</w:t>
      </w:r>
      <w:r w:rsidRPr="00BA0AD1">
        <w:t>м</w:t>
      </w:r>
      <w:r w:rsidRPr="00BA0AD1">
        <w:t>фонический оркестр и Национальный балет, которым были предоставлены средства на организацию 200 выступлений. Кроме того, были заключены с</w:t>
      </w:r>
      <w:r w:rsidRPr="00BA0AD1">
        <w:t>о</w:t>
      </w:r>
      <w:r w:rsidRPr="00BA0AD1">
        <w:t>глашения о сотрудничестве с 500 фирмами в рамках Кампании по пропаганде Закона о языках, проводившейся при участии гражданского общества Парагвая и известных в мире парагвайцев.</w:t>
      </w:r>
    </w:p>
    <w:p w:rsidR="00BA0AD1" w:rsidRPr="00BA0AD1" w:rsidRDefault="00BA0AD1" w:rsidP="00BA0AD1">
      <w:pPr>
        <w:pStyle w:val="SingleTxtGR"/>
      </w:pPr>
      <w:r w:rsidRPr="00BA0AD1">
        <w:t>417.</w:t>
      </w:r>
      <w:r w:rsidRPr="00BA0AD1">
        <w:tab/>
        <w:t>Культурно-развлекательные мероприятия проводятся в городских и сел</w:t>
      </w:r>
      <w:r w:rsidRPr="00BA0AD1">
        <w:t>ь</w:t>
      </w:r>
      <w:r w:rsidRPr="00BA0AD1">
        <w:t>ских общинах, находящихся в ситуации социальной изоляции или риска, с уч</w:t>
      </w:r>
      <w:r w:rsidRPr="00BA0AD1">
        <w:t>а</w:t>
      </w:r>
      <w:r w:rsidRPr="00BA0AD1">
        <w:t>стием мужчин и женщин, пожилых людей, детей и подростков. Кроме того, в рамках сотрудничества с организациями потомков выходцев из Африки орган</w:t>
      </w:r>
      <w:r w:rsidRPr="00BA0AD1">
        <w:t>и</w:t>
      </w:r>
      <w:r w:rsidRPr="00BA0AD1">
        <w:t xml:space="preserve">зуются мероприятия для этой категории населения. Привлечение к участию, инклюзия и многообразие </w:t>
      </w:r>
      <w:r w:rsidR="002B7B9B">
        <w:t>−</w:t>
      </w:r>
      <w:r w:rsidRPr="00BA0AD1">
        <w:t xml:space="preserve"> таковы основные направления работы в сфере н</w:t>
      </w:r>
      <w:r w:rsidRPr="00BA0AD1">
        <w:t>а</w:t>
      </w:r>
      <w:r w:rsidRPr="00BA0AD1">
        <w:t>родной культуры и двуязычия. Имеющиеся людские ресурсы позволяют пров</w:t>
      </w:r>
      <w:r w:rsidRPr="00BA0AD1">
        <w:t>о</w:t>
      </w:r>
      <w:r w:rsidRPr="00BA0AD1">
        <w:t>дить такую работу в 10 общинах страны.</w:t>
      </w:r>
    </w:p>
    <w:p w:rsidR="00BA0AD1" w:rsidRPr="00BA0AD1" w:rsidRDefault="00BA0AD1" w:rsidP="00BA0AD1">
      <w:pPr>
        <w:pStyle w:val="SingleTxtGR"/>
      </w:pPr>
      <w:r w:rsidRPr="00BA0AD1">
        <w:t>418.</w:t>
      </w:r>
      <w:r w:rsidRPr="00BA0AD1">
        <w:tab/>
        <w:t>На местах оказывается поддержка тем, кто занимается театральным и</w:t>
      </w:r>
      <w:r w:rsidRPr="00BA0AD1">
        <w:t>с</w:t>
      </w:r>
      <w:r w:rsidRPr="00BA0AD1">
        <w:t>кусством, музыкой, искусством керамики, сказителям и др. Симфонические о</w:t>
      </w:r>
      <w:r w:rsidRPr="00BA0AD1">
        <w:t>р</w:t>
      </w:r>
      <w:r w:rsidRPr="00BA0AD1">
        <w:t>кестры и балетные труппы, традиционно работающие в музыкальных театрах, выезжают с концертами в разные районы страны. В рамках национальной пр</w:t>
      </w:r>
      <w:r w:rsidRPr="00BA0AD1">
        <w:t>о</w:t>
      </w:r>
      <w:r w:rsidRPr="00BA0AD1">
        <w:t xml:space="preserve">граммы пропаганды чтения создаются библиотеки с книжным фондом на языке </w:t>
      </w:r>
      <w:proofErr w:type="spellStart"/>
      <w:r w:rsidRPr="00BA0AD1">
        <w:t>гуарани</w:t>
      </w:r>
      <w:proofErr w:type="spellEnd"/>
      <w:r w:rsidRPr="00BA0AD1">
        <w:t xml:space="preserve"> и испанском языке. В библиотеках проводятся чтения. Ведется работа по подготовке популяризаторов книги, организуются семинары, работают кружки молодежного танца, хоровые кружки (в школах и колледжах), проводя</w:t>
      </w:r>
      <w:r w:rsidRPr="00BA0AD1">
        <w:t>т</w:t>
      </w:r>
      <w:r w:rsidRPr="00BA0AD1">
        <w:t>ся другие мероприятия, например конкурсы чтецов, конкурсы по различным направлениям артистической деятельности, культуры и гражданского воспит</w:t>
      </w:r>
      <w:r w:rsidRPr="00BA0AD1">
        <w:t>а</w:t>
      </w:r>
      <w:r w:rsidRPr="00BA0AD1">
        <w:t>ния.</w:t>
      </w:r>
    </w:p>
    <w:p w:rsidR="00BA0AD1" w:rsidRPr="00BA0AD1" w:rsidRDefault="00BA0AD1" w:rsidP="00BA0AD1">
      <w:pPr>
        <w:pStyle w:val="SingleTxtGR"/>
      </w:pPr>
      <w:r w:rsidRPr="00BA0AD1">
        <w:t>419.</w:t>
      </w:r>
      <w:r w:rsidRPr="00BA0AD1">
        <w:tab/>
        <w:t xml:space="preserve">Руководство музеев и архивов выявило ценные исторические материалы и способствовало их сохранению. В настоящее время приводятся в порядок 12 культурно-исторических мест, их благоустраивают с учетом возможностей доступа для инвалидов.  </w:t>
      </w:r>
    </w:p>
    <w:p w:rsidR="00BA0AD1" w:rsidRPr="00BA0AD1" w:rsidRDefault="00BA0AD1" w:rsidP="00BA0AD1">
      <w:pPr>
        <w:pStyle w:val="SingleTxtGR"/>
      </w:pPr>
      <w:r w:rsidRPr="00BA0AD1">
        <w:t>420.</w:t>
      </w:r>
      <w:r w:rsidRPr="00BA0AD1">
        <w:tab/>
        <w:t>Национальная библиотека открыла для отечественных и зарубежных и</w:t>
      </w:r>
      <w:r w:rsidRPr="00BA0AD1">
        <w:t>с</w:t>
      </w:r>
      <w:r w:rsidRPr="00BA0AD1">
        <w:t>следователей доступ к 69 443 библиографическим материалам и приобрела 3874 новых издания.</w:t>
      </w:r>
    </w:p>
    <w:p w:rsidR="00BA0AD1" w:rsidRPr="00BA0AD1" w:rsidRDefault="00BA0AD1" w:rsidP="00BA0AD1">
      <w:pPr>
        <w:pStyle w:val="SingleTxtGR"/>
      </w:pPr>
      <w:r w:rsidRPr="00BA0AD1">
        <w:t>421.</w:t>
      </w:r>
      <w:r w:rsidRPr="00BA0AD1">
        <w:tab/>
        <w:t>В 2010 году Национальный архив посетили 2455 человек, в том числе 1206 научных работников, 19 иностранцев и 1249 учащихся различных учебных заведений</w:t>
      </w:r>
      <w:r w:rsidRPr="007713F6">
        <w:rPr>
          <w:sz w:val="18"/>
          <w:szCs w:val="18"/>
          <w:vertAlign w:val="superscript"/>
        </w:rPr>
        <w:footnoteReference w:id="53"/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422.</w:t>
      </w:r>
      <w:r w:rsidRPr="00BA0AD1">
        <w:tab/>
        <w:t>Говоря о кино, следует отметить, что в последние годы увеличилось чи</w:t>
      </w:r>
      <w:r w:rsidRPr="00BA0AD1">
        <w:t>с</w:t>
      </w:r>
      <w:r w:rsidRPr="00BA0AD1">
        <w:t xml:space="preserve">ло производимых в стране фильмов и повысилось их качество. Возможности для демонстрации фильмов появились в разных департаментах страны, в том числе в поселениях коренного населения в Восточном регионе и </w:t>
      </w:r>
      <w:proofErr w:type="spellStart"/>
      <w:r w:rsidRPr="00BA0AD1">
        <w:t>Чакенье</w:t>
      </w:r>
      <w:proofErr w:type="spellEnd"/>
      <w:r w:rsidRPr="00BA0AD1">
        <w:t>: ж</w:t>
      </w:r>
      <w:r w:rsidRPr="00BA0AD1">
        <w:t>и</w:t>
      </w:r>
      <w:r w:rsidRPr="00BA0AD1">
        <w:t>телям этих общин привозят отечественные и зарубежные фильмы, рассказ</w:t>
      </w:r>
      <w:r w:rsidRPr="00BA0AD1">
        <w:t>ы</w:t>
      </w:r>
      <w:r w:rsidRPr="00BA0AD1">
        <w:t>вающие об их культуре и о культурах других народов. В НСК планируется со</w:t>
      </w:r>
      <w:r w:rsidRPr="00BA0AD1">
        <w:t>з</w:t>
      </w:r>
      <w:r w:rsidRPr="00BA0AD1">
        <w:t>дать отдел аудиовизуальной продукции.</w:t>
      </w:r>
    </w:p>
    <w:p w:rsidR="00BA0AD1" w:rsidRPr="00BA0AD1" w:rsidRDefault="00BA0AD1" w:rsidP="00BA0AD1">
      <w:pPr>
        <w:pStyle w:val="SingleTxtGR"/>
      </w:pPr>
      <w:r w:rsidRPr="00BA0AD1">
        <w:t>423.</w:t>
      </w:r>
      <w:r w:rsidRPr="00BA0AD1">
        <w:tab/>
        <w:t>В отношении новых технологий и телевидения можно отметить, что НСК оказывает содействие в доступе к культурному наследию человечества, среди прочего, путем внедрения новых технологий, например передачи компьютерн</w:t>
      </w:r>
      <w:r w:rsidRPr="00BA0AD1">
        <w:t>о</w:t>
      </w:r>
      <w:r w:rsidRPr="00BA0AD1">
        <w:t>го оборудования в работающие в разных регионах страны центры культуры. Фонды совместного финансирования также занимаются решением этой задачи, и в рамках осуществления проекта "</w:t>
      </w:r>
      <w:proofErr w:type="spellStart"/>
      <w:r w:rsidRPr="00BA0AD1">
        <w:t>Сьюдадела</w:t>
      </w:r>
      <w:proofErr w:type="spellEnd"/>
      <w:r w:rsidRPr="00BA0AD1">
        <w:t>", направленного на восстано</w:t>
      </w:r>
      <w:r w:rsidRPr="00BA0AD1">
        <w:t>в</w:t>
      </w:r>
      <w:r w:rsidRPr="00BA0AD1">
        <w:t>ление исторического центра Асунсьона, предусматривается создание здесь о</w:t>
      </w:r>
      <w:r w:rsidRPr="00BA0AD1">
        <w:t>б</w:t>
      </w:r>
      <w:r w:rsidRPr="00BA0AD1">
        <w:t>щедоступного центра высоких технологий. Общественное телевидение включ</w:t>
      </w:r>
      <w:r w:rsidRPr="00BA0AD1">
        <w:t>а</w:t>
      </w:r>
      <w:r w:rsidRPr="00BA0AD1">
        <w:t>ет информацию о культуре народов страны и мира в передачи, выдвинутые в настоящее время на конкурс для получения финансирования. Отдел НСК по р</w:t>
      </w:r>
      <w:r w:rsidRPr="00BA0AD1">
        <w:t>а</w:t>
      </w:r>
      <w:r w:rsidRPr="00BA0AD1">
        <w:t>боте с телевидением укрепил кадровый состав своей группы по подготовке а</w:t>
      </w:r>
      <w:r w:rsidRPr="00BA0AD1">
        <w:t>у</w:t>
      </w:r>
      <w:r w:rsidRPr="00BA0AD1">
        <w:t>диовизуальных материалов.</w:t>
      </w:r>
    </w:p>
    <w:p w:rsidR="00BA0AD1" w:rsidRPr="00BA0AD1" w:rsidRDefault="00BA0AD1" w:rsidP="00BA0AD1">
      <w:pPr>
        <w:pStyle w:val="SingleTxtGR"/>
      </w:pPr>
      <w:r w:rsidRPr="00BA0AD1">
        <w:t>424.</w:t>
      </w:r>
      <w:r w:rsidRPr="00BA0AD1">
        <w:tab/>
        <w:t>2 июля 2007 года Парагвай принял Закон № 3229/07 о ратификации Ко</w:t>
      </w:r>
      <w:r w:rsidRPr="00BA0AD1">
        <w:t>н</w:t>
      </w:r>
      <w:r w:rsidRPr="00BA0AD1">
        <w:t>венции об охране и поощрении разнообразия форм культурного самовыраж</w:t>
      </w:r>
      <w:r w:rsidRPr="00BA0AD1">
        <w:t>е</w:t>
      </w:r>
      <w:r w:rsidRPr="00BA0AD1">
        <w:t>ния. Для введения в действие и выполнения положений Конвенции была созд</w:t>
      </w:r>
      <w:r w:rsidRPr="00BA0AD1">
        <w:t>а</w:t>
      </w:r>
      <w:r w:rsidRPr="00BA0AD1">
        <w:t>на межведомственная рабочая группа, в состав которой вошли Парагвайский институт по делам коренного населения, НСК, МОК, МПТ, МИД, НСТ, Пар</w:t>
      </w:r>
      <w:r w:rsidRPr="00BA0AD1">
        <w:t>а</w:t>
      </w:r>
      <w:r w:rsidRPr="00BA0AD1">
        <w:t>гвайский институт ремесел, Национальный фонд культуры и искусства и другие организации.</w:t>
      </w:r>
    </w:p>
    <w:p w:rsidR="00BA0AD1" w:rsidRPr="00BA0AD1" w:rsidRDefault="00BA0AD1" w:rsidP="00BA0AD1">
      <w:pPr>
        <w:pStyle w:val="SingleTxtGR"/>
      </w:pPr>
      <w:r w:rsidRPr="00BA0AD1">
        <w:t>425.</w:t>
      </w:r>
      <w:r w:rsidRPr="00BA0AD1">
        <w:tab/>
        <w:t>ИНДИ с помощью своего Управления по вопросам развития этнических общин и в рамках осуществления программ по поддержке ремесленников з</w:t>
      </w:r>
      <w:r w:rsidRPr="00BA0AD1">
        <w:t>а</w:t>
      </w:r>
      <w:r w:rsidRPr="00BA0AD1">
        <w:t xml:space="preserve">вершил строительство галереи для проведения выставок ремесленных изделий в </w:t>
      </w:r>
      <w:proofErr w:type="spellStart"/>
      <w:r w:rsidRPr="00BA0AD1">
        <w:t>Лаурелти</w:t>
      </w:r>
      <w:proofErr w:type="spellEnd"/>
      <w:r w:rsidRPr="00BA0AD1">
        <w:t xml:space="preserve"> (Луке), отремонтировал ремесленную мастерскую Ассоциации к</w:t>
      </w:r>
      <w:r w:rsidRPr="00BA0AD1">
        <w:t>о</w:t>
      </w:r>
      <w:r w:rsidRPr="00BA0AD1">
        <w:t>ренных народов (Луке), предоставил помощь ремесленникам в поселке коре</w:t>
      </w:r>
      <w:r w:rsidRPr="00BA0AD1">
        <w:t>н</w:t>
      </w:r>
      <w:r w:rsidRPr="00BA0AD1">
        <w:t xml:space="preserve">ного населения </w:t>
      </w:r>
      <w:proofErr w:type="spellStart"/>
      <w:r w:rsidRPr="00BA0AD1">
        <w:t>Серо-Поти</w:t>
      </w:r>
      <w:proofErr w:type="spellEnd"/>
      <w:r w:rsidRPr="00BA0AD1">
        <w:t xml:space="preserve"> (</w:t>
      </w:r>
      <w:proofErr w:type="spellStart"/>
      <w:r w:rsidRPr="00BA0AD1">
        <w:t>Ламбаре</w:t>
      </w:r>
      <w:proofErr w:type="spellEnd"/>
      <w:r w:rsidRPr="00BA0AD1">
        <w:t xml:space="preserve">) и ремесленникам деревни </w:t>
      </w:r>
      <w:proofErr w:type="spellStart"/>
      <w:r w:rsidRPr="00BA0AD1">
        <w:t>Нивакле</w:t>
      </w:r>
      <w:proofErr w:type="spellEnd"/>
      <w:r w:rsidRPr="00BA0AD1">
        <w:t xml:space="preserve"> (</w:t>
      </w:r>
      <w:proofErr w:type="spellStart"/>
      <w:r w:rsidRPr="00BA0AD1">
        <w:t>Пуэ</w:t>
      </w:r>
      <w:r w:rsidRPr="00BA0AD1">
        <w:t>р</w:t>
      </w:r>
      <w:r w:rsidRPr="00BA0AD1">
        <w:t>то-Ботанико</w:t>
      </w:r>
      <w:proofErr w:type="spellEnd"/>
      <w:r w:rsidRPr="00BA0AD1">
        <w:t>).</w:t>
      </w:r>
    </w:p>
    <w:p w:rsidR="00BA0AD1" w:rsidRPr="00BA0AD1" w:rsidRDefault="00BA0AD1" w:rsidP="00BA0AD1">
      <w:pPr>
        <w:pStyle w:val="SingleTxtGR"/>
      </w:pPr>
      <w:r w:rsidRPr="00BA0AD1">
        <w:t>426.</w:t>
      </w:r>
      <w:r w:rsidRPr="00BA0AD1">
        <w:tab/>
        <w:t>Совместно с Парагвайским институтом ремесел, а также с НСТ и Наци</w:t>
      </w:r>
      <w:r w:rsidRPr="00BA0AD1">
        <w:t>о</w:t>
      </w:r>
      <w:r w:rsidRPr="00BA0AD1">
        <w:t>нальным фондом культуры и искусства ведутся разработка и осуществление программ оказания помощи, в частности в проведении выставок ремесленных изделий.</w:t>
      </w:r>
    </w:p>
    <w:p w:rsidR="00BA0AD1" w:rsidRPr="00BA0AD1" w:rsidRDefault="00BA0AD1" w:rsidP="00BA0AD1">
      <w:pPr>
        <w:pStyle w:val="SingleTxtGR"/>
      </w:pPr>
      <w:r w:rsidRPr="00BA0AD1">
        <w:t>427.</w:t>
      </w:r>
      <w:r w:rsidRPr="00BA0AD1">
        <w:tab/>
        <w:t>Принятая НСК программа развития культуры коренных народов, хотя она и испытывает нехватку кадровых и финансовых ресурсов, направлена на соде</w:t>
      </w:r>
      <w:r w:rsidRPr="00BA0AD1">
        <w:t>й</w:t>
      </w:r>
      <w:r w:rsidRPr="00BA0AD1">
        <w:t>ствие самоопределению, упрочению и возрождению культуры этих народов, равно как и на ее поддержку и пропаганду с целью осуществления культурных прав этих народов. В данной работе НСК сотрудничает с организациями коре</w:t>
      </w:r>
      <w:r w:rsidRPr="00BA0AD1">
        <w:t>н</w:t>
      </w:r>
      <w:r w:rsidRPr="00BA0AD1">
        <w:t>ных народов, с другими государственными учреждениями и с ОГО. В основу работы положены принципы активного участия, консультирования и получения предварительного, свободного и информированного согласия. НСК занимается восстановлением исторической памяти, развитием межкультурного взаимоде</w:t>
      </w:r>
      <w:r w:rsidRPr="00BA0AD1">
        <w:t>й</w:t>
      </w:r>
      <w:r w:rsidRPr="00BA0AD1">
        <w:t>ствия и созданием механизмов защиты народов, живущих в условиях добр</w:t>
      </w:r>
      <w:r w:rsidRPr="00BA0AD1">
        <w:t>о</w:t>
      </w:r>
      <w:r w:rsidRPr="00BA0AD1">
        <w:t>вольной изоляции, путем информирования общества о правах таких народов.</w:t>
      </w:r>
    </w:p>
    <w:p w:rsidR="00BA0AD1" w:rsidRPr="00BA0AD1" w:rsidRDefault="00BA0AD1" w:rsidP="00BA0AD1">
      <w:pPr>
        <w:pStyle w:val="SingleTxtGR"/>
      </w:pPr>
      <w:r w:rsidRPr="00BA0AD1">
        <w:t>428.</w:t>
      </w:r>
      <w:r w:rsidRPr="00BA0AD1">
        <w:tab/>
        <w:t xml:space="preserve">НСК оказывал правовую поддержку общинам </w:t>
      </w:r>
      <w:proofErr w:type="spellStart"/>
      <w:r w:rsidRPr="00BA0AD1">
        <w:t>Тотобиегосоде</w:t>
      </w:r>
      <w:proofErr w:type="spellEnd"/>
      <w:r w:rsidRPr="00BA0AD1">
        <w:t xml:space="preserve"> и </w:t>
      </w:r>
      <w:proofErr w:type="spellStart"/>
      <w:r w:rsidRPr="00BA0AD1">
        <w:t>Паи-Тавитера</w:t>
      </w:r>
      <w:proofErr w:type="spellEnd"/>
      <w:r w:rsidRPr="00BA0AD1">
        <w:t>, подавшим ряд исков по поводу территорий и священных мест. Терр</w:t>
      </w:r>
      <w:r w:rsidRPr="00BA0AD1">
        <w:t>и</w:t>
      </w:r>
      <w:r w:rsidRPr="00BA0AD1">
        <w:t>тории развития культуры этих народностей, как те, которые могут быть им во</w:t>
      </w:r>
      <w:r w:rsidRPr="00BA0AD1">
        <w:t>з</w:t>
      </w:r>
      <w:r w:rsidRPr="00BA0AD1">
        <w:t>вращены, так и принадлежавшие им в прошлом, но уже не подлежащие во</w:t>
      </w:r>
      <w:r w:rsidRPr="00BA0AD1">
        <w:t>з</w:t>
      </w:r>
      <w:r w:rsidRPr="00BA0AD1">
        <w:t>вращению, были выявлены, нанесены на карту и обозначены на местности</w:t>
      </w:r>
      <w:r w:rsidRPr="007713F6">
        <w:rPr>
          <w:sz w:val="18"/>
          <w:szCs w:val="18"/>
          <w:vertAlign w:val="superscript"/>
        </w:rPr>
        <w:footnoteReference w:id="54"/>
      </w:r>
      <w:r w:rsidRPr="00BA0AD1">
        <w:t>.</w:t>
      </w:r>
    </w:p>
    <w:p w:rsidR="00BA0AD1" w:rsidRPr="00BA0AD1" w:rsidRDefault="00BA0AD1" w:rsidP="00BA0AD1">
      <w:pPr>
        <w:pStyle w:val="SingleTxtGR"/>
      </w:pPr>
      <w:r w:rsidRPr="00BA0AD1">
        <w:t>429.</w:t>
      </w:r>
      <w:r w:rsidRPr="00BA0AD1">
        <w:tab/>
        <w:t xml:space="preserve">Участниками состоявшейся в апреле 2011 года Встречи представителей народности </w:t>
      </w:r>
      <w:proofErr w:type="spellStart"/>
      <w:r w:rsidRPr="00BA0AD1">
        <w:t>гуарани</w:t>
      </w:r>
      <w:proofErr w:type="spellEnd"/>
      <w:r w:rsidRPr="00BA0AD1">
        <w:t xml:space="preserve"> стран МЕРКОСУР стали 1300 представителей этой наро</w:t>
      </w:r>
      <w:r w:rsidRPr="00BA0AD1">
        <w:t>д</w:t>
      </w:r>
      <w:r w:rsidRPr="00BA0AD1">
        <w:t>ности (мужчин, женщин, молодежи, детей, пожилых людей) из Боливии, Пар</w:t>
      </w:r>
      <w:r w:rsidRPr="00BA0AD1">
        <w:t>а</w:t>
      </w:r>
      <w:r w:rsidRPr="00BA0AD1">
        <w:t xml:space="preserve">гвая, Бразилии и Аргентины. Встреча была проведена в общине </w:t>
      </w:r>
      <w:proofErr w:type="spellStart"/>
      <w:r w:rsidRPr="00BA0AD1">
        <w:t>Хагуати</w:t>
      </w:r>
      <w:proofErr w:type="spellEnd"/>
      <w:r w:rsidRPr="00BA0AD1">
        <w:t xml:space="preserve"> пар</w:t>
      </w:r>
      <w:r w:rsidRPr="00BA0AD1">
        <w:t>а</w:t>
      </w:r>
      <w:r w:rsidRPr="00BA0AD1">
        <w:t xml:space="preserve">гвайского департамента </w:t>
      </w:r>
      <w:proofErr w:type="spellStart"/>
      <w:r w:rsidRPr="00BA0AD1">
        <w:t>Амамбай</w:t>
      </w:r>
      <w:proofErr w:type="spellEnd"/>
      <w:r w:rsidRPr="00BA0AD1">
        <w:t xml:space="preserve"> </w:t>
      </w:r>
      <w:r w:rsidR="002B7B9B">
        <w:t>−</w:t>
      </w:r>
      <w:r w:rsidRPr="00BA0AD1">
        <w:t xml:space="preserve"> на земле, исконно принадлежавшей наро</w:t>
      </w:r>
      <w:r w:rsidRPr="00BA0AD1">
        <w:t>д</w:t>
      </w:r>
      <w:r w:rsidRPr="00BA0AD1">
        <w:t xml:space="preserve">ности </w:t>
      </w:r>
      <w:proofErr w:type="spellStart"/>
      <w:r w:rsidRPr="00BA0AD1">
        <w:t>паи-тавитера</w:t>
      </w:r>
      <w:proofErr w:type="spellEnd"/>
      <w:r w:rsidRPr="00BA0AD1">
        <w:t xml:space="preserve">. Специально к этому мероприятию здесь были построены восемь </w:t>
      </w:r>
      <w:proofErr w:type="spellStart"/>
      <w:r w:rsidRPr="00BA0AD1">
        <w:t>огагуасу</w:t>
      </w:r>
      <w:proofErr w:type="spellEnd"/>
      <w:r w:rsidRPr="00BA0AD1">
        <w:t xml:space="preserve"> </w:t>
      </w:r>
      <w:r w:rsidR="002B7B9B">
        <w:t>−</w:t>
      </w:r>
      <w:r w:rsidRPr="00BA0AD1">
        <w:t xml:space="preserve"> традиционных больших домов, где останавливались учас</w:t>
      </w:r>
      <w:r w:rsidRPr="00BA0AD1">
        <w:t>т</w:t>
      </w:r>
      <w:r w:rsidRPr="00BA0AD1">
        <w:t>ники этого мероприятия. В течение пяти дней шли обмен мнениями, общение, рассказы, участники пели, танцевали, совершали обряды, занимались врачев</w:t>
      </w:r>
      <w:r w:rsidRPr="00BA0AD1">
        <w:t>а</w:t>
      </w:r>
      <w:r w:rsidRPr="00BA0AD1">
        <w:t>нием, читали молитвы. Они говорили о положении своего народа и рассказыв</w:t>
      </w:r>
      <w:r w:rsidRPr="00BA0AD1">
        <w:t>а</w:t>
      </w:r>
      <w:r w:rsidRPr="00BA0AD1">
        <w:t>ли о своей борьбе и своих достижениях</w:t>
      </w:r>
      <w:r w:rsidRPr="007713F6">
        <w:rPr>
          <w:sz w:val="18"/>
          <w:szCs w:val="18"/>
          <w:vertAlign w:val="superscript"/>
        </w:rPr>
        <w:footnoteReference w:id="55"/>
      </w:r>
      <w:r w:rsidRPr="00BA0AD1">
        <w:t>. В ходе Встречи обсуждалась госуда</w:t>
      </w:r>
      <w:r w:rsidRPr="00BA0AD1">
        <w:t>р</w:t>
      </w:r>
      <w:r w:rsidRPr="00BA0AD1">
        <w:t xml:space="preserve">ственная политика, влияющая на положение народности </w:t>
      </w:r>
      <w:proofErr w:type="spellStart"/>
      <w:r w:rsidRPr="00BA0AD1">
        <w:t>гуарани</w:t>
      </w:r>
      <w:proofErr w:type="spellEnd"/>
      <w:r w:rsidRPr="00BA0AD1">
        <w:t>, и определ</w:t>
      </w:r>
      <w:r w:rsidRPr="00BA0AD1">
        <w:t>я</w:t>
      </w:r>
      <w:r w:rsidRPr="00BA0AD1">
        <w:t>лись претензии и требования к органам власти. НСК будет и впредь организ</w:t>
      </w:r>
      <w:r w:rsidRPr="00BA0AD1">
        <w:t>о</w:t>
      </w:r>
      <w:r w:rsidRPr="00BA0AD1">
        <w:t>вывать такие встречи и встречи представителей других народностей, в том чи</w:t>
      </w:r>
      <w:r w:rsidRPr="00BA0AD1">
        <w:t>с</w:t>
      </w:r>
      <w:r w:rsidRPr="00BA0AD1">
        <w:t>ле проживающих на территориях нескольких стран.</w:t>
      </w:r>
    </w:p>
    <w:p w:rsidR="00BA0AD1" w:rsidRPr="00BA0AD1" w:rsidRDefault="00BA0AD1" w:rsidP="00BA0AD1">
      <w:pPr>
        <w:pStyle w:val="SingleTxtGR"/>
      </w:pPr>
      <w:r w:rsidRPr="00BA0AD1">
        <w:t>430.</w:t>
      </w:r>
      <w:r w:rsidRPr="00BA0AD1">
        <w:tab/>
        <w:t>Право на свободу религии. Специальный докладчик Организации Объ</w:t>
      </w:r>
      <w:r w:rsidRPr="00BA0AD1">
        <w:t>е</w:t>
      </w:r>
      <w:r w:rsidRPr="00BA0AD1">
        <w:t xml:space="preserve">диненных Наций по вопросу о свободе религии убеждений посетил страну в 2011 году и отметил, что индейцы, проживающие в поселении меннонитов на исконно принадлежавших коренным народам землях в Центральном </w:t>
      </w:r>
      <w:proofErr w:type="spellStart"/>
      <w:r w:rsidRPr="00BA0AD1">
        <w:t>Чако</w:t>
      </w:r>
      <w:proofErr w:type="spellEnd"/>
      <w:r w:rsidRPr="00BA0AD1">
        <w:t>, л</w:t>
      </w:r>
      <w:r w:rsidRPr="00BA0AD1">
        <w:t>и</w:t>
      </w:r>
      <w:r w:rsidRPr="00BA0AD1">
        <w:t>шены экономической, социальной и религиозной независимости. Докладчик указал, что хотя представители коренного населения и получают экономич</w:t>
      </w:r>
      <w:r w:rsidRPr="00BA0AD1">
        <w:t>е</w:t>
      </w:r>
      <w:r w:rsidRPr="00BA0AD1">
        <w:t>скую помощь от меннонитов, однако им не обеспечивается необходимая своб</w:t>
      </w:r>
      <w:r w:rsidRPr="00BA0AD1">
        <w:t>о</w:t>
      </w:r>
      <w:r w:rsidRPr="00BA0AD1">
        <w:t>да для отправления собственных культов и верований.</w:t>
      </w:r>
    </w:p>
    <w:p w:rsidR="00BA0AD1" w:rsidRPr="00BA0AD1" w:rsidRDefault="00BA0AD1" w:rsidP="00BA0AD1">
      <w:pPr>
        <w:pStyle w:val="SingleTxtGR"/>
      </w:pPr>
      <w:r w:rsidRPr="00BA0AD1">
        <w:t>431.</w:t>
      </w:r>
      <w:r w:rsidRPr="00BA0AD1">
        <w:tab/>
        <w:t>В первые годы работы (2008</w:t>
      </w:r>
      <w:r w:rsidR="002B7B9B">
        <w:t>−</w:t>
      </w:r>
      <w:r w:rsidRPr="00BA0AD1">
        <w:t>2010 годы) приоритетной задачей для НСК была разработка внутреннего регламента своей деятельности, однако при этом принимались меры к налаживанию контактов с местными органами власти п</w:t>
      </w:r>
      <w:r w:rsidRPr="00BA0AD1">
        <w:t>у</w:t>
      </w:r>
      <w:r w:rsidRPr="00BA0AD1">
        <w:t>тем проведения форумов и осуществления программ культурной направленн</w:t>
      </w:r>
      <w:r w:rsidRPr="00BA0AD1">
        <w:t>о</w:t>
      </w:r>
      <w:r w:rsidRPr="00BA0AD1">
        <w:t>сти, например в рамках работы домов культуры, культурных центров и пр</w:t>
      </w:r>
      <w:r w:rsidRPr="00BA0AD1">
        <w:t>о</w:t>
      </w:r>
      <w:r w:rsidRPr="00BA0AD1">
        <w:t>странств, обучения работников культуры, создания библиотек. Первоначально при разработке планов совместной работы муниципальные и местные органы ожидали, что НСК будет предоставлять им средства на осуществление любых инициатив, однако Секретариату удалось изменить подобную ориентацию на помощь из центра, заменив ее децентрализованной, прозрачной и инклюзивной системой заинтересованного участия.</w:t>
      </w:r>
    </w:p>
    <w:p w:rsidR="00BA0AD1" w:rsidRPr="00BA0AD1" w:rsidRDefault="00BA0AD1" w:rsidP="00BA0AD1">
      <w:pPr>
        <w:pStyle w:val="SingleTxtGR"/>
      </w:pPr>
      <w:r w:rsidRPr="00BA0AD1">
        <w:t>432.</w:t>
      </w:r>
      <w:r w:rsidRPr="00BA0AD1">
        <w:tab/>
        <w:t>Благодаря той ведущей роли, которую НСК играл в 2011 году при праз</w:t>
      </w:r>
      <w:r w:rsidRPr="00BA0AD1">
        <w:t>д</w:t>
      </w:r>
      <w:r w:rsidRPr="00BA0AD1">
        <w:t>новании двухсотлетия независимости Парагвая в 17 департаментах страны, п</w:t>
      </w:r>
      <w:r w:rsidRPr="00BA0AD1">
        <w:t>о</w:t>
      </w:r>
      <w:r w:rsidRPr="00BA0AD1">
        <w:t>вышается готовность местных и региональных органов к диалогу и сотрудн</w:t>
      </w:r>
      <w:r w:rsidRPr="00BA0AD1">
        <w:t>и</w:t>
      </w:r>
      <w:r w:rsidRPr="00BA0AD1">
        <w:t xml:space="preserve">честву. Организованные в столицах департаментов праздники </w:t>
      </w:r>
      <w:proofErr w:type="spellStart"/>
      <w:r w:rsidRPr="00BA0AD1">
        <w:t>Ву-а-Гуасу</w:t>
      </w:r>
      <w:proofErr w:type="spellEnd"/>
      <w:r w:rsidRPr="00BA0AD1">
        <w:t xml:space="preserve"> и средства, выделенные на их проведение, открыли возможности для совместной работы и использования средств местных органов на проведение культурных программ, с восторгом встреченных местным населением. Кроме того, НСК оказывал поддержку местным инициативам, предусматривавшим активное уч</w:t>
      </w:r>
      <w:r w:rsidRPr="00BA0AD1">
        <w:t>а</w:t>
      </w:r>
      <w:r w:rsidRPr="00BA0AD1">
        <w:t>стие местных партнеров. Такие инициативы свидетельствуют о готовности м</w:t>
      </w:r>
      <w:r w:rsidRPr="00BA0AD1">
        <w:t>е</w:t>
      </w:r>
      <w:r w:rsidRPr="00BA0AD1">
        <w:t>стных органов заниматься вопросами культуры и выделять на это средства, что создает благоприятные условия для введения в действие Национальной сист</w:t>
      </w:r>
      <w:r w:rsidRPr="00BA0AD1">
        <w:t>е</w:t>
      </w:r>
      <w:r w:rsidRPr="00BA0AD1">
        <w:t>мы поддержки культуры.</w:t>
      </w:r>
    </w:p>
    <w:p w:rsidR="00BA0AD1" w:rsidRPr="007D2776" w:rsidRDefault="00BA0AD1" w:rsidP="007D2776">
      <w:pPr>
        <w:pStyle w:val="H23GR"/>
      </w:pPr>
      <w:r w:rsidRPr="007D2776">
        <w:tab/>
        <w:t>14.</w:t>
      </w:r>
      <w:r w:rsidRPr="007D2776">
        <w:tab/>
        <w:t>Выполнение статьи 15 Пакта об экономических, соц</w:t>
      </w:r>
      <w:r w:rsidRPr="007D2776">
        <w:t>и</w:t>
      </w:r>
      <w:r w:rsidRPr="007D2776">
        <w:t xml:space="preserve">альных и культурных правах </w:t>
      </w:r>
    </w:p>
    <w:p w:rsidR="00BA0AD1" w:rsidRPr="00BA0AD1" w:rsidRDefault="00BA0AD1" w:rsidP="00BA0AD1">
      <w:pPr>
        <w:pStyle w:val="SingleTxtGR"/>
      </w:pPr>
      <w:r w:rsidRPr="00BA0AD1">
        <w:t>433.</w:t>
      </w:r>
      <w:r w:rsidRPr="00BA0AD1">
        <w:tab/>
        <w:t>При рассмотрении заключительных замечаний Комитета не было обн</w:t>
      </w:r>
      <w:r w:rsidRPr="00BA0AD1">
        <w:t>а</w:t>
      </w:r>
      <w:r w:rsidRPr="00BA0AD1">
        <w:t>ружено конкретных рекомендаций Комитета относительно статьи 15 Пакта. Информация по рекомендациям, касающимся, в числе прочего, культурных прав, приводится выше в настоящем докладе.</w:t>
      </w:r>
    </w:p>
    <w:p w:rsidR="00A10348" w:rsidRPr="00BA0AD1" w:rsidRDefault="00BA0AD1" w:rsidP="00BA0AD1">
      <w:pPr>
        <w:spacing w:before="240"/>
        <w:jc w:val="center"/>
        <w:rPr>
          <w:u w:val="single"/>
        </w:rPr>
      </w:pPr>
      <w:r w:rsidRPr="00BA0AD1">
        <w:rPr>
          <w:u w:val="single"/>
        </w:rPr>
        <w:tab/>
      </w:r>
      <w:r w:rsidRPr="00BA0AD1">
        <w:rPr>
          <w:u w:val="single"/>
        </w:rPr>
        <w:tab/>
      </w:r>
      <w:r w:rsidRPr="00BA0AD1">
        <w:rPr>
          <w:u w:val="single"/>
        </w:rPr>
        <w:tab/>
      </w:r>
    </w:p>
    <w:sectPr w:rsidR="00A10348" w:rsidRPr="00BA0AD1" w:rsidSect="00A1034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A7" w:rsidRDefault="004849A7">
      <w:r>
        <w:rPr>
          <w:lang w:val="en-US"/>
        </w:rPr>
        <w:tab/>
      </w:r>
      <w:r>
        <w:separator/>
      </w:r>
    </w:p>
  </w:endnote>
  <w:endnote w:type="continuationSeparator" w:id="0">
    <w:p w:rsidR="004849A7" w:rsidRDefault="0048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A7" w:rsidRPr="009A6F4A" w:rsidRDefault="004849A7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4497">
      <w:rPr>
        <w:rStyle w:val="PageNumber"/>
        <w:noProof/>
      </w:rPr>
      <w:t>64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F93199">
      <w:rPr>
        <w:lang w:val="en-US"/>
      </w:rPr>
      <w:t>13</w:t>
    </w:r>
    <w:r>
      <w:rPr>
        <w:lang w:val="en-US"/>
      </w:rPr>
      <w:t>-</w:t>
    </w:r>
    <w:r w:rsidR="00F93199">
      <w:rPr>
        <w:lang w:val="en-US"/>
      </w:rPr>
      <w:t>44057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A7" w:rsidRPr="009A6F4A" w:rsidRDefault="004849A7">
    <w:pPr>
      <w:pStyle w:val="Footer"/>
      <w:rPr>
        <w:lang w:val="en-US"/>
      </w:rPr>
    </w:pPr>
    <w:r>
      <w:rPr>
        <w:lang w:val="en-US"/>
      </w:rPr>
      <w:t>GE.</w:t>
    </w:r>
    <w:r w:rsidR="00F93199">
      <w:rPr>
        <w:lang w:val="en-US"/>
      </w:rPr>
      <w:t>13</w:t>
    </w:r>
    <w:r>
      <w:rPr>
        <w:lang w:val="en-US"/>
      </w:rPr>
      <w:t>-</w:t>
    </w:r>
    <w:r w:rsidR="00F93199">
      <w:rPr>
        <w:lang w:val="en-US"/>
      </w:rPr>
      <w:t>44057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4497">
      <w:rPr>
        <w:rStyle w:val="PageNumber"/>
        <w:noProof/>
      </w:rPr>
      <w:t>65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A7" w:rsidRPr="009A6F4A" w:rsidRDefault="004849A7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F93199">
      <w:rPr>
        <w:sz w:val="20"/>
        <w:lang w:val="en-US"/>
      </w:rPr>
      <w:t>3</w:t>
    </w:r>
    <w:r>
      <w:rPr>
        <w:sz w:val="20"/>
        <w:lang w:val="en-US"/>
      </w:rPr>
      <w:t>-</w:t>
    </w:r>
    <w:r w:rsidR="00F93199">
      <w:rPr>
        <w:sz w:val="20"/>
        <w:lang w:val="en-US"/>
      </w:rPr>
      <w:t>44057</w:t>
    </w:r>
    <w:r>
      <w:rPr>
        <w:sz w:val="20"/>
        <w:lang w:val="en-US"/>
      </w:rPr>
      <w:t xml:space="preserve">  (R)  </w:t>
    </w:r>
    <w:r w:rsidR="00F93199">
      <w:rPr>
        <w:sz w:val="20"/>
        <w:lang w:val="en-US"/>
      </w:rPr>
      <w:t>181013  121113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A7" w:rsidRPr="00F71F63" w:rsidRDefault="004849A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849A7" w:rsidRPr="00F71F63" w:rsidRDefault="004849A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849A7" w:rsidRPr="00635E86" w:rsidRDefault="004849A7" w:rsidP="00635E86">
      <w:pPr>
        <w:pStyle w:val="Footer"/>
      </w:pPr>
    </w:p>
  </w:footnote>
  <w:footnote w:id="1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vertAlign w:val="baseline"/>
          <w:lang w:val="ru-RU"/>
        </w:rPr>
        <w:t>*</w:t>
      </w:r>
      <w:r w:rsidRPr="007D2776">
        <w:rPr>
          <w:szCs w:val="18"/>
          <w:lang w:val="ru-RU"/>
        </w:rPr>
        <w:tab/>
        <w:t xml:space="preserve">В соответствии с информацией, направленной государствам-участникам в отношении оформления их докладов, настоящий документ до его передачи в службы письменного перевода Организации Объединенных Наций не редактировался. </w:t>
      </w:r>
    </w:p>
  </w:footnote>
  <w:footnote w:id="2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  <w:t>**</w:t>
      </w:r>
      <w:r w:rsidRPr="007D2776">
        <w:rPr>
          <w:szCs w:val="18"/>
          <w:lang w:val="ru-RU"/>
        </w:rPr>
        <w:tab/>
        <w:t xml:space="preserve">Информация, представленная в соответствии с </w:t>
      </w:r>
      <w:r w:rsidRPr="007D2776">
        <w:rPr>
          <w:bCs/>
          <w:szCs w:val="18"/>
          <w:lang w:val="ru-RU"/>
        </w:rPr>
        <w:t>согласованными руководящими принципами представления начальной части докладов</w:t>
      </w:r>
      <w:r w:rsidRPr="007D2776">
        <w:rPr>
          <w:szCs w:val="18"/>
          <w:lang w:val="ru-RU"/>
        </w:rPr>
        <w:t xml:space="preserve"> государств-участников, содержится в основном документе Парагвая (HRI/CORE/PRY/2010).</w:t>
      </w:r>
    </w:p>
  </w:footnote>
  <w:footnote w:id="3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vertAlign w:val="baseline"/>
          <w:lang w:val="ru-RU"/>
        </w:rPr>
        <w:t>***</w:t>
      </w:r>
      <w:r w:rsidRPr="007D2776">
        <w:rPr>
          <w:szCs w:val="18"/>
          <w:lang w:val="ru-RU"/>
        </w:rPr>
        <w:t xml:space="preserve"> </w:t>
      </w:r>
      <w:r w:rsidRPr="007D2776">
        <w:rPr>
          <w:szCs w:val="18"/>
          <w:lang w:val="ru-RU"/>
        </w:rPr>
        <w:tab/>
        <w:t>С приложениями можно ознакомиться в архивах Секретариата</w:t>
      </w:r>
      <w:r w:rsidRPr="007D2776">
        <w:rPr>
          <w:szCs w:val="18"/>
          <w:lang w:val="ru-RU" w:bidi="fr-FR"/>
        </w:rPr>
        <w:t>.</w:t>
      </w:r>
    </w:p>
  </w:footnote>
  <w:footnote w:id="4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 xml:space="preserve">План-2020 представляет собой Проект государственной политики социального развития "Парагвай для всех" на 2010–2020 годы – проект социально-экономического развития, основанного на принципах равноправия, равенства и универсальности. </w:t>
      </w:r>
    </w:p>
  </w:footnote>
  <w:footnote w:id="5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Исходя из общих задач Проекта "Парагвай-2020", и в частности задач на 2013 год, определены двенадцать приоритетных целей, а также их показатели и целевые ориентиры. Эти ориентиры определяются обязательствами, принятыми на себя правительством, и, равным образом, вытекают из Целей развития тысячелетия и согласуются с ними.</w:t>
      </w:r>
    </w:p>
  </w:footnote>
  <w:footnote w:id="6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 xml:space="preserve">В соответствии с приоритетными Целевыми ориентирами на 2013 год приняты так называемые "основные" программы, способствующие достижению этих ориентиров. </w:t>
      </w:r>
    </w:p>
  </w:footnote>
  <w:footnote w:id="7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См. приложение I, рисунок 1.</w:t>
      </w:r>
    </w:p>
  </w:footnote>
  <w:footnote w:id="8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См. приложение I, рисунки 2–5.</w:t>
      </w:r>
    </w:p>
  </w:footnote>
  <w:footnote w:id="9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szCs w:val="18"/>
          <w:vertAlign w:val="superscript"/>
          <w:lang w:val="ru-RU"/>
        </w:rPr>
        <w:footnoteRef/>
      </w:r>
      <w:r w:rsidRPr="007D2776">
        <w:rPr>
          <w:szCs w:val="18"/>
          <w:lang w:val="ru-RU"/>
        </w:rPr>
        <w:tab/>
        <w:t>Подробнее о сферах сотрудничества и его ходе см. приложение II.</w:t>
      </w:r>
    </w:p>
  </w:footnote>
  <w:footnote w:id="10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szCs w:val="18"/>
          <w:vertAlign w:val="superscript"/>
          <w:lang w:val="ru-RU"/>
        </w:rPr>
        <w:footnoteRef/>
      </w:r>
      <w:r w:rsidRPr="007D2776">
        <w:rPr>
          <w:szCs w:val="18"/>
          <w:lang w:val="ru-RU"/>
        </w:rPr>
        <w:tab/>
        <w:t>В приложении III представлена информация об изменениях, внесенных в Уголовный кодекс по вопросу о торговле людьми.</w:t>
      </w:r>
    </w:p>
  </w:footnote>
  <w:footnote w:id="11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В приложении IV во исполнение рекомендации № 35 дается подробный анализ дел, рассмотренных Управлением уполномоченного по правам человека, и проведенных им мероприятий.</w:t>
      </w:r>
    </w:p>
  </w:footnote>
  <w:footnote w:id="12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См. приложение IV.</w:t>
      </w:r>
    </w:p>
  </w:footnote>
  <w:footnote w:id="13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В состав Сети исполнительной власти по правам человека (СИВПЧ) входят представители Министерства иностранных дел (МИД), Министерства внутренних дел (МВД), Министерства национальной обороны (МНО), Министерства здравоохранения и социального обеспечения (МЗСО), Министерства промышленности и торговли (МПТ), Министерства финансов (Минфин), Министерства сельского хозяйства и животноводства (МСХЖ), Министерства образования и культуры (МОК), Секретариата по делам женщин при президенте Республики (СДЖПР), Секретариата по вопросам информации и связи (СИКОМ), Департамента по делам молодежи, Национального секретариата по делам детей и подростков (НСДДП), Министерства государственной службы (МГС), Секретариата по делам репатриированных и получивших убежище соотечественников (СРПУС), Секретариата по мерам социальной политики (СМСП), Секретариата по вопросам спорта (СВС), Генеральной прокуратуры Республики (ГПР), Национального института по делам коренного населения (ИНДИ), Главного управления статистики, обследований и переписей (ГУСОП), Национального секретариата по культуре (НСК), Верховного суда (ВС), Генеральной судебной прокуратуры (ГСП).</w:t>
      </w:r>
    </w:p>
  </w:footnote>
  <w:footnote w:id="14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См. приложение VII.</w:t>
      </w:r>
    </w:p>
  </w:footnote>
  <w:footnote w:id="15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b/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b/>
          <w:szCs w:val="18"/>
          <w:lang w:val="ru-RU"/>
        </w:rPr>
        <w:tab/>
      </w:r>
      <w:r w:rsidRPr="007D2776">
        <w:rPr>
          <w:szCs w:val="18"/>
          <w:lang w:val="ru-RU"/>
        </w:rPr>
        <w:t>См. приложение VIII, рисунок 1.</w:t>
      </w:r>
    </w:p>
  </w:footnote>
  <w:footnote w:id="16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 xml:space="preserve">Во втором полугодии 2003 года негативные итоги первого полугодия удалось скомпенсировать, и в результате в целом год был отмечен экономическим ростом. </w:t>
      </w:r>
    </w:p>
  </w:footnote>
  <w:footnote w:id="17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Этот процесс был прерван только международным экономическим кризисом и сильной засухой в 2009 году.</w:t>
      </w:r>
    </w:p>
  </w:footnote>
  <w:footnote w:id="18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b/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b/>
          <w:szCs w:val="18"/>
          <w:lang w:val="ru-RU"/>
        </w:rPr>
        <w:tab/>
      </w:r>
      <w:r w:rsidRPr="007D2776">
        <w:rPr>
          <w:szCs w:val="18"/>
          <w:lang w:val="ru-RU"/>
        </w:rPr>
        <w:t>См. приложение VIII, рисунок 2.</w:t>
      </w:r>
    </w:p>
  </w:footnote>
  <w:footnote w:id="19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Этот год стал одни из самых тяжелых и для всего региона.</w:t>
      </w:r>
    </w:p>
  </w:footnote>
  <w:footnote w:id="20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b/>
          <w:bCs/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b/>
          <w:bCs/>
          <w:szCs w:val="18"/>
          <w:lang w:val="ru-RU"/>
        </w:rPr>
        <w:tab/>
      </w:r>
      <w:r w:rsidRPr="007D2776">
        <w:rPr>
          <w:bCs/>
          <w:szCs w:val="18"/>
          <w:lang w:val="ru-RU"/>
        </w:rPr>
        <w:t>См. приложение VIII, рисунок 3.</w:t>
      </w:r>
    </w:p>
  </w:footnote>
  <w:footnote w:id="21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</w:r>
      <w:r w:rsidRPr="007D2776">
        <w:rPr>
          <w:bCs/>
          <w:szCs w:val="18"/>
          <w:lang w:val="ru-RU"/>
        </w:rPr>
        <w:t xml:space="preserve">См. приложение </w:t>
      </w:r>
      <w:r w:rsidRPr="007D2776">
        <w:rPr>
          <w:szCs w:val="18"/>
          <w:lang w:val="ru-RU"/>
        </w:rPr>
        <w:t xml:space="preserve">IX, </w:t>
      </w:r>
      <w:r w:rsidRPr="007D2776">
        <w:rPr>
          <w:bCs/>
          <w:szCs w:val="18"/>
          <w:lang w:val="ru-RU"/>
        </w:rPr>
        <w:t xml:space="preserve">рисунок </w:t>
      </w:r>
      <w:r w:rsidRPr="007D2776">
        <w:rPr>
          <w:szCs w:val="18"/>
          <w:lang w:val="ru-RU"/>
        </w:rPr>
        <w:t xml:space="preserve">1. </w:t>
      </w:r>
    </w:p>
  </w:footnote>
  <w:footnote w:id="22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</w:r>
      <w:r w:rsidRPr="007D2776">
        <w:rPr>
          <w:bCs/>
          <w:szCs w:val="18"/>
          <w:lang w:val="ru-RU"/>
        </w:rPr>
        <w:t xml:space="preserve">См. приложение </w:t>
      </w:r>
      <w:r w:rsidRPr="007D2776">
        <w:rPr>
          <w:szCs w:val="18"/>
          <w:lang w:val="ru-RU"/>
        </w:rPr>
        <w:t xml:space="preserve">IX, </w:t>
      </w:r>
      <w:r w:rsidRPr="007D2776">
        <w:rPr>
          <w:bCs/>
          <w:szCs w:val="18"/>
          <w:lang w:val="ru-RU"/>
        </w:rPr>
        <w:t xml:space="preserve">рисунок </w:t>
      </w:r>
      <w:r w:rsidRPr="007D2776">
        <w:rPr>
          <w:szCs w:val="18"/>
          <w:lang w:val="ru-RU"/>
        </w:rPr>
        <w:t>2.</w:t>
      </w:r>
    </w:p>
  </w:footnote>
  <w:footnote w:id="23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</w:r>
      <w:r w:rsidRPr="007D2776">
        <w:rPr>
          <w:bCs/>
          <w:szCs w:val="18"/>
          <w:lang w:val="ru-RU"/>
        </w:rPr>
        <w:t>См. приложение VIII, рисунок 4.</w:t>
      </w:r>
    </w:p>
  </w:footnote>
  <w:footnote w:id="24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Для выборки такое сокращение является незначительным.</w:t>
      </w:r>
    </w:p>
  </w:footnote>
  <w:footnote w:id="25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См. приложение X.</w:t>
      </w:r>
    </w:p>
  </w:footnote>
  <w:footnote w:id="26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Там же.</w:t>
      </w:r>
    </w:p>
  </w:footnote>
  <w:footnote w:id="27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Третий доклад президента Национальному Конгрессу, период 2010–2011 годов, стр.</w:t>
      </w:r>
      <w:r w:rsidR="009F276B">
        <w:rPr>
          <w:szCs w:val="18"/>
          <w:lang w:val="ru-RU"/>
        </w:rPr>
        <w:t> </w:t>
      </w:r>
      <w:r w:rsidRPr="007D2776">
        <w:rPr>
          <w:szCs w:val="18"/>
          <w:lang w:val="ru-RU"/>
        </w:rPr>
        <w:t>101.</w:t>
      </w:r>
    </w:p>
  </w:footnote>
  <w:footnote w:id="28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См. приложение XII, рисунки 1 и 2.</w:t>
      </w:r>
    </w:p>
  </w:footnote>
  <w:footnote w:id="29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Там же, рисунок 3.</w:t>
      </w:r>
    </w:p>
  </w:footnote>
  <w:footnote w:id="30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 xml:space="preserve">Уровень бедности рассчитывается по методике "черты бедности", согласно которой, </w:t>
      </w:r>
      <w:r w:rsidRPr="007D2776">
        <w:rPr>
          <w:i/>
          <w:szCs w:val="18"/>
          <w:lang w:val="ru-RU"/>
        </w:rPr>
        <w:t>малообеспеченными</w:t>
      </w:r>
      <w:r w:rsidRPr="007D2776">
        <w:rPr>
          <w:szCs w:val="18"/>
          <w:lang w:val="ru-RU"/>
        </w:rPr>
        <w:t xml:space="preserve"> считаются члены домохозяйств, уровень благосостояния которых (измеряемый по уровню доходов) ниже стоимости базовой потребительской корзины (куда входят как продовольственные, так и непродовольственные товары), а </w:t>
      </w:r>
      <w:r w:rsidRPr="007D2776">
        <w:rPr>
          <w:i/>
          <w:szCs w:val="18"/>
          <w:lang w:val="ru-RU"/>
        </w:rPr>
        <w:t>живущими в условиях нищет</w:t>
      </w:r>
      <w:r w:rsidRPr="007D2776">
        <w:rPr>
          <w:szCs w:val="18"/>
          <w:lang w:val="ru-RU"/>
        </w:rPr>
        <w:t xml:space="preserve">ы – совокупность лиц, проживающих в домохозяйствах, доходы которых ниже стоимости продовольственной корзины. </w:t>
      </w:r>
    </w:p>
  </w:footnote>
  <w:footnote w:id="31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Коэффициент Джини показывает, насколько равномерно распределяются доходы. Его значение колеблется в пределах от нуля до единицы. Чем ближе этот показатель к нулю, тем больше равенство в распределении доходов, а чем ближе к единице, тем выше неравенство в распределении доходов.</w:t>
      </w:r>
    </w:p>
  </w:footnote>
  <w:footnote w:id="32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 xml:space="preserve">От роста цен на продовольствие, имевшего место в 2006 и 2007 годах, часть населения страны выиграла, тогда как другая – проиграла. </w:t>
      </w:r>
    </w:p>
  </w:footnote>
  <w:footnote w:id="33">
    <w:p w:rsidR="004849A7" w:rsidRPr="009F276B" w:rsidRDefault="004849A7" w:rsidP="007D2776">
      <w:pPr>
        <w:pStyle w:val="FootnoteText"/>
        <w:rPr>
          <w:rStyle w:val="FootnoteReference"/>
          <w:szCs w:val="18"/>
          <w:vertAlign w:val="baseline"/>
          <w:lang w:val="ru-RU"/>
        </w:rPr>
      </w:pPr>
      <w:r w:rsidRPr="007D2776">
        <w:rPr>
          <w:rStyle w:val="FootnoteReference"/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rStyle w:val="FootnoteReference"/>
          <w:szCs w:val="18"/>
          <w:lang w:val="ru-RU"/>
        </w:rPr>
        <w:tab/>
        <w:t>П</w:t>
      </w:r>
      <w:r w:rsidRPr="007D2776">
        <w:rPr>
          <w:szCs w:val="18"/>
          <w:lang w:val="ru-RU"/>
        </w:rPr>
        <w:t>равительство Республики Парагвай – Технический секретариат по вопросам планирования – Продовольственная и сельскохозяйственная организация Объединенных Наций (ФАО)</w:t>
      </w:r>
      <w:r w:rsidRPr="007D2776">
        <w:rPr>
          <w:rStyle w:val="FootnoteReference"/>
          <w:szCs w:val="18"/>
          <w:lang w:val="ru-RU"/>
        </w:rPr>
        <w:t xml:space="preserve">. </w:t>
      </w:r>
      <w:r w:rsidRPr="007D2776">
        <w:rPr>
          <w:szCs w:val="18"/>
          <w:lang w:val="ru-RU"/>
        </w:rPr>
        <w:t>Национальный план обеспечения суверенитета и безопасности в области продовольствия и питания в Парагвае (ПЛАНАЛ),</w:t>
      </w:r>
      <w:r w:rsidRPr="007D2776">
        <w:rPr>
          <w:rStyle w:val="FootnoteReference"/>
          <w:szCs w:val="18"/>
          <w:lang w:val="ru-RU"/>
        </w:rPr>
        <w:t xml:space="preserve"> </w:t>
      </w:r>
      <w:r w:rsidRPr="009F276B">
        <w:rPr>
          <w:rStyle w:val="FootnoteReference"/>
          <w:szCs w:val="18"/>
          <w:vertAlign w:val="baseline"/>
          <w:lang w:val="ru-RU"/>
        </w:rPr>
        <w:t>и</w:t>
      </w:r>
      <w:r w:rsidRPr="009F276B">
        <w:rPr>
          <w:szCs w:val="18"/>
          <w:lang w:val="ru-RU"/>
        </w:rPr>
        <w:t>юнь</w:t>
      </w:r>
      <w:r w:rsidRPr="009F276B">
        <w:rPr>
          <w:rStyle w:val="FootnoteReference"/>
          <w:szCs w:val="18"/>
          <w:vertAlign w:val="baseline"/>
          <w:lang w:val="ru-RU"/>
        </w:rPr>
        <w:t xml:space="preserve"> 2009</w:t>
      </w:r>
      <w:r w:rsidR="009F276B">
        <w:rPr>
          <w:szCs w:val="18"/>
          <w:lang w:val="ru-RU"/>
        </w:rPr>
        <w:t> </w:t>
      </w:r>
      <w:r w:rsidRPr="009F276B">
        <w:rPr>
          <w:szCs w:val="18"/>
          <w:lang w:val="ru-RU"/>
        </w:rPr>
        <w:t>года,</w:t>
      </w:r>
      <w:r w:rsidRPr="009F276B">
        <w:rPr>
          <w:rStyle w:val="FootnoteReference"/>
          <w:szCs w:val="18"/>
          <w:vertAlign w:val="baseline"/>
          <w:lang w:val="ru-RU"/>
        </w:rPr>
        <w:t xml:space="preserve"> </w:t>
      </w:r>
      <w:r w:rsidRPr="009F276B">
        <w:rPr>
          <w:szCs w:val="18"/>
          <w:lang w:val="ru-RU"/>
        </w:rPr>
        <w:t>стр.</w:t>
      </w:r>
      <w:r w:rsidRPr="009F276B">
        <w:rPr>
          <w:rStyle w:val="FootnoteReference"/>
          <w:szCs w:val="18"/>
          <w:vertAlign w:val="baseline"/>
          <w:lang w:val="ru-RU"/>
        </w:rPr>
        <w:t xml:space="preserve"> 213</w:t>
      </w:r>
      <w:r w:rsidRPr="009F276B">
        <w:rPr>
          <w:szCs w:val="18"/>
          <w:lang w:val="ru-RU"/>
        </w:rPr>
        <w:t xml:space="preserve"> исп. текста.</w:t>
      </w:r>
    </w:p>
  </w:footnote>
  <w:footnote w:id="34">
    <w:p w:rsidR="004849A7" w:rsidRPr="00B85E64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rStyle w:val="FootnoteReference"/>
          <w:szCs w:val="18"/>
          <w:lang w:val="ru-RU"/>
        </w:rPr>
        <w:tab/>
      </w:r>
      <w:r w:rsidRPr="00B85E64">
        <w:rPr>
          <w:rStyle w:val="FootnoteReference"/>
          <w:szCs w:val="18"/>
          <w:vertAlign w:val="baseline"/>
          <w:lang w:val="ru-RU"/>
        </w:rPr>
        <w:t>П</w:t>
      </w:r>
      <w:r w:rsidRPr="00B85E64">
        <w:rPr>
          <w:szCs w:val="18"/>
          <w:lang w:val="ru-RU"/>
        </w:rPr>
        <w:t>равительство Республики Парагвай</w:t>
      </w:r>
      <w:r w:rsidRPr="00B85E64">
        <w:rPr>
          <w:rStyle w:val="FootnoteReference"/>
          <w:szCs w:val="18"/>
          <w:vertAlign w:val="baseline"/>
          <w:lang w:val="ru-RU"/>
        </w:rPr>
        <w:t>. К</w:t>
      </w:r>
      <w:r w:rsidRPr="00B85E64">
        <w:rPr>
          <w:szCs w:val="18"/>
          <w:lang w:val="ru-RU"/>
        </w:rPr>
        <w:t>анцелярия президента Республики</w:t>
      </w:r>
      <w:r w:rsidRPr="00B85E64">
        <w:rPr>
          <w:rStyle w:val="FootnoteReference"/>
          <w:szCs w:val="18"/>
          <w:vertAlign w:val="baseline"/>
          <w:lang w:val="ru-RU"/>
        </w:rPr>
        <w:t xml:space="preserve">. </w:t>
      </w:r>
      <w:r w:rsidRPr="00B85E64">
        <w:rPr>
          <w:szCs w:val="18"/>
          <w:lang w:val="ru-RU"/>
        </w:rPr>
        <w:t>Технический секретариат по вопросам планирования экономического и социального развития (ТСП) – Генеральный секретариат Канцелярии президента Республики. Доклад за</w:t>
      </w:r>
      <w:r w:rsidRPr="00B85E64">
        <w:rPr>
          <w:rStyle w:val="FootnoteReference"/>
          <w:szCs w:val="18"/>
          <w:vertAlign w:val="baseline"/>
          <w:lang w:val="ru-RU"/>
        </w:rPr>
        <w:t xml:space="preserve"> 2009</w:t>
      </w:r>
      <w:r w:rsidRPr="00B85E64">
        <w:rPr>
          <w:szCs w:val="18"/>
          <w:lang w:val="ru-RU"/>
        </w:rPr>
        <w:t xml:space="preserve"> год</w:t>
      </w:r>
      <w:r w:rsidRPr="00B85E64">
        <w:rPr>
          <w:rStyle w:val="FootnoteReference"/>
          <w:szCs w:val="18"/>
          <w:vertAlign w:val="baseline"/>
          <w:lang w:val="ru-RU"/>
        </w:rPr>
        <w:t xml:space="preserve">. </w:t>
      </w:r>
      <w:r w:rsidRPr="00B85E64">
        <w:rPr>
          <w:szCs w:val="18"/>
          <w:lang w:val="ru-RU"/>
        </w:rPr>
        <w:t>Правительство страны,</w:t>
      </w:r>
      <w:r w:rsidRPr="00B85E64">
        <w:rPr>
          <w:rStyle w:val="FootnoteReference"/>
          <w:szCs w:val="18"/>
          <w:vertAlign w:val="baseline"/>
          <w:lang w:val="ru-RU"/>
        </w:rPr>
        <w:t xml:space="preserve"> и</w:t>
      </w:r>
      <w:r w:rsidRPr="00B85E64">
        <w:rPr>
          <w:szCs w:val="18"/>
          <w:lang w:val="ru-RU"/>
        </w:rPr>
        <w:t>юль</w:t>
      </w:r>
      <w:r w:rsidRPr="00B85E64">
        <w:rPr>
          <w:rStyle w:val="FootnoteReference"/>
          <w:szCs w:val="18"/>
          <w:vertAlign w:val="baseline"/>
          <w:lang w:val="ru-RU"/>
        </w:rPr>
        <w:t xml:space="preserve"> 2009</w:t>
      </w:r>
      <w:r w:rsidRPr="00B85E64">
        <w:rPr>
          <w:szCs w:val="18"/>
          <w:lang w:val="ru-RU"/>
        </w:rPr>
        <w:t xml:space="preserve"> года,</w:t>
      </w:r>
      <w:r w:rsidRPr="00B85E64">
        <w:rPr>
          <w:rStyle w:val="FootnoteReference"/>
          <w:szCs w:val="18"/>
          <w:vertAlign w:val="baseline"/>
          <w:lang w:val="ru-RU"/>
        </w:rPr>
        <w:t xml:space="preserve"> </w:t>
      </w:r>
      <w:r w:rsidRPr="00B85E64">
        <w:rPr>
          <w:szCs w:val="18"/>
          <w:lang w:val="ru-RU"/>
        </w:rPr>
        <w:t xml:space="preserve">стр. </w:t>
      </w:r>
      <w:r w:rsidRPr="00B85E64">
        <w:rPr>
          <w:rStyle w:val="FootnoteReference"/>
          <w:szCs w:val="18"/>
          <w:vertAlign w:val="baseline"/>
          <w:lang w:val="ru-RU"/>
        </w:rPr>
        <w:t>87</w:t>
      </w:r>
      <w:r w:rsidRPr="00B85E64">
        <w:rPr>
          <w:szCs w:val="18"/>
          <w:lang w:val="ru-RU"/>
        </w:rPr>
        <w:t xml:space="preserve"> исп. текста.</w:t>
      </w:r>
    </w:p>
  </w:footnote>
  <w:footnote w:id="35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 xml:space="preserve">Соотношение между весом и ростом. Данные за период после 2005 года отсутствуют (с этого года началось осуществление программы, которая была специально разработана для борьбы с недоеданием, и в 2010 году на нее было выделено примерно 6 млн. долл. США). </w:t>
      </w:r>
    </w:p>
  </w:footnote>
  <w:footnote w:id="36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Источник: Секретариат по мерам социальной политики (СМСП).</w:t>
      </w:r>
    </w:p>
  </w:footnote>
  <w:footnote w:id="37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См. рекомендацию № 5.</w:t>
      </w:r>
    </w:p>
  </w:footnote>
  <w:footnote w:id="38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Источник: ОДХ-2009.</w:t>
      </w:r>
    </w:p>
  </w:footnote>
  <w:footnote w:id="39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См. приложение XVIII, рисунок 1.</w:t>
      </w:r>
    </w:p>
  </w:footnote>
  <w:footnote w:id="40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См. приложение XVIII, рисунок 2.</w:t>
      </w:r>
    </w:p>
  </w:footnote>
  <w:footnote w:id="41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См. приложение XVIII, рисунок 3.</w:t>
      </w:r>
    </w:p>
  </w:footnote>
  <w:footnote w:id="42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См. приложение XVIII, рисунок 4.</w:t>
      </w:r>
    </w:p>
  </w:footnote>
  <w:footnote w:id="43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szCs w:val="18"/>
          <w:vertAlign w:val="superscript"/>
          <w:lang w:val="ru-RU"/>
        </w:rPr>
        <w:footnoteRef/>
      </w:r>
      <w:r w:rsidRPr="007D2776">
        <w:rPr>
          <w:szCs w:val="18"/>
          <w:lang w:val="ru-RU"/>
        </w:rPr>
        <w:tab/>
        <w:t>Министерство здравоохранения и социального обеспечения. Национальный план обеспечения комплексного здоровья детей на 2008/2012 годы. Асунсьон, 2008, стр. 9 исп. текста.</w:t>
      </w:r>
    </w:p>
  </w:footnote>
  <w:footnote w:id="44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Третий доклад президента страны Национальному Конгрессу, июль 2011 года.</w:t>
      </w:r>
    </w:p>
  </w:footnote>
  <w:footnote w:id="45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Замечание общего характера относительно всех показателей МОК: данные собираются ежегодно в ходе опроса, то есть, каждое учебное заведение обязано вносить свои данные в статистические таблицы, которые передаются в центры обработки. Соответственно, более низкий показатель (особенно за последний год в ряду) не обязательно означает снижение. Он может быть обусловлен тем, что не все учебные заведения присылают свои сведения к установленному сроку.</w:t>
      </w:r>
    </w:p>
  </w:footnote>
  <w:footnote w:id="46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 xml:space="preserve">Реформирование образования в Парагвае началось в 1994 году. Предполагался переход с 6-летнего на 9-летнее начальное образование. Таким образом, начальная школа подразделяется на три ступени: 1-я ступень основного школьного образования </w:t>
      </w:r>
      <w:r w:rsidR="00B85E64">
        <w:rPr>
          <w:szCs w:val="18"/>
          <w:lang w:val="ru-RU"/>
        </w:rPr>
        <w:br/>
      </w:r>
      <w:r w:rsidRPr="007D2776">
        <w:rPr>
          <w:szCs w:val="18"/>
          <w:lang w:val="ru-RU"/>
        </w:rPr>
        <w:t xml:space="preserve">(1–3-е классы), 2-я ступень (4–6-е классы) и 3-я ступень (7–9-е классы, в международной классификации соответствует первой ступени средней школы). </w:t>
      </w:r>
    </w:p>
  </w:footnote>
  <w:footnote w:id="47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szCs w:val="18"/>
          <w:vertAlign w:val="superscript"/>
          <w:lang w:val="ru-RU"/>
        </w:rPr>
        <w:footnoteRef/>
      </w:r>
      <w:r w:rsidRPr="007D2776">
        <w:rPr>
          <w:szCs w:val="18"/>
          <w:lang w:val="ru-RU"/>
        </w:rPr>
        <w:tab/>
        <w:t>См. приложение XXI, рисунок 2.</w:t>
      </w:r>
    </w:p>
  </w:footnote>
  <w:footnote w:id="48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См. приложение XXI, рисунок 3.</w:t>
      </w:r>
    </w:p>
  </w:footnote>
  <w:footnote w:id="49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См. приложение XXI, рисунок 4.</w:t>
      </w:r>
    </w:p>
  </w:footnote>
  <w:footnote w:id="50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szCs w:val="18"/>
          <w:vertAlign w:val="superscript"/>
          <w:lang w:val="ru-RU"/>
        </w:rPr>
        <w:footnoteRef/>
      </w:r>
      <w:r w:rsidRPr="007D2776">
        <w:rPr>
          <w:szCs w:val="18"/>
          <w:lang w:val="ru-RU"/>
        </w:rPr>
        <w:tab/>
        <w:t xml:space="preserve">В течение четырех лет осуществления первой фазы программы </w:t>
      </w:r>
      <w:r w:rsidRPr="007D2776">
        <w:rPr>
          <w:rFonts w:eastAsia="Calibri"/>
          <w:szCs w:val="18"/>
          <w:lang w:val="ru-RU"/>
        </w:rPr>
        <w:t>ПРОДЕПА</w:t>
      </w:r>
      <w:r w:rsidRPr="007D2776">
        <w:rPr>
          <w:szCs w:val="18"/>
          <w:lang w:val="ru-RU"/>
        </w:rPr>
        <w:t xml:space="preserve"> </w:t>
      </w:r>
      <w:r w:rsidRPr="007D2776">
        <w:rPr>
          <w:rFonts w:eastAsia="Calibri"/>
          <w:szCs w:val="18"/>
          <w:lang w:val="ru-RU"/>
        </w:rPr>
        <w:t>Ко’е Пиау и</w:t>
      </w:r>
      <w:r w:rsidR="00A82CB2">
        <w:rPr>
          <w:rFonts w:eastAsia="Calibri"/>
          <w:szCs w:val="18"/>
          <w:lang w:val="ru-RU"/>
        </w:rPr>
        <w:t> </w:t>
      </w:r>
      <w:r w:rsidRPr="007D2776">
        <w:rPr>
          <w:rFonts w:eastAsia="Calibri"/>
          <w:szCs w:val="18"/>
          <w:lang w:val="ru-RU"/>
        </w:rPr>
        <w:t xml:space="preserve">еще одного переходного года оценкой Программы занимался Парагвайский центр социологических исследований (ПЦСИ). Проект программы, январь </w:t>
      </w:r>
      <w:r w:rsidRPr="007D2776">
        <w:rPr>
          <w:szCs w:val="18"/>
          <w:lang w:val="ru-RU"/>
        </w:rPr>
        <w:t>2007 – март 2011</w:t>
      </w:r>
      <w:r w:rsidR="00A82CB2">
        <w:rPr>
          <w:szCs w:val="18"/>
          <w:lang w:val="ru-RU"/>
        </w:rPr>
        <w:t> </w:t>
      </w:r>
      <w:r w:rsidRPr="007D2776">
        <w:rPr>
          <w:szCs w:val="18"/>
          <w:lang w:val="ru-RU"/>
        </w:rPr>
        <w:t>года. Асунсьон, 21 марта 2007 года, стр. 6 исп. текста.</w:t>
      </w:r>
    </w:p>
  </w:footnote>
  <w:footnote w:id="51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szCs w:val="18"/>
          <w:vertAlign w:val="superscript"/>
          <w:lang w:val="ru-RU"/>
        </w:rPr>
        <w:footnoteRef/>
      </w:r>
      <w:r w:rsidRPr="007D2776">
        <w:rPr>
          <w:szCs w:val="18"/>
          <w:lang w:val="ru-RU"/>
        </w:rPr>
        <w:tab/>
        <w:t>Приложения:</w:t>
      </w:r>
    </w:p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szCs w:val="18"/>
          <w:lang w:val="ru-RU"/>
        </w:rPr>
        <w:tab/>
        <w:t>1. Отчет за два года. Национальный секретариат по культуре.</w:t>
      </w:r>
    </w:p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szCs w:val="18"/>
          <w:lang w:val="ru-RU"/>
        </w:rPr>
        <w:tab/>
        <w:t>2. Заявление, принятое на II Встрече народностей гуарани.</w:t>
      </w:r>
    </w:p>
  </w:footnote>
  <w:footnote w:id="52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См. замечание общего порядка № 21 Комитета относительно права каждого человека на участие в культурной жизни (пункт 1</w:t>
      </w:r>
      <w:r w:rsidRPr="007D2776">
        <w:rPr>
          <w:i/>
          <w:szCs w:val="18"/>
          <w:lang w:val="ru-RU"/>
        </w:rPr>
        <w:t>a</w:t>
      </w:r>
      <w:r w:rsidRPr="007D2776">
        <w:rPr>
          <w:szCs w:val="18"/>
          <w:lang w:val="ru-RU"/>
        </w:rPr>
        <w:t xml:space="preserve"> статьи 15 Пакта).</w:t>
      </w:r>
    </w:p>
  </w:footnote>
  <w:footnote w:id="53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szCs w:val="18"/>
          <w:vertAlign w:val="superscript"/>
          <w:lang w:val="ru-RU"/>
        </w:rPr>
        <w:footnoteRef/>
      </w:r>
      <w:r w:rsidRPr="007D2776">
        <w:rPr>
          <w:szCs w:val="18"/>
          <w:lang w:val="ru-RU"/>
        </w:rPr>
        <w:tab/>
        <w:t>См. приложение.</w:t>
      </w:r>
    </w:p>
  </w:footnote>
  <w:footnote w:id="54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szCs w:val="18"/>
          <w:vertAlign w:val="superscript"/>
          <w:lang w:val="ru-RU"/>
        </w:rPr>
        <w:footnoteRef/>
      </w:r>
      <w:r w:rsidRPr="007D2776">
        <w:rPr>
          <w:szCs w:val="18"/>
          <w:lang w:val="ru-RU"/>
        </w:rPr>
        <w:tab/>
        <w:t>См. приложение: Ответы на вопросы Постоянного форума по вопросам коренных народов в системе Организации Объединенных Наций.</w:t>
      </w:r>
    </w:p>
  </w:footnote>
  <w:footnote w:id="55">
    <w:p w:rsidR="004849A7" w:rsidRPr="007D2776" w:rsidRDefault="004849A7" w:rsidP="007D2776">
      <w:pPr>
        <w:pStyle w:val="FootnoteText"/>
        <w:rPr>
          <w:szCs w:val="18"/>
          <w:lang w:val="ru-RU"/>
        </w:rPr>
      </w:pPr>
      <w:r w:rsidRPr="007D2776">
        <w:rPr>
          <w:szCs w:val="18"/>
          <w:lang w:val="ru-RU"/>
        </w:rPr>
        <w:tab/>
      </w:r>
      <w:r w:rsidRPr="007D2776">
        <w:rPr>
          <w:rStyle w:val="FootnoteReference"/>
          <w:szCs w:val="18"/>
          <w:lang w:val="ru-RU"/>
        </w:rPr>
        <w:footnoteRef/>
      </w:r>
      <w:r w:rsidRPr="007D2776">
        <w:rPr>
          <w:szCs w:val="18"/>
          <w:lang w:val="ru-RU"/>
        </w:rPr>
        <w:tab/>
        <w:t>См. приложение: Декларация.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A7" w:rsidRPr="00E71A0F" w:rsidRDefault="004849A7">
    <w:pPr>
      <w:pStyle w:val="Header"/>
      <w:rPr>
        <w:lang w:val="en-US"/>
      </w:rPr>
    </w:pPr>
    <w:r>
      <w:rPr>
        <w:lang w:val="en-US"/>
      </w:rPr>
      <w:t>E/</w:t>
    </w:r>
    <w:r w:rsidR="00F93199">
      <w:rPr>
        <w:lang w:val="en-US"/>
      </w:rPr>
      <w:t>C.12/PRY/4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A7" w:rsidRPr="009A6F4A" w:rsidRDefault="004849A7">
    <w:pPr>
      <w:pStyle w:val="Header"/>
      <w:rPr>
        <w:lang w:val="en-US"/>
      </w:rPr>
    </w:pPr>
    <w:r>
      <w:rPr>
        <w:lang w:val="en-US"/>
      </w:rPr>
      <w:tab/>
    </w:r>
    <w:r w:rsidR="00F93199">
      <w:rPr>
        <w:lang w:val="en-US"/>
      </w:rPr>
      <w:t>E/C.12/PRY/4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325B33"/>
    <w:multiLevelType w:val="hybridMultilevel"/>
    <w:tmpl w:val="2A8CAD6C"/>
    <w:lvl w:ilvl="0" w:tplc="79D20556">
      <w:start w:val="1"/>
      <w:numFmt w:val="decimal"/>
      <w:lvlText w:val="%1."/>
      <w:lvlJc w:val="left"/>
      <w:pPr>
        <w:ind w:left="1569" w:hanging="576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FD81C82"/>
    <w:multiLevelType w:val="hybridMultilevel"/>
    <w:tmpl w:val="83805DEE"/>
    <w:lvl w:ilvl="0" w:tplc="662C2346">
      <w:start w:val="364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>
    <w:nsid w:val="79DC3D89"/>
    <w:multiLevelType w:val="multilevel"/>
    <w:tmpl w:val="0C0A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8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4"/>
  </w:num>
  <w:num w:numId="19">
    <w:abstractNumId w:val="14"/>
  </w:num>
  <w:num w:numId="20">
    <w:abstractNumId w:val="17"/>
  </w:num>
  <w:num w:numId="21">
    <w:abstractNumId w:val="14"/>
  </w:num>
  <w:num w:numId="22">
    <w:abstractNumId w:val="16"/>
  </w:num>
  <w:num w:numId="23">
    <w:abstractNumId w:val="16"/>
  </w:num>
  <w:num w:numId="24">
    <w:abstractNumId w:val="20"/>
  </w:num>
  <w:num w:numId="25">
    <w:abstractNumId w:val="19"/>
  </w:num>
  <w:num w:numId="26">
    <w:abstractNumId w:val="13"/>
  </w:num>
  <w:num w:numId="27">
    <w:abstractNumId w:val="11"/>
  </w:num>
  <w:num w:numId="2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C2F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B3D61"/>
    <w:rsid w:val="000C3688"/>
    <w:rsid w:val="000D6863"/>
    <w:rsid w:val="000F268F"/>
    <w:rsid w:val="00111256"/>
    <w:rsid w:val="00117AEE"/>
    <w:rsid w:val="001463F7"/>
    <w:rsid w:val="0015769C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7B9B"/>
    <w:rsid w:val="002C5036"/>
    <w:rsid w:val="002C6A71"/>
    <w:rsid w:val="002C6D5F"/>
    <w:rsid w:val="002D15EA"/>
    <w:rsid w:val="002D1C2F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C18E0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1F73"/>
    <w:rsid w:val="00474F42"/>
    <w:rsid w:val="0048244D"/>
    <w:rsid w:val="004849A7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4497"/>
    <w:rsid w:val="006F5FBF"/>
    <w:rsid w:val="0070327E"/>
    <w:rsid w:val="00707B5F"/>
    <w:rsid w:val="00735602"/>
    <w:rsid w:val="0075279B"/>
    <w:rsid w:val="00753748"/>
    <w:rsid w:val="00762446"/>
    <w:rsid w:val="007713F6"/>
    <w:rsid w:val="00781ACB"/>
    <w:rsid w:val="007A79EB"/>
    <w:rsid w:val="007D2776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37FBD"/>
    <w:rsid w:val="00955022"/>
    <w:rsid w:val="00957B4D"/>
    <w:rsid w:val="00964EEA"/>
    <w:rsid w:val="00980C86"/>
    <w:rsid w:val="00995725"/>
    <w:rsid w:val="009B1D9B"/>
    <w:rsid w:val="009B4074"/>
    <w:rsid w:val="009C30BB"/>
    <w:rsid w:val="009C60BE"/>
    <w:rsid w:val="009E6279"/>
    <w:rsid w:val="009F00A6"/>
    <w:rsid w:val="009F276B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82CB2"/>
    <w:rsid w:val="00A92699"/>
    <w:rsid w:val="00AB5BF0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81305"/>
    <w:rsid w:val="00B85E64"/>
    <w:rsid w:val="00BA0AD1"/>
    <w:rsid w:val="00BB17DC"/>
    <w:rsid w:val="00BB1AF9"/>
    <w:rsid w:val="00BB4C4A"/>
    <w:rsid w:val="00BC276E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2EF2"/>
    <w:rsid w:val="00D6236B"/>
    <w:rsid w:val="00D66D01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E516D"/>
    <w:rsid w:val="00EF4D1B"/>
    <w:rsid w:val="00EF7295"/>
    <w:rsid w:val="00F069D1"/>
    <w:rsid w:val="00F102B7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93199"/>
    <w:rsid w:val="00F96D53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MG">
    <w:name w:val="_ H __M_G"/>
    <w:basedOn w:val="Normal"/>
    <w:next w:val="Normal"/>
    <w:rsid w:val="00BA0AD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fr-CH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ChG">
    <w:name w:val="_ H _Ch_G"/>
    <w:basedOn w:val="Normal"/>
    <w:next w:val="Normal"/>
    <w:rsid w:val="00BA0AD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H1G">
    <w:name w:val="_ H_1_G"/>
    <w:basedOn w:val="Normal"/>
    <w:next w:val="Normal"/>
    <w:rsid w:val="00BA0AD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fr-CH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23G">
    <w:name w:val="_ H_2/3_G"/>
    <w:basedOn w:val="Normal"/>
    <w:next w:val="Normal"/>
    <w:rsid w:val="00BA0A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fr-CH"/>
    </w:rPr>
  </w:style>
  <w:style w:type="paragraph" w:customStyle="1" w:styleId="H4G">
    <w:name w:val="_ H_4_G"/>
    <w:basedOn w:val="Normal"/>
    <w:next w:val="Normal"/>
    <w:rsid w:val="00BA0A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fr-CH"/>
    </w:rPr>
  </w:style>
  <w:style w:type="paragraph" w:customStyle="1" w:styleId="H56G">
    <w:name w:val="_ H_5/6_G"/>
    <w:basedOn w:val="Normal"/>
    <w:next w:val="Normal"/>
    <w:rsid w:val="00BA0A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fr-CH"/>
    </w:rPr>
  </w:style>
  <w:style w:type="paragraph" w:customStyle="1" w:styleId="SingleTxtG">
    <w:name w:val="_ Single Txt_G"/>
    <w:basedOn w:val="Normal"/>
    <w:rsid w:val="00BA0AD1"/>
    <w:pPr>
      <w:suppressAutoHyphens/>
      <w:spacing w:after="120" w:line="240" w:lineRule="auto"/>
      <w:ind w:left="1134" w:right="1134"/>
      <w:jc w:val="both"/>
    </w:pPr>
    <w:rPr>
      <w:spacing w:val="0"/>
      <w:w w:val="100"/>
      <w:kern w:val="0"/>
    </w:rPr>
  </w:style>
  <w:style w:type="paragraph" w:customStyle="1" w:styleId="SMG">
    <w:name w:val="__S_M_G"/>
    <w:basedOn w:val="Normal"/>
    <w:next w:val="Normal"/>
    <w:rsid w:val="00BA0AD1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SLG">
    <w:name w:val="__S_L_G"/>
    <w:basedOn w:val="Normal"/>
    <w:next w:val="Normal"/>
    <w:rsid w:val="00BA0AD1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fr-CH"/>
    </w:rPr>
  </w:style>
  <w:style w:type="paragraph" w:customStyle="1" w:styleId="SSG">
    <w:name w:val="__S_S_G"/>
    <w:basedOn w:val="Normal"/>
    <w:next w:val="Normal"/>
    <w:rsid w:val="00BA0AD1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fr-CH"/>
    </w:rPr>
  </w:style>
  <w:style w:type="paragraph" w:customStyle="1" w:styleId="XLargeG">
    <w:name w:val="__XLarge_G"/>
    <w:basedOn w:val="Normal"/>
    <w:next w:val="Normal"/>
    <w:rsid w:val="00BA0AD1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table" w:styleId="TableWeb3">
    <w:name w:val="Table Web 3"/>
    <w:basedOn w:val="TableNormal"/>
    <w:semiHidden/>
    <w:rsid w:val="00BA0AD1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G">
    <w:name w:val="_Bullet 1_G"/>
    <w:basedOn w:val="Normal"/>
    <w:rsid w:val="00BA0AD1"/>
    <w:pPr>
      <w:numPr>
        <w:numId w:val="25"/>
      </w:numPr>
      <w:suppressAutoHyphens/>
      <w:spacing w:after="120" w:line="240" w:lineRule="auto"/>
      <w:ind w:right="1134"/>
      <w:jc w:val="both"/>
    </w:pPr>
    <w:rPr>
      <w:spacing w:val="0"/>
      <w:w w:val="100"/>
      <w:kern w:val="0"/>
      <w:lang w:val="fr-CH"/>
    </w:rPr>
  </w:style>
  <w:style w:type="paragraph" w:customStyle="1" w:styleId="Bullet2G">
    <w:name w:val="_Bullet 2_G"/>
    <w:basedOn w:val="Normal"/>
    <w:rsid w:val="00BA0AD1"/>
    <w:pPr>
      <w:numPr>
        <w:numId w:val="26"/>
      </w:numPr>
      <w:suppressAutoHyphens/>
      <w:spacing w:after="120" w:line="240" w:lineRule="auto"/>
      <w:ind w:right="1134"/>
      <w:jc w:val="both"/>
    </w:pPr>
    <w:rPr>
      <w:spacing w:val="0"/>
      <w:w w:val="100"/>
      <w:kern w:val="0"/>
      <w:lang w:val="fr-CH"/>
    </w:rPr>
  </w:style>
  <w:style w:type="numbering" w:customStyle="1" w:styleId="1111111">
    <w:name w:val="1 / 1.1 / 1.1.11"/>
    <w:basedOn w:val="NoList"/>
    <w:next w:val="111111"/>
    <w:semiHidden/>
    <w:rsid w:val="00BA0AD1"/>
    <w:pPr>
      <w:numPr>
        <w:numId w:val="24"/>
      </w:numPr>
    </w:pPr>
  </w:style>
  <w:style w:type="character" w:customStyle="1" w:styleId="FootnoteTextChar">
    <w:name w:val="Footnote Text Char"/>
    <w:aliases w:val="5_GR Char,5_G Char"/>
    <w:link w:val="FootnoteText"/>
    <w:rsid w:val="00BA0AD1"/>
    <w:rPr>
      <w:spacing w:val="5"/>
      <w:w w:val="104"/>
      <w:kern w:val="14"/>
      <w:sz w:val="18"/>
      <w:lang w:val="en-GB" w:eastAsia="ru-RU" w:bidi="ar-SA"/>
    </w:rPr>
  </w:style>
  <w:style w:type="character" w:customStyle="1" w:styleId="HeaderChar">
    <w:name w:val="Header Char"/>
    <w:aliases w:val="6_GR Char,6_G Char"/>
    <w:link w:val="Header"/>
    <w:rsid w:val="00BA0AD1"/>
    <w:rPr>
      <w:b/>
      <w:sz w:val="18"/>
      <w:lang w:val="en-GB" w:eastAsia="ru-RU" w:bidi="ar-SA"/>
    </w:rPr>
  </w:style>
  <w:style w:type="character" w:customStyle="1" w:styleId="FooterChar">
    <w:name w:val="Footer Char"/>
    <w:aliases w:val="3_GR Char,3_G Char"/>
    <w:link w:val="Footer"/>
    <w:rsid w:val="00BA0AD1"/>
    <w:rPr>
      <w:sz w:val="16"/>
      <w:lang w:val="en-GB" w:eastAsia="ru-RU" w:bidi="ar-SA"/>
    </w:rPr>
  </w:style>
  <w:style w:type="paragraph" w:styleId="NoSpacing">
    <w:name w:val="No Spacing"/>
    <w:qFormat/>
    <w:rsid w:val="00BA0AD1"/>
    <w:pPr>
      <w:spacing w:line="240" w:lineRule="atLeast"/>
      <w:jc w:val="right"/>
    </w:pPr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BA0AD1"/>
    <w:pPr>
      <w:spacing w:after="200" w:line="276" w:lineRule="auto"/>
      <w:ind w:left="720"/>
      <w:contextualSpacing/>
      <w:jc w:val="right"/>
    </w:pPr>
    <w:rPr>
      <w:rFonts w:ascii="Calibri" w:eastAsia="Calibri" w:hAnsi="Calibri"/>
      <w:spacing w:val="0"/>
      <w:w w:val="100"/>
      <w:kern w:val="0"/>
      <w:sz w:val="22"/>
      <w:szCs w:val="22"/>
      <w:lang w:val="es-GT"/>
    </w:rPr>
  </w:style>
  <w:style w:type="table" w:customStyle="1" w:styleId="TableGrid10">
    <w:name w:val="Table Grid1"/>
    <w:basedOn w:val="TableNormal"/>
    <w:next w:val="TableGrid"/>
    <w:rsid w:val="00BA0A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">
    <w:name w:val="Sin espaciado"/>
    <w:link w:val="SinespaciadoCar"/>
    <w:qFormat/>
    <w:rsid w:val="00BA0AD1"/>
    <w:rPr>
      <w:rFonts w:eastAsia="MS Mincho"/>
      <w:sz w:val="24"/>
      <w:szCs w:val="24"/>
      <w:lang w:val="es-ES" w:eastAsia="ja-JP"/>
    </w:rPr>
  </w:style>
  <w:style w:type="character" w:customStyle="1" w:styleId="SinespaciadoCar">
    <w:name w:val="Sin espaciado Car"/>
    <w:link w:val="Sinespaciado"/>
    <w:rsid w:val="00BA0AD1"/>
    <w:rPr>
      <w:rFonts w:eastAsia="MS Mincho"/>
      <w:sz w:val="24"/>
      <w:szCs w:val="24"/>
      <w:lang w:val="es-ES" w:eastAsia="ja-JP" w:bidi="ar-SA"/>
    </w:rPr>
  </w:style>
  <w:style w:type="paragraph" w:styleId="BalloonText">
    <w:name w:val="Balloon Text"/>
    <w:basedOn w:val="Normal"/>
    <w:link w:val="BalloonTextChar"/>
    <w:rsid w:val="00BA0AD1"/>
    <w:pPr>
      <w:spacing w:line="240" w:lineRule="auto"/>
    </w:pPr>
    <w:rPr>
      <w:rFonts w:ascii="Tahoma" w:hAnsi="Tahoma"/>
      <w:spacing w:val="0"/>
      <w:w w:val="100"/>
      <w:kern w:val="0"/>
      <w:sz w:val="16"/>
      <w:szCs w:val="16"/>
      <w:lang w:val="es-ES" w:eastAsia="es-ES"/>
    </w:rPr>
  </w:style>
  <w:style w:type="character" w:customStyle="1" w:styleId="BalloonTextChar">
    <w:name w:val="Balloon Text Char"/>
    <w:link w:val="BalloonText"/>
    <w:rsid w:val="00BA0AD1"/>
    <w:rPr>
      <w:rFonts w:ascii="Tahoma" w:hAnsi="Tahoma"/>
      <w:sz w:val="16"/>
      <w:szCs w:val="16"/>
      <w:lang w:val="es-ES" w:eastAsia="es-ES" w:bidi="ar-SA"/>
    </w:rPr>
  </w:style>
  <w:style w:type="paragraph" w:styleId="TOC1">
    <w:name w:val="toc 1"/>
    <w:basedOn w:val="Normal"/>
    <w:next w:val="Normal"/>
    <w:autoRedefine/>
    <w:semiHidden/>
    <w:rsid w:val="00BA0AD1"/>
    <w:pPr>
      <w:spacing w:line="240" w:lineRule="auto"/>
    </w:pPr>
    <w:rPr>
      <w:spacing w:val="0"/>
      <w:w w:val="100"/>
      <w:kern w:val="0"/>
      <w:lang w:val="es-ES" w:eastAsia="es-ES"/>
    </w:rPr>
  </w:style>
  <w:style w:type="paragraph" w:styleId="TOC2">
    <w:name w:val="toc 2"/>
    <w:basedOn w:val="Normal"/>
    <w:next w:val="Normal"/>
    <w:autoRedefine/>
    <w:semiHidden/>
    <w:rsid w:val="00BA0AD1"/>
    <w:pPr>
      <w:spacing w:line="240" w:lineRule="auto"/>
      <w:ind w:left="200"/>
    </w:pPr>
    <w:rPr>
      <w:spacing w:val="0"/>
      <w:w w:val="100"/>
      <w:kern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.gov.py/lan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0</TotalTime>
  <Pages>75</Pages>
  <Words>30477</Words>
  <Characters>173725</Characters>
  <Application>Microsoft Office Word</Application>
  <DocSecurity>4</DocSecurity>
  <Lines>1447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203795</CharactersWithSpaces>
  <SharedDoc>false</SharedDoc>
  <HLinks>
    <vt:vector size="6" baseType="variant">
      <vt:variant>
        <vt:i4>7864375</vt:i4>
      </vt:variant>
      <vt:variant>
        <vt:i4>9</vt:i4>
      </vt:variant>
      <vt:variant>
        <vt:i4>0</vt:i4>
      </vt:variant>
      <vt:variant>
        <vt:i4>5</vt:i4>
      </vt:variant>
      <vt:variant>
        <vt:lpwstr>http://www.cultura.gov.py/lang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Larisa Maykovskaya</dc:creator>
  <cp:keywords/>
  <dc:description/>
  <cp:lastModifiedBy>Larisa Maykovskaya</cp:lastModifiedBy>
  <cp:revision>2</cp:revision>
  <cp:lastPrinted>2013-11-12T12:16:00Z</cp:lastPrinted>
  <dcterms:created xsi:type="dcterms:W3CDTF">2013-11-12T12:29:00Z</dcterms:created>
  <dcterms:modified xsi:type="dcterms:W3CDTF">2013-11-12T12:29:00Z</dcterms:modified>
</cp:coreProperties>
</file>