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E07EB0" w:rsidTr="00DD1051">
        <w:trPr>
          <w:trHeight w:val="851"/>
        </w:trPr>
        <w:tc>
          <w:tcPr>
            <w:tcW w:w="1259" w:type="dxa"/>
            <w:tcBorders>
              <w:top w:val="nil"/>
              <w:left w:val="nil"/>
              <w:bottom w:val="single" w:sz="4" w:space="0" w:color="auto"/>
              <w:right w:val="nil"/>
            </w:tcBorders>
            <w:shd w:val="clear" w:color="auto" w:fill="auto"/>
          </w:tcPr>
          <w:p w:rsidR="00446DE4" w:rsidRPr="00E07EB0" w:rsidRDefault="00446DE4" w:rsidP="00DD1051"/>
        </w:tc>
        <w:tc>
          <w:tcPr>
            <w:tcW w:w="2236" w:type="dxa"/>
            <w:tcBorders>
              <w:top w:val="nil"/>
              <w:left w:val="nil"/>
              <w:bottom w:val="single" w:sz="4" w:space="0" w:color="auto"/>
              <w:right w:val="nil"/>
            </w:tcBorders>
            <w:shd w:val="clear" w:color="auto" w:fill="auto"/>
            <w:vAlign w:val="bottom"/>
          </w:tcPr>
          <w:p w:rsidR="00446DE4" w:rsidRPr="00E07EB0" w:rsidRDefault="00BC0578" w:rsidP="00DD1051">
            <w:pPr>
              <w:spacing w:after="80" w:line="300" w:lineRule="exact"/>
              <w:rPr>
                <w:sz w:val="28"/>
                <w:szCs w:val="28"/>
              </w:rPr>
            </w:pPr>
            <w:r w:rsidRPr="00E07EB0">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E07EB0" w:rsidRDefault="00DB0F0D" w:rsidP="00EC3630">
            <w:pPr>
              <w:suppressAutoHyphens w:val="0"/>
              <w:spacing w:after="20"/>
              <w:jc w:val="right"/>
            </w:pPr>
            <w:r w:rsidRPr="00E07EB0">
              <w:rPr>
                <w:sz w:val="40"/>
                <w:szCs w:val="40"/>
              </w:rPr>
              <w:t>E</w:t>
            </w:r>
            <w:r w:rsidRPr="00E07EB0">
              <w:t>/C.12/</w:t>
            </w:r>
            <w:r w:rsidR="0066568E" w:rsidRPr="00E07EB0">
              <w:t>PRT</w:t>
            </w:r>
            <w:r w:rsidR="0024165B" w:rsidRPr="00E07EB0">
              <w:t>/</w:t>
            </w:r>
            <w:r w:rsidR="001F74B2" w:rsidRPr="00E07EB0">
              <w:t>CO/</w:t>
            </w:r>
            <w:r w:rsidR="0066568E" w:rsidRPr="00E07EB0">
              <w:t>4</w:t>
            </w:r>
          </w:p>
        </w:tc>
      </w:tr>
      <w:tr w:rsidR="003107FA" w:rsidRPr="00E07EB0" w:rsidTr="00DD1051">
        <w:trPr>
          <w:trHeight w:val="2835"/>
        </w:trPr>
        <w:tc>
          <w:tcPr>
            <w:tcW w:w="1259" w:type="dxa"/>
            <w:tcBorders>
              <w:top w:val="single" w:sz="4" w:space="0" w:color="auto"/>
              <w:left w:val="nil"/>
              <w:bottom w:val="single" w:sz="12" w:space="0" w:color="auto"/>
              <w:right w:val="nil"/>
            </w:tcBorders>
            <w:shd w:val="clear" w:color="auto" w:fill="auto"/>
          </w:tcPr>
          <w:p w:rsidR="003107FA" w:rsidRPr="00E07EB0" w:rsidRDefault="00BC0578" w:rsidP="00DD1051">
            <w:pPr>
              <w:spacing w:before="120"/>
            </w:pPr>
            <w:r w:rsidRPr="00E07EB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3107FA" w:rsidRPr="00E07EB0" w:rsidRDefault="00DB0F0D" w:rsidP="00DD1051">
            <w:pPr>
              <w:spacing w:before="240" w:line="260" w:lineRule="exact"/>
              <w:rPr>
                <w:b/>
                <w:sz w:val="36"/>
                <w:szCs w:val="36"/>
              </w:rPr>
            </w:pPr>
            <w:r w:rsidRPr="00E07EB0">
              <w:rPr>
                <w:b/>
                <w:sz w:val="36"/>
                <w:szCs w:val="36"/>
              </w:rPr>
              <w:t>Economic and Social Council</w:t>
            </w:r>
          </w:p>
        </w:tc>
        <w:tc>
          <w:tcPr>
            <w:tcW w:w="2930" w:type="dxa"/>
            <w:tcBorders>
              <w:top w:val="single" w:sz="4" w:space="0" w:color="auto"/>
              <w:left w:val="nil"/>
              <w:bottom w:val="single" w:sz="12" w:space="0" w:color="auto"/>
              <w:right w:val="nil"/>
            </w:tcBorders>
            <w:shd w:val="clear" w:color="auto" w:fill="auto"/>
          </w:tcPr>
          <w:p w:rsidR="0024165B" w:rsidRPr="00E07EB0" w:rsidRDefault="0024165B" w:rsidP="00DD1051">
            <w:pPr>
              <w:suppressAutoHyphens w:val="0"/>
              <w:spacing w:before="240" w:line="240" w:lineRule="exact"/>
            </w:pPr>
            <w:r w:rsidRPr="00E07EB0">
              <w:t xml:space="preserve">Distr.: </w:t>
            </w:r>
            <w:r w:rsidR="00EC3630" w:rsidRPr="00E07EB0">
              <w:t>General</w:t>
            </w:r>
          </w:p>
          <w:p w:rsidR="0024165B" w:rsidRPr="00E07EB0" w:rsidRDefault="00F23F34" w:rsidP="00F23F34">
            <w:pPr>
              <w:suppressAutoHyphens w:val="0"/>
            </w:pPr>
            <w:r w:rsidRPr="00E07EB0">
              <w:t xml:space="preserve">8 December </w:t>
            </w:r>
            <w:r w:rsidR="00A21ADA" w:rsidRPr="00E07EB0">
              <w:t>201</w:t>
            </w:r>
            <w:r w:rsidR="001C5291" w:rsidRPr="00E07EB0">
              <w:t>4</w:t>
            </w:r>
          </w:p>
          <w:p w:rsidR="0024165B" w:rsidRPr="00E07EB0" w:rsidRDefault="0024165B" w:rsidP="00DD1051">
            <w:pPr>
              <w:suppressAutoHyphens w:val="0"/>
            </w:pPr>
          </w:p>
          <w:p w:rsidR="003107FA" w:rsidRPr="00E07EB0" w:rsidRDefault="0024165B" w:rsidP="00A21ADA">
            <w:pPr>
              <w:suppressAutoHyphens w:val="0"/>
            </w:pPr>
            <w:r w:rsidRPr="00E07EB0">
              <w:t xml:space="preserve">Original: </w:t>
            </w:r>
            <w:r w:rsidR="00A21ADA" w:rsidRPr="00E07EB0">
              <w:t>English</w:t>
            </w:r>
          </w:p>
        </w:tc>
      </w:tr>
    </w:tbl>
    <w:p w:rsidR="00E62C9D" w:rsidRPr="00E07EB0" w:rsidRDefault="00DB0F0D" w:rsidP="00DB0F0D">
      <w:pPr>
        <w:spacing w:before="120"/>
      </w:pPr>
      <w:r w:rsidRPr="00E07EB0">
        <w:rPr>
          <w:b/>
          <w:sz w:val="24"/>
          <w:szCs w:val="24"/>
        </w:rPr>
        <w:t>Committee on Economic, Social and Cultural Rights</w:t>
      </w:r>
    </w:p>
    <w:p w:rsidR="00747D37" w:rsidRPr="00E07EB0" w:rsidRDefault="001F3FDF" w:rsidP="0018694B">
      <w:pPr>
        <w:pStyle w:val="HChG"/>
      </w:pPr>
      <w:r w:rsidRPr="00E07EB0">
        <w:tab/>
      </w:r>
      <w:r w:rsidR="00A609FF" w:rsidRPr="00E07EB0">
        <w:tab/>
        <w:t>C</w:t>
      </w:r>
      <w:r w:rsidR="00747D37" w:rsidRPr="00E07EB0">
        <w:t xml:space="preserve">oncluding observations on the </w:t>
      </w:r>
      <w:r w:rsidR="00B9474B" w:rsidRPr="00E07EB0">
        <w:t>fourth</w:t>
      </w:r>
      <w:r w:rsidR="00202AF1" w:rsidRPr="00E07EB0">
        <w:t xml:space="preserve"> periodic report</w:t>
      </w:r>
      <w:r w:rsidR="00C11B6B" w:rsidRPr="00E07EB0">
        <w:t xml:space="preserve"> </w:t>
      </w:r>
      <w:r w:rsidR="00747D37" w:rsidRPr="00E07EB0">
        <w:t xml:space="preserve">of </w:t>
      </w:r>
      <w:r w:rsidR="00B9474B" w:rsidRPr="00E07EB0">
        <w:t>Portugal</w:t>
      </w:r>
      <w:r w:rsidR="0018694B" w:rsidRPr="00E07EB0">
        <w:rPr>
          <w:b w:val="0"/>
          <w:sz w:val="18"/>
          <w:vertAlign w:val="superscript"/>
        </w:rPr>
        <w:t xml:space="preserve"> </w:t>
      </w:r>
      <w:r w:rsidR="0018694B" w:rsidRPr="00E07EB0">
        <w:rPr>
          <w:rStyle w:val="FootnoteReference"/>
          <w:b w:val="0"/>
          <w:bCs/>
          <w:sz w:val="20"/>
          <w:vertAlign w:val="baseline"/>
        </w:rPr>
        <w:footnoteReference w:customMarkFollows="1" w:id="2"/>
        <w:t>*</w:t>
      </w:r>
    </w:p>
    <w:p w:rsidR="00B765C6" w:rsidRPr="00E07EB0" w:rsidRDefault="00B765C6" w:rsidP="00F636AD">
      <w:pPr>
        <w:pStyle w:val="SingleTxtG"/>
        <w:numPr>
          <w:ilvl w:val="0"/>
          <w:numId w:val="17"/>
        </w:numPr>
        <w:tabs>
          <w:tab w:val="left" w:pos="851"/>
        </w:tabs>
        <w:ind w:left="1134" w:firstLine="0"/>
      </w:pPr>
      <w:r w:rsidRPr="00E07EB0">
        <w:t xml:space="preserve">The Committee on Economic, Social and Cultural Rights considered the </w:t>
      </w:r>
      <w:r w:rsidR="00B9474B" w:rsidRPr="00E07EB0">
        <w:t>fourth</w:t>
      </w:r>
      <w:r w:rsidRPr="00E07EB0">
        <w:t xml:space="preserve"> periodic report of </w:t>
      </w:r>
      <w:r w:rsidR="00B9474B" w:rsidRPr="00E07EB0">
        <w:t>Portugal</w:t>
      </w:r>
      <w:r w:rsidRPr="00E07EB0">
        <w:t xml:space="preserve"> </w:t>
      </w:r>
      <w:r w:rsidR="009359E3" w:rsidRPr="00E07EB0">
        <w:t>on</w:t>
      </w:r>
      <w:r w:rsidRPr="00E07EB0">
        <w:t xml:space="preserve"> the implementation of the International Covenant on Economic, Social and Cultural Rights </w:t>
      </w:r>
      <w:r w:rsidR="009A3106" w:rsidRPr="00E07EB0">
        <w:t xml:space="preserve">(E/C.12/PRT/4) </w:t>
      </w:r>
      <w:r w:rsidRPr="00E07EB0">
        <w:t xml:space="preserve">at its </w:t>
      </w:r>
      <w:r w:rsidR="009359E3" w:rsidRPr="00E07EB0">
        <w:t>4</w:t>
      </w:r>
      <w:r w:rsidR="00815810" w:rsidRPr="00E07EB0">
        <w:t>4</w:t>
      </w:r>
      <w:r w:rsidRPr="00E07EB0">
        <w:t xml:space="preserve">th and </w:t>
      </w:r>
      <w:r w:rsidR="009359E3" w:rsidRPr="00E07EB0">
        <w:t>4</w:t>
      </w:r>
      <w:r w:rsidR="00815810" w:rsidRPr="00E07EB0">
        <w:t>5</w:t>
      </w:r>
      <w:r w:rsidRPr="00E07EB0">
        <w:t>th</w:t>
      </w:r>
      <w:r w:rsidR="009359E3" w:rsidRPr="00E07EB0">
        <w:t xml:space="preserve"> meetings (</w:t>
      </w:r>
      <w:r w:rsidR="009A3106" w:rsidRPr="00E07EB0">
        <w:t xml:space="preserve">see </w:t>
      </w:r>
      <w:r w:rsidR="009359E3" w:rsidRPr="00E07EB0">
        <w:t>E/C.12/2014/SR.</w:t>
      </w:r>
      <w:r w:rsidR="00815810" w:rsidRPr="00E07EB0">
        <w:t>44</w:t>
      </w:r>
      <w:r w:rsidR="00F636AD" w:rsidRPr="00E07EB0">
        <w:t xml:space="preserve"> and </w:t>
      </w:r>
      <w:r w:rsidR="00815810" w:rsidRPr="00E07EB0">
        <w:t>45</w:t>
      </w:r>
      <w:r w:rsidRPr="00E07EB0">
        <w:t>)</w:t>
      </w:r>
      <w:r w:rsidR="009A3106" w:rsidRPr="00E07EB0">
        <w:t>,</w:t>
      </w:r>
      <w:r w:rsidRPr="00E07EB0">
        <w:t xml:space="preserve"> held on </w:t>
      </w:r>
      <w:r w:rsidR="009359E3" w:rsidRPr="00E07EB0">
        <w:t>1</w:t>
      </w:r>
      <w:r w:rsidR="00815810" w:rsidRPr="00E07EB0">
        <w:t>1</w:t>
      </w:r>
      <w:r w:rsidR="009359E3" w:rsidRPr="00E07EB0">
        <w:t xml:space="preserve"> and 1</w:t>
      </w:r>
      <w:r w:rsidR="00815810" w:rsidRPr="00E07EB0">
        <w:t>2</w:t>
      </w:r>
      <w:r w:rsidR="009359E3" w:rsidRPr="00E07EB0">
        <w:t xml:space="preserve"> November</w:t>
      </w:r>
      <w:r w:rsidRPr="00E07EB0">
        <w:t xml:space="preserve"> 2014, and adopted, at its </w:t>
      </w:r>
      <w:r w:rsidR="00886B91" w:rsidRPr="00E07EB0">
        <w:t xml:space="preserve">70th </w:t>
      </w:r>
      <w:r w:rsidRPr="00E07EB0">
        <w:rPr>
          <w:lang w:eastAsia="ko-KR"/>
        </w:rPr>
        <w:t>meeting</w:t>
      </w:r>
      <w:r w:rsidR="009A3106" w:rsidRPr="00E07EB0">
        <w:rPr>
          <w:lang w:eastAsia="ko-KR"/>
        </w:rPr>
        <w:t>,</w:t>
      </w:r>
      <w:r w:rsidRPr="00E07EB0">
        <w:t xml:space="preserve"> held on </w:t>
      </w:r>
      <w:r w:rsidR="00886B91" w:rsidRPr="00E07EB0">
        <w:t>28</w:t>
      </w:r>
      <w:r w:rsidR="000C2716" w:rsidRPr="00E07EB0">
        <w:t xml:space="preserve"> </w:t>
      </w:r>
      <w:r w:rsidR="009359E3" w:rsidRPr="00E07EB0">
        <w:t>November</w:t>
      </w:r>
      <w:r w:rsidRPr="00E07EB0">
        <w:t xml:space="preserve"> 2014, the following concluding observations.</w:t>
      </w:r>
    </w:p>
    <w:p w:rsidR="00234ADB" w:rsidRPr="00E07EB0" w:rsidRDefault="00DD6F95" w:rsidP="00DD6F95">
      <w:pPr>
        <w:pStyle w:val="H1G"/>
      </w:pPr>
      <w:r w:rsidRPr="00E07EB0">
        <w:tab/>
        <w:t>A.</w:t>
      </w:r>
      <w:r w:rsidRPr="00E07EB0">
        <w:tab/>
      </w:r>
      <w:r w:rsidR="00234ADB" w:rsidRPr="00E07EB0">
        <w:t>Introduction</w:t>
      </w:r>
    </w:p>
    <w:p w:rsidR="00730DA5" w:rsidRPr="00E07EB0" w:rsidRDefault="00360313" w:rsidP="00F636AD">
      <w:pPr>
        <w:pStyle w:val="SingleTxtG"/>
        <w:numPr>
          <w:ilvl w:val="0"/>
          <w:numId w:val="17"/>
        </w:numPr>
        <w:tabs>
          <w:tab w:val="left" w:pos="851"/>
        </w:tabs>
        <w:ind w:left="1134" w:firstLine="0"/>
      </w:pPr>
      <w:r w:rsidRPr="00E07EB0">
        <w:t xml:space="preserve">While regretting </w:t>
      </w:r>
      <w:r w:rsidR="00F636AD" w:rsidRPr="00E07EB0">
        <w:t xml:space="preserve">its </w:t>
      </w:r>
      <w:r w:rsidRPr="00E07EB0">
        <w:t>late submission, t</w:t>
      </w:r>
      <w:r w:rsidR="00730DA5" w:rsidRPr="00E07EB0">
        <w:t xml:space="preserve">he Committee </w:t>
      </w:r>
      <w:r w:rsidRPr="00E07EB0">
        <w:t xml:space="preserve">welcomes </w:t>
      </w:r>
      <w:r w:rsidR="00730DA5" w:rsidRPr="00E07EB0">
        <w:t xml:space="preserve">the fourth </w:t>
      </w:r>
      <w:r w:rsidR="00BC591E" w:rsidRPr="00E07EB0">
        <w:t>periodic report</w:t>
      </w:r>
      <w:r w:rsidR="00730DA5" w:rsidRPr="00E07EB0">
        <w:t xml:space="preserve"> of </w:t>
      </w:r>
      <w:r w:rsidR="00BC591E" w:rsidRPr="00E07EB0">
        <w:t>Portugal</w:t>
      </w:r>
      <w:r w:rsidR="00730DA5" w:rsidRPr="00E07EB0">
        <w:t xml:space="preserve"> (</w:t>
      </w:r>
      <w:r w:rsidR="00BC591E" w:rsidRPr="00E07EB0">
        <w:t>E/C.12/PRT/4</w:t>
      </w:r>
      <w:r w:rsidR="00730DA5" w:rsidRPr="00E07EB0">
        <w:t>)</w:t>
      </w:r>
      <w:r w:rsidR="000337CD" w:rsidRPr="00E07EB0">
        <w:t>. It also welcomes</w:t>
      </w:r>
      <w:r w:rsidR="00730DA5" w:rsidRPr="00E07EB0">
        <w:t xml:space="preserve"> the submission of the </w:t>
      </w:r>
      <w:r w:rsidR="00886B91" w:rsidRPr="00E07EB0">
        <w:t xml:space="preserve">new </w:t>
      </w:r>
      <w:r w:rsidR="00F9204D" w:rsidRPr="00E07EB0">
        <w:t xml:space="preserve">updated </w:t>
      </w:r>
      <w:r w:rsidR="00730DA5" w:rsidRPr="00E07EB0">
        <w:t>co</w:t>
      </w:r>
      <w:r w:rsidR="00F9204D" w:rsidRPr="00E07EB0">
        <w:t>mmon core document (HRI/CORE/PRT/2014</w:t>
      </w:r>
      <w:r w:rsidR="00730DA5" w:rsidRPr="00E07EB0">
        <w:t xml:space="preserve">). </w:t>
      </w:r>
      <w:r w:rsidR="001F6081" w:rsidRPr="00E07EB0">
        <w:t>The Committee is grateful to the State party for the statistical information provided</w:t>
      </w:r>
      <w:r w:rsidR="009A3106" w:rsidRPr="00E07EB0">
        <w:t>,</w:t>
      </w:r>
      <w:r w:rsidR="00886B91" w:rsidRPr="00E07EB0">
        <w:t xml:space="preserve"> </w:t>
      </w:r>
      <w:r w:rsidR="009A3106" w:rsidRPr="00E07EB0">
        <w:t xml:space="preserve">which </w:t>
      </w:r>
      <w:r w:rsidR="001F6081" w:rsidRPr="00E07EB0">
        <w:t xml:space="preserve">has greatly assisted the Committee in </w:t>
      </w:r>
      <w:r w:rsidR="00721ED8" w:rsidRPr="00E07EB0">
        <w:t>assessing the fulfilment of economic, social and cultural rights in the State party.</w:t>
      </w:r>
      <w:r w:rsidR="001F6081" w:rsidRPr="00E07EB0">
        <w:t xml:space="preserve"> </w:t>
      </w:r>
      <w:r w:rsidR="00730DA5" w:rsidRPr="00E07EB0">
        <w:t>The Committee expresses its appreciation for the detailed written replies to the list of issues (</w:t>
      </w:r>
      <w:r w:rsidR="001837E5" w:rsidRPr="00E07EB0">
        <w:t>E/C.12/PRT/Q/4/Add.1</w:t>
      </w:r>
      <w:r w:rsidR="00730DA5" w:rsidRPr="00E07EB0">
        <w:t xml:space="preserve">) as well as the constructive dialogue held with the State party’s </w:t>
      </w:r>
      <w:r w:rsidR="007274AE" w:rsidRPr="00E07EB0">
        <w:t>large multi-</w:t>
      </w:r>
      <w:proofErr w:type="spellStart"/>
      <w:r w:rsidR="007274AE" w:rsidRPr="00E07EB0">
        <w:t>sectoral</w:t>
      </w:r>
      <w:proofErr w:type="spellEnd"/>
      <w:r w:rsidR="007274AE" w:rsidRPr="00E07EB0">
        <w:t xml:space="preserve"> </w:t>
      </w:r>
      <w:r w:rsidR="00730DA5" w:rsidRPr="00E07EB0">
        <w:t>delegation.</w:t>
      </w:r>
      <w:r w:rsidR="0074485B" w:rsidRPr="00E07EB0">
        <w:t xml:space="preserve"> </w:t>
      </w:r>
      <w:r w:rsidR="00374A6D" w:rsidRPr="00E07EB0">
        <w:t xml:space="preserve">It also appreciates </w:t>
      </w:r>
      <w:r w:rsidR="0074485B" w:rsidRPr="00E07EB0">
        <w:t>the supplementary information provided to it in writing</w:t>
      </w:r>
      <w:r w:rsidR="00C25066" w:rsidRPr="00E07EB0">
        <w:t xml:space="preserve"> </w:t>
      </w:r>
      <w:r w:rsidR="007C5D2F" w:rsidRPr="00E07EB0">
        <w:t xml:space="preserve">in response to issues raised during </w:t>
      </w:r>
      <w:r w:rsidR="00C25066" w:rsidRPr="00E07EB0">
        <w:t>the interactive dialogue</w:t>
      </w:r>
      <w:r w:rsidR="0074485B" w:rsidRPr="00E07EB0">
        <w:t>.</w:t>
      </w:r>
    </w:p>
    <w:p w:rsidR="00B74026" w:rsidRPr="00E07EB0" w:rsidRDefault="00B74026" w:rsidP="00DD6F95">
      <w:pPr>
        <w:pStyle w:val="H1G"/>
      </w:pPr>
      <w:r w:rsidRPr="00E07EB0">
        <w:tab/>
        <w:t>B.</w:t>
      </w:r>
      <w:r w:rsidRPr="00E07EB0">
        <w:tab/>
        <w:t>Positive aspects</w:t>
      </w:r>
    </w:p>
    <w:p w:rsidR="00886B91" w:rsidRPr="00E07EB0" w:rsidRDefault="00886B91" w:rsidP="004F59D6">
      <w:pPr>
        <w:pStyle w:val="SingleTxtG"/>
        <w:numPr>
          <w:ilvl w:val="0"/>
          <w:numId w:val="17"/>
        </w:numPr>
        <w:tabs>
          <w:tab w:val="left" w:pos="851"/>
        </w:tabs>
        <w:ind w:left="1134" w:firstLine="0"/>
      </w:pPr>
      <w:r w:rsidRPr="00E07EB0">
        <w:t xml:space="preserve">The Committee welcomes the State party’s ratification </w:t>
      </w:r>
      <w:r w:rsidR="009A3106" w:rsidRPr="00E07EB0">
        <w:t xml:space="preserve">on 28 January 2013 </w:t>
      </w:r>
      <w:r w:rsidRPr="00E07EB0">
        <w:t>of the Optional Protocol to the International Covenant on Economic, Social and Cultural Rights, and the acceptance of the inquir</w:t>
      </w:r>
      <w:r w:rsidR="004F59D6" w:rsidRPr="00E07EB0">
        <w:t>y</w:t>
      </w:r>
      <w:r w:rsidRPr="00E07EB0">
        <w:t xml:space="preserve"> procedure under article 11</w:t>
      </w:r>
      <w:r w:rsidR="004F59D6" w:rsidRPr="00E07EB0">
        <w:t xml:space="preserve"> of the Protocol</w:t>
      </w:r>
      <w:r w:rsidRPr="00E07EB0">
        <w:t>.</w:t>
      </w:r>
    </w:p>
    <w:p w:rsidR="00B74026" w:rsidRPr="00E07EB0" w:rsidRDefault="00886B91" w:rsidP="004F59D6">
      <w:pPr>
        <w:pStyle w:val="SingleTxtG"/>
        <w:numPr>
          <w:ilvl w:val="0"/>
          <w:numId w:val="17"/>
        </w:numPr>
        <w:tabs>
          <w:tab w:val="left" w:pos="851"/>
        </w:tabs>
        <w:ind w:left="1134" w:firstLine="0"/>
      </w:pPr>
      <w:r w:rsidRPr="00E07EB0">
        <w:t>The Committee also welcomes the State party’s ratification</w:t>
      </w:r>
      <w:r w:rsidR="00CB1B4A" w:rsidRPr="00E07EB0">
        <w:t xml:space="preserve"> </w:t>
      </w:r>
      <w:r w:rsidR="00194F9B" w:rsidRPr="00E07EB0">
        <w:t xml:space="preserve">of, </w:t>
      </w:r>
      <w:r w:rsidR="00CB1B4A" w:rsidRPr="00E07EB0">
        <w:t xml:space="preserve">or accession to, </w:t>
      </w:r>
      <w:r w:rsidR="00B74026" w:rsidRPr="00E07EB0">
        <w:t>the following instruments</w:t>
      </w:r>
      <w:r w:rsidR="00911228" w:rsidRPr="00E07EB0">
        <w:t xml:space="preserve"> since the </w:t>
      </w:r>
      <w:r w:rsidR="004F59D6" w:rsidRPr="00E07EB0">
        <w:t xml:space="preserve">previous </w:t>
      </w:r>
      <w:r w:rsidR="00911228" w:rsidRPr="00E07EB0">
        <w:t>dialogue with the State party</w:t>
      </w:r>
      <w:r w:rsidR="004F59D6" w:rsidRPr="00E07EB0">
        <w:t>,</w:t>
      </w:r>
      <w:r w:rsidR="00911228" w:rsidRPr="00E07EB0">
        <w:t xml:space="preserve"> </w:t>
      </w:r>
      <w:r w:rsidR="004F59D6" w:rsidRPr="00E07EB0">
        <w:t xml:space="preserve">held </w:t>
      </w:r>
      <w:r w:rsidR="00911228" w:rsidRPr="00E07EB0">
        <w:t>in 2000</w:t>
      </w:r>
      <w:r w:rsidR="00B74026" w:rsidRPr="00E07EB0">
        <w:t xml:space="preserve">: </w:t>
      </w:r>
    </w:p>
    <w:p w:rsidR="00825A12" w:rsidRPr="00E07EB0" w:rsidRDefault="00471411" w:rsidP="00471411">
      <w:pPr>
        <w:pStyle w:val="SingleTxtG"/>
        <w:ind w:firstLine="567"/>
      </w:pPr>
      <w:r w:rsidRPr="00E07EB0">
        <w:t>(a)</w:t>
      </w:r>
      <w:r w:rsidRPr="00E07EB0">
        <w:tab/>
      </w:r>
      <w:r w:rsidR="00825A12" w:rsidRPr="00E07EB0">
        <w:t>Optional Protocol to the Convention on the Rights of the Child on a communications procedure, on 24 September 2013;</w:t>
      </w:r>
    </w:p>
    <w:p w:rsidR="00825A12" w:rsidRPr="00E07EB0" w:rsidRDefault="00BA24D9" w:rsidP="00471411">
      <w:pPr>
        <w:pStyle w:val="SingleTxtG"/>
        <w:ind w:firstLine="567"/>
      </w:pPr>
      <w:r>
        <w:rPr>
          <w:noProof/>
          <w:lang w:eastAsia="zh-CN"/>
        </w:rPr>
        <w:pict>
          <v:shape id="_x0000_s1026" type="#_x0000_t75" style="position:absolute;left:0;text-align:left;margin-left:430.75pt;margin-top:632.85pt;width:50.25pt;height:50.25pt;z-index:1;mso-position-horizontal-relative:margin;mso-position-vertical-relative:margin">
            <v:imagedata r:id="rId8" o:title="4&amp;Size=2 &amp;Lang=E"/>
            <w10:wrap anchorx="margin" anchory="margin"/>
          </v:shape>
        </w:pict>
      </w:r>
      <w:r w:rsidR="00471411" w:rsidRPr="00E07EB0">
        <w:t>(b)</w:t>
      </w:r>
      <w:r w:rsidR="00471411" w:rsidRPr="00E07EB0">
        <w:tab/>
      </w:r>
      <w:r w:rsidR="00825A12" w:rsidRPr="00E07EB0">
        <w:t>Convention on the Rights of Persons with Disabilities and its Optional Protocol, on 23 September 2009;</w:t>
      </w:r>
    </w:p>
    <w:p w:rsidR="00737A4C" w:rsidRPr="00E07EB0" w:rsidRDefault="00471411" w:rsidP="00471411">
      <w:pPr>
        <w:pStyle w:val="SingleTxtG"/>
        <w:ind w:firstLine="567"/>
      </w:pPr>
      <w:r w:rsidRPr="00E07EB0">
        <w:t>(c)</w:t>
      </w:r>
      <w:r w:rsidRPr="00E07EB0">
        <w:tab/>
      </w:r>
      <w:r w:rsidR="00737A4C" w:rsidRPr="00E07EB0">
        <w:t>Optional Protocols to the Convention on the Rights of the Child on the sale of children, child prostitution and child pornography, on 16 May 2003 and on the involvement of children in armed conflict, on 19 August 2003;</w:t>
      </w:r>
    </w:p>
    <w:p w:rsidR="00737A4C" w:rsidRPr="00E07EB0" w:rsidRDefault="00471411" w:rsidP="00471411">
      <w:pPr>
        <w:pStyle w:val="SingleTxtG"/>
        <w:ind w:firstLine="567"/>
      </w:pPr>
      <w:r w:rsidRPr="00E07EB0">
        <w:t>(d)</w:t>
      </w:r>
      <w:r w:rsidRPr="00E07EB0">
        <w:tab/>
      </w:r>
      <w:r w:rsidR="00737A4C" w:rsidRPr="00E07EB0">
        <w:t>Optional Protocol to the Convention on the Elimination of Discrimination against Women, on 26 April 2002;</w:t>
      </w:r>
    </w:p>
    <w:p w:rsidR="003829A3" w:rsidRPr="00E07EB0" w:rsidRDefault="00471411" w:rsidP="00471411">
      <w:pPr>
        <w:pStyle w:val="SingleTxtG"/>
        <w:ind w:firstLine="567"/>
      </w:pPr>
      <w:r w:rsidRPr="00E07EB0">
        <w:t>(e)</w:t>
      </w:r>
      <w:r w:rsidRPr="00E07EB0">
        <w:tab/>
      </w:r>
      <w:r w:rsidR="003829A3" w:rsidRPr="00E07EB0">
        <w:t xml:space="preserve">Council of Europe Convention on preventing and combating violence against women and domestic violence, on 5 February 2013; </w:t>
      </w:r>
    </w:p>
    <w:p w:rsidR="00737A4C" w:rsidRPr="00E07EB0" w:rsidRDefault="00471411" w:rsidP="00471411">
      <w:pPr>
        <w:pStyle w:val="SingleTxtG"/>
        <w:ind w:firstLine="567"/>
      </w:pPr>
      <w:r w:rsidRPr="00E07EB0">
        <w:t>(f)</w:t>
      </w:r>
      <w:r w:rsidRPr="00E07EB0">
        <w:tab/>
      </w:r>
      <w:r w:rsidR="00737A4C" w:rsidRPr="00E07EB0">
        <w:t>Council of Europe Convention on Action against Trafficking in Human Beings, on 27 February 2008;</w:t>
      </w:r>
    </w:p>
    <w:p w:rsidR="00737A4C" w:rsidRPr="00E07EB0" w:rsidRDefault="00471411" w:rsidP="00471411">
      <w:pPr>
        <w:pStyle w:val="SingleTxtG"/>
        <w:ind w:firstLine="567"/>
      </w:pPr>
      <w:r w:rsidRPr="00E07EB0">
        <w:t>(g)</w:t>
      </w:r>
      <w:r w:rsidRPr="00E07EB0">
        <w:tab/>
      </w:r>
      <w:r w:rsidR="00737A4C" w:rsidRPr="00E07EB0">
        <w:t>1996 European Social Charter (revised), on 30 May 2002.</w:t>
      </w:r>
    </w:p>
    <w:p w:rsidR="006E2DC3" w:rsidRPr="00E07EB0" w:rsidRDefault="00B74026" w:rsidP="004F59D6">
      <w:pPr>
        <w:pStyle w:val="SingleTxtG"/>
        <w:numPr>
          <w:ilvl w:val="0"/>
          <w:numId w:val="17"/>
        </w:numPr>
        <w:tabs>
          <w:tab w:val="left" w:pos="851"/>
        </w:tabs>
        <w:ind w:left="1134" w:firstLine="0"/>
      </w:pPr>
      <w:r w:rsidRPr="00E07EB0">
        <w:t>The Committee note</w:t>
      </w:r>
      <w:r w:rsidR="004F59D6" w:rsidRPr="00E07EB0">
        <w:t>s</w:t>
      </w:r>
      <w:r w:rsidRPr="00E07EB0">
        <w:t xml:space="preserve"> with appreciation the </w:t>
      </w:r>
      <w:r w:rsidR="004F59D6" w:rsidRPr="00E07EB0">
        <w:t xml:space="preserve">measures taken by the </w:t>
      </w:r>
      <w:r w:rsidRPr="00E07EB0">
        <w:t xml:space="preserve">State party </w:t>
      </w:r>
      <w:r w:rsidR="004F59D6" w:rsidRPr="00E07EB0">
        <w:t xml:space="preserve">to </w:t>
      </w:r>
      <w:r w:rsidR="00B806A3" w:rsidRPr="00E07EB0">
        <w:t>enhanc</w:t>
      </w:r>
      <w:r w:rsidR="004F59D6" w:rsidRPr="00E07EB0">
        <w:t>e</w:t>
      </w:r>
      <w:r w:rsidR="00B806A3" w:rsidRPr="00E07EB0">
        <w:t xml:space="preserve"> the </w:t>
      </w:r>
      <w:r w:rsidRPr="00E07EB0">
        <w:t>promot</w:t>
      </w:r>
      <w:r w:rsidR="00B806A3" w:rsidRPr="00E07EB0">
        <w:t>ion and protection of</w:t>
      </w:r>
      <w:r w:rsidRPr="00E07EB0">
        <w:t xml:space="preserve"> economic, social and cultural rights, </w:t>
      </w:r>
      <w:r w:rsidR="00633109" w:rsidRPr="00E07EB0">
        <w:t>including</w:t>
      </w:r>
      <w:r w:rsidRPr="00E07EB0">
        <w:t>:</w:t>
      </w:r>
    </w:p>
    <w:p w:rsidR="001A0CFA" w:rsidRPr="00E07EB0" w:rsidRDefault="00471411" w:rsidP="004F59D6">
      <w:pPr>
        <w:pStyle w:val="SingleTxtG"/>
        <w:ind w:firstLine="567"/>
      </w:pPr>
      <w:r w:rsidRPr="00E07EB0">
        <w:t>(a)</w:t>
      </w:r>
      <w:r w:rsidRPr="00E07EB0">
        <w:tab/>
      </w:r>
      <w:r w:rsidR="004F59D6" w:rsidRPr="00E07EB0">
        <w:t>The i</w:t>
      </w:r>
      <w:r w:rsidR="00502A31" w:rsidRPr="00E07EB0">
        <w:t xml:space="preserve">mplementation of </w:t>
      </w:r>
      <w:r w:rsidR="001A0CFA" w:rsidRPr="00E07EB0">
        <w:t xml:space="preserve">National Plans for Immigrant </w:t>
      </w:r>
      <w:r w:rsidR="00823820" w:rsidRPr="00E07EB0">
        <w:t>Integration</w:t>
      </w:r>
      <w:r w:rsidR="001A0CFA" w:rsidRPr="00E07EB0">
        <w:t xml:space="preserve"> since 2007;</w:t>
      </w:r>
    </w:p>
    <w:p w:rsidR="0023101F" w:rsidRPr="00E07EB0" w:rsidRDefault="00471411" w:rsidP="004F59D6">
      <w:pPr>
        <w:pStyle w:val="SingleTxtG"/>
        <w:ind w:firstLine="567"/>
      </w:pPr>
      <w:r w:rsidRPr="00E07EB0">
        <w:t>(b)</w:t>
      </w:r>
      <w:r w:rsidRPr="00E07EB0">
        <w:tab/>
      </w:r>
      <w:r w:rsidR="004F59D6" w:rsidRPr="00E07EB0">
        <w:t>The i</w:t>
      </w:r>
      <w:r w:rsidR="0023101F" w:rsidRPr="00E07EB0">
        <w:t xml:space="preserve">mplementation of the </w:t>
      </w:r>
      <w:r w:rsidR="004F59D6" w:rsidRPr="00E07EB0">
        <w:t>p</w:t>
      </w:r>
      <w:r w:rsidR="0023101F" w:rsidRPr="00E07EB0">
        <w:t xml:space="preserve">roject </w:t>
      </w:r>
      <w:r w:rsidR="004F59D6" w:rsidRPr="00E07EB0">
        <w:t xml:space="preserve">entitled </w:t>
      </w:r>
      <w:r w:rsidR="0023101F" w:rsidRPr="00E07EB0">
        <w:t>“Intercultural Mediation in the Public Services”;</w:t>
      </w:r>
    </w:p>
    <w:p w:rsidR="007E6952" w:rsidRPr="00E07EB0" w:rsidRDefault="00471411" w:rsidP="004F59D6">
      <w:pPr>
        <w:pStyle w:val="SingleTxtG"/>
        <w:ind w:firstLine="567"/>
      </w:pPr>
      <w:r w:rsidRPr="00E07EB0">
        <w:t>(c)</w:t>
      </w:r>
      <w:r w:rsidRPr="00E07EB0">
        <w:tab/>
      </w:r>
      <w:r w:rsidR="004F59D6" w:rsidRPr="00E07EB0">
        <w:t>The a</w:t>
      </w:r>
      <w:r w:rsidR="002D20DB" w:rsidRPr="00E07EB0">
        <w:t xml:space="preserve">doption of the </w:t>
      </w:r>
      <w:r w:rsidR="007E6952" w:rsidRPr="00E07EB0">
        <w:t>Third National Action Plan to Prevent and Combat Trafficking in Human Beings 2014-2017;</w:t>
      </w:r>
      <w:r w:rsidR="00EC3630" w:rsidRPr="00E07EB0">
        <w:rPr>
          <w:rStyle w:val="FootnoteReference"/>
        </w:rPr>
        <w:t xml:space="preserve"> </w:t>
      </w:r>
    </w:p>
    <w:p w:rsidR="0023101F" w:rsidRPr="00E07EB0" w:rsidRDefault="00471411" w:rsidP="004F59D6">
      <w:pPr>
        <w:pStyle w:val="SingleTxtG"/>
        <w:ind w:firstLine="567"/>
      </w:pPr>
      <w:r w:rsidRPr="00E07EB0">
        <w:t>(d)</w:t>
      </w:r>
      <w:r w:rsidRPr="00E07EB0">
        <w:tab/>
      </w:r>
      <w:r w:rsidR="004F59D6" w:rsidRPr="00E07EB0">
        <w:t>The a</w:t>
      </w:r>
      <w:r w:rsidR="002D20DB" w:rsidRPr="00E07EB0">
        <w:t xml:space="preserve">doption of the </w:t>
      </w:r>
      <w:r w:rsidR="00B82CCF" w:rsidRPr="00E07EB0">
        <w:t>Fifth National Plan for Gender Equality, Citizenship and Non Discrimination 2014-2017;</w:t>
      </w:r>
      <w:r w:rsidR="00EC3630" w:rsidRPr="00E07EB0">
        <w:rPr>
          <w:rStyle w:val="FootnoteReference"/>
        </w:rPr>
        <w:t xml:space="preserve"> </w:t>
      </w:r>
    </w:p>
    <w:p w:rsidR="000F177E" w:rsidRPr="00E07EB0" w:rsidRDefault="00471411" w:rsidP="004F59D6">
      <w:pPr>
        <w:pStyle w:val="SingleTxtG"/>
        <w:ind w:firstLine="567"/>
      </w:pPr>
      <w:r w:rsidRPr="00E07EB0">
        <w:t>(e)</w:t>
      </w:r>
      <w:r w:rsidRPr="00E07EB0">
        <w:tab/>
      </w:r>
      <w:r w:rsidR="004F59D6" w:rsidRPr="00E07EB0">
        <w:t>The e</w:t>
      </w:r>
      <w:r w:rsidR="004B386F" w:rsidRPr="00E07EB0">
        <w:t xml:space="preserve">xpansion of compulsory education </w:t>
      </w:r>
      <w:r w:rsidR="00001B99" w:rsidRPr="00E07EB0">
        <w:t>until the age of 18 or until students complete secondary education</w:t>
      </w:r>
      <w:r w:rsidR="0086762C" w:rsidRPr="00E07EB0">
        <w:t>,</w:t>
      </w:r>
      <w:r w:rsidR="00001B99" w:rsidRPr="00E07EB0">
        <w:t xml:space="preserve"> under </w:t>
      </w:r>
      <w:r w:rsidRPr="00E07EB0">
        <w:t>Law No. </w:t>
      </w:r>
      <w:r w:rsidR="004C70B3" w:rsidRPr="00E07EB0">
        <w:t xml:space="preserve">85/2009 </w:t>
      </w:r>
      <w:r w:rsidR="0075137E" w:rsidRPr="00E07EB0">
        <w:t>of 27 August 2009.</w:t>
      </w:r>
      <w:r w:rsidRPr="00E07EB0">
        <w:rPr>
          <w:rStyle w:val="FootnoteReference"/>
        </w:rPr>
        <w:t xml:space="preserve"> </w:t>
      </w:r>
    </w:p>
    <w:p w:rsidR="00431748" w:rsidRPr="00E07EB0" w:rsidRDefault="00B74026" w:rsidP="00DD6F95">
      <w:pPr>
        <w:pStyle w:val="H1G"/>
      </w:pPr>
      <w:r w:rsidRPr="00E07EB0">
        <w:tab/>
        <w:t>C.</w:t>
      </w:r>
      <w:r w:rsidRPr="00E07EB0">
        <w:tab/>
        <w:t>Principal subjects of concern and recommendations</w:t>
      </w:r>
    </w:p>
    <w:p w:rsidR="00AC744D" w:rsidRPr="00E07EB0" w:rsidRDefault="00DD6F95" w:rsidP="00DD6F95">
      <w:pPr>
        <w:pStyle w:val="H23G"/>
      </w:pPr>
      <w:r w:rsidRPr="00E07EB0">
        <w:tab/>
      </w:r>
      <w:r w:rsidRPr="00E07EB0">
        <w:tab/>
      </w:r>
      <w:r w:rsidR="00AC744D" w:rsidRPr="00E07EB0">
        <w:t>Obligations of the State party under the Covenant in the context of the economic crisis</w:t>
      </w:r>
    </w:p>
    <w:p w:rsidR="00AC744D" w:rsidRPr="00E07EB0" w:rsidRDefault="00AC744D" w:rsidP="00F636AD">
      <w:pPr>
        <w:pStyle w:val="SingleTxtG"/>
        <w:numPr>
          <w:ilvl w:val="0"/>
          <w:numId w:val="17"/>
        </w:numPr>
        <w:tabs>
          <w:tab w:val="left" w:pos="851"/>
        </w:tabs>
        <w:ind w:left="1134" w:firstLine="0"/>
      </w:pPr>
      <w:r w:rsidRPr="00E07EB0">
        <w:t xml:space="preserve">The Committee notes with concern that, despite the measures taken by the State party to mitigate the economic and social impact of </w:t>
      </w:r>
      <w:r w:rsidR="00AE7082" w:rsidRPr="00E07EB0">
        <w:t xml:space="preserve">the </w:t>
      </w:r>
      <w:r w:rsidRPr="00E07EB0">
        <w:t xml:space="preserve">austerity measures adopted in the framework of the Economic and Financial Adjustment Programme, the financial and economic crisis </w:t>
      </w:r>
      <w:r w:rsidR="00AE7082" w:rsidRPr="00E07EB0">
        <w:t xml:space="preserve">has </w:t>
      </w:r>
      <w:r w:rsidRPr="00E07EB0">
        <w:t xml:space="preserve">had an adverse impact on the enjoyment of economic, social and cultural rights by the population at large, in particular with regard to the rights to work, social security, housing, health and education. </w:t>
      </w:r>
      <w:r w:rsidR="00B806A3" w:rsidRPr="00E07EB0">
        <w:t>Various measures</w:t>
      </w:r>
      <w:r w:rsidR="00AE7082" w:rsidRPr="00E07EB0">
        <w:t>,</w:t>
      </w:r>
      <w:r w:rsidR="00B806A3" w:rsidRPr="00E07EB0">
        <w:t xml:space="preserve"> specifically </w:t>
      </w:r>
      <w:r w:rsidR="00F636AD" w:rsidRPr="00E07EB0">
        <w:t xml:space="preserve">those that </w:t>
      </w:r>
      <w:r w:rsidR="00B806A3" w:rsidRPr="00E07EB0">
        <w:t>target disadvantaged and marginalized individuals and groups</w:t>
      </w:r>
      <w:r w:rsidR="00AE7082" w:rsidRPr="00E07EB0">
        <w:t>,</w:t>
      </w:r>
      <w:r w:rsidR="00B806A3" w:rsidRPr="00E07EB0">
        <w:t xml:space="preserve"> have not been sufficient to adequately protect them against the consequences of the crisis. </w:t>
      </w:r>
      <w:r w:rsidRPr="00E07EB0">
        <w:t xml:space="preserve">The Committee also notes that, in </w:t>
      </w:r>
      <w:r w:rsidR="00AE7082" w:rsidRPr="00E07EB0">
        <w:t xml:space="preserve">the </w:t>
      </w:r>
      <w:r w:rsidRPr="00E07EB0">
        <w:t xml:space="preserve">light of improvements in the economic and financial situation, the State party exited the Economic and Financial Assistance Programme in June 2014 </w:t>
      </w:r>
      <w:r w:rsidR="00471411" w:rsidRPr="00E07EB0">
        <w:t>(arts. </w:t>
      </w:r>
      <w:r w:rsidRPr="00E07EB0">
        <w:t>2</w:t>
      </w:r>
      <w:r w:rsidR="00F636AD" w:rsidRPr="00E07EB0">
        <w:t xml:space="preserve">, para </w:t>
      </w:r>
      <w:r w:rsidRPr="00E07EB0">
        <w:t>1</w:t>
      </w:r>
      <w:r w:rsidR="00F636AD" w:rsidRPr="00E07EB0">
        <w:t>;</w:t>
      </w:r>
      <w:r w:rsidRPr="00E07EB0">
        <w:t xml:space="preserve"> 2</w:t>
      </w:r>
      <w:r w:rsidR="00F636AD" w:rsidRPr="00E07EB0">
        <w:t xml:space="preserve">, para </w:t>
      </w:r>
      <w:r w:rsidRPr="00E07EB0">
        <w:t>2</w:t>
      </w:r>
      <w:r w:rsidR="00F636AD" w:rsidRPr="00E07EB0">
        <w:t>;</w:t>
      </w:r>
      <w:r w:rsidRPr="00E07EB0">
        <w:t xml:space="preserve"> 6</w:t>
      </w:r>
      <w:r w:rsidR="00F636AD" w:rsidRPr="00E07EB0">
        <w:t>;</w:t>
      </w:r>
      <w:r w:rsidRPr="00E07EB0">
        <w:t xml:space="preserve"> 7</w:t>
      </w:r>
      <w:r w:rsidR="00F636AD" w:rsidRPr="00E07EB0">
        <w:t>;</w:t>
      </w:r>
      <w:r w:rsidRPr="00E07EB0">
        <w:t xml:space="preserve"> 9 </w:t>
      </w:r>
      <w:r w:rsidR="00572756" w:rsidRPr="00E07EB0">
        <w:t xml:space="preserve">and </w:t>
      </w:r>
      <w:r w:rsidRPr="00E07EB0">
        <w:t>11</w:t>
      </w:r>
      <w:r w:rsidR="00E12D6F" w:rsidRPr="00E07EB0">
        <w:t>–</w:t>
      </w:r>
      <w:r w:rsidRPr="00E07EB0">
        <w:t>14).</w:t>
      </w:r>
    </w:p>
    <w:p w:rsidR="00D300DE" w:rsidRPr="00E07EB0" w:rsidRDefault="00AC744D" w:rsidP="00BF7450">
      <w:pPr>
        <w:pStyle w:val="SingleTxtG"/>
        <w:rPr>
          <w:rFonts w:cs="Angsana New"/>
          <w:b/>
        </w:rPr>
      </w:pPr>
      <w:r w:rsidRPr="00E07EB0">
        <w:rPr>
          <w:b/>
        </w:rPr>
        <w:t xml:space="preserve">The Committee reminds the State party of its obligation under the Covenant to respect, protect and fulfil economic, social and cultural rights progressively, to the maximum of its available resources. </w:t>
      </w:r>
      <w:r w:rsidR="002C6A1F" w:rsidRPr="00E07EB0">
        <w:rPr>
          <w:rFonts w:cs="Angsana New"/>
          <w:b/>
        </w:rPr>
        <w:t xml:space="preserve">The Committee draws the State party’s attention to </w:t>
      </w:r>
      <w:r w:rsidR="00F636AD" w:rsidRPr="00E07EB0">
        <w:rPr>
          <w:rFonts w:cs="Angsana New"/>
          <w:b/>
        </w:rPr>
        <w:t xml:space="preserve">the Committee's </w:t>
      </w:r>
      <w:r w:rsidR="002C6A1F" w:rsidRPr="00E07EB0">
        <w:rPr>
          <w:rFonts w:cs="Angsana New"/>
          <w:b/>
        </w:rPr>
        <w:t xml:space="preserve">open letter of 16 May 2012 to States parties on economic, social and cultural rights in the context of the economic and financial crisis, in particular to the recommendations contained therein with regard to the requirements resulting from the Covenant regarding the applicability of austerity measures. </w:t>
      </w:r>
      <w:r w:rsidR="00BF7450" w:rsidRPr="00E07EB0">
        <w:rPr>
          <w:rFonts w:cs="Angsana New"/>
          <w:b/>
        </w:rPr>
        <w:t xml:space="preserve">Such measures </w:t>
      </w:r>
      <w:r w:rsidR="00E40BEF" w:rsidRPr="00E07EB0">
        <w:rPr>
          <w:rFonts w:cs="Angsana New"/>
          <w:b/>
        </w:rPr>
        <w:t xml:space="preserve">can be applicable only if they are </w:t>
      </w:r>
      <w:r w:rsidR="00E40BEF" w:rsidRPr="00E07EB0">
        <w:rPr>
          <w:b/>
        </w:rPr>
        <w:t xml:space="preserve">temporary, necessary and proportionate, not discriminatory and do not disproportionately affect the rights of disadvantaged and marginalized individuals and groups. </w:t>
      </w:r>
      <w:r w:rsidR="002C6A1F" w:rsidRPr="00E07EB0">
        <w:rPr>
          <w:rFonts w:cs="Angsana New"/>
          <w:b/>
        </w:rPr>
        <w:t xml:space="preserve">In </w:t>
      </w:r>
      <w:r w:rsidR="00BF7450" w:rsidRPr="00E07EB0">
        <w:rPr>
          <w:rFonts w:cs="Angsana New"/>
          <w:b/>
        </w:rPr>
        <w:t xml:space="preserve">that </w:t>
      </w:r>
      <w:r w:rsidR="002C6A1F" w:rsidRPr="00E07EB0">
        <w:rPr>
          <w:rFonts w:cs="Angsana New"/>
          <w:b/>
        </w:rPr>
        <w:t xml:space="preserve">context, </w:t>
      </w:r>
      <w:r w:rsidR="002C6A1F" w:rsidRPr="00E07EB0">
        <w:rPr>
          <w:b/>
        </w:rPr>
        <w:t>t</w:t>
      </w:r>
      <w:r w:rsidRPr="00E07EB0">
        <w:rPr>
          <w:b/>
        </w:rPr>
        <w:t>he Committee recommends that the State party review the policies and programmes adopted in the framework of the Social Emergency Programme implemented since 2011</w:t>
      </w:r>
      <w:r w:rsidR="00A72FE1" w:rsidRPr="00E07EB0">
        <w:rPr>
          <w:b/>
        </w:rPr>
        <w:t>, and any other subsequent post-crisis economic and financial reforms,</w:t>
      </w:r>
      <w:r w:rsidRPr="00E07EB0">
        <w:rPr>
          <w:b/>
        </w:rPr>
        <w:t xml:space="preserve"> with a view to ensuring that </w:t>
      </w:r>
      <w:r w:rsidR="003F5C6D" w:rsidRPr="00E07EB0">
        <w:rPr>
          <w:b/>
        </w:rPr>
        <w:t xml:space="preserve">austerity measures are </w:t>
      </w:r>
      <w:r w:rsidR="005B4153" w:rsidRPr="00E07EB0">
        <w:rPr>
          <w:b/>
        </w:rPr>
        <w:t>progressively</w:t>
      </w:r>
      <w:r w:rsidR="003F5C6D" w:rsidRPr="00E07EB0">
        <w:rPr>
          <w:b/>
        </w:rPr>
        <w:t xml:space="preserve"> waived and </w:t>
      </w:r>
      <w:r w:rsidRPr="00E07EB0">
        <w:rPr>
          <w:b/>
        </w:rPr>
        <w:t xml:space="preserve">the effective protection </w:t>
      </w:r>
      <w:r w:rsidR="003F5C6D" w:rsidRPr="00E07EB0">
        <w:rPr>
          <w:b/>
        </w:rPr>
        <w:t xml:space="preserve">of </w:t>
      </w:r>
      <w:r w:rsidRPr="00E07EB0">
        <w:rPr>
          <w:b/>
        </w:rPr>
        <w:t xml:space="preserve">the rights </w:t>
      </w:r>
      <w:r w:rsidR="003F5C6D" w:rsidRPr="00E07EB0">
        <w:rPr>
          <w:b/>
        </w:rPr>
        <w:t xml:space="preserve">under </w:t>
      </w:r>
      <w:r w:rsidRPr="00E07EB0">
        <w:rPr>
          <w:b/>
        </w:rPr>
        <w:t xml:space="preserve">the Covenant </w:t>
      </w:r>
      <w:r w:rsidR="003F5C6D" w:rsidRPr="00E07EB0">
        <w:rPr>
          <w:b/>
        </w:rPr>
        <w:t xml:space="preserve">is </w:t>
      </w:r>
      <w:r w:rsidR="005B4153" w:rsidRPr="00E07EB0">
        <w:rPr>
          <w:b/>
        </w:rPr>
        <w:t>enhanced</w:t>
      </w:r>
      <w:r w:rsidRPr="00E07EB0">
        <w:rPr>
          <w:b/>
        </w:rPr>
        <w:t xml:space="preserve"> </w:t>
      </w:r>
      <w:r w:rsidR="003F5C6D" w:rsidRPr="00E07EB0">
        <w:rPr>
          <w:b/>
        </w:rPr>
        <w:t xml:space="preserve">in line with </w:t>
      </w:r>
      <w:r w:rsidRPr="00E07EB0">
        <w:rPr>
          <w:b/>
        </w:rPr>
        <w:t xml:space="preserve">the progress achieved in </w:t>
      </w:r>
      <w:r w:rsidR="002051D5" w:rsidRPr="00E07EB0">
        <w:rPr>
          <w:b/>
        </w:rPr>
        <w:t xml:space="preserve">the </w:t>
      </w:r>
      <w:r w:rsidRPr="00E07EB0">
        <w:rPr>
          <w:b/>
        </w:rPr>
        <w:t xml:space="preserve">post-crisis economic recovery. </w:t>
      </w:r>
    </w:p>
    <w:p w:rsidR="008C5CA7" w:rsidRPr="00E07EB0" w:rsidRDefault="00DD6F95" w:rsidP="00DD6F95">
      <w:pPr>
        <w:pStyle w:val="H23G"/>
        <w:rPr>
          <w:rFonts w:cs="Angsana New"/>
        </w:rPr>
      </w:pPr>
      <w:r w:rsidRPr="00E07EB0">
        <w:tab/>
      </w:r>
      <w:r w:rsidRPr="00E07EB0">
        <w:tab/>
      </w:r>
      <w:r w:rsidR="008C5CA7" w:rsidRPr="00E07EB0">
        <w:t>Discrimination against Roma</w:t>
      </w:r>
    </w:p>
    <w:p w:rsidR="008C5CA7" w:rsidRPr="00E07EB0" w:rsidRDefault="008C5CA7" w:rsidP="00955508">
      <w:pPr>
        <w:pStyle w:val="SingleTxtG"/>
        <w:numPr>
          <w:ilvl w:val="0"/>
          <w:numId w:val="17"/>
        </w:numPr>
        <w:tabs>
          <w:tab w:val="left" w:pos="851"/>
        </w:tabs>
        <w:ind w:left="1134" w:firstLine="0"/>
      </w:pPr>
      <w:r w:rsidRPr="00E07EB0">
        <w:t xml:space="preserve">The Committee is concerned that, despite </w:t>
      </w:r>
      <w:r w:rsidR="001A2E96" w:rsidRPr="00E07EB0">
        <w:t xml:space="preserve">various steps taken by the State Party and </w:t>
      </w:r>
      <w:r w:rsidRPr="00E07EB0">
        <w:t>the progress achieved so far, Roma continue to experience social exclusion and discrimination in the enjoyment of their rights under the Covenant, in particular in the areas of education, employment, health</w:t>
      </w:r>
      <w:r w:rsidR="00955508" w:rsidRPr="00E07EB0">
        <w:t xml:space="preserve"> </w:t>
      </w:r>
      <w:r w:rsidRPr="00E07EB0">
        <w:t>care and housing. While welcoming the adoption in 2013 of the National Strategy for the Integration of Roma Communities for the period 2013</w:t>
      </w:r>
      <w:r w:rsidR="00471411" w:rsidRPr="00E07EB0">
        <w:noBreakHyphen/>
      </w:r>
      <w:r w:rsidRPr="00E07EB0">
        <w:t xml:space="preserve">2020, the Committee notes that the lack of accurate and updated </w:t>
      </w:r>
      <w:r w:rsidR="001A2E96" w:rsidRPr="00E07EB0">
        <w:t xml:space="preserve">data and </w:t>
      </w:r>
      <w:r w:rsidRPr="00E07EB0">
        <w:t xml:space="preserve">information on the </w:t>
      </w:r>
      <w:r w:rsidR="00551BBC" w:rsidRPr="00E07EB0">
        <w:t xml:space="preserve">enjoyment of </w:t>
      </w:r>
      <w:r w:rsidRPr="00E07EB0">
        <w:t xml:space="preserve">economic, social and cultural </w:t>
      </w:r>
      <w:r w:rsidR="00551BBC" w:rsidRPr="00E07EB0">
        <w:t xml:space="preserve">rights by </w:t>
      </w:r>
      <w:r w:rsidRPr="00E07EB0">
        <w:t>Roma represents a significant obstacle for the effective implementation</w:t>
      </w:r>
      <w:r w:rsidR="00471411" w:rsidRPr="00E07EB0">
        <w:t xml:space="preserve"> of the National Strategy (art. 2, para. </w:t>
      </w:r>
      <w:r w:rsidRPr="00E07EB0">
        <w:t>2).</w:t>
      </w:r>
    </w:p>
    <w:p w:rsidR="008C5CA7" w:rsidRPr="00E07EB0" w:rsidRDefault="008C5CA7" w:rsidP="0023637A">
      <w:pPr>
        <w:pStyle w:val="SingleTxtG"/>
        <w:rPr>
          <w:b/>
          <w:bCs/>
        </w:rPr>
      </w:pPr>
      <w:r w:rsidRPr="00E07EB0">
        <w:rPr>
          <w:b/>
          <w:bCs/>
        </w:rPr>
        <w:t xml:space="preserve">The Committee recommends that the State party step up its efforts to combat discrimination against Roma with a view to giving full effect to their </w:t>
      </w:r>
      <w:r w:rsidR="001A2E96" w:rsidRPr="00E07EB0">
        <w:rPr>
          <w:b/>
          <w:bCs/>
        </w:rPr>
        <w:t xml:space="preserve">economic, social and cultural </w:t>
      </w:r>
      <w:r w:rsidRPr="00E07EB0">
        <w:rPr>
          <w:b/>
          <w:bCs/>
        </w:rPr>
        <w:t>rights in practice and, to that end, to:</w:t>
      </w:r>
    </w:p>
    <w:p w:rsidR="00551BBC" w:rsidRPr="00E07EB0" w:rsidRDefault="00471411" w:rsidP="00BF7450">
      <w:pPr>
        <w:pStyle w:val="SingleTxtG"/>
        <w:ind w:firstLine="567"/>
        <w:rPr>
          <w:b/>
          <w:bCs/>
        </w:rPr>
      </w:pPr>
      <w:r w:rsidRPr="00E07EB0">
        <w:rPr>
          <w:b/>
          <w:bCs/>
        </w:rPr>
        <w:t>(a)</w:t>
      </w:r>
      <w:r w:rsidRPr="00E07EB0">
        <w:rPr>
          <w:b/>
          <w:bCs/>
        </w:rPr>
        <w:tab/>
      </w:r>
      <w:r w:rsidR="008C5CA7" w:rsidRPr="00E07EB0">
        <w:rPr>
          <w:b/>
          <w:bCs/>
        </w:rPr>
        <w:t>Collect statistical data on the number of Roma living in the country</w:t>
      </w:r>
      <w:r w:rsidR="001A2E96" w:rsidRPr="00E07EB0">
        <w:rPr>
          <w:b/>
          <w:bCs/>
        </w:rPr>
        <w:t xml:space="preserve">, </w:t>
      </w:r>
      <w:r w:rsidR="00BF7450" w:rsidRPr="00E07EB0">
        <w:rPr>
          <w:b/>
          <w:bCs/>
        </w:rPr>
        <w:t xml:space="preserve">on the basis of </w:t>
      </w:r>
      <w:r w:rsidR="001A2E96" w:rsidRPr="00E07EB0">
        <w:rPr>
          <w:b/>
          <w:bCs/>
        </w:rPr>
        <w:t>voluntary self-identification</w:t>
      </w:r>
      <w:r w:rsidR="00551BBC" w:rsidRPr="00E07EB0">
        <w:rPr>
          <w:b/>
          <w:bCs/>
        </w:rPr>
        <w:t xml:space="preserve">; </w:t>
      </w:r>
    </w:p>
    <w:p w:rsidR="008C5CA7" w:rsidRPr="00E07EB0" w:rsidRDefault="00471411" w:rsidP="00BF7450">
      <w:pPr>
        <w:pStyle w:val="SingleTxtG"/>
        <w:ind w:firstLine="567"/>
        <w:rPr>
          <w:b/>
          <w:bCs/>
        </w:rPr>
      </w:pPr>
      <w:r w:rsidRPr="00E07EB0">
        <w:rPr>
          <w:b/>
          <w:bCs/>
        </w:rPr>
        <w:t>(b)</w:t>
      </w:r>
      <w:r w:rsidRPr="00E07EB0">
        <w:rPr>
          <w:b/>
          <w:bCs/>
        </w:rPr>
        <w:tab/>
      </w:r>
      <w:r w:rsidR="003836C1" w:rsidRPr="00E07EB0">
        <w:rPr>
          <w:b/>
          <w:bCs/>
        </w:rPr>
        <w:t>C</w:t>
      </w:r>
      <w:r w:rsidR="00551BBC" w:rsidRPr="00E07EB0">
        <w:rPr>
          <w:b/>
          <w:bCs/>
        </w:rPr>
        <w:t>arry out a s</w:t>
      </w:r>
      <w:r w:rsidR="008C5CA7" w:rsidRPr="00E07EB0">
        <w:rPr>
          <w:b/>
          <w:bCs/>
        </w:rPr>
        <w:t xml:space="preserve">tudy on the situation of economic, social and cultural </w:t>
      </w:r>
      <w:r w:rsidR="00551BBC" w:rsidRPr="00E07EB0">
        <w:rPr>
          <w:b/>
          <w:bCs/>
        </w:rPr>
        <w:t xml:space="preserve">rights </w:t>
      </w:r>
      <w:r w:rsidR="008C5CA7" w:rsidRPr="00E07EB0">
        <w:rPr>
          <w:b/>
          <w:bCs/>
        </w:rPr>
        <w:t>of Roma</w:t>
      </w:r>
      <w:r w:rsidR="00BF7450" w:rsidRPr="00E07EB0">
        <w:rPr>
          <w:b/>
          <w:bCs/>
        </w:rPr>
        <w:t>,</w:t>
      </w:r>
      <w:r w:rsidR="008C5CA7" w:rsidRPr="00E07EB0">
        <w:rPr>
          <w:b/>
          <w:bCs/>
        </w:rPr>
        <w:t xml:space="preserve"> as foreseen in the National Strategy for the Integration of Roma Communities for the period 2013</w:t>
      </w:r>
      <w:r w:rsidR="00955508" w:rsidRPr="00E07EB0">
        <w:rPr>
          <w:b/>
          <w:bCs/>
        </w:rPr>
        <w:t>–</w:t>
      </w:r>
      <w:r w:rsidR="008C5CA7" w:rsidRPr="00E07EB0">
        <w:rPr>
          <w:b/>
          <w:bCs/>
        </w:rPr>
        <w:t>2020</w:t>
      </w:r>
      <w:r w:rsidR="00BF7450" w:rsidRPr="00E07EB0">
        <w:rPr>
          <w:b/>
          <w:bCs/>
        </w:rPr>
        <w:t>,</w:t>
      </w:r>
      <w:r w:rsidR="008C5CA7" w:rsidRPr="00E07EB0">
        <w:rPr>
          <w:b/>
          <w:bCs/>
        </w:rPr>
        <w:t xml:space="preserve"> with a view to effectively implementing and monitoring the current Strategy;</w:t>
      </w:r>
    </w:p>
    <w:p w:rsidR="008C5CA7" w:rsidRPr="00E07EB0" w:rsidRDefault="00471411" w:rsidP="0023637A">
      <w:pPr>
        <w:pStyle w:val="SingleTxtG"/>
        <w:ind w:firstLine="567"/>
        <w:rPr>
          <w:b/>
          <w:bCs/>
        </w:rPr>
      </w:pPr>
      <w:r w:rsidRPr="00E07EB0">
        <w:rPr>
          <w:b/>
          <w:bCs/>
        </w:rPr>
        <w:t>(c)</w:t>
      </w:r>
      <w:r w:rsidRPr="00E07EB0">
        <w:rPr>
          <w:b/>
          <w:bCs/>
        </w:rPr>
        <w:tab/>
      </w:r>
      <w:r w:rsidR="008C5CA7" w:rsidRPr="00E07EB0">
        <w:rPr>
          <w:b/>
          <w:bCs/>
        </w:rPr>
        <w:t>Provide adequate earmarked resources, including from the public budget, for the effective implementation of the National Strategy, and assess, on a regular basis, the effectiveness of measures taken;</w:t>
      </w:r>
      <w:r w:rsidR="008C5CA7" w:rsidRPr="00E07EB0">
        <w:rPr>
          <w:rFonts w:ascii="Calibri" w:eastAsia="Calibri" w:hAnsi="Calibri"/>
          <w:b/>
          <w:bCs/>
          <w:sz w:val="22"/>
          <w:szCs w:val="22"/>
          <w:lang w:eastAsia="en-GB"/>
        </w:rPr>
        <w:t xml:space="preserve"> </w:t>
      </w:r>
    </w:p>
    <w:p w:rsidR="008C5CA7" w:rsidRPr="00E07EB0" w:rsidRDefault="00471411" w:rsidP="0023637A">
      <w:pPr>
        <w:pStyle w:val="SingleTxtG"/>
        <w:ind w:firstLine="567"/>
        <w:rPr>
          <w:b/>
          <w:bCs/>
        </w:rPr>
      </w:pPr>
      <w:r w:rsidRPr="00E07EB0">
        <w:rPr>
          <w:b/>
          <w:bCs/>
        </w:rPr>
        <w:t>(d)</w:t>
      </w:r>
      <w:r w:rsidRPr="00E07EB0">
        <w:rPr>
          <w:b/>
          <w:bCs/>
        </w:rPr>
        <w:tab/>
      </w:r>
      <w:r w:rsidR="005135AD" w:rsidRPr="00E07EB0">
        <w:rPr>
          <w:b/>
          <w:bCs/>
        </w:rPr>
        <w:t>Step up</w:t>
      </w:r>
      <w:r w:rsidR="008B6571" w:rsidRPr="00E07EB0">
        <w:rPr>
          <w:b/>
          <w:bCs/>
        </w:rPr>
        <w:t xml:space="preserve"> efforts aimed at the </w:t>
      </w:r>
      <w:r w:rsidR="008B6571" w:rsidRPr="00E07EB0">
        <w:rPr>
          <w:b/>
          <w:bCs/>
          <w:lang w:val="en-US"/>
        </w:rPr>
        <w:t>elimination</w:t>
      </w:r>
      <w:r w:rsidR="001A2E96" w:rsidRPr="00E07EB0">
        <w:rPr>
          <w:b/>
          <w:bCs/>
          <w:lang w:val="en-US"/>
        </w:rPr>
        <w:t xml:space="preserve"> of </w:t>
      </w:r>
      <w:r w:rsidR="008C5CA7" w:rsidRPr="00E07EB0">
        <w:rPr>
          <w:b/>
          <w:bCs/>
          <w:lang w:val="en-US"/>
        </w:rPr>
        <w:t xml:space="preserve">stereotypes and negative prejudices </w:t>
      </w:r>
      <w:r w:rsidR="001A2E96" w:rsidRPr="00E07EB0">
        <w:rPr>
          <w:b/>
          <w:bCs/>
          <w:lang w:val="en-US"/>
        </w:rPr>
        <w:t xml:space="preserve">against </w:t>
      </w:r>
      <w:r w:rsidR="008C5CA7" w:rsidRPr="00E07EB0">
        <w:rPr>
          <w:b/>
          <w:bCs/>
          <w:lang w:val="en-US"/>
        </w:rPr>
        <w:t xml:space="preserve">Roma, including by increasing awareness-raising campaigns that promote tolerance and respect for </w:t>
      </w:r>
      <w:r w:rsidR="001A2E96" w:rsidRPr="00E07EB0">
        <w:rPr>
          <w:b/>
          <w:bCs/>
          <w:lang w:val="en-US"/>
        </w:rPr>
        <w:t xml:space="preserve">ethnic </w:t>
      </w:r>
      <w:r w:rsidR="008C5CA7" w:rsidRPr="00E07EB0">
        <w:rPr>
          <w:b/>
          <w:bCs/>
          <w:lang w:val="en-US"/>
        </w:rPr>
        <w:t>diversity.</w:t>
      </w:r>
    </w:p>
    <w:p w:rsidR="00D300DE" w:rsidRPr="00E07EB0" w:rsidRDefault="00111B26" w:rsidP="00111B26">
      <w:pPr>
        <w:pStyle w:val="H23G"/>
      </w:pPr>
      <w:r w:rsidRPr="00E07EB0">
        <w:tab/>
      </w:r>
      <w:r w:rsidRPr="00E07EB0">
        <w:tab/>
      </w:r>
      <w:r w:rsidR="00D423EC" w:rsidRPr="00E07EB0">
        <w:t>Unemployment</w:t>
      </w:r>
    </w:p>
    <w:p w:rsidR="00D423EC" w:rsidRPr="00E07EB0" w:rsidRDefault="00D423EC" w:rsidP="009552FC">
      <w:pPr>
        <w:pStyle w:val="SingleTxtG"/>
        <w:numPr>
          <w:ilvl w:val="0"/>
          <w:numId w:val="17"/>
        </w:numPr>
        <w:tabs>
          <w:tab w:val="left" w:pos="851"/>
        </w:tabs>
        <w:ind w:left="1134" w:firstLine="0"/>
        <w:rPr>
          <w:lang w:eastAsia="en-GB"/>
        </w:rPr>
      </w:pPr>
      <w:r w:rsidRPr="00E07EB0">
        <w:rPr>
          <w:lang w:eastAsia="en-GB"/>
        </w:rPr>
        <w:t>T</w:t>
      </w:r>
      <w:r w:rsidR="00551BBC" w:rsidRPr="00E07EB0">
        <w:rPr>
          <w:lang w:eastAsia="en-GB"/>
        </w:rPr>
        <w:t xml:space="preserve">he </w:t>
      </w:r>
      <w:r w:rsidR="00551BBC" w:rsidRPr="00E07EB0">
        <w:t>Committee</w:t>
      </w:r>
      <w:r w:rsidR="00551BBC" w:rsidRPr="00E07EB0">
        <w:rPr>
          <w:lang w:eastAsia="en-GB"/>
        </w:rPr>
        <w:t xml:space="preserve"> is concerned that </w:t>
      </w:r>
      <w:r w:rsidRPr="00E07EB0">
        <w:rPr>
          <w:lang w:eastAsia="en-GB"/>
        </w:rPr>
        <w:t xml:space="preserve">the unemployment rate remains </w:t>
      </w:r>
      <w:r w:rsidR="005135AD" w:rsidRPr="00E07EB0">
        <w:rPr>
          <w:lang w:eastAsia="en-GB"/>
        </w:rPr>
        <w:t xml:space="preserve">exceptionally </w:t>
      </w:r>
      <w:r w:rsidRPr="00E07EB0">
        <w:rPr>
          <w:lang w:eastAsia="en-GB"/>
        </w:rPr>
        <w:t xml:space="preserve">high, affecting disproportionately young people </w:t>
      </w:r>
      <w:r w:rsidR="00763D05" w:rsidRPr="00E07EB0">
        <w:rPr>
          <w:lang w:eastAsia="en-GB"/>
        </w:rPr>
        <w:t xml:space="preserve">under </w:t>
      </w:r>
      <w:r w:rsidR="00D56B0E" w:rsidRPr="00E07EB0">
        <w:rPr>
          <w:lang w:eastAsia="en-GB"/>
        </w:rPr>
        <w:t xml:space="preserve">the age of </w:t>
      </w:r>
      <w:r w:rsidRPr="00E07EB0">
        <w:rPr>
          <w:lang w:eastAsia="en-GB"/>
        </w:rPr>
        <w:t>24, whose unemployment rate has more than doubled since 2008. The Committee also notes that long-term unemployment has increased from 48.2 per</w:t>
      </w:r>
      <w:r w:rsidR="00F450DC" w:rsidRPr="00E07EB0">
        <w:rPr>
          <w:lang w:eastAsia="en-GB"/>
        </w:rPr>
        <w:t xml:space="preserve"> </w:t>
      </w:r>
      <w:r w:rsidRPr="00E07EB0">
        <w:rPr>
          <w:lang w:eastAsia="en-GB"/>
        </w:rPr>
        <w:t>cent in the second quarter of 2008 to 56 per</w:t>
      </w:r>
      <w:r w:rsidR="00F450DC" w:rsidRPr="00E07EB0">
        <w:rPr>
          <w:lang w:eastAsia="en-GB"/>
        </w:rPr>
        <w:t xml:space="preserve"> </w:t>
      </w:r>
      <w:r w:rsidRPr="00E07EB0">
        <w:rPr>
          <w:lang w:eastAsia="en-GB"/>
        </w:rPr>
        <w:t>cent</w:t>
      </w:r>
      <w:r w:rsidR="00D56B0E" w:rsidRPr="00E07EB0">
        <w:rPr>
          <w:lang w:eastAsia="en-GB"/>
        </w:rPr>
        <w:t xml:space="preserve"> </w:t>
      </w:r>
      <w:r w:rsidRPr="00E07EB0">
        <w:rPr>
          <w:lang w:eastAsia="en-GB"/>
        </w:rPr>
        <w:t>in the second quarter of 2013</w:t>
      </w:r>
      <w:r w:rsidR="00471411" w:rsidRPr="00E07EB0">
        <w:rPr>
          <w:vertAlign w:val="superscript"/>
          <w:lang w:eastAsia="en-GB"/>
        </w:rPr>
        <w:t xml:space="preserve"> </w:t>
      </w:r>
      <w:r w:rsidR="00B073B0" w:rsidRPr="00E07EB0">
        <w:rPr>
          <w:lang w:eastAsia="en-GB"/>
        </w:rPr>
        <w:t>(art. </w:t>
      </w:r>
      <w:r w:rsidRPr="00E07EB0">
        <w:rPr>
          <w:lang w:eastAsia="en-GB"/>
        </w:rPr>
        <w:t>6).</w:t>
      </w:r>
    </w:p>
    <w:p w:rsidR="00D423EC" w:rsidRPr="00E07EB0" w:rsidRDefault="00D423EC" w:rsidP="00D423EC">
      <w:pPr>
        <w:pStyle w:val="SingleTxtG"/>
        <w:rPr>
          <w:rFonts w:eastAsia="Calibri"/>
          <w:b/>
          <w:lang w:eastAsia="en-GB"/>
        </w:rPr>
      </w:pPr>
      <w:r w:rsidRPr="00E07EB0">
        <w:rPr>
          <w:b/>
        </w:rPr>
        <w:t>The Committee recommends that the State party step up its efforts to reduce unemployment, in particular unemployment among young persons, with a view to mov</w:t>
      </w:r>
      <w:r w:rsidR="000B3908" w:rsidRPr="00E07EB0">
        <w:rPr>
          <w:b/>
        </w:rPr>
        <w:t>ing</w:t>
      </w:r>
      <w:r w:rsidRPr="00E07EB0">
        <w:rPr>
          <w:b/>
        </w:rPr>
        <w:t xml:space="preserve"> progressively towards the full realization of the right to work, inter alia</w:t>
      </w:r>
      <w:r w:rsidR="00F450DC" w:rsidRPr="00E07EB0">
        <w:rPr>
          <w:b/>
        </w:rPr>
        <w:t>,</w:t>
      </w:r>
      <w:r w:rsidRPr="00E07EB0">
        <w:rPr>
          <w:b/>
        </w:rPr>
        <w:t xml:space="preserve"> by:</w:t>
      </w:r>
      <w:r w:rsidRPr="00E07EB0">
        <w:rPr>
          <w:rFonts w:eastAsia="Calibri"/>
          <w:b/>
          <w:lang w:eastAsia="en-GB"/>
        </w:rPr>
        <w:t xml:space="preserve"> </w:t>
      </w:r>
    </w:p>
    <w:p w:rsidR="00D423EC" w:rsidRPr="00E07EB0" w:rsidRDefault="00B073B0" w:rsidP="00F450DC">
      <w:pPr>
        <w:pStyle w:val="SingleTxtG"/>
        <w:ind w:firstLine="567"/>
        <w:rPr>
          <w:rFonts w:eastAsia="Calibri"/>
          <w:b/>
          <w:lang w:eastAsia="en-GB"/>
        </w:rPr>
      </w:pPr>
      <w:r w:rsidRPr="00E07EB0">
        <w:rPr>
          <w:b/>
        </w:rPr>
        <w:t>(a)</w:t>
      </w:r>
      <w:r w:rsidRPr="00E07EB0">
        <w:rPr>
          <w:b/>
        </w:rPr>
        <w:tab/>
      </w:r>
      <w:r w:rsidR="006E7A1C" w:rsidRPr="00E07EB0">
        <w:rPr>
          <w:b/>
        </w:rPr>
        <w:t>S</w:t>
      </w:r>
      <w:r w:rsidR="00D423EC" w:rsidRPr="00E07EB0">
        <w:rPr>
          <w:b/>
        </w:rPr>
        <w:t xml:space="preserve">trengthening the programmes and strategies aimed at reducing unemployment rates and ensuring that policies </w:t>
      </w:r>
      <w:r w:rsidR="00F450DC" w:rsidRPr="00E07EB0">
        <w:rPr>
          <w:b/>
        </w:rPr>
        <w:t xml:space="preserve">to </w:t>
      </w:r>
      <w:r w:rsidR="00D423EC" w:rsidRPr="00E07EB0">
        <w:rPr>
          <w:b/>
        </w:rPr>
        <w:t>promot</w:t>
      </w:r>
      <w:r w:rsidR="00F450DC" w:rsidRPr="00E07EB0">
        <w:rPr>
          <w:b/>
        </w:rPr>
        <w:t>e</w:t>
      </w:r>
      <w:r w:rsidR="00D423EC" w:rsidRPr="00E07EB0">
        <w:rPr>
          <w:b/>
        </w:rPr>
        <w:t xml:space="preserve"> employment effectively target </w:t>
      </w:r>
      <w:r w:rsidR="006E7A1C" w:rsidRPr="00E07EB0">
        <w:rPr>
          <w:b/>
        </w:rPr>
        <w:t xml:space="preserve">groups </w:t>
      </w:r>
      <w:r w:rsidR="00D423EC" w:rsidRPr="00E07EB0">
        <w:rPr>
          <w:b/>
        </w:rPr>
        <w:t>disproportionately affected by unemployment;</w:t>
      </w:r>
    </w:p>
    <w:p w:rsidR="006E7A1C" w:rsidRPr="00E07EB0" w:rsidRDefault="00B073B0" w:rsidP="00F450DC">
      <w:pPr>
        <w:pStyle w:val="SingleTxtG"/>
        <w:ind w:firstLine="567"/>
        <w:rPr>
          <w:rFonts w:eastAsia="Calibri"/>
          <w:b/>
          <w:lang w:eastAsia="en-GB"/>
        </w:rPr>
      </w:pPr>
      <w:r w:rsidRPr="00E07EB0">
        <w:rPr>
          <w:b/>
        </w:rPr>
        <w:t>(b)</w:t>
      </w:r>
      <w:r w:rsidRPr="00E07EB0">
        <w:rPr>
          <w:b/>
        </w:rPr>
        <w:tab/>
      </w:r>
      <w:r w:rsidR="00042271" w:rsidRPr="00E07EB0">
        <w:rPr>
          <w:b/>
        </w:rPr>
        <w:t>A</w:t>
      </w:r>
      <w:r w:rsidR="00D423EC" w:rsidRPr="00E07EB0">
        <w:rPr>
          <w:b/>
        </w:rPr>
        <w:t>ddressing the causes of youth unemployment, creating employment opportunities for young people and enhancing the quality of technical and vocational training and education</w:t>
      </w:r>
      <w:r w:rsidR="00F450DC" w:rsidRPr="00E07EB0">
        <w:rPr>
          <w:b/>
        </w:rPr>
        <w:t>,</w:t>
      </w:r>
      <w:r w:rsidR="00D423EC" w:rsidRPr="00E07EB0">
        <w:rPr>
          <w:b/>
        </w:rPr>
        <w:t xml:space="preserve"> </w:t>
      </w:r>
      <w:r w:rsidR="00DC36D8" w:rsidRPr="00E07EB0">
        <w:rPr>
          <w:b/>
        </w:rPr>
        <w:t>taking into account</w:t>
      </w:r>
      <w:r w:rsidR="00D423EC" w:rsidRPr="00E07EB0">
        <w:rPr>
          <w:b/>
        </w:rPr>
        <w:t xml:space="preserve"> labour market </w:t>
      </w:r>
      <w:r w:rsidR="00A94CBA" w:rsidRPr="00E07EB0">
        <w:rPr>
          <w:b/>
        </w:rPr>
        <w:t>opportunities</w:t>
      </w:r>
      <w:r w:rsidR="00D423EC" w:rsidRPr="00E07EB0">
        <w:rPr>
          <w:b/>
        </w:rPr>
        <w:t>, including by implementing the Portuguese Youth Guarantee Implementation Plan</w:t>
      </w:r>
      <w:r w:rsidR="00F450DC" w:rsidRPr="00E07EB0">
        <w:rPr>
          <w:b/>
        </w:rPr>
        <w:t>,</w:t>
      </w:r>
      <w:r w:rsidR="00D423EC" w:rsidRPr="00E07EB0">
        <w:rPr>
          <w:b/>
        </w:rPr>
        <w:t xml:space="preserve"> </w:t>
      </w:r>
      <w:r w:rsidR="00F450DC" w:rsidRPr="00E07EB0">
        <w:rPr>
          <w:b/>
        </w:rPr>
        <w:t xml:space="preserve">which </w:t>
      </w:r>
      <w:r w:rsidR="00D423EC" w:rsidRPr="00E07EB0">
        <w:rPr>
          <w:b/>
        </w:rPr>
        <w:t>entered into force in January 2014</w:t>
      </w:r>
      <w:r w:rsidR="00F450DC" w:rsidRPr="00E07EB0">
        <w:rPr>
          <w:b/>
        </w:rPr>
        <w:t>,</w:t>
      </w:r>
      <w:r w:rsidR="00471411" w:rsidRPr="00E07EB0">
        <w:rPr>
          <w:rStyle w:val="FootnoteReference"/>
          <w:b/>
        </w:rPr>
        <w:t xml:space="preserve"> </w:t>
      </w:r>
      <w:r w:rsidR="001153C3" w:rsidRPr="00E07EB0">
        <w:rPr>
          <w:b/>
        </w:rPr>
        <w:t>and other active labour market measures;</w:t>
      </w:r>
    </w:p>
    <w:p w:rsidR="00D423EC" w:rsidRPr="00E07EB0" w:rsidRDefault="00B073B0" w:rsidP="00B073B0">
      <w:pPr>
        <w:pStyle w:val="SingleTxtG"/>
        <w:ind w:firstLine="567"/>
        <w:rPr>
          <w:rFonts w:eastAsia="Calibri"/>
          <w:b/>
          <w:lang w:eastAsia="en-GB"/>
        </w:rPr>
      </w:pPr>
      <w:r w:rsidRPr="00E07EB0">
        <w:rPr>
          <w:b/>
          <w:bCs/>
        </w:rPr>
        <w:t>(c)</w:t>
      </w:r>
      <w:r w:rsidRPr="00E07EB0">
        <w:rPr>
          <w:b/>
          <w:bCs/>
        </w:rPr>
        <w:tab/>
      </w:r>
      <w:r w:rsidR="00D423EC" w:rsidRPr="00E07EB0">
        <w:rPr>
          <w:b/>
          <w:bCs/>
        </w:rPr>
        <w:t xml:space="preserve">Reinforcing </w:t>
      </w:r>
      <w:r w:rsidR="00D423EC" w:rsidRPr="00E07EB0">
        <w:rPr>
          <w:b/>
        </w:rPr>
        <w:t>the</w:t>
      </w:r>
      <w:r w:rsidR="00D423EC" w:rsidRPr="00E07EB0">
        <w:rPr>
          <w:b/>
          <w:bCs/>
        </w:rPr>
        <w:t xml:space="preserve"> support for jobseekers, with special focus on </w:t>
      </w:r>
      <w:r w:rsidR="00F450DC" w:rsidRPr="00E07EB0">
        <w:rPr>
          <w:b/>
          <w:bCs/>
        </w:rPr>
        <w:t xml:space="preserve">the </w:t>
      </w:r>
      <w:r w:rsidR="00D423EC" w:rsidRPr="00E07EB0">
        <w:rPr>
          <w:b/>
          <w:bCs/>
        </w:rPr>
        <w:t>long-term unemployed, including by providing them with adequate training to enhance their skills.</w:t>
      </w:r>
    </w:p>
    <w:p w:rsidR="006E7A1C" w:rsidRPr="00E07EB0" w:rsidRDefault="00D423EC" w:rsidP="00BF7450">
      <w:pPr>
        <w:pStyle w:val="SingleTxtG"/>
        <w:rPr>
          <w:b/>
          <w:bCs/>
        </w:rPr>
      </w:pPr>
      <w:r w:rsidRPr="00E07EB0">
        <w:rPr>
          <w:b/>
          <w:bCs/>
        </w:rPr>
        <w:t xml:space="preserve">In </w:t>
      </w:r>
      <w:r w:rsidR="00BF7450" w:rsidRPr="00E07EB0">
        <w:rPr>
          <w:b/>
          <w:bCs/>
        </w:rPr>
        <w:t xml:space="preserve">that </w:t>
      </w:r>
      <w:r w:rsidRPr="00E07EB0">
        <w:rPr>
          <w:b/>
          <w:bCs/>
        </w:rPr>
        <w:t xml:space="preserve">regard, the Committee refers the State party to its general comment No. 18 (2005) on the right to work. </w:t>
      </w:r>
    </w:p>
    <w:p w:rsidR="00C45986" w:rsidRPr="00E07EB0" w:rsidRDefault="00B073B0" w:rsidP="00B073B0">
      <w:pPr>
        <w:pStyle w:val="H23G"/>
      </w:pPr>
      <w:r w:rsidRPr="00E07EB0">
        <w:tab/>
      </w:r>
      <w:r w:rsidRPr="00E07EB0">
        <w:tab/>
      </w:r>
      <w:r w:rsidR="00C45986" w:rsidRPr="00E07EB0">
        <w:t>Gender wage gap</w:t>
      </w:r>
    </w:p>
    <w:p w:rsidR="003836C1" w:rsidRPr="00E07EB0" w:rsidRDefault="003836C1" w:rsidP="00E12D6F">
      <w:pPr>
        <w:pStyle w:val="SingleTxtG"/>
        <w:numPr>
          <w:ilvl w:val="0"/>
          <w:numId w:val="17"/>
        </w:numPr>
        <w:tabs>
          <w:tab w:val="left" w:pos="851"/>
        </w:tabs>
        <w:ind w:left="1134" w:firstLine="0"/>
        <w:rPr>
          <w:bCs/>
        </w:rPr>
      </w:pPr>
      <w:r w:rsidRPr="00E07EB0">
        <w:rPr>
          <w:bCs/>
        </w:rPr>
        <w:t xml:space="preserve">The </w:t>
      </w:r>
      <w:r w:rsidRPr="00E07EB0">
        <w:t>Committee</w:t>
      </w:r>
      <w:r w:rsidRPr="00E07EB0">
        <w:rPr>
          <w:bCs/>
        </w:rPr>
        <w:t xml:space="preserve"> is concerned that the gender wage gap</w:t>
      </w:r>
      <w:r w:rsidR="00625015" w:rsidRPr="00E07EB0">
        <w:rPr>
          <w:bCs/>
        </w:rPr>
        <w:t>,</w:t>
      </w:r>
      <w:r w:rsidRPr="00E07EB0">
        <w:rPr>
          <w:bCs/>
        </w:rPr>
        <w:t xml:space="preserve"> which is discriminatory against women, although lower than the European average, is still considerable </w:t>
      </w:r>
      <w:r w:rsidR="00E12D6F" w:rsidRPr="00E07EB0">
        <w:rPr>
          <w:bCs/>
        </w:rPr>
        <w:t xml:space="preserve">owing </w:t>
      </w:r>
      <w:r w:rsidRPr="00E07EB0">
        <w:rPr>
          <w:bCs/>
        </w:rPr>
        <w:t xml:space="preserve">to </w:t>
      </w:r>
      <w:r w:rsidR="00625015" w:rsidRPr="00E07EB0">
        <w:rPr>
          <w:bCs/>
        </w:rPr>
        <w:t xml:space="preserve">occupational sex segregation </w:t>
      </w:r>
      <w:r w:rsidRPr="00E07EB0">
        <w:rPr>
          <w:bCs/>
        </w:rPr>
        <w:t>(art</w:t>
      </w:r>
      <w:r w:rsidR="00CF6152" w:rsidRPr="00E07EB0">
        <w:rPr>
          <w:bCs/>
        </w:rPr>
        <w:t>s</w:t>
      </w:r>
      <w:r w:rsidRPr="00E07EB0">
        <w:rPr>
          <w:bCs/>
        </w:rPr>
        <w:t>.</w:t>
      </w:r>
      <w:r w:rsidR="00B76D0F" w:rsidRPr="00E07EB0">
        <w:rPr>
          <w:bCs/>
        </w:rPr>
        <w:t> </w:t>
      </w:r>
      <w:r w:rsidR="00CF6152" w:rsidRPr="00E07EB0">
        <w:rPr>
          <w:bCs/>
        </w:rPr>
        <w:t xml:space="preserve">3 and </w:t>
      </w:r>
      <w:r w:rsidRPr="00E07EB0">
        <w:rPr>
          <w:bCs/>
        </w:rPr>
        <w:t>7).</w:t>
      </w:r>
    </w:p>
    <w:p w:rsidR="00C45986" w:rsidRPr="00E07EB0" w:rsidRDefault="003836C1" w:rsidP="00E12D6F">
      <w:pPr>
        <w:pStyle w:val="SingleTxtG"/>
        <w:ind w:left="1135"/>
        <w:rPr>
          <w:b/>
          <w:bCs/>
        </w:rPr>
      </w:pPr>
      <w:r w:rsidRPr="00E07EB0">
        <w:rPr>
          <w:b/>
          <w:bCs/>
        </w:rPr>
        <w:t xml:space="preserve">The Committee recommends that the State party take measures to close the gender </w:t>
      </w:r>
      <w:r w:rsidR="00E12D6F" w:rsidRPr="00E07EB0">
        <w:rPr>
          <w:b/>
          <w:bCs/>
        </w:rPr>
        <w:t xml:space="preserve">wage </w:t>
      </w:r>
      <w:r w:rsidRPr="00E07EB0">
        <w:rPr>
          <w:b/>
          <w:bCs/>
        </w:rPr>
        <w:t xml:space="preserve">gap, including efforts to combat horizontal and vertical </w:t>
      </w:r>
      <w:r w:rsidR="00625015" w:rsidRPr="00E07EB0">
        <w:rPr>
          <w:b/>
          <w:bCs/>
        </w:rPr>
        <w:t xml:space="preserve">occupational </w:t>
      </w:r>
      <w:r w:rsidR="00A02BEC" w:rsidRPr="00E07EB0">
        <w:rPr>
          <w:b/>
          <w:bCs/>
        </w:rPr>
        <w:t xml:space="preserve">sex </w:t>
      </w:r>
      <w:r w:rsidR="00625015" w:rsidRPr="00E07EB0">
        <w:rPr>
          <w:b/>
          <w:bCs/>
        </w:rPr>
        <w:t>segregation</w:t>
      </w:r>
      <w:r w:rsidR="00936918" w:rsidRPr="00E07EB0">
        <w:rPr>
          <w:b/>
          <w:bCs/>
        </w:rPr>
        <w:t xml:space="preserve"> </w:t>
      </w:r>
      <w:r w:rsidRPr="00E07EB0">
        <w:rPr>
          <w:b/>
          <w:bCs/>
        </w:rPr>
        <w:t>in the labour market, and to ensure the effective implementation of the principle of equal pay for work of equal value.</w:t>
      </w:r>
    </w:p>
    <w:p w:rsidR="000B2B85" w:rsidRPr="00E07EB0" w:rsidRDefault="00C31820" w:rsidP="00C31820">
      <w:pPr>
        <w:pStyle w:val="H23G"/>
      </w:pPr>
      <w:r w:rsidRPr="00E07EB0">
        <w:tab/>
      </w:r>
      <w:r w:rsidRPr="00E07EB0">
        <w:tab/>
      </w:r>
      <w:r w:rsidR="00930FCA" w:rsidRPr="00E07EB0">
        <w:t>Temporary employment</w:t>
      </w:r>
      <w:r w:rsidR="00344DE0" w:rsidRPr="00E07EB0">
        <w:t>,</w:t>
      </w:r>
      <w:r w:rsidR="00930FCA" w:rsidRPr="00E07EB0">
        <w:t xml:space="preserve"> undeclared work</w:t>
      </w:r>
      <w:r w:rsidR="00344DE0" w:rsidRPr="00E07EB0">
        <w:t xml:space="preserve"> and “dependent” self-employment </w:t>
      </w:r>
    </w:p>
    <w:p w:rsidR="001917A7" w:rsidRPr="00E07EB0" w:rsidRDefault="007767BB" w:rsidP="00E12D6F">
      <w:pPr>
        <w:pStyle w:val="SingleTxtG"/>
        <w:numPr>
          <w:ilvl w:val="0"/>
          <w:numId w:val="17"/>
        </w:numPr>
        <w:tabs>
          <w:tab w:val="left" w:pos="851"/>
        </w:tabs>
        <w:ind w:left="1134" w:firstLine="0"/>
        <w:rPr>
          <w:rFonts w:eastAsia="Calibri"/>
          <w:lang w:eastAsia="en-GB"/>
        </w:rPr>
      </w:pPr>
      <w:r w:rsidRPr="00E07EB0">
        <w:rPr>
          <w:rFonts w:eastAsia="Calibri"/>
          <w:lang w:eastAsia="en-GB"/>
        </w:rPr>
        <w:t xml:space="preserve">The Committee is concerned at the </w:t>
      </w:r>
      <w:r w:rsidR="00042271" w:rsidRPr="00E07EB0">
        <w:rPr>
          <w:rFonts w:eastAsia="Calibri"/>
          <w:lang w:eastAsia="en-GB"/>
        </w:rPr>
        <w:t xml:space="preserve">high </w:t>
      </w:r>
      <w:r w:rsidRPr="00E07EB0">
        <w:rPr>
          <w:rFonts w:eastAsia="Calibri"/>
          <w:lang w:eastAsia="en-GB"/>
        </w:rPr>
        <w:t>incidence of temporary employment in the State party, including involuntary temporary employment, as well as at undeclared work</w:t>
      </w:r>
      <w:r w:rsidR="00E12D6F" w:rsidRPr="00E07EB0">
        <w:rPr>
          <w:rFonts w:eastAsia="Calibri"/>
          <w:lang w:eastAsia="en-GB"/>
        </w:rPr>
        <w:t>,</w:t>
      </w:r>
      <w:r w:rsidRPr="00E07EB0">
        <w:rPr>
          <w:rFonts w:eastAsia="Calibri"/>
          <w:lang w:eastAsia="en-GB"/>
        </w:rPr>
        <w:t xml:space="preserve"> </w:t>
      </w:r>
      <w:r w:rsidR="00E12D6F" w:rsidRPr="00E07EB0">
        <w:rPr>
          <w:rFonts w:eastAsia="Calibri"/>
          <w:lang w:eastAsia="en-GB"/>
        </w:rPr>
        <w:t xml:space="preserve">which is </w:t>
      </w:r>
      <w:r w:rsidRPr="00E07EB0">
        <w:rPr>
          <w:rFonts w:eastAsia="Calibri"/>
          <w:lang w:eastAsia="en-GB"/>
        </w:rPr>
        <w:t xml:space="preserve">estimated to produce </w:t>
      </w:r>
      <w:r w:rsidRPr="00E07EB0">
        <w:t>income</w:t>
      </w:r>
      <w:r w:rsidRPr="00E07EB0">
        <w:rPr>
          <w:rFonts w:eastAsia="Calibri"/>
          <w:lang w:eastAsia="en-GB"/>
        </w:rPr>
        <w:t xml:space="preserve"> representing over 20 per</w:t>
      </w:r>
      <w:r w:rsidR="00F450DC" w:rsidRPr="00E07EB0">
        <w:rPr>
          <w:rFonts w:eastAsia="Calibri"/>
          <w:lang w:eastAsia="en-GB"/>
        </w:rPr>
        <w:t xml:space="preserve"> </w:t>
      </w:r>
      <w:r w:rsidRPr="00E07EB0">
        <w:rPr>
          <w:rFonts w:eastAsia="Calibri"/>
          <w:lang w:eastAsia="en-GB"/>
        </w:rPr>
        <w:t xml:space="preserve">cent of </w:t>
      </w:r>
      <w:r w:rsidR="00E12D6F" w:rsidRPr="00E07EB0">
        <w:rPr>
          <w:rFonts w:eastAsia="Calibri"/>
          <w:lang w:eastAsia="en-GB"/>
        </w:rPr>
        <w:t>g</w:t>
      </w:r>
      <w:r w:rsidRPr="00E07EB0">
        <w:rPr>
          <w:rFonts w:eastAsia="Calibri"/>
          <w:lang w:eastAsia="en-GB"/>
        </w:rPr>
        <w:t xml:space="preserve">ross </w:t>
      </w:r>
      <w:r w:rsidR="00E12D6F" w:rsidRPr="00E07EB0">
        <w:rPr>
          <w:rFonts w:eastAsia="Calibri"/>
          <w:lang w:eastAsia="en-GB"/>
        </w:rPr>
        <w:t>d</w:t>
      </w:r>
      <w:r w:rsidRPr="00E07EB0">
        <w:rPr>
          <w:rFonts w:eastAsia="Calibri"/>
          <w:lang w:eastAsia="en-GB"/>
        </w:rPr>
        <w:t xml:space="preserve">omestic </w:t>
      </w:r>
      <w:r w:rsidR="00E12D6F" w:rsidRPr="00E07EB0">
        <w:rPr>
          <w:rFonts w:eastAsia="Calibri"/>
          <w:lang w:eastAsia="en-GB"/>
        </w:rPr>
        <w:t>p</w:t>
      </w:r>
      <w:r w:rsidRPr="00E07EB0">
        <w:rPr>
          <w:rFonts w:eastAsia="Calibri"/>
          <w:lang w:eastAsia="en-GB"/>
        </w:rPr>
        <w:t xml:space="preserve">roduct. It is </w:t>
      </w:r>
      <w:r w:rsidR="00E12D6F" w:rsidRPr="00E07EB0">
        <w:rPr>
          <w:rFonts w:eastAsia="Calibri"/>
          <w:lang w:eastAsia="en-GB"/>
        </w:rPr>
        <w:t xml:space="preserve">also </w:t>
      </w:r>
      <w:r w:rsidRPr="00E07EB0">
        <w:rPr>
          <w:rFonts w:eastAsia="Calibri"/>
          <w:lang w:eastAsia="en-GB"/>
        </w:rPr>
        <w:t>concerned about the phenomenon of “dependent” self-employment (“</w:t>
      </w:r>
      <w:proofErr w:type="spellStart"/>
      <w:r w:rsidRPr="00E07EB0">
        <w:rPr>
          <w:rFonts w:eastAsia="Calibri"/>
          <w:i/>
          <w:iCs/>
          <w:lang w:eastAsia="en-GB"/>
        </w:rPr>
        <w:t>falsos</w:t>
      </w:r>
      <w:proofErr w:type="spellEnd"/>
      <w:r w:rsidRPr="00E07EB0">
        <w:rPr>
          <w:rFonts w:eastAsia="Calibri"/>
          <w:i/>
          <w:iCs/>
          <w:lang w:eastAsia="en-GB"/>
        </w:rPr>
        <w:t xml:space="preserve"> </w:t>
      </w:r>
      <w:proofErr w:type="spellStart"/>
      <w:r w:rsidRPr="00E07EB0">
        <w:rPr>
          <w:rFonts w:eastAsia="Calibri"/>
          <w:i/>
          <w:iCs/>
          <w:lang w:eastAsia="en-GB"/>
        </w:rPr>
        <w:t>recibos</w:t>
      </w:r>
      <w:proofErr w:type="spellEnd"/>
      <w:r w:rsidRPr="00E07EB0">
        <w:rPr>
          <w:rFonts w:eastAsia="Calibri"/>
          <w:i/>
          <w:iCs/>
          <w:lang w:eastAsia="en-GB"/>
        </w:rPr>
        <w:t xml:space="preserve"> </w:t>
      </w:r>
      <w:proofErr w:type="spellStart"/>
      <w:r w:rsidRPr="00E07EB0">
        <w:rPr>
          <w:rFonts w:eastAsia="Calibri"/>
          <w:i/>
          <w:iCs/>
          <w:lang w:eastAsia="en-GB"/>
        </w:rPr>
        <w:t>verdes</w:t>
      </w:r>
      <w:proofErr w:type="spellEnd"/>
      <w:r w:rsidRPr="00E07EB0">
        <w:rPr>
          <w:rFonts w:eastAsia="Calibri"/>
          <w:lang w:eastAsia="en-GB"/>
        </w:rPr>
        <w:t xml:space="preserve">”) </w:t>
      </w:r>
      <w:r w:rsidR="00CC3C46" w:rsidRPr="00E07EB0">
        <w:rPr>
          <w:rFonts w:eastAsia="Calibri"/>
          <w:lang w:eastAsia="en-GB"/>
        </w:rPr>
        <w:t xml:space="preserve">and about the negative impact that all </w:t>
      </w:r>
      <w:r w:rsidR="00E12D6F" w:rsidRPr="00E07EB0">
        <w:rPr>
          <w:rFonts w:eastAsia="Calibri"/>
          <w:lang w:eastAsia="en-GB"/>
        </w:rPr>
        <w:t xml:space="preserve">of those </w:t>
      </w:r>
      <w:r w:rsidR="00CC3C46" w:rsidRPr="00E07EB0">
        <w:rPr>
          <w:rFonts w:eastAsia="Calibri"/>
          <w:lang w:eastAsia="en-GB"/>
        </w:rPr>
        <w:t xml:space="preserve">forms of employment </w:t>
      </w:r>
      <w:r w:rsidRPr="00E07EB0">
        <w:rPr>
          <w:rFonts w:eastAsia="Calibri"/>
          <w:lang w:eastAsia="en-GB"/>
        </w:rPr>
        <w:t>may have</w:t>
      </w:r>
      <w:r w:rsidR="00B306D4" w:rsidRPr="00E07EB0">
        <w:rPr>
          <w:rFonts w:eastAsia="Calibri"/>
          <w:lang w:eastAsia="en-GB"/>
        </w:rPr>
        <w:t xml:space="preserve"> on the enjoyment by workers of their rights under articles 6</w:t>
      </w:r>
      <w:r w:rsidR="00E12D6F" w:rsidRPr="00E07EB0">
        <w:rPr>
          <w:rFonts w:eastAsia="Calibri"/>
          <w:lang w:eastAsia="en-GB"/>
        </w:rPr>
        <w:t>–</w:t>
      </w:r>
      <w:r w:rsidR="00B306D4" w:rsidRPr="00E07EB0">
        <w:rPr>
          <w:rFonts w:eastAsia="Calibri"/>
          <w:lang w:eastAsia="en-GB"/>
        </w:rPr>
        <w:t>8 of the Covenant</w:t>
      </w:r>
      <w:r w:rsidR="00B76D0F" w:rsidRPr="00E07EB0">
        <w:rPr>
          <w:rFonts w:eastAsia="Calibri"/>
          <w:lang w:eastAsia="en-GB"/>
        </w:rPr>
        <w:t xml:space="preserve"> (arts. </w:t>
      </w:r>
      <w:r w:rsidR="00B306D4" w:rsidRPr="00E07EB0">
        <w:rPr>
          <w:rFonts w:eastAsia="Calibri"/>
          <w:lang w:eastAsia="en-GB"/>
        </w:rPr>
        <w:t>6</w:t>
      </w:r>
      <w:r w:rsidR="00E12D6F" w:rsidRPr="00E07EB0">
        <w:rPr>
          <w:rFonts w:eastAsia="Calibri"/>
          <w:lang w:eastAsia="en-GB"/>
        </w:rPr>
        <w:t>–</w:t>
      </w:r>
      <w:r w:rsidR="00B306D4" w:rsidRPr="00E07EB0">
        <w:rPr>
          <w:rFonts w:eastAsia="Calibri"/>
          <w:lang w:eastAsia="en-GB"/>
        </w:rPr>
        <w:t>8).</w:t>
      </w:r>
    </w:p>
    <w:p w:rsidR="001917A7" w:rsidRPr="00E07EB0" w:rsidRDefault="001917A7" w:rsidP="001917A7">
      <w:pPr>
        <w:pStyle w:val="SingleTxtG"/>
        <w:rPr>
          <w:rFonts w:eastAsia="Calibri"/>
          <w:b/>
          <w:lang w:eastAsia="en-GB"/>
        </w:rPr>
      </w:pPr>
      <w:r w:rsidRPr="00E07EB0">
        <w:rPr>
          <w:rFonts w:eastAsia="Calibri"/>
          <w:b/>
          <w:lang w:eastAsia="en-GB"/>
        </w:rPr>
        <w:t>The Committee recommends that the State party:</w:t>
      </w:r>
    </w:p>
    <w:p w:rsidR="001917A7" w:rsidRPr="00E07EB0" w:rsidRDefault="00B76D0F" w:rsidP="00E12D6F">
      <w:pPr>
        <w:pStyle w:val="SingleTxtG"/>
        <w:ind w:firstLine="567"/>
        <w:rPr>
          <w:rFonts w:eastAsia="Calibri"/>
          <w:b/>
          <w:lang w:eastAsia="en-GB"/>
        </w:rPr>
      </w:pPr>
      <w:r w:rsidRPr="00E07EB0">
        <w:rPr>
          <w:rFonts w:eastAsia="Calibri"/>
          <w:b/>
          <w:lang w:eastAsia="en-GB"/>
        </w:rPr>
        <w:t>(a)</w:t>
      </w:r>
      <w:r w:rsidRPr="00E07EB0">
        <w:rPr>
          <w:rFonts w:eastAsia="Calibri"/>
          <w:b/>
          <w:lang w:eastAsia="en-GB"/>
        </w:rPr>
        <w:tab/>
      </w:r>
      <w:r w:rsidR="001917A7" w:rsidRPr="00E07EB0">
        <w:rPr>
          <w:rFonts w:eastAsia="Calibri"/>
          <w:b/>
          <w:lang w:eastAsia="en-GB"/>
        </w:rPr>
        <w:t xml:space="preserve">Take all appropriate measures to progressively reduce the use of temporary employment, including by generating decent work opportunities </w:t>
      </w:r>
      <w:r w:rsidR="00E12D6F" w:rsidRPr="00E07EB0">
        <w:rPr>
          <w:rFonts w:eastAsia="Calibri"/>
          <w:b/>
          <w:lang w:eastAsia="en-GB"/>
        </w:rPr>
        <w:t xml:space="preserve">that </w:t>
      </w:r>
      <w:r w:rsidR="001917A7" w:rsidRPr="00E07EB0">
        <w:rPr>
          <w:rFonts w:eastAsia="Calibri"/>
          <w:b/>
          <w:lang w:eastAsia="en-GB"/>
        </w:rPr>
        <w:t>offer job security and adequate protection of workers</w:t>
      </w:r>
      <w:r w:rsidR="00E12D6F" w:rsidRPr="00E07EB0">
        <w:rPr>
          <w:rFonts w:eastAsia="Calibri"/>
          <w:b/>
          <w:lang w:eastAsia="en-GB"/>
        </w:rPr>
        <w:t>,</w:t>
      </w:r>
      <w:r w:rsidR="001917A7" w:rsidRPr="00E07EB0">
        <w:rPr>
          <w:rFonts w:eastAsia="Calibri"/>
          <w:b/>
          <w:lang w:eastAsia="en-GB"/>
        </w:rPr>
        <w:t xml:space="preserve"> with a view to respecting their labour rights</w:t>
      </w:r>
      <w:r w:rsidR="00E12D6F" w:rsidRPr="00E07EB0">
        <w:rPr>
          <w:rFonts w:eastAsia="Calibri"/>
          <w:b/>
          <w:lang w:eastAsia="en-GB"/>
        </w:rPr>
        <w:t>,</w:t>
      </w:r>
      <w:r w:rsidR="001917A7" w:rsidRPr="00E07EB0">
        <w:rPr>
          <w:rFonts w:eastAsia="Calibri"/>
          <w:b/>
          <w:lang w:eastAsia="en-GB"/>
        </w:rPr>
        <w:t xml:space="preserve"> </w:t>
      </w:r>
      <w:r w:rsidR="00E12D6F" w:rsidRPr="00E07EB0">
        <w:rPr>
          <w:rFonts w:eastAsia="Calibri"/>
          <w:b/>
          <w:lang w:eastAsia="en-GB"/>
        </w:rPr>
        <w:t xml:space="preserve">as </w:t>
      </w:r>
      <w:r w:rsidR="001917A7" w:rsidRPr="00E07EB0">
        <w:rPr>
          <w:rFonts w:eastAsia="Calibri"/>
          <w:b/>
          <w:lang w:eastAsia="en-GB"/>
        </w:rPr>
        <w:t>set out in articles 6</w:t>
      </w:r>
      <w:r w:rsidR="00E12D6F" w:rsidRPr="00E07EB0">
        <w:rPr>
          <w:rFonts w:eastAsia="Calibri"/>
          <w:b/>
          <w:lang w:eastAsia="en-GB"/>
        </w:rPr>
        <w:t>–</w:t>
      </w:r>
      <w:r w:rsidR="001917A7" w:rsidRPr="00E07EB0">
        <w:rPr>
          <w:rFonts w:eastAsia="Calibri"/>
          <w:b/>
          <w:lang w:eastAsia="en-GB"/>
        </w:rPr>
        <w:t>8 of the Covenant;</w:t>
      </w:r>
    </w:p>
    <w:p w:rsidR="00E9443B" w:rsidRPr="00E07EB0" w:rsidRDefault="00B76D0F" w:rsidP="00EB3D6C">
      <w:pPr>
        <w:pStyle w:val="SingleTxtG"/>
        <w:ind w:firstLine="567"/>
        <w:rPr>
          <w:rFonts w:eastAsia="Calibri"/>
          <w:b/>
          <w:lang w:eastAsia="en-GB"/>
        </w:rPr>
      </w:pPr>
      <w:r w:rsidRPr="00E07EB0">
        <w:rPr>
          <w:rFonts w:eastAsia="Calibri"/>
          <w:b/>
          <w:lang w:eastAsia="en-GB"/>
        </w:rPr>
        <w:t>(b)</w:t>
      </w:r>
      <w:r w:rsidRPr="00E07EB0">
        <w:rPr>
          <w:rFonts w:eastAsia="Calibri"/>
          <w:b/>
          <w:lang w:eastAsia="en-GB"/>
        </w:rPr>
        <w:tab/>
      </w:r>
      <w:r w:rsidR="001917A7" w:rsidRPr="00E07EB0">
        <w:rPr>
          <w:rFonts w:eastAsia="Calibri"/>
          <w:b/>
          <w:lang w:eastAsia="en-GB"/>
        </w:rPr>
        <w:t xml:space="preserve">Step up efforts to </w:t>
      </w:r>
      <w:r w:rsidR="00E9443B" w:rsidRPr="00E07EB0">
        <w:rPr>
          <w:rFonts w:eastAsia="Calibri"/>
          <w:b/>
          <w:lang w:eastAsia="en-GB"/>
        </w:rPr>
        <w:t xml:space="preserve">tackle undeclared work, including by </w:t>
      </w:r>
      <w:r w:rsidR="00E53FB9" w:rsidRPr="00E07EB0">
        <w:rPr>
          <w:rFonts w:eastAsia="Calibri"/>
          <w:b/>
          <w:lang w:eastAsia="en-GB"/>
        </w:rPr>
        <w:t>(</w:t>
      </w:r>
      <w:proofErr w:type="spellStart"/>
      <w:r w:rsidR="00E53FB9" w:rsidRPr="00E07EB0">
        <w:rPr>
          <w:rFonts w:eastAsia="Calibri"/>
          <w:b/>
          <w:lang w:eastAsia="en-GB"/>
        </w:rPr>
        <w:t>i</w:t>
      </w:r>
      <w:proofErr w:type="spellEnd"/>
      <w:r w:rsidR="00E53FB9" w:rsidRPr="00E07EB0">
        <w:rPr>
          <w:rFonts w:eastAsia="Calibri"/>
          <w:b/>
          <w:lang w:eastAsia="en-GB"/>
        </w:rPr>
        <w:t xml:space="preserve">) </w:t>
      </w:r>
      <w:r w:rsidR="00C948B4" w:rsidRPr="00E07EB0">
        <w:rPr>
          <w:rFonts w:eastAsia="Calibri"/>
          <w:b/>
          <w:lang w:eastAsia="en-GB"/>
        </w:rPr>
        <w:t xml:space="preserve">raising awareness of negative serious consequences for workers in undeclared work and of the benefits of declared work; (ii) </w:t>
      </w:r>
      <w:r w:rsidR="006C44C6" w:rsidRPr="00E07EB0">
        <w:rPr>
          <w:rFonts w:eastAsia="Calibri"/>
          <w:b/>
          <w:lang w:eastAsia="en-GB"/>
        </w:rPr>
        <w:t xml:space="preserve">providing incentives for regularization and facilitating integration into the regular labour market; (iii) </w:t>
      </w:r>
      <w:r w:rsidR="00A83172" w:rsidRPr="00E07EB0">
        <w:rPr>
          <w:rFonts w:eastAsia="Calibri"/>
          <w:b/>
          <w:lang w:eastAsia="en-GB"/>
        </w:rPr>
        <w:t xml:space="preserve">improving identification of such cases, including through </w:t>
      </w:r>
      <w:r w:rsidR="00E12D6F" w:rsidRPr="00E07EB0">
        <w:rPr>
          <w:rFonts w:eastAsia="Calibri"/>
          <w:b/>
          <w:lang w:eastAsia="en-GB"/>
        </w:rPr>
        <w:t xml:space="preserve">the </w:t>
      </w:r>
      <w:r w:rsidR="00E9443B" w:rsidRPr="00E07EB0">
        <w:rPr>
          <w:rFonts w:eastAsia="Calibri"/>
          <w:b/>
          <w:lang w:eastAsia="en-GB"/>
        </w:rPr>
        <w:t xml:space="preserve">strengthening </w:t>
      </w:r>
      <w:r w:rsidR="00E12D6F" w:rsidRPr="00E07EB0">
        <w:rPr>
          <w:rFonts w:eastAsia="Calibri"/>
          <w:b/>
          <w:lang w:eastAsia="en-GB"/>
        </w:rPr>
        <w:t xml:space="preserve">of </w:t>
      </w:r>
      <w:r w:rsidR="00E9443B" w:rsidRPr="00E07EB0">
        <w:rPr>
          <w:rFonts w:eastAsia="Calibri"/>
          <w:b/>
          <w:lang w:eastAsia="en-GB"/>
        </w:rPr>
        <w:t>labour inspections</w:t>
      </w:r>
      <w:r w:rsidR="00F926BA" w:rsidRPr="00E07EB0">
        <w:rPr>
          <w:rFonts w:eastAsia="Calibri"/>
          <w:b/>
          <w:lang w:eastAsia="en-GB"/>
        </w:rPr>
        <w:t xml:space="preserve"> and training of inspectors on undeclared work</w:t>
      </w:r>
      <w:r w:rsidR="00E53FB9" w:rsidRPr="00E07EB0">
        <w:rPr>
          <w:rFonts w:eastAsia="Calibri"/>
          <w:b/>
          <w:lang w:eastAsia="en-GB"/>
        </w:rPr>
        <w:t xml:space="preserve">; </w:t>
      </w:r>
      <w:r w:rsidR="00E12D6F" w:rsidRPr="00E07EB0">
        <w:rPr>
          <w:rFonts w:eastAsia="Calibri"/>
          <w:b/>
          <w:lang w:eastAsia="en-GB"/>
        </w:rPr>
        <w:t xml:space="preserve">and </w:t>
      </w:r>
      <w:r w:rsidR="00E53FB9" w:rsidRPr="00E07EB0">
        <w:rPr>
          <w:rFonts w:eastAsia="Calibri"/>
          <w:b/>
          <w:lang w:eastAsia="en-GB"/>
        </w:rPr>
        <w:t>(i</w:t>
      </w:r>
      <w:r w:rsidR="006C44C6" w:rsidRPr="00E07EB0">
        <w:rPr>
          <w:rFonts w:eastAsia="Calibri"/>
          <w:b/>
          <w:lang w:eastAsia="en-GB"/>
        </w:rPr>
        <w:t>v</w:t>
      </w:r>
      <w:r w:rsidR="00E53FB9" w:rsidRPr="00E07EB0">
        <w:rPr>
          <w:rFonts w:eastAsia="Calibri"/>
          <w:b/>
          <w:lang w:eastAsia="en-GB"/>
        </w:rPr>
        <w:t>)</w:t>
      </w:r>
      <w:r w:rsidR="00E9443B" w:rsidRPr="00E07EB0">
        <w:rPr>
          <w:rFonts w:eastAsia="Calibri"/>
          <w:b/>
          <w:lang w:eastAsia="en-GB"/>
        </w:rPr>
        <w:t xml:space="preserve"> </w:t>
      </w:r>
      <w:r w:rsidR="00160C9E" w:rsidRPr="00E07EB0">
        <w:rPr>
          <w:rFonts w:eastAsia="Calibri"/>
          <w:b/>
          <w:lang w:eastAsia="en-GB"/>
        </w:rPr>
        <w:t>providing for deterrent sanctions</w:t>
      </w:r>
      <w:r w:rsidR="00C04D25" w:rsidRPr="00E07EB0">
        <w:rPr>
          <w:b/>
        </w:rPr>
        <w:t xml:space="preserve"> against e</w:t>
      </w:r>
      <w:r w:rsidR="00C04D25" w:rsidRPr="00E07EB0">
        <w:rPr>
          <w:rFonts w:eastAsia="Calibri"/>
          <w:b/>
          <w:lang w:eastAsia="en-GB"/>
        </w:rPr>
        <w:t xml:space="preserve">mployers </w:t>
      </w:r>
      <w:r w:rsidR="00E12D6F" w:rsidRPr="00E07EB0">
        <w:rPr>
          <w:rFonts w:eastAsia="Calibri"/>
          <w:b/>
          <w:lang w:eastAsia="en-GB"/>
        </w:rPr>
        <w:t xml:space="preserve">that </w:t>
      </w:r>
      <w:r w:rsidR="00C04D25" w:rsidRPr="00E07EB0">
        <w:rPr>
          <w:rFonts w:eastAsia="Calibri"/>
          <w:b/>
          <w:lang w:eastAsia="en-GB"/>
        </w:rPr>
        <w:t>us</w:t>
      </w:r>
      <w:r w:rsidR="00E12D6F" w:rsidRPr="00E07EB0">
        <w:rPr>
          <w:rFonts w:eastAsia="Calibri"/>
          <w:b/>
          <w:lang w:eastAsia="en-GB"/>
        </w:rPr>
        <w:t>e</w:t>
      </w:r>
      <w:r w:rsidR="00C04D25" w:rsidRPr="00E07EB0">
        <w:rPr>
          <w:rFonts w:eastAsia="Calibri"/>
          <w:b/>
          <w:lang w:eastAsia="en-GB"/>
        </w:rPr>
        <w:t xml:space="preserve"> undeclared work</w:t>
      </w:r>
      <w:r w:rsidR="001E2CB2" w:rsidRPr="00E07EB0">
        <w:rPr>
          <w:rFonts w:eastAsia="Calibri"/>
          <w:b/>
          <w:lang w:eastAsia="en-GB"/>
        </w:rPr>
        <w:t>;</w:t>
      </w:r>
    </w:p>
    <w:p w:rsidR="0039293A" w:rsidRPr="00E07EB0" w:rsidRDefault="00B76D0F" w:rsidP="00BF7450">
      <w:pPr>
        <w:pStyle w:val="SingleTxtG"/>
        <w:ind w:firstLine="567"/>
        <w:rPr>
          <w:b/>
        </w:rPr>
      </w:pPr>
      <w:r w:rsidRPr="00E07EB0">
        <w:rPr>
          <w:rFonts w:eastAsia="Calibri"/>
          <w:b/>
          <w:lang w:eastAsia="en-GB"/>
        </w:rPr>
        <w:t>(c)</w:t>
      </w:r>
      <w:r w:rsidRPr="00E07EB0">
        <w:rPr>
          <w:rFonts w:eastAsia="Calibri"/>
          <w:b/>
          <w:lang w:eastAsia="en-GB"/>
        </w:rPr>
        <w:tab/>
      </w:r>
      <w:r w:rsidR="00D45E0D" w:rsidRPr="00E07EB0">
        <w:rPr>
          <w:rFonts w:eastAsia="Calibri"/>
          <w:b/>
          <w:lang w:eastAsia="en-GB"/>
        </w:rPr>
        <w:t xml:space="preserve">Step up efforts to address the phenomenon of “dependent” self-employment and ensure that the labour and social security rights of persons under </w:t>
      </w:r>
      <w:r w:rsidR="00BF7450" w:rsidRPr="00E07EB0">
        <w:rPr>
          <w:rFonts w:eastAsia="Calibri"/>
          <w:b/>
          <w:lang w:eastAsia="en-GB"/>
        </w:rPr>
        <w:t xml:space="preserve">that </w:t>
      </w:r>
      <w:r w:rsidR="00D45E0D" w:rsidRPr="00E07EB0">
        <w:rPr>
          <w:rFonts w:eastAsia="Calibri"/>
          <w:b/>
          <w:lang w:eastAsia="en-GB"/>
        </w:rPr>
        <w:t xml:space="preserve">contractual arrangement are fully guaranteed in law and in practice. </w:t>
      </w:r>
    </w:p>
    <w:p w:rsidR="0039293A" w:rsidRPr="00E07EB0" w:rsidRDefault="006E2554" w:rsidP="006E2554">
      <w:pPr>
        <w:pStyle w:val="H23G"/>
      </w:pPr>
      <w:r w:rsidRPr="00E07EB0">
        <w:tab/>
      </w:r>
      <w:r w:rsidRPr="00E07EB0">
        <w:tab/>
      </w:r>
      <w:r w:rsidR="00EF22F9" w:rsidRPr="00E07EB0">
        <w:t>Collective bargaining</w:t>
      </w:r>
    </w:p>
    <w:p w:rsidR="0039293A" w:rsidRPr="00E07EB0" w:rsidRDefault="0039293A" w:rsidP="00E12D6F">
      <w:pPr>
        <w:pStyle w:val="SingleTxtG"/>
        <w:numPr>
          <w:ilvl w:val="0"/>
          <w:numId w:val="17"/>
        </w:numPr>
        <w:tabs>
          <w:tab w:val="left" w:pos="851"/>
        </w:tabs>
        <w:ind w:left="1134" w:firstLine="0"/>
      </w:pPr>
      <w:r w:rsidRPr="00E07EB0">
        <w:t xml:space="preserve">The Committee is concerned </w:t>
      </w:r>
      <w:r w:rsidR="00CB33EB" w:rsidRPr="00E07EB0">
        <w:t xml:space="preserve">that the </w:t>
      </w:r>
      <w:r w:rsidR="0005311D" w:rsidRPr="00E07EB0">
        <w:t xml:space="preserve">reduction in the </w:t>
      </w:r>
      <w:r w:rsidR="008A154E" w:rsidRPr="00E07EB0">
        <w:t xml:space="preserve">coverage of labour relations by </w:t>
      </w:r>
      <w:r w:rsidRPr="00E07EB0">
        <w:t xml:space="preserve">collective </w:t>
      </w:r>
      <w:r w:rsidR="00D4103E" w:rsidRPr="00E07EB0">
        <w:t>agreements</w:t>
      </w:r>
      <w:r w:rsidR="0005311D" w:rsidRPr="00E07EB0">
        <w:t xml:space="preserve"> </w:t>
      </w:r>
      <w:r w:rsidR="00E12D6F" w:rsidRPr="00E07EB0">
        <w:t xml:space="preserve">and </w:t>
      </w:r>
      <w:r w:rsidR="008F2548" w:rsidRPr="00E07EB0">
        <w:t xml:space="preserve">the increasing trend of transferring </w:t>
      </w:r>
      <w:r w:rsidR="008A154E" w:rsidRPr="00E07EB0">
        <w:t>collective bargaining</w:t>
      </w:r>
      <w:r w:rsidRPr="00E07EB0">
        <w:t xml:space="preserve"> to the level of </w:t>
      </w:r>
      <w:r w:rsidR="008A154E" w:rsidRPr="00E07EB0">
        <w:t>enterprises</w:t>
      </w:r>
      <w:r w:rsidR="00CB33EB" w:rsidRPr="00E07EB0">
        <w:t xml:space="preserve"> </w:t>
      </w:r>
      <w:r w:rsidR="0005311D" w:rsidRPr="00E07EB0">
        <w:t xml:space="preserve">may put </w:t>
      </w:r>
      <w:r w:rsidR="007F65FB" w:rsidRPr="00E07EB0">
        <w:t xml:space="preserve">employees in a disadvantaged position in the </w:t>
      </w:r>
      <w:r w:rsidR="00596B4F" w:rsidRPr="00E07EB0">
        <w:t>determination of wages and working conditions by direct negotiation</w:t>
      </w:r>
      <w:r w:rsidR="00B76D0F" w:rsidRPr="00E07EB0">
        <w:t xml:space="preserve"> (arts. </w:t>
      </w:r>
      <w:r w:rsidR="0046437F" w:rsidRPr="00E07EB0">
        <w:t>6</w:t>
      </w:r>
      <w:r w:rsidR="00E12D6F" w:rsidRPr="00E07EB0">
        <w:t>–</w:t>
      </w:r>
      <w:r w:rsidR="0046437F" w:rsidRPr="00E07EB0">
        <w:t>8)</w:t>
      </w:r>
      <w:r w:rsidRPr="00E07EB0">
        <w:t xml:space="preserve">. </w:t>
      </w:r>
    </w:p>
    <w:p w:rsidR="0039293A" w:rsidRPr="00E07EB0" w:rsidRDefault="0039293A" w:rsidP="00E12D6F">
      <w:pPr>
        <w:pStyle w:val="SingleTxtG"/>
        <w:rPr>
          <w:b/>
        </w:rPr>
      </w:pPr>
      <w:r w:rsidRPr="00E07EB0">
        <w:rPr>
          <w:b/>
        </w:rPr>
        <w:t>The Committee call</w:t>
      </w:r>
      <w:r w:rsidR="007177E1" w:rsidRPr="00E07EB0">
        <w:rPr>
          <w:b/>
        </w:rPr>
        <w:t>s</w:t>
      </w:r>
      <w:r w:rsidRPr="00E07EB0">
        <w:rPr>
          <w:b/>
        </w:rPr>
        <w:t xml:space="preserve"> on the State Party to take all the necessary measures, including </w:t>
      </w:r>
      <w:r w:rsidR="00E12D6F" w:rsidRPr="00E07EB0">
        <w:rPr>
          <w:b/>
        </w:rPr>
        <w:t xml:space="preserve">the </w:t>
      </w:r>
      <w:r w:rsidR="007177E1" w:rsidRPr="00E07EB0">
        <w:rPr>
          <w:b/>
        </w:rPr>
        <w:t xml:space="preserve">establishment of </w:t>
      </w:r>
      <w:r w:rsidRPr="00E07EB0">
        <w:rPr>
          <w:b/>
        </w:rPr>
        <w:t>effective control and monitoring mechanisms</w:t>
      </w:r>
      <w:r w:rsidR="007F65FB" w:rsidRPr="00E07EB0">
        <w:rPr>
          <w:b/>
        </w:rPr>
        <w:t>,</w:t>
      </w:r>
      <w:r w:rsidR="007177E1" w:rsidRPr="00E07EB0">
        <w:rPr>
          <w:b/>
        </w:rPr>
        <w:t xml:space="preserve"> with a view to ensuring</w:t>
      </w:r>
      <w:r w:rsidR="00471411" w:rsidRPr="00E07EB0">
        <w:rPr>
          <w:b/>
        </w:rPr>
        <w:t xml:space="preserve"> </w:t>
      </w:r>
      <w:r w:rsidRPr="00E07EB0">
        <w:rPr>
          <w:b/>
        </w:rPr>
        <w:t>that agreements concluded at the e</w:t>
      </w:r>
      <w:r w:rsidR="007177E1" w:rsidRPr="00E07EB0">
        <w:rPr>
          <w:b/>
        </w:rPr>
        <w:t>nterprise</w:t>
      </w:r>
      <w:r w:rsidRPr="00E07EB0">
        <w:rPr>
          <w:b/>
        </w:rPr>
        <w:t xml:space="preserve"> level fully respect the</w:t>
      </w:r>
      <w:r w:rsidR="007F65FB" w:rsidRPr="00E07EB0">
        <w:rPr>
          <w:b/>
        </w:rPr>
        <w:t xml:space="preserve"> rights of employees,</w:t>
      </w:r>
      <w:r w:rsidR="00B76D0F" w:rsidRPr="00E07EB0">
        <w:rPr>
          <w:b/>
        </w:rPr>
        <w:t xml:space="preserve"> in particular under articles </w:t>
      </w:r>
      <w:r w:rsidR="004D7754" w:rsidRPr="00E07EB0">
        <w:rPr>
          <w:b/>
        </w:rPr>
        <w:t>6</w:t>
      </w:r>
      <w:r w:rsidR="00E12D6F" w:rsidRPr="00E07EB0">
        <w:rPr>
          <w:b/>
        </w:rPr>
        <w:t>–</w:t>
      </w:r>
      <w:r w:rsidR="004D7754" w:rsidRPr="00E07EB0">
        <w:rPr>
          <w:b/>
        </w:rPr>
        <w:t xml:space="preserve">8 of the Covenant, </w:t>
      </w:r>
      <w:r w:rsidRPr="00E07EB0">
        <w:rPr>
          <w:b/>
        </w:rPr>
        <w:t xml:space="preserve">and that adequate remedies </w:t>
      </w:r>
      <w:r w:rsidR="008A1266" w:rsidRPr="00E07EB0">
        <w:rPr>
          <w:b/>
        </w:rPr>
        <w:t xml:space="preserve">are </w:t>
      </w:r>
      <w:r w:rsidRPr="00E07EB0">
        <w:rPr>
          <w:b/>
        </w:rPr>
        <w:t xml:space="preserve">available </w:t>
      </w:r>
      <w:r w:rsidR="008A1266" w:rsidRPr="00E07EB0">
        <w:rPr>
          <w:b/>
        </w:rPr>
        <w:t>in practice.</w:t>
      </w:r>
    </w:p>
    <w:p w:rsidR="00056D75" w:rsidRPr="00E07EB0" w:rsidRDefault="006E2554" w:rsidP="006E2554">
      <w:pPr>
        <w:pStyle w:val="H23G"/>
      </w:pPr>
      <w:r w:rsidRPr="00E07EB0">
        <w:tab/>
      </w:r>
      <w:r w:rsidRPr="00E07EB0">
        <w:tab/>
      </w:r>
      <w:r w:rsidR="00056D75" w:rsidRPr="00E07EB0">
        <w:t>Minimum wage</w:t>
      </w:r>
    </w:p>
    <w:p w:rsidR="00056D75" w:rsidRPr="00E07EB0" w:rsidRDefault="00056D75" w:rsidP="00E12D6F">
      <w:pPr>
        <w:pStyle w:val="SingleTxtG"/>
        <w:numPr>
          <w:ilvl w:val="0"/>
          <w:numId w:val="17"/>
        </w:numPr>
        <w:tabs>
          <w:tab w:val="left" w:pos="851"/>
        </w:tabs>
        <w:ind w:left="1134" w:firstLine="0"/>
      </w:pPr>
      <w:r w:rsidRPr="00E07EB0">
        <w:t xml:space="preserve">The Committee notes the increase in the proportion of employees </w:t>
      </w:r>
      <w:r w:rsidR="00E12D6F" w:rsidRPr="00E07EB0">
        <w:t xml:space="preserve">who </w:t>
      </w:r>
      <w:r w:rsidRPr="00E07EB0">
        <w:t>earn the minimum wage from 5.5 per</w:t>
      </w:r>
      <w:r w:rsidR="00F450DC" w:rsidRPr="00E07EB0">
        <w:t xml:space="preserve"> </w:t>
      </w:r>
      <w:r w:rsidRPr="00E07EB0">
        <w:t xml:space="preserve">cent in April 2007 to </w:t>
      </w:r>
      <w:r w:rsidR="009A5EA2" w:rsidRPr="00E07EB0">
        <w:t>1</w:t>
      </w:r>
      <w:r w:rsidRPr="00E07EB0">
        <w:t>2 per</w:t>
      </w:r>
      <w:r w:rsidR="00F450DC" w:rsidRPr="00E07EB0">
        <w:t xml:space="preserve"> </w:t>
      </w:r>
      <w:r w:rsidRPr="00E07EB0">
        <w:t xml:space="preserve">cent in October 2013 and, while </w:t>
      </w:r>
      <w:r w:rsidR="00E12D6F" w:rsidRPr="00E07EB0">
        <w:t xml:space="preserve">it </w:t>
      </w:r>
      <w:r w:rsidRPr="00E07EB0">
        <w:t>welcom</w:t>
      </w:r>
      <w:r w:rsidR="00E12D6F" w:rsidRPr="00E07EB0">
        <w:t>es</w:t>
      </w:r>
      <w:r w:rsidRPr="00E07EB0">
        <w:t xml:space="preserve"> the decision of the State party to increase the minimum wage </w:t>
      </w:r>
      <w:r w:rsidR="00BF7450" w:rsidRPr="00E07EB0">
        <w:t xml:space="preserve">per month </w:t>
      </w:r>
      <w:r w:rsidRPr="00E07EB0">
        <w:t xml:space="preserve">from </w:t>
      </w:r>
      <w:r w:rsidR="00E12D6F" w:rsidRPr="00E07EB0">
        <w:t>€</w:t>
      </w:r>
      <w:r w:rsidRPr="00E07EB0">
        <w:t xml:space="preserve">485 to </w:t>
      </w:r>
      <w:r w:rsidR="00E12D6F" w:rsidRPr="00E07EB0">
        <w:t>€</w:t>
      </w:r>
      <w:r w:rsidRPr="00E07EB0">
        <w:t>505 as of 10 October 2014</w:t>
      </w:r>
      <w:r w:rsidR="00E12D6F" w:rsidRPr="00E07EB0">
        <w:t>,</w:t>
      </w:r>
      <w:r w:rsidR="002926BC" w:rsidRPr="00E07EB0">
        <w:t xml:space="preserve"> after it </w:t>
      </w:r>
      <w:r w:rsidR="00E12D6F" w:rsidRPr="00E07EB0">
        <w:t xml:space="preserve">had </w:t>
      </w:r>
      <w:r w:rsidR="002926BC" w:rsidRPr="00E07EB0">
        <w:t xml:space="preserve">been frozen since </w:t>
      </w:r>
      <w:r w:rsidR="00E17EBB" w:rsidRPr="00E07EB0">
        <w:t>2011</w:t>
      </w:r>
      <w:r w:rsidRPr="00E07EB0">
        <w:t>, it remains concerned that the level of the minimum wage is still not sufficient to provide workers and their famil</w:t>
      </w:r>
      <w:r w:rsidR="00B76D0F" w:rsidRPr="00E07EB0">
        <w:t>ies with a decent living (arts. </w:t>
      </w:r>
      <w:r w:rsidRPr="00E07EB0">
        <w:t>7, 9 and 11).</w:t>
      </w:r>
    </w:p>
    <w:p w:rsidR="000F7858" w:rsidRPr="00E07EB0" w:rsidRDefault="009A2B7C" w:rsidP="00056D75">
      <w:pPr>
        <w:pStyle w:val="SingleTxtG"/>
        <w:rPr>
          <w:b/>
        </w:rPr>
      </w:pPr>
      <w:r w:rsidRPr="00E07EB0">
        <w:rPr>
          <w:b/>
        </w:rPr>
        <w:t xml:space="preserve">The Committee </w:t>
      </w:r>
      <w:r w:rsidR="00056D75" w:rsidRPr="00E07EB0">
        <w:rPr>
          <w:b/>
        </w:rPr>
        <w:t>recommends that</w:t>
      </w:r>
      <w:r w:rsidR="006B08F9" w:rsidRPr="00E07EB0">
        <w:rPr>
          <w:b/>
        </w:rPr>
        <w:t xml:space="preserve"> the State party</w:t>
      </w:r>
      <w:r w:rsidR="000F7858" w:rsidRPr="00E07EB0">
        <w:rPr>
          <w:b/>
        </w:rPr>
        <w:t xml:space="preserve"> ensure that the minimum wage enables workers and their families to enjoy a decent living and that it is periodically reviewed and adjusted in line with the cost of liv</w:t>
      </w:r>
      <w:r w:rsidR="00B76D0F" w:rsidRPr="00E07EB0">
        <w:rPr>
          <w:b/>
        </w:rPr>
        <w:t>ing, in accordance with article 7, paragraph </w:t>
      </w:r>
      <w:r w:rsidR="000F7858" w:rsidRPr="00E07EB0">
        <w:rPr>
          <w:b/>
        </w:rPr>
        <w:t>(a), of the Covenant.</w:t>
      </w:r>
    </w:p>
    <w:p w:rsidR="00B30677" w:rsidRPr="00E07EB0" w:rsidRDefault="006E2554" w:rsidP="00C9540E">
      <w:pPr>
        <w:pStyle w:val="H23G"/>
      </w:pPr>
      <w:r w:rsidRPr="00E07EB0">
        <w:tab/>
      </w:r>
      <w:r w:rsidRPr="00E07EB0">
        <w:tab/>
      </w:r>
      <w:r w:rsidR="00B30677" w:rsidRPr="00E07EB0">
        <w:t>Domestic violence</w:t>
      </w:r>
    </w:p>
    <w:p w:rsidR="00B30677" w:rsidRPr="00E07EB0" w:rsidRDefault="0011548C" w:rsidP="0011548C">
      <w:pPr>
        <w:pStyle w:val="SingleTxtG"/>
        <w:numPr>
          <w:ilvl w:val="0"/>
          <w:numId w:val="17"/>
        </w:numPr>
        <w:tabs>
          <w:tab w:val="left" w:pos="851"/>
        </w:tabs>
        <w:ind w:left="1134" w:firstLine="0"/>
        <w:rPr>
          <w:rStyle w:val="SingleTxtGCar"/>
        </w:rPr>
      </w:pPr>
      <w:r w:rsidRPr="00E07EB0">
        <w:t>W</w:t>
      </w:r>
      <w:r w:rsidR="00B30677" w:rsidRPr="00E07EB0">
        <w:t>hile</w:t>
      </w:r>
      <w:r w:rsidR="00B30677" w:rsidRPr="00E07EB0">
        <w:rPr>
          <w:rStyle w:val="SingleTxtGCar"/>
        </w:rPr>
        <w:t xml:space="preserve"> commending the State party for its efforts in combating domestic violence, including the adoption in December 2013 of the Fifth National Action Plan to Prevent and Combat Domestic and Gender-based Violence for the period 2014</w:t>
      </w:r>
      <w:r w:rsidR="00B76D0F" w:rsidRPr="00E07EB0">
        <w:rPr>
          <w:rStyle w:val="SingleTxtGCar"/>
        </w:rPr>
        <w:noBreakHyphen/>
      </w:r>
      <w:r w:rsidR="00B30677" w:rsidRPr="00E07EB0">
        <w:rPr>
          <w:rStyle w:val="SingleTxtGCar"/>
        </w:rPr>
        <w:t>2017,</w:t>
      </w:r>
      <w:r w:rsidR="00471411" w:rsidRPr="00E07EB0">
        <w:rPr>
          <w:rStyle w:val="SingleTxtGCar"/>
          <w:vertAlign w:val="superscript"/>
        </w:rPr>
        <w:t xml:space="preserve"> </w:t>
      </w:r>
      <w:r w:rsidRPr="00E07EB0">
        <w:t>the</w:t>
      </w:r>
      <w:r w:rsidRPr="00E07EB0">
        <w:rPr>
          <w:rStyle w:val="SingleTxtGCar"/>
        </w:rPr>
        <w:t xml:space="preserve"> Committee </w:t>
      </w:r>
      <w:r w:rsidR="00B30677" w:rsidRPr="00E07EB0">
        <w:rPr>
          <w:rStyle w:val="SingleTxtGCar"/>
        </w:rPr>
        <w:t>is concerned that domestic vi</w:t>
      </w:r>
      <w:r w:rsidR="00B76D0F" w:rsidRPr="00E07EB0">
        <w:rPr>
          <w:rStyle w:val="SingleTxtGCar"/>
        </w:rPr>
        <w:t>olence is still prevalent (art. </w:t>
      </w:r>
      <w:r w:rsidR="00B30677" w:rsidRPr="00E07EB0">
        <w:rPr>
          <w:rStyle w:val="SingleTxtGCar"/>
        </w:rPr>
        <w:t>10).</w:t>
      </w:r>
      <w:r w:rsidR="00471411" w:rsidRPr="00E07EB0">
        <w:rPr>
          <w:rStyle w:val="SingleTxtGCar"/>
        </w:rPr>
        <w:t xml:space="preserve"> </w:t>
      </w:r>
    </w:p>
    <w:p w:rsidR="00B30677" w:rsidRPr="00E07EB0" w:rsidRDefault="00B30677" w:rsidP="0023637A">
      <w:pPr>
        <w:pStyle w:val="SingleTxtG"/>
        <w:rPr>
          <w:rStyle w:val="SingleTxtGCar"/>
          <w:b/>
          <w:bCs/>
        </w:rPr>
      </w:pPr>
      <w:r w:rsidRPr="00E07EB0">
        <w:rPr>
          <w:rStyle w:val="SingleTxtGCar"/>
          <w:b/>
          <w:bCs/>
        </w:rPr>
        <w:t xml:space="preserve">The Committee recommends that the State party strengthen measures aimed at preventing and combating domestic violence by </w:t>
      </w:r>
      <w:r w:rsidR="007A6704" w:rsidRPr="00E07EB0">
        <w:rPr>
          <w:rStyle w:val="SingleTxtGCar"/>
          <w:b/>
          <w:bCs/>
        </w:rPr>
        <w:t xml:space="preserve">addressing its root causes and </w:t>
      </w:r>
      <w:r w:rsidRPr="00E07EB0">
        <w:rPr>
          <w:rStyle w:val="SingleTxtGCar"/>
          <w:b/>
          <w:bCs/>
        </w:rPr>
        <w:t>ensuring the effective implementation of the existing relevant legal and policy frameworks, including by:</w:t>
      </w:r>
    </w:p>
    <w:p w:rsidR="00B30677" w:rsidRPr="00E07EB0" w:rsidRDefault="00B76D0F" w:rsidP="0011548C">
      <w:pPr>
        <w:pStyle w:val="SingleTxtG"/>
        <w:ind w:firstLine="567"/>
        <w:rPr>
          <w:rStyle w:val="SingleTxtGCar"/>
          <w:b/>
          <w:bCs/>
        </w:rPr>
      </w:pPr>
      <w:r w:rsidRPr="00E07EB0">
        <w:rPr>
          <w:rStyle w:val="SingleTxtGCar"/>
          <w:b/>
          <w:bCs/>
        </w:rPr>
        <w:t>(a)</w:t>
      </w:r>
      <w:r w:rsidRPr="00E07EB0">
        <w:rPr>
          <w:rStyle w:val="SingleTxtGCar"/>
          <w:b/>
          <w:bCs/>
        </w:rPr>
        <w:tab/>
      </w:r>
      <w:r w:rsidR="00B30677" w:rsidRPr="00E07EB0">
        <w:rPr>
          <w:rStyle w:val="SingleTxtGCar"/>
          <w:b/>
          <w:bCs/>
        </w:rPr>
        <w:t xml:space="preserve">Pursuing its awareness-raising efforts to widely sensitize the public at large, and in particular boys and men, about the </w:t>
      </w:r>
      <w:r w:rsidR="00D4055D" w:rsidRPr="00E07EB0">
        <w:rPr>
          <w:rStyle w:val="SingleTxtGCar"/>
          <w:b/>
          <w:bCs/>
        </w:rPr>
        <w:t xml:space="preserve">unacceptability of any form </w:t>
      </w:r>
      <w:r w:rsidR="006340AE" w:rsidRPr="00E07EB0">
        <w:rPr>
          <w:rStyle w:val="SingleTxtGCar"/>
          <w:b/>
          <w:bCs/>
        </w:rPr>
        <w:t xml:space="preserve">of domestic violence </w:t>
      </w:r>
      <w:r w:rsidR="00D4055D" w:rsidRPr="00E07EB0">
        <w:rPr>
          <w:rStyle w:val="SingleTxtGCar"/>
          <w:b/>
          <w:bCs/>
        </w:rPr>
        <w:t xml:space="preserve">and </w:t>
      </w:r>
      <w:r w:rsidR="006340AE" w:rsidRPr="00E07EB0">
        <w:rPr>
          <w:rStyle w:val="SingleTxtGCar"/>
          <w:b/>
          <w:bCs/>
        </w:rPr>
        <w:t xml:space="preserve">its </w:t>
      </w:r>
      <w:r w:rsidR="00D4055D" w:rsidRPr="00E07EB0">
        <w:rPr>
          <w:rStyle w:val="SingleTxtGCar"/>
          <w:b/>
          <w:bCs/>
        </w:rPr>
        <w:t>criminal nature</w:t>
      </w:r>
      <w:r w:rsidR="00B30677" w:rsidRPr="00E07EB0">
        <w:rPr>
          <w:rStyle w:val="SingleTxtGCar"/>
          <w:b/>
          <w:bCs/>
        </w:rPr>
        <w:t>;</w:t>
      </w:r>
    </w:p>
    <w:p w:rsidR="00B30677" w:rsidRPr="00E07EB0" w:rsidRDefault="00B76D0F" w:rsidP="009659F6">
      <w:pPr>
        <w:pStyle w:val="SingleTxtG"/>
        <w:ind w:firstLine="567"/>
        <w:rPr>
          <w:rStyle w:val="SingleTxtGCar"/>
          <w:b/>
          <w:bCs/>
        </w:rPr>
      </w:pPr>
      <w:r w:rsidRPr="00E07EB0">
        <w:rPr>
          <w:rStyle w:val="SingleTxtGCar"/>
          <w:b/>
          <w:bCs/>
        </w:rPr>
        <w:t>(b)</w:t>
      </w:r>
      <w:r w:rsidRPr="00E07EB0">
        <w:rPr>
          <w:rStyle w:val="SingleTxtGCar"/>
          <w:b/>
          <w:bCs/>
        </w:rPr>
        <w:tab/>
      </w:r>
      <w:r w:rsidR="005C4400" w:rsidRPr="00E07EB0">
        <w:rPr>
          <w:rStyle w:val="SingleTxtGCar"/>
          <w:b/>
          <w:bCs/>
        </w:rPr>
        <w:t xml:space="preserve">Encouraging </w:t>
      </w:r>
      <w:r w:rsidR="009659F6" w:rsidRPr="00E07EB0">
        <w:rPr>
          <w:rStyle w:val="SingleTxtGCar"/>
          <w:b/>
          <w:bCs/>
        </w:rPr>
        <w:t xml:space="preserve">the </w:t>
      </w:r>
      <w:r w:rsidR="005C4400" w:rsidRPr="00E07EB0">
        <w:rPr>
          <w:rStyle w:val="SingleTxtGCar"/>
          <w:b/>
          <w:bCs/>
        </w:rPr>
        <w:t>reporting of domestic violence cases by</w:t>
      </w:r>
      <w:r w:rsidR="009659F6" w:rsidRPr="00E07EB0">
        <w:rPr>
          <w:rStyle w:val="SingleTxtGCar"/>
          <w:b/>
          <w:bCs/>
        </w:rPr>
        <w:t>, inter alia,</w:t>
      </w:r>
      <w:r w:rsidR="005C4400" w:rsidRPr="00E07EB0">
        <w:rPr>
          <w:rStyle w:val="SingleTxtGCar"/>
          <w:b/>
          <w:bCs/>
        </w:rPr>
        <w:t xml:space="preserve"> </w:t>
      </w:r>
      <w:r w:rsidR="00240B60" w:rsidRPr="00E07EB0">
        <w:rPr>
          <w:rStyle w:val="SingleTxtGCar"/>
          <w:b/>
          <w:bCs/>
        </w:rPr>
        <w:t xml:space="preserve">continuing </w:t>
      </w:r>
      <w:r w:rsidR="00BA670A" w:rsidRPr="00E07EB0">
        <w:rPr>
          <w:rStyle w:val="SingleTxtGCar"/>
          <w:b/>
          <w:bCs/>
        </w:rPr>
        <w:t xml:space="preserve">to </w:t>
      </w:r>
      <w:r w:rsidR="005C4400" w:rsidRPr="00E07EB0">
        <w:rPr>
          <w:rStyle w:val="SingleTxtGCar"/>
          <w:b/>
          <w:bCs/>
        </w:rPr>
        <w:t>inform women of their rights and existing legal avenues to receive protection against domestic violence</w:t>
      </w:r>
      <w:r w:rsidR="0069547C" w:rsidRPr="00E07EB0">
        <w:rPr>
          <w:rStyle w:val="SingleTxtGCar"/>
          <w:b/>
          <w:bCs/>
        </w:rPr>
        <w:t xml:space="preserve"> and strengthening the services available to victims</w:t>
      </w:r>
      <w:r w:rsidR="005C4400" w:rsidRPr="00E07EB0">
        <w:rPr>
          <w:rStyle w:val="SingleTxtGCar"/>
          <w:b/>
          <w:bCs/>
        </w:rPr>
        <w:t>;</w:t>
      </w:r>
      <w:r w:rsidR="00471411" w:rsidRPr="00E07EB0">
        <w:rPr>
          <w:rStyle w:val="SingleTxtGCar"/>
          <w:b/>
          <w:bCs/>
        </w:rPr>
        <w:t xml:space="preserve"> </w:t>
      </w:r>
    </w:p>
    <w:p w:rsidR="00B30677" w:rsidRPr="00E07EB0" w:rsidRDefault="00B76D0F" w:rsidP="0023637A">
      <w:pPr>
        <w:pStyle w:val="SingleTxtG"/>
        <w:ind w:firstLine="567"/>
        <w:rPr>
          <w:rStyle w:val="SingleTxtGCar"/>
          <w:b/>
          <w:bCs/>
        </w:rPr>
      </w:pPr>
      <w:r w:rsidRPr="00E07EB0">
        <w:rPr>
          <w:rStyle w:val="SingleTxtGCar"/>
          <w:b/>
          <w:bCs/>
        </w:rPr>
        <w:t>(c)</w:t>
      </w:r>
      <w:r w:rsidRPr="00E07EB0">
        <w:rPr>
          <w:rStyle w:val="SingleTxtGCar"/>
          <w:b/>
          <w:bCs/>
        </w:rPr>
        <w:tab/>
      </w:r>
      <w:r w:rsidR="005C4400" w:rsidRPr="00E07EB0">
        <w:rPr>
          <w:rStyle w:val="SingleTxtGCar"/>
          <w:b/>
          <w:bCs/>
        </w:rPr>
        <w:t>Ensuring that law enforcement authorities, as well as medical and social workers, continue to receive appropriate training to deal with cases of domestic violence;</w:t>
      </w:r>
    </w:p>
    <w:p w:rsidR="00533DCC" w:rsidRPr="00E07EB0" w:rsidRDefault="00B76D0F" w:rsidP="0023637A">
      <w:pPr>
        <w:pStyle w:val="SingleTxtG"/>
        <w:ind w:firstLine="567"/>
        <w:rPr>
          <w:rFonts w:eastAsia="SimSun"/>
          <w:b/>
          <w:bCs/>
        </w:rPr>
      </w:pPr>
      <w:r w:rsidRPr="00E07EB0">
        <w:rPr>
          <w:rStyle w:val="SingleTxtGCar"/>
          <w:b/>
          <w:bCs/>
        </w:rPr>
        <w:t>(d)</w:t>
      </w:r>
      <w:r w:rsidRPr="00E07EB0">
        <w:rPr>
          <w:rStyle w:val="SingleTxtGCar"/>
          <w:b/>
          <w:bCs/>
        </w:rPr>
        <w:tab/>
      </w:r>
      <w:r w:rsidR="0069547C" w:rsidRPr="00E07EB0">
        <w:rPr>
          <w:rStyle w:val="SingleTxtGCar"/>
          <w:b/>
          <w:bCs/>
        </w:rPr>
        <w:t>E</w:t>
      </w:r>
      <w:r w:rsidR="00B30677" w:rsidRPr="00E07EB0">
        <w:rPr>
          <w:rStyle w:val="SingleTxtGCar"/>
          <w:b/>
          <w:bCs/>
        </w:rPr>
        <w:t>nsuring e</w:t>
      </w:r>
      <w:r w:rsidR="004623D5" w:rsidRPr="00E07EB0">
        <w:rPr>
          <w:rStyle w:val="SingleTxtGCar"/>
          <w:b/>
          <w:bCs/>
        </w:rPr>
        <w:t>ffective prosecution of</w:t>
      </w:r>
      <w:r w:rsidR="002B5DED" w:rsidRPr="00E07EB0">
        <w:rPr>
          <w:rStyle w:val="SingleTxtGCar"/>
          <w:b/>
          <w:bCs/>
        </w:rPr>
        <w:t>, and sanctions against,</w:t>
      </w:r>
      <w:r w:rsidR="004623D5" w:rsidRPr="00E07EB0">
        <w:rPr>
          <w:rStyle w:val="SingleTxtGCar"/>
          <w:b/>
          <w:bCs/>
        </w:rPr>
        <w:t xml:space="preserve"> perpetrators.</w:t>
      </w:r>
    </w:p>
    <w:p w:rsidR="005F5110" w:rsidRPr="00E07EB0" w:rsidRDefault="00651AAF" w:rsidP="00651AAF">
      <w:pPr>
        <w:pStyle w:val="H23G"/>
      </w:pPr>
      <w:r w:rsidRPr="00E07EB0">
        <w:tab/>
      </w:r>
      <w:r w:rsidRPr="00E07EB0">
        <w:tab/>
      </w:r>
      <w:r w:rsidR="005F5110" w:rsidRPr="00E07EB0">
        <w:t xml:space="preserve">Poverty </w:t>
      </w:r>
      <w:r w:rsidR="005C5029" w:rsidRPr="00E07EB0">
        <w:t>and social security</w:t>
      </w:r>
    </w:p>
    <w:p w:rsidR="005F5110" w:rsidRPr="00E07EB0" w:rsidRDefault="005C5029" w:rsidP="009659F6">
      <w:pPr>
        <w:pStyle w:val="SingleTxtG"/>
        <w:numPr>
          <w:ilvl w:val="0"/>
          <w:numId w:val="17"/>
        </w:numPr>
        <w:tabs>
          <w:tab w:val="left" w:pos="851"/>
        </w:tabs>
        <w:ind w:left="1134" w:firstLine="0"/>
      </w:pPr>
      <w:r w:rsidRPr="00E07EB0">
        <w:t xml:space="preserve">The Committee is concerned that the benefits </w:t>
      </w:r>
      <w:r w:rsidR="009659F6" w:rsidRPr="00E07EB0">
        <w:t xml:space="preserve">that </w:t>
      </w:r>
      <w:r w:rsidRPr="00E07EB0">
        <w:t>are based on the social support index (</w:t>
      </w:r>
      <w:r w:rsidR="00017588" w:rsidRPr="00E07EB0">
        <w:t>“</w:t>
      </w:r>
      <w:proofErr w:type="spellStart"/>
      <w:r w:rsidR="00017588" w:rsidRPr="00E07EB0">
        <w:rPr>
          <w:i/>
          <w:iCs/>
        </w:rPr>
        <w:t>Indexante</w:t>
      </w:r>
      <w:proofErr w:type="spellEnd"/>
      <w:r w:rsidR="00017588" w:rsidRPr="00E07EB0">
        <w:rPr>
          <w:i/>
          <w:iCs/>
        </w:rPr>
        <w:t xml:space="preserve"> de </w:t>
      </w:r>
      <w:proofErr w:type="spellStart"/>
      <w:r w:rsidR="00017588" w:rsidRPr="00E07EB0">
        <w:rPr>
          <w:i/>
          <w:iCs/>
        </w:rPr>
        <w:t>Apoios</w:t>
      </w:r>
      <w:proofErr w:type="spellEnd"/>
      <w:r w:rsidR="00017588" w:rsidRPr="00E07EB0">
        <w:rPr>
          <w:i/>
          <w:iCs/>
        </w:rPr>
        <w:t xml:space="preserve"> </w:t>
      </w:r>
      <w:proofErr w:type="spellStart"/>
      <w:r w:rsidR="00017588" w:rsidRPr="00E07EB0">
        <w:rPr>
          <w:i/>
          <w:iCs/>
        </w:rPr>
        <w:t>Sociais</w:t>
      </w:r>
      <w:proofErr w:type="spellEnd"/>
      <w:r w:rsidR="00017588" w:rsidRPr="00E07EB0">
        <w:t>”</w:t>
      </w:r>
      <w:r w:rsidRPr="00E07EB0">
        <w:t>)</w:t>
      </w:r>
      <w:r w:rsidR="009659F6" w:rsidRPr="00E07EB0">
        <w:t>,</w:t>
      </w:r>
      <w:r w:rsidRPr="00E07EB0">
        <w:t xml:space="preserve"> </w:t>
      </w:r>
      <w:r w:rsidR="009659F6" w:rsidRPr="00E07EB0">
        <w:t xml:space="preserve">which </w:t>
      </w:r>
      <w:r w:rsidRPr="00E07EB0">
        <w:t xml:space="preserve">was frozen in recent years as part of austerity measures, as well as the minimum amount of sickness benefit, are not sufficient to provide recipients and their families with a decent standard of living, affecting in particular the most disadvantaged individuals and groups. </w:t>
      </w:r>
      <w:r w:rsidR="009659F6" w:rsidRPr="00E07EB0">
        <w:t>In addition</w:t>
      </w:r>
      <w:r w:rsidRPr="00E07EB0">
        <w:t>, t</w:t>
      </w:r>
      <w:r w:rsidR="005F5110" w:rsidRPr="00E07EB0">
        <w:t xml:space="preserve">he Committee is concerned that, despite the State party’s efforts to combat poverty, </w:t>
      </w:r>
      <w:r w:rsidR="00587076" w:rsidRPr="00E07EB0">
        <w:t xml:space="preserve">including </w:t>
      </w:r>
      <w:r w:rsidR="00DD7073" w:rsidRPr="00E07EB0">
        <w:t xml:space="preserve">through </w:t>
      </w:r>
      <w:r w:rsidR="00587076" w:rsidRPr="00E07EB0">
        <w:t xml:space="preserve">social transfers, the </w:t>
      </w:r>
      <w:r w:rsidR="005F5110" w:rsidRPr="00E07EB0">
        <w:t xml:space="preserve">resident population at risk of poverty </w:t>
      </w:r>
      <w:r w:rsidR="00587076" w:rsidRPr="00E07EB0">
        <w:t xml:space="preserve">reached 18.7 per cent </w:t>
      </w:r>
      <w:r w:rsidR="005F5110" w:rsidRPr="00E07EB0">
        <w:t>in 2012</w:t>
      </w:r>
      <w:r w:rsidR="009659F6" w:rsidRPr="00E07EB0">
        <w:t>,</w:t>
      </w:r>
      <w:r w:rsidR="005F5110" w:rsidRPr="00E07EB0">
        <w:t xml:space="preserve"> the highest value since 2005, with households </w:t>
      </w:r>
      <w:r w:rsidR="009659F6" w:rsidRPr="00E07EB0">
        <w:t xml:space="preserve">that include </w:t>
      </w:r>
      <w:r w:rsidR="005F5110" w:rsidRPr="00E07EB0">
        <w:t xml:space="preserve">dependent children, persons aged </w:t>
      </w:r>
      <w:r w:rsidR="009659F6" w:rsidRPr="00E07EB0">
        <w:t xml:space="preserve">under </w:t>
      </w:r>
      <w:r w:rsidR="005F5110" w:rsidRPr="00E07EB0">
        <w:t xml:space="preserve">65 years, children and unemployed </w:t>
      </w:r>
      <w:r w:rsidR="009659F6" w:rsidRPr="00E07EB0">
        <w:t xml:space="preserve">persons </w:t>
      </w:r>
      <w:r w:rsidR="005F5110" w:rsidRPr="00E07EB0">
        <w:t>at a greater risk of poverty.</w:t>
      </w:r>
      <w:r w:rsidR="00471411" w:rsidRPr="00E07EB0">
        <w:rPr>
          <w:vertAlign w:val="superscript"/>
        </w:rPr>
        <w:t xml:space="preserve"> </w:t>
      </w:r>
      <w:r w:rsidR="005F5110" w:rsidRPr="00E07EB0">
        <w:t>The Committee is further concerned at the high level of income inequ</w:t>
      </w:r>
      <w:r w:rsidR="00017588" w:rsidRPr="00E07EB0">
        <w:t>ality in the State party (arts. </w:t>
      </w:r>
      <w:r w:rsidR="005F5110" w:rsidRPr="00E07EB0">
        <w:t xml:space="preserve">9 and 11). </w:t>
      </w:r>
    </w:p>
    <w:p w:rsidR="005F5110" w:rsidRPr="00E07EB0" w:rsidRDefault="005F5110" w:rsidP="009659F6">
      <w:pPr>
        <w:pStyle w:val="SingleTxtG"/>
        <w:rPr>
          <w:b/>
          <w:bCs/>
        </w:rPr>
      </w:pPr>
      <w:r w:rsidRPr="00E07EB0">
        <w:rPr>
          <w:b/>
          <w:bCs/>
        </w:rPr>
        <w:t xml:space="preserve">The Committee </w:t>
      </w:r>
      <w:r w:rsidR="00F3021B" w:rsidRPr="00E07EB0">
        <w:rPr>
          <w:b/>
          <w:bCs/>
        </w:rPr>
        <w:t xml:space="preserve">draws the attention </w:t>
      </w:r>
      <w:r w:rsidR="009659F6" w:rsidRPr="00E07EB0">
        <w:rPr>
          <w:b/>
          <w:bCs/>
        </w:rPr>
        <w:t xml:space="preserve">of the State party </w:t>
      </w:r>
      <w:r w:rsidR="00F3021B" w:rsidRPr="00E07EB0">
        <w:rPr>
          <w:b/>
          <w:bCs/>
        </w:rPr>
        <w:t xml:space="preserve">to its statement concerning </w:t>
      </w:r>
      <w:r w:rsidR="009659F6" w:rsidRPr="00E07EB0">
        <w:rPr>
          <w:b/>
          <w:bCs/>
        </w:rPr>
        <w:t>p</w:t>
      </w:r>
      <w:r w:rsidR="00F3021B" w:rsidRPr="00E07EB0">
        <w:rPr>
          <w:b/>
          <w:bCs/>
        </w:rPr>
        <w:t xml:space="preserve">overty and the International Covenant on Economic, Social and Cultural Rights (E/C.12/2001/10) and </w:t>
      </w:r>
      <w:r w:rsidRPr="00E07EB0">
        <w:rPr>
          <w:b/>
          <w:bCs/>
        </w:rPr>
        <w:t xml:space="preserve">recommends that the State party strengthen its efforts to combat poverty, in particular among households with dependent children, persons </w:t>
      </w:r>
      <w:r w:rsidR="005150E0" w:rsidRPr="00E07EB0">
        <w:rPr>
          <w:b/>
          <w:bCs/>
        </w:rPr>
        <w:t xml:space="preserve">aged </w:t>
      </w:r>
      <w:r w:rsidR="0007747A" w:rsidRPr="00E07EB0">
        <w:rPr>
          <w:b/>
          <w:bCs/>
        </w:rPr>
        <w:t>under</w:t>
      </w:r>
      <w:r w:rsidRPr="00E07EB0">
        <w:rPr>
          <w:b/>
          <w:bCs/>
        </w:rPr>
        <w:t xml:space="preserve"> 65 years, children and unemployed</w:t>
      </w:r>
      <w:r w:rsidR="009659F6" w:rsidRPr="00E07EB0">
        <w:rPr>
          <w:b/>
          <w:bCs/>
        </w:rPr>
        <w:t xml:space="preserve"> persons</w:t>
      </w:r>
      <w:r w:rsidRPr="00E07EB0">
        <w:rPr>
          <w:b/>
          <w:bCs/>
        </w:rPr>
        <w:t xml:space="preserve"> by</w:t>
      </w:r>
      <w:r w:rsidR="009659F6" w:rsidRPr="00E07EB0">
        <w:rPr>
          <w:b/>
          <w:bCs/>
        </w:rPr>
        <w:t>, inter alia</w:t>
      </w:r>
      <w:r w:rsidRPr="00E07EB0">
        <w:rPr>
          <w:b/>
          <w:bCs/>
        </w:rPr>
        <w:t>:</w:t>
      </w:r>
    </w:p>
    <w:p w:rsidR="00F3021B" w:rsidRPr="00E07EB0" w:rsidRDefault="00017588" w:rsidP="0023637A">
      <w:pPr>
        <w:pStyle w:val="SingleTxtG"/>
        <w:ind w:firstLine="567"/>
        <w:rPr>
          <w:b/>
          <w:bCs/>
        </w:rPr>
      </w:pPr>
      <w:r w:rsidRPr="00E07EB0">
        <w:rPr>
          <w:b/>
          <w:bCs/>
        </w:rPr>
        <w:t>(a)</w:t>
      </w:r>
      <w:r w:rsidRPr="00E07EB0">
        <w:rPr>
          <w:b/>
          <w:bCs/>
        </w:rPr>
        <w:tab/>
      </w:r>
      <w:r w:rsidR="00BE3D39" w:rsidRPr="00E07EB0">
        <w:rPr>
          <w:b/>
          <w:bCs/>
        </w:rPr>
        <w:t>A</w:t>
      </w:r>
      <w:r w:rsidR="005F5110" w:rsidRPr="00E07EB0">
        <w:rPr>
          <w:b/>
          <w:bCs/>
        </w:rPr>
        <w:t>ddressing</w:t>
      </w:r>
      <w:r w:rsidR="00F74057" w:rsidRPr="00E07EB0">
        <w:rPr>
          <w:b/>
          <w:bCs/>
        </w:rPr>
        <w:t>, in its post-crisis economic and social efforts,</w:t>
      </w:r>
      <w:r w:rsidR="005F5110" w:rsidRPr="00E07EB0">
        <w:rPr>
          <w:b/>
          <w:bCs/>
        </w:rPr>
        <w:t xml:space="preserve"> the gaps in social protection coverage and </w:t>
      </w:r>
      <w:r w:rsidR="009659F6" w:rsidRPr="00E07EB0">
        <w:rPr>
          <w:b/>
          <w:bCs/>
        </w:rPr>
        <w:t xml:space="preserve">the </w:t>
      </w:r>
      <w:r w:rsidR="005F5110" w:rsidRPr="00E07EB0">
        <w:rPr>
          <w:b/>
          <w:bCs/>
        </w:rPr>
        <w:t xml:space="preserve">adequacy of benefits, and ensuring that </w:t>
      </w:r>
      <w:r w:rsidR="005C4400" w:rsidRPr="00E07EB0">
        <w:rPr>
          <w:b/>
          <w:bCs/>
        </w:rPr>
        <w:t>the</w:t>
      </w:r>
      <w:r w:rsidR="005F5110" w:rsidRPr="00E07EB0">
        <w:rPr>
          <w:b/>
          <w:bCs/>
        </w:rPr>
        <w:t xml:space="preserve"> social assistance system targets effectively</w:t>
      </w:r>
      <w:r w:rsidR="009513B5" w:rsidRPr="00E07EB0">
        <w:rPr>
          <w:b/>
          <w:bCs/>
        </w:rPr>
        <w:t xml:space="preserve"> those at high risk of poverty</w:t>
      </w:r>
      <w:r w:rsidR="005F5110" w:rsidRPr="00E07EB0">
        <w:rPr>
          <w:b/>
          <w:bCs/>
        </w:rPr>
        <w:t>;</w:t>
      </w:r>
    </w:p>
    <w:p w:rsidR="00BE3D39" w:rsidRPr="00E07EB0" w:rsidRDefault="00017588" w:rsidP="0023637A">
      <w:pPr>
        <w:pStyle w:val="SingleTxtG"/>
        <w:ind w:firstLine="567"/>
        <w:rPr>
          <w:b/>
          <w:bCs/>
        </w:rPr>
      </w:pPr>
      <w:r w:rsidRPr="00E07EB0">
        <w:rPr>
          <w:b/>
          <w:bCs/>
        </w:rPr>
        <w:t>(b)</w:t>
      </w:r>
      <w:r w:rsidRPr="00E07EB0">
        <w:rPr>
          <w:b/>
          <w:bCs/>
        </w:rPr>
        <w:tab/>
      </w:r>
      <w:r w:rsidR="00382603" w:rsidRPr="00E07EB0">
        <w:rPr>
          <w:b/>
          <w:bCs/>
        </w:rPr>
        <w:t xml:space="preserve">Adjusting </w:t>
      </w:r>
      <w:r w:rsidR="005F5110" w:rsidRPr="00E07EB0">
        <w:rPr>
          <w:b/>
          <w:bCs/>
        </w:rPr>
        <w:t xml:space="preserve">the social support index </w:t>
      </w:r>
      <w:r w:rsidR="00181CE5" w:rsidRPr="00E07EB0">
        <w:rPr>
          <w:b/>
          <w:bCs/>
        </w:rPr>
        <w:t xml:space="preserve">in line with the </w:t>
      </w:r>
      <w:r w:rsidR="004B1BFF" w:rsidRPr="00E07EB0">
        <w:rPr>
          <w:b/>
          <w:bCs/>
        </w:rPr>
        <w:t>evolving</w:t>
      </w:r>
      <w:r w:rsidR="00181CE5" w:rsidRPr="00E07EB0">
        <w:rPr>
          <w:b/>
          <w:bCs/>
        </w:rPr>
        <w:t xml:space="preserve"> needs of the recipients</w:t>
      </w:r>
      <w:r w:rsidR="009659F6" w:rsidRPr="00E07EB0">
        <w:rPr>
          <w:b/>
          <w:bCs/>
        </w:rPr>
        <w:t>,</w:t>
      </w:r>
      <w:r w:rsidR="00181CE5" w:rsidRPr="00E07EB0">
        <w:rPr>
          <w:b/>
          <w:bCs/>
        </w:rPr>
        <w:t xml:space="preserve"> with a view to </w:t>
      </w:r>
      <w:r w:rsidR="00881DFD" w:rsidRPr="00E07EB0">
        <w:rPr>
          <w:b/>
          <w:bCs/>
        </w:rPr>
        <w:t>reduc</w:t>
      </w:r>
      <w:r w:rsidR="00440663" w:rsidRPr="00E07EB0">
        <w:rPr>
          <w:b/>
          <w:bCs/>
        </w:rPr>
        <w:t>ing</w:t>
      </w:r>
      <w:r w:rsidR="00181CE5" w:rsidRPr="00E07EB0">
        <w:rPr>
          <w:b/>
          <w:bCs/>
        </w:rPr>
        <w:t xml:space="preserve"> income inequalities</w:t>
      </w:r>
      <w:r w:rsidR="00336041" w:rsidRPr="00E07EB0">
        <w:rPr>
          <w:b/>
          <w:bCs/>
        </w:rPr>
        <w:t xml:space="preserve"> and eventually eliminat</w:t>
      </w:r>
      <w:r w:rsidR="00440663" w:rsidRPr="00E07EB0">
        <w:rPr>
          <w:b/>
          <w:bCs/>
        </w:rPr>
        <w:t>ing</w:t>
      </w:r>
      <w:r w:rsidR="00336041" w:rsidRPr="00E07EB0">
        <w:rPr>
          <w:b/>
          <w:bCs/>
        </w:rPr>
        <w:t xml:space="preserve"> the adverse impact of austerity measures on the enjoyment of the right to an adequate standard of living</w:t>
      </w:r>
      <w:r w:rsidR="005F5110" w:rsidRPr="00E07EB0">
        <w:rPr>
          <w:b/>
          <w:bCs/>
        </w:rPr>
        <w:t>;</w:t>
      </w:r>
    </w:p>
    <w:p w:rsidR="005F5110" w:rsidRPr="00E07EB0" w:rsidRDefault="00017588" w:rsidP="009659F6">
      <w:pPr>
        <w:pStyle w:val="SingleTxtG"/>
        <w:ind w:firstLine="567"/>
        <w:rPr>
          <w:b/>
          <w:bCs/>
        </w:rPr>
      </w:pPr>
      <w:r w:rsidRPr="00E07EB0">
        <w:rPr>
          <w:b/>
          <w:bCs/>
        </w:rPr>
        <w:t>(c)</w:t>
      </w:r>
      <w:r w:rsidRPr="00E07EB0">
        <w:rPr>
          <w:b/>
          <w:bCs/>
        </w:rPr>
        <w:tab/>
      </w:r>
      <w:r w:rsidR="005F5110" w:rsidRPr="00E07EB0">
        <w:rPr>
          <w:b/>
          <w:bCs/>
        </w:rPr>
        <w:t xml:space="preserve">Raising progressively the reference threshold of the guaranteed minimum income scheme </w:t>
      </w:r>
      <w:r w:rsidR="009659F6" w:rsidRPr="00E07EB0">
        <w:rPr>
          <w:b/>
          <w:bCs/>
        </w:rPr>
        <w:t>(</w:t>
      </w:r>
      <w:proofErr w:type="spellStart"/>
      <w:r w:rsidR="005F5110" w:rsidRPr="00E07EB0">
        <w:rPr>
          <w:b/>
          <w:bCs/>
          <w:i/>
          <w:iCs/>
        </w:rPr>
        <w:t>Rendimento</w:t>
      </w:r>
      <w:proofErr w:type="spellEnd"/>
      <w:r w:rsidR="005F5110" w:rsidRPr="00E07EB0">
        <w:rPr>
          <w:b/>
          <w:bCs/>
          <w:i/>
          <w:iCs/>
        </w:rPr>
        <w:t xml:space="preserve"> Social de </w:t>
      </w:r>
      <w:proofErr w:type="spellStart"/>
      <w:r w:rsidR="005F5110" w:rsidRPr="00E07EB0">
        <w:rPr>
          <w:b/>
          <w:bCs/>
          <w:i/>
          <w:iCs/>
        </w:rPr>
        <w:t>Inserção</w:t>
      </w:r>
      <w:proofErr w:type="spellEnd"/>
      <w:r w:rsidR="009659F6" w:rsidRPr="00E07EB0">
        <w:rPr>
          <w:b/>
          <w:bCs/>
        </w:rPr>
        <w:t>),</w:t>
      </w:r>
      <w:r w:rsidR="005F5110" w:rsidRPr="00E07EB0">
        <w:rPr>
          <w:b/>
          <w:bCs/>
        </w:rPr>
        <w:t xml:space="preserve"> with a view to increasing the number of eligible beneficiaries.</w:t>
      </w:r>
      <w:r w:rsidR="00651A03" w:rsidRPr="00E07EB0">
        <w:rPr>
          <w:b/>
          <w:bCs/>
        </w:rPr>
        <w:t xml:space="preserve"> </w:t>
      </w:r>
    </w:p>
    <w:p w:rsidR="000116CB" w:rsidRPr="00E07EB0" w:rsidRDefault="00D067C4" w:rsidP="00D067C4">
      <w:pPr>
        <w:pStyle w:val="H23G"/>
      </w:pPr>
      <w:r w:rsidRPr="00E07EB0">
        <w:tab/>
      </w:r>
      <w:r w:rsidRPr="00E07EB0">
        <w:tab/>
      </w:r>
      <w:r w:rsidR="000116CB" w:rsidRPr="00E07EB0">
        <w:t>Access to adequate and affordable housing for Roma</w:t>
      </w:r>
    </w:p>
    <w:p w:rsidR="0083486E" w:rsidRPr="00E07EB0" w:rsidRDefault="0083486E" w:rsidP="005150E0">
      <w:pPr>
        <w:pStyle w:val="SingleTxtG"/>
        <w:numPr>
          <w:ilvl w:val="0"/>
          <w:numId w:val="17"/>
        </w:numPr>
        <w:tabs>
          <w:tab w:val="left" w:pos="851"/>
        </w:tabs>
        <w:ind w:left="1134" w:firstLine="0"/>
        <w:rPr>
          <w:rFonts w:eastAsia="Calibri"/>
          <w:lang w:eastAsia="en-GB"/>
        </w:rPr>
      </w:pPr>
      <w:r w:rsidRPr="00E07EB0">
        <w:rPr>
          <w:rFonts w:eastAsia="Calibri"/>
          <w:lang w:eastAsia="en-GB"/>
        </w:rPr>
        <w:t>T</w:t>
      </w:r>
      <w:r w:rsidR="009513B5" w:rsidRPr="00E07EB0">
        <w:rPr>
          <w:rFonts w:eastAsia="Calibri"/>
          <w:lang w:eastAsia="en-GB"/>
        </w:rPr>
        <w:t xml:space="preserve">he Committee is concerned that </w:t>
      </w:r>
      <w:r w:rsidRPr="00E07EB0">
        <w:rPr>
          <w:rFonts w:eastAsia="Calibri"/>
          <w:lang w:eastAsia="en-GB"/>
        </w:rPr>
        <w:t xml:space="preserve">a large number of Roma continue to live in substandard housing </w:t>
      </w:r>
      <w:r w:rsidRPr="00E07EB0">
        <w:t>conditions</w:t>
      </w:r>
      <w:r w:rsidRPr="00E07EB0">
        <w:rPr>
          <w:rFonts w:eastAsia="Calibri"/>
          <w:lang w:eastAsia="en-GB"/>
        </w:rPr>
        <w:t>, often in informal settlements consisting of barracks, shacks or tents, many of them in isolated areas, with little or no public transportation, and without access to basic services</w:t>
      </w:r>
      <w:r w:rsidR="0012639F" w:rsidRPr="00E07EB0">
        <w:rPr>
          <w:rFonts w:eastAsia="Calibri"/>
          <w:lang w:eastAsia="en-GB"/>
        </w:rPr>
        <w:t>,</w:t>
      </w:r>
      <w:r w:rsidRPr="00E07EB0">
        <w:rPr>
          <w:rFonts w:eastAsia="Calibri"/>
          <w:lang w:eastAsia="en-GB"/>
        </w:rPr>
        <w:t xml:space="preserve"> such as safe drinking water or sanitation facilities, electricity or waste disposal facilities. The Committee is also concerned that </w:t>
      </w:r>
      <w:r w:rsidR="0012639F" w:rsidRPr="00E07EB0">
        <w:rPr>
          <w:rFonts w:eastAsia="Calibri"/>
          <w:lang w:eastAsia="en-GB"/>
        </w:rPr>
        <w:t xml:space="preserve">the </w:t>
      </w:r>
      <w:r w:rsidRPr="00E07EB0">
        <w:rPr>
          <w:rFonts w:eastAsia="Calibri"/>
          <w:lang w:eastAsia="en-GB"/>
        </w:rPr>
        <w:t xml:space="preserve">living conditions of Roma in social housing are often inadequate, that waiting lists for social housing are long and that many </w:t>
      </w:r>
      <w:r w:rsidR="0012639F" w:rsidRPr="00E07EB0">
        <w:rPr>
          <w:rFonts w:eastAsia="Calibri"/>
          <w:lang w:eastAsia="en-GB"/>
        </w:rPr>
        <w:t xml:space="preserve">Roma </w:t>
      </w:r>
      <w:r w:rsidRPr="00E07EB0">
        <w:rPr>
          <w:rFonts w:eastAsia="Calibri"/>
          <w:lang w:eastAsia="en-GB"/>
        </w:rPr>
        <w:t>do not meet the requirements for access to social housing through the Special Rehousing Programme as those eligible were identified through a census of informal Roma settl</w:t>
      </w:r>
      <w:r w:rsidR="00017588" w:rsidRPr="00E07EB0">
        <w:rPr>
          <w:rFonts w:eastAsia="Calibri"/>
          <w:lang w:eastAsia="en-GB"/>
        </w:rPr>
        <w:t>ements conducted in 1993 (arts. </w:t>
      </w:r>
      <w:r w:rsidRPr="00E07EB0">
        <w:rPr>
          <w:rFonts w:eastAsia="Calibri"/>
          <w:lang w:eastAsia="en-GB"/>
        </w:rPr>
        <w:t>2, para.</w:t>
      </w:r>
      <w:r w:rsidR="00017588" w:rsidRPr="00E07EB0">
        <w:rPr>
          <w:rFonts w:eastAsia="Calibri"/>
          <w:lang w:eastAsia="en-GB"/>
        </w:rPr>
        <w:t> </w:t>
      </w:r>
      <w:r w:rsidRPr="00E07EB0">
        <w:rPr>
          <w:rFonts w:eastAsia="Calibri"/>
          <w:lang w:eastAsia="en-GB"/>
        </w:rPr>
        <w:t>2</w:t>
      </w:r>
      <w:r w:rsidR="005150E0" w:rsidRPr="00E07EB0">
        <w:rPr>
          <w:rFonts w:eastAsia="Calibri"/>
          <w:lang w:eastAsia="en-GB"/>
        </w:rPr>
        <w:t>;</w:t>
      </w:r>
      <w:r w:rsidRPr="00E07EB0">
        <w:rPr>
          <w:rFonts w:eastAsia="Calibri"/>
          <w:lang w:eastAsia="en-GB"/>
        </w:rPr>
        <w:t xml:space="preserve"> and 11).</w:t>
      </w:r>
    </w:p>
    <w:p w:rsidR="009513B5" w:rsidRPr="00E07EB0" w:rsidRDefault="0083486E" w:rsidP="0012639F">
      <w:pPr>
        <w:pStyle w:val="SingleTxtG"/>
        <w:rPr>
          <w:rFonts w:eastAsia="Calibri"/>
          <w:b/>
          <w:lang w:eastAsia="en-GB"/>
        </w:rPr>
      </w:pPr>
      <w:r w:rsidRPr="00E07EB0">
        <w:rPr>
          <w:rFonts w:eastAsia="Calibri"/>
          <w:b/>
          <w:lang w:eastAsia="en-GB"/>
        </w:rPr>
        <w:t>The Committee recommends that the State party step up its efforts, including in the framework of the National Strategy for the Integration of Roma Communities for the period 2013</w:t>
      </w:r>
      <w:r w:rsidR="0012639F" w:rsidRPr="00E07EB0">
        <w:rPr>
          <w:rFonts w:eastAsia="Calibri"/>
          <w:b/>
          <w:lang w:eastAsia="en-GB"/>
        </w:rPr>
        <w:t>–</w:t>
      </w:r>
      <w:r w:rsidRPr="00E07EB0">
        <w:rPr>
          <w:rFonts w:eastAsia="Calibri"/>
          <w:b/>
          <w:lang w:eastAsia="en-GB"/>
        </w:rPr>
        <w:t xml:space="preserve">2020, to ensure access to adequate housing </w:t>
      </w:r>
      <w:r w:rsidR="003D46CC" w:rsidRPr="00E07EB0">
        <w:rPr>
          <w:rFonts w:eastAsia="Calibri"/>
          <w:b/>
          <w:lang w:eastAsia="en-GB"/>
        </w:rPr>
        <w:t xml:space="preserve">and basic services </w:t>
      </w:r>
      <w:r w:rsidRPr="00E07EB0">
        <w:rPr>
          <w:rFonts w:eastAsia="Calibri"/>
          <w:b/>
          <w:lang w:eastAsia="en-GB"/>
        </w:rPr>
        <w:t>for Roma</w:t>
      </w:r>
      <w:r w:rsidR="00681AFE" w:rsidRPr="00E07EB0">
        <w:rPr>
          <w:rFonts w:eastAsia="Calibri"/>
          <w:b/>
          <w:lang w:eastAsia="en-GB"/>
        </w:rPr>
        <w:t xml:space="preserve"> </w:t>
      </w:r>
      <w:r w:rsidR="003D46CC" w:rsidRPr="00E07EB0">
        <w:rPr>
          <w:b/>
        </w:rPr>
        <w:t>and facilitate their integration with the general population</w:t>
      </w:r>
      <w:r w:rsidR="000D34E5" w:rsidRPr="00E07EB0">
        <w:rPr>
          <w:rFonts w:eastAsia="Calibri"/>
          <w:b/>
          <w:lang w:eastAsia="en-GB"/>
        </w:rPr>
        <w:t>.</w:t>
      </w:r>
      <w:r w:rsidRPr="00E07EB0">
        <w:rPr>
          <w:rFonts w:eastAsia="Calibri"/>
          <w:b/>
          <w:lang w:eastAsia="en-GB"/>
        </w:rPr>
        <w:t xml:space="preserve"> To </w:t>
      </w:r>
      <w:r w:rsidR="0012639F" w:rsidRPr="00E07EB0">
        <w:rPr>
          <w:rFonts w:eastAsia="Calibri"/>
          <w:b/>
          <w:lang w:eastAsia="en-GB"/>
        </w:rPr>
        <w:t xml:space="preserve">that </w:t>
      </w:r>
      <w:r w:rsidRPr="00E07EB0">
        <w:rPr>
          <w:rFonts w:eastAsia="Calibri"/>
          <w:b/>
          <w:lang w:eastAsia="en-GB"/>
        </w:rPr>
        <w:t>end, the State party should</w:t>
      </w:r>
      <w:r w:rsidR="009513B5" w:rsidRPr="00E07EB0">
        <w:rPr>
          <w:rFonts w:eastAsia="Calibri"/>
          <w:b/>
          <w:lang w:eastAsia="en-GB"/>
        </w:rPr>
        <w:t>:</w:t>
      </w:r>
    </w:p>
    <w:p w:rsidR="009513B5" w:rsidRPr="00E07EB0" w:rsidRDefault="00017588" w:rsidP="0012639F">
      <w:pPr>
        <w:pStyle w:val="SingleTxtG"/>
        <w:ind w:firstLine="567"/>
        <w:rPr>
          <w:rFonts w:eastAsia="Calibri"/>
          <w:b/>
          <w:lang w:eastAsia="en-GB"/>
        </w:rPr>
      </w:pPr>
      <w:r w:rsidRPr="00E07EB0">
        <w:rPr>
          <w:rFonts w:eastAsia="Calibri"/>
          <w:b/>
          <w:lang w:eastAsia="en-GB"/>
        </w:rPr>
        <w:t>(a)</w:t>
      </w:r>
      <w:r w:rsidRPr="00E07EB0">
        <w:rPr>
          <w:rFonts w:eastAsia="Calibri"/>
          <w:b/>
          <w:lang w:eastAsia="en-GB"/>
        </w:rPr>
        <w:tab/>
      </w:r>
      <w:r w:rsidR="00681AFE" w:rsidRPr="00E07EB0">
        <w:rPr>
          <w:rFonts w:eastAsia="Calibri"/>
          <w:b/>
          <w:lang w:eastAsia="en-GB"/>
        </w:rPr>
        <w:t>C</w:t>
      </w:r>
      <w:r w:rsidR="009513B5" w:rsidRPr="00E07EB0">
        <w:rPr>
          <w:rFonts w:eastAsia="Calibri"/>
          <w:b/>
          <w:lang w:eastAsia="en-GB"/>
        </w:rPr>
        <w:t xml:space="preserve">onduct a new </w:t>
      </w:r>
      <w:r w:rsidR="0083486E" w:rsidRPr="00E07EB0">
        <w:rPr>
          <w:rFonts w:eastAsia="Calibri"/>
          <w:b/>
          <w:lang w:eastAsia="en-GB"/>
        </w:rPr>
        <w:t>census of infor</w:t>
      </w:r>
      <w:r w:rsidR="00D067C4" w:rsidRPr="00E07EB0">
        <w:rPr>
          <w:rFonts w:eastAsia="Calibri"/>
          <w:b/>
          <w:lang w:eastAsia="en-GB"/>
        </w:rPr>
        <w:t xml:space="preserve">mal Roma settlements and revise </w:t>
      </w:r>
      <w:r w:rsidR="0083486E" w:rsidRPr="00E07EB0">
        <w:rPr>
          <w:rFonts w:eastAsia="Calibri"/>
          <w:b/>
          <w:lang w:eastAsia="en-GB"/>
        </w:rPr>
        <w:t xml:space="preserve">accordingly the list of those eligible for social housing through the Special Rehousing Programme; </w:t>
      </w:r>
    </w:p>
    <w:p w:rsidR="009513B5" w:rsidRPr="00E07EB0" w:rsidRDefault="00017588" w:rsidP="00017588">
      <w:pPr>
        <w:pStyle w:val="SingleTxtG"/>
        <w:ind w:firstLine="567"/>
        <w:rPr>
          <w:rFonts w:eastAsia="Calibri"/>
          <w:b/>
          <w:lang w:eastAsia="en-GB"/>
        </w:rPr>
      </w:pPr>
      <w:r w:rsidRPr="00E07EB0">
        <w:rPr>
          <w:rFonts w:eastAsia="Calibri"/>
          <w:b/>
          <w:lang w:eastAsia="en-GB"/>
        </w:rPr>
        <w:t>(b)</w:t>
      </w:r>
      <w:r w:rsidRPr="00E07EB0">
        <w:rPr>
          <w:rFonts w:eastAsia="Calibri"/>
          <w:b/>
          <w:lang w:eastAsia="en-GB"/>
        </w:rPr>
        <w:tab/>
      </w:r>
      <w:r w:rsidR="00681AFE" w:rsidRPr="00E07EB0">
        <w:rPr>
          <w:rFonts w:eastAsia="Calibri"/>
          <w:b/>
          <w:lang w:eastAsia="en-GB"/>
        </w:rPr>
        <w:t>P</w:t>
      </w:r>
      <w:r w:rsidR="0083486E" w:rsidRPr="00E07EB0">
        <w:rPr>
          <w:rFonts w:eastAsia="Calibri"/>
          <w:b/>
          <w:lang w:eastAsia="en-GB"/>
        </w:rPr>
        <w:t>rovide for resources that are proportionate to the unmet need for social housing</w:t>
      </w:r>
      <w:r w:rsidR="0012639F" w:rsidRPr="00E07EB0">
        <w:rPr>
          <w:rFonts w:eastAsia="Calibri"/>
          <w:b/>
          <w:lang w:eastAsia="en-GB"/>
        </w:rPr>
        <w:t>,</w:t>
      </w:r>
      <w:r w:rsidR="0083486E" w:rsidRPr="00E07EB0">
        <w:rPr>
          <w:rFonts w:eastAsia="Calibri"/>
          <w:b/>
          <w:lang w:eastAsia="en-GB"/>
        </w:rPr>
        <w:t xml:space="preserve"> and </w:t>
      </w:r>
      <w:r w:rsidR="009513B5" w:rsidRPr="00E07EB0">
        <w:rPr>
          <w:rFonts w:eastAsia="Calibri"/>
          <w:b/>
          <w:lang w:eastAsia="en-GB"/>
        </w:rPr>
        <w:t xml:space="preserve">for </w:t>
      </w:r>
      <w:r w:rsidR="0083486E" w:rsidRPr="00E07EB0">
        <w:rPr>
          <w:rFonts w:eastAsia="Calibri"/>
          <w:b/>
          <w:lang w:eastAsia="en-GB"/>
        </w:rPr>
        <w:t xml:space="preserve">appropriate forms of financial </w:t>
      </w:r>
      <w:r w:rsidR="005E37B4" w:rsidRPr="00E07EB0">
        <w:rPr>
          <w:rFonts w:eastAsia="Calibri"/>
          <w:b/>
          <w:lang w:eastAsia="en-GB"/>
        </w:rPr>
        <w:t xml:space="preserve">housing </w:t>
      </w:r>
      <w:r w:rsidR="0083486E" w:rsidRPr="00E07EB0">
        <w:rPr>
          <w:rFonts w:eastAsia="Calibri"/>
          <w:b/>
          <w:lang w:eastAsia="en-GB"/>
        </w:rPr>
        <w:t>su</w:t>
      </w:r>
      <w:r w:rsidR="009513B5" w:rsidRPr="00E07EB0">
        <w:rPr>
          <w:rFonts w:eastAsia="Calibri"/>
          <w:b/>
          <w:lang w:eastAsia="en-GB"/>
        </w:rPr>
        <w:t>pport, such as rental subsidies.</w:t>
      </w:r>
      <w:r w:rsidR="0083486E" w:rsidRPr="00E07EB0">
        <w:rPr>
          <w:rFonts w:eastAsia="Calibri"/>
          <w:b/>
          <w:lang w:eastAsia="en-GB"/>
        </w:rPr>
        <w:t xml:space="preserve"> </w:t>
      </w:r>
    </w:p>
    <w:p w:rsidR="005939A8" w:rsidRPr="00E07EB0" w:rsidRDefault="009552FC" w:rsidP="009552FC">
      <w:pPr>
        <w:pStyle w:val="H23G"/>
      </w:pPr>
      <w:r w:rsidRPr="00E07EB0">
        <w:tab/>
      </w:r>
      <w:r w:rsidRPr="00E07EB0">
        <w:tab/>
      </w:r>
      <w:r w:rsidR="005939A8" w:rsidRPr="00E07EB0">
        <w:t>Evictions as a consequence of the financial and economic crisis</w:t>
      </w:r>
    </w:p>
    <w:p w:rsidR="005939A8" w:rsidRPr="00E07EB0" w:rsidRDefault="005939A8" w:rsidP="005150E0">
      <w:pPr>
        <w:pStyle w:val="SingleTxtG"/>
        <w:numPr>
          <w:ilvl w:val="0"/>
          <w:numId w:val="17"/>
        </w:numPr>
        <w:tabs>
          <w:tab w:val="left" w:pos="851"/>
        </w:tabs>
        <w:ind w:left="1134" w:firstLine="0"/>
      </w:pPr>
      <w:r w:rsidRPr="00E07EB0">
        <w:t xml:space="preserve">The Committee is concerned at evictions as a consequence of mortgage and rent arrears. The Committee </w:t>
      </w:r>
      <w:r w:rsidR="0012639F" w:rsidRPr="00E07EB0">
        <w:t xml:space="preserve">notes </w:t>
      </w:r>
      <w:r w:rsidRPr="00E07EB0">
        <w:t xml:space="preserve">in </w:t>
      </w:r>
      <w:r w:rsidR="0012639F" w:rsidRPr="00E07EB0">
        <w:t xml:space="preserve">that </w:t>
      </w:r>
      <w:r w:rsidRPr="00E07EB0">
        <w:t xml:space="preserve">regard the measures taken by the State party to address </w:t>
      </w:r>
      <w:r w:rsidR="0012639F" w:rsidRPr="00E07EB0">
        <w:t xml:space="preserve">those </w:t>
      </w:r>
      <w:r w:rsidRPr="00E07EB0">
        <w:rPr>
          <w:rFonts w:eastAsia="Calibri"/>
          <w:lang w:eastAsia="en-GB"/>
        </w:rPr>
        <w:t>issues</w:t>
      </w:r>
      <w:r w:rsidRPr="00E07EB0">
        <w:t xml:space="preserve">, including the adoption of a legal framework for </w:t>
      </w:r>
      <w:r w:rsidR="005150E0" w:rsidRPr="00E07EB0">
        <w:t xml:space="preserve">the </w:t>
      </w:r>
      <w:r w:rsidRPr="00E07EB0">
        <w:t>prevention and settlement of arrears on credit agreements with household customers and the creation of a Property Investmen</w:t>
      </w:r>
      <w:r w:rsidR="00017588" w:rsidRPr="00E07EB0">
        <w:t>t Fund for Rental Housing (art. 11, para. </w:t>
      </w:r>
      <w:r w:rsidRPr="00E07EB0">
        <w:t xml:space="preserve">1). </w:t>
      </w:r>
    </w:p>
    <w:p w:rsidR="005C4400" w:rsidRPr="00E07EB0" w:rsidRDefault="005939A8" w:rsidP="0012639F">
      <w:pPr>
        <w:pStyle w:val="SingleTxtG"/>
        <w:rPr>
          <w:b/>
        </w:rPr>
      </w:pPr>
      <w:r w:rsidRPr="00E07EB0">
        <w:rPr>
          <w:b/>
        </w:rPr>
        <w:t>The Committee recommends that the State party be guided by human rights</w:t>
      </w:r>
      <w:r w:rsidR="002C262B" w:rsidRPr="00E07EB0">
        <w:rPr>
          <w:b/>
        </w:rPr>
        <w:t xml:space="preserve"> standards</w:t>
      </w:r>
      <w:r w:rsidR="005E37B4" w:rsidRPr="00E07EB0">
        <w:rPr>
          <w:b/>
        </w:rPr>
        <w:t xml:space="preserve"> </w:t>
      </w:r>
      <w:r w:rsidRPr="00E07EB0">
        <w:rPr>
          <w:b/>
        </w:rPr>
        <w:t xml:space="preserve">in tackling the problem of mortgage and rent arrears, with due account for individuals’ rights to adequate housing. The State party should ensure that legal aid is available to </w:t>
      </w:r>
      <w:r w:rsidR="007C45DA" w:rsidRPr="00E07EB0">
        <w:rPr>
          <w:b/>
        </w:rPr>
        <w:t>borrowers</w:t>
      </w:r>
      <w:r w:rsidRPr="00E07EB0">
        <w:rPr>
          <w:b/>
        </w:rPr>
        <w:t xml:space="preserve"> in the process of negotiation with credit institutions and that a possibility for </w:t>
      </w:r>
      <w:r w:rsidR="005E37B4" w:rsidRPr="00E07EB0">
        <w:rPr>
          <w:b/>
        </w:rPr>
        <w:t xml:space="preserve">an </w:t>
      </w:r>
      <w:r w:rsidR="002C262B" w:rsidRPr="00E07EB0">
        <w:rPr>
          <w:b/>
        </w:rPr>
        <w:t>e</w:t>
      </w:r>
      <w:r w:rsidR="005E37B4" w:rsidRPr="00E07EB0">
        <w:rPr>
          <w:b/>
        </w:rPr>
        <w:t xml:space="preserve">ffective remedy </w:t>
      </w:r>
      <w:r w:rsidRPr="00E07EB0">
        <w:rPr>
          <w:b/>
        </w:rPr>
        <w:t>is in place. The State party should also dedicate adequate financial resources</w:t>
      </w:r>
      <w:r w:rsidR="0012639F" w:rsidRPr="00E07EB0">
        <w:rPr>
          <w:b/>
        </w:rPr>
        <w:t>,</w:t>
      </w:r>
      <w:r w:rsidRPr="00E07EB0">
        <w:rPr>
          <w:b/>
        </w:rPr>
        <w:t xml:space="preserve"> with a view to increasing the social housing stock in order to meet demand</w:t>
      </w:r>
      <w:r w:rsidR="007D7279" w:rsidRPr="00E07EB0">
        <w:rPr>
          <w:b/>
        </w:rPr>
        <w:t xml:space="preserve">. </w:t>
      </w:r>
      <w:r w:rsidR="0082270E" w:rsidRPr="00E07EB0">
        <w:rPr>
          <w:b/>
        </w:rPr>
        <w:t>In th</w:t>
      </w:r>
      <w:r w:rsidR="0012639F" w:rsidRPr="00E07EB0">
        <w:rPr>
          <w:b/>
        </w:rPr>
        <w:t>at</w:t>
      </w:r>
      <w:r w:rsidR="0082270E" w:rsidRPr="00E07EB0">
        <w:rPr>
          <w:b/>
        </w:rPr>
        <w:t xml:space="preserve"> respect, the Committee draws the State party’s attention </w:t>
      </w:r>
      <w:r w:rsidR="007D7279" w:rsidRPr="00E07EB0">
        <w:rPr>
          <w:b/>
        </w:rPr>
        <w:t xml:space="preserve">to its </w:t>
      </w:r>
      <w:r w:rsidRPr="00E07EB0">
        <w:rPr>
          <w:b/>
        </w:rPr>
        <w:t>general comment</w:t>
      </w:r>
      <w:r w:rsidR="00F50481" w:rsidRPr="00E07EB0">
        <w:rPr>
          <w:b/>
        </w:rPr>
        <w:t>s</w:t>
      </w:r>
      <w:r w:rsidR="001C36ED" w:rsidRPr="00E07EB0">
        <w:rPr>
          <w:b/>
        </w:rPr>
        <w:t xml:space="preserve"> No. </w:t>
      </w:r>
      <w:r w:rsidRPr="00E07EB0">
        <w:rPr>
          <w:b/>
        </w:rPr>
        <w:t>4 (1991) on the right to adequate housing</w:t>
      </w:r>
      <w:r w:rsidR="00F50481" w:rsidRPr="00E07EB0">
        <w:rPr>
          <w:b/>
        </w:rPr>
        <w:t xml:space="preserve"> and No.</w:t>
      </w:r>
      <w:r w:rsidR="001C36ED" w:rsidRPr="00E07EB0">
        <w:rPr>
          <w:b/>
        </w:rPr>
        <w:t> </w:t>
      </w:r>
      <w:r w:rsidR="00F50481" w:rsidRPr="00E07EB0">
        <w:rPr>
          <w:b/>
        </w:rPr>
        <w:t>7 (1997) on forced evictions</w:t>
      </w:r>
      <w:r w:rsidRPr="00E07EB0">
        <w:rPr>
          <w:b/>
        </w:rPr>
        <w:t>.</w:t>
      </w:r>
      <w:r w:rsidR="00471411" w:rsidRPr="00E07EB0">
        <w:rPr>
          <w:b/>
        </w:rPr>
        <w:t xml:space="preserve"> </w:t>
      </w:r>
    </w:p>
    <w:p w:rsidR="000116CB" w:rsidRPr="00E07EB0" w:rsidRDefault="009552FC" w:rsidP="005150E0">
      <w:pPr>
        <w:pStyle w:val="H23G"/>
      </w:pPr>
      <w:r w:rsidRPr="00E07EB0">
        <w:tab/>
      </w:r>
      <w:r w:rsidRPr="00E07EB0">
        <w:tab/>
      </w:r>
      <w:r w:rsidR="008D539F" w:rsidRPr="00E07EB0">
        <w:t>E</w:t>
      </w:r>
      <w:r w:rsidR="00177518" w:rsidRPr="00E07EB0">
        <w:t>arly school leaving</w:t>
      </w:r>
    </w:p>
    <w:p w:rsidR="006C151F" w:rsidRPr="00E07EB0" w:rsidRDefault="00AA0727" w:rsidP="0012639F">
      <w:pPr>
        <w:pStyle w:val="SingleTxtG"/>
        <w:numPr>
          <w:ilvl w:val="0"/>
          <w:numId w:val="17"/>
        </w:numPr>
        <w:tabs>
          <w:tab w:val="left" w:pos="851"/>
        </w:tabs>
        <w:ind w:left="1134" w:firstLine="0"/>
      </w:pPr>
      <w:r w:rsidRPr="00E07EB0">
        <w:t xml:space="preserve">The Committee, while acknowledging the progress made by the State party in decreasing the early school leaving </w:t>
      </w:r>
      <w:r w:rsidR="00B47D48" w:rsidRPr="00E07EB0">
        <w:t xml:space="preserve">(dropout) </w:t>
      </w:r>
      <w:r w:rsidR="00CF5E38" w:rsidRPr="00E07EB0">
        <w:t xml:space="preserve">rate </w:t>
      </w:r>
      <w:r w:rsidRPr="00E07EB0">
        <w:t>from 43.6 per</w:t>
      </w:r>
      <w:r w:rsidR="00F450DC" w:rsidRPr="00E07EB0">
        <w:t xml:space="preserve"> </w:t>
      </w:r>
      <w:r w:rsidRPr="00E07EB0">
        <w:t>cent in 2000 to 18.9 per</w:t>
      </w:r>
      <w:r w:rsidR="00F450DC" w:rsidRPr="00E07EB0">
        <w:t xml:space="preserve"> </w:t>
      </w:r>
      <w:r w:rsidRPr="00E07EB0">
        <w:t>cent in 2013, remains concerned that this rate is still high</w:t>
      </w:r>
      <w:r w:rsidR="001C36ED" w:rsidRPr="00E07EB0">
        <w:t xml:space="preserve"> (arts. </w:t>
      </w:r>
      <w:r w:rsidR="006C151F" w:rsidRPr="00E07EB0">
        <w:t>13</w:t>
      </w:r>
      <w:r w:rsidR="0012639F" w:rsidRPr="00E07EB0">
        <w:t xml:space="preserve"> and </w:t>
      </w:r>
      <w:r w:rsidR="006C151F" w:rsidRPr="00E07EB0">
        <w:t>14)</w:t>
      </w:r>
      <w:r w:rsidRPr="00E07EB0">
        <w:t xml:space="preserve">. </w:t>
      </w:r>
    </w:p>
    <w:p w:rsidR="008D539F" w:rsidRPr="00E07EB0" w:rsidRDefault="008D539F" w:rsidP="005150E0">
      <w:pPr>
        <w:pStyle w:val="SingleTxtG"/>
        <w:rPr>
          <w:b/>
          <w:bCs/>
        </w:rPr>
      </w:pPr>
      <w:r w:rsidRPr="00E07EB0">
        <w:rPr>
          <w:b/>
          <w:bCs/>
        </w:rPr>
        <w:t xml:space="preserve">The Committee recommends that the State party take all necessary measures to reduce </w:t>
      </w:r>
      <w:r w:rsidR="005150E0" w:rsidRPr="00E07EB0">
        <w:rPr>
          <w:b/>
          <w:bCs/>
        </w:rPr>
        <w:t xml:space="preserve">further </w:t>
      </w:r>
      <w:r w:rsidRPr="00E07EB0">
        <w:rPr>
          <w:b/>
          <w:bCs/>
        </w:rPr>
        <w:t xml:space="preserve">the early school leaving </w:t>
      </w:r>
      <w:r w:rsidR="00F50F3E" w:rsidRPr="00E07EB0">
        <w:rPr>
          <w:b/>
          <w:bCs/>
        </w:rPr>
        <w:t xml:space="preserve">(dropout) </w:t>
      </w:r>
      <w:r w:rsidRPr="00E07EB0">
        <w:rPr>
          <w:b/>
          <w:bCs/>
        </w:rPr>
        <w:t>rate</w:t>
      </w:r>
      <w:r w:rsidR="0035097E" w:rsidRPr="00E07EB0">
        <w:rPr>
          <w:b/>
          <w:bCs/>
        </w:rPr>
        <w:t xml:space="preserve">, </w:t>
      </w:r>
      <w:r w:rsidR="00F50F3E" w:rsidRPr="00E07EB0">
        <w:rPr>
          <w:b/>
          <w:bCs/>
        </w:rPr>
        <w:t>i</w:t>
      </w:r>
      <w:r w:rsidR="0035097E" w:rsidRPr="00E07EB0">
        <w:rPr>
          <w:b/>
          <w:bCs/>
        </w:rPr>
        <w:t xml:space="preserve">ncluding </w:t>
      </w:r>
      <w:r w:rsidR="0012639F" w:rsidRPr="00E07EB0">
        <w:rPr>
          <w:b/>
          <w:bCs/>
        </w:rPr>
        <w:t>by</w:t>
      </w:r>
      <w:r w:rsidR="005E37B4" w:rsidRPr="00E07EB0">
        <w:rPr>
          <w:b/>
          <w:bCs/>
        </w:rPr>
        <w:t xml:space="preserve"> </w:t>
      </w:r>
      <w:r w:rsidRPr="00E07EB0">
        <w:rPr>
          <w:b/>
          <w:bCs/>
        </w:rPr>
        <w:t>(a)</w:t>
      </w:r>
      <w:r w:rsidR="001C36ED" w:rsidRPr="00E07EB0">
        <w:rPr>
          <w:b/>
          <w:bCs/>
        </w:rPr>
        <w:t> </w:t>
      </w:r>
      <w:r w:rsidRPr="00E07EB0">
        <w:rPr>
          <w:b/>
          <w:bCs/>
        </w:rPr>
        <w:t>address</w:t>
      </w:r>
      <w:r w:rsidR="0035097E" w:rsidRPr="00E07EB0">
        <w:rPr>
          <w:b/>
          <w:bCs/>
        </w:rPr>
        <w:t>ing</w:t>
      </w:r>
      <w:r w:rsidRPr="00E07EB0">
        <w:rPr>
          <w:b/>
          <w:bCs/>
        </w:rPr>
        <w:t xml:space="preserve"> the factors </w:t>
      </w:r>
      <w:r w:rsidR="0012639F" w:rsidRPr="00E07EB0">
        <w:rPr>
          <w:b/>
          <w:bCs/>
        </w:rPr>
        <w:t xml:space="preserve">that </w:t>
      </w:r>
      <w:r w:rsidRPr="00E07EB0">
        <w:rPr>
          <w:b/>
          <w:bCs/>
        </w:rPr>
        <w:t xml:space="preserve">lead to early school leaving, in particular socioeconomic factors </w:t>
      </w:r>
      <w:r w:rsidR="0012639F" w:rsidRPr="00E07EB0">
        <w:rPr>
          <w:b/>
          <w:bCs/>
        </w:rPr>
        <w:t xml:space="preserve">that </w:t>
      </w:r>
      <w:r w:rsidRPr="00E07EB0">
        <w:rPr>
          <w:b/>
          <w:bCs/>
        </w:rPr>
        <w:t>put at risk the most disadvantaged and marginalized children</w:t>
      </w:r>
      <w:r w:rsidR="0035097E" w:rsidRPr="00E07EB0">
        <w:rPr>
          <w:b/>
          <w:bCs/>
        </w:rPr>
        <w:t>;</w:t>
      </w:r>
      <w:r w:rsidR="000170F4" w:rsidRPr="00E07EB0">
        <w:rPr>
          <w:b/>
          <w:bCs/>
        </w:rPr>
        <w:t xml:space="preserve"> </w:t>
      </w:r>
      <w:r w:rsidRPr="00E07EB0">
        <w:rPr>
          <w:b/>
          <w:bCs/>
        </w:rPr>
        <w:t>(b)</w:t>
      </w:r>
      <w:r w:rsidR="001C36ED" w:rsidRPr="00E07EB0">
        <w:rPr>
          <w:b/>
          <w:bCs/>
        </w:rPr>
        <w:t> </w:t>
      </w:r>
      <w:r w:rsidRPr="00E07EB0">
        <w:rPr>
          <w:b/>
          <w:bCs/>
        </w:rPr>
        <w:t>rais</w:t>
      </w:r>
      <w:r w:rsidR="0035097E" w:rsidRPr="00E07EB0">
        <w:rPr>
          <w:b/>
          <w:bCs/>
        </w:rPr>
        <w:t>ing</w:t>
      </w:r>
      <w:r w:rsidRPr="00E07EB0">
        <w:rPr>
          <w:b/>
          <w:bCs/>
        </w:rPr>
        <w:t xml:space="preserve"> awareness of the importance of education and training as a tool towards </w:t>
      </w:r>
      <w:r w:rsidR="00F50F3E" w:rsidRPr="00E07EB0">
        <w:rPr>
          <w:b/>
          <w:bCs/>
        </w:rPr>
        <w:t>reducing</w:t>
      </w:r>
      <w:r w:rsidRPr="00E07EB0">
        <w:rPr>
          <w:b/>
          <w:bCs/>
        </w:rPr>
        <w:t xml:space="preserve"> the future risk of unemployment, po</w:t>
      </w:r>
      <w:r w:rsidR="001C36ED" w:rsidRPr="00E07EB0">
        <w:rPr>
          <w:b/>
          <w:bCs/>
        </w:rPr>
        <w:t xml:space="preserve">verty and social exclusion; </w:t>
      </w:r>
      <w:r w:rsidR="0012639F" w:rsidRPr="00E07EB0">
        <w:rPr>
          <w:b/>
          <w:bCs/>
        </w:rPr>
        <w:t xml:space="preserve">and </w:t>
      </w:r>
      <w:r w:rsidR="001C36ED" w:rsidRPr="00E07EB0">
        <w:rPr>
          <w:b/>
          <w:bCs/>
        </w:rPr>
        <w:t>(c) </w:t>
      </w:r>
      <w:r w:rsidRPr="00E07EB0">
        <w:rPr>
          <w:b/>
          <w:bCs/>
        </w:rPr>
        <w:t>provid</w:t>
      </w:r>
      <w:r w:rsidR="0035097E" w:rsidRPr="00E07EB0">
        <w:rPr>
          <w:b/>
          <w:bCs/>
        </w:rPr>
        <w:t>ing</w:t>
      </w:r>
      <w:r w:rsidRPr="00E07EB0">
        <w:rPr>
          <w:b/>
          <w:bCs/>
        </w:rPr>
        <w:t xml:space="preserve"> comprehensive support for children at risk of leaving school early and adequate opportunities for education and training tailored to their specific needs.</w:t>
      </w:r>
    </w:p>
    <w:p w:rsidR="008D539F" w:rsidRPr="00E07EB0" w:rsidRDefault="009552FC" w:rsidP="009552FC">
      <w:pPr>
        <w:pStyle w:val="H23G"/>
      </w:pPr>
      <w:r w:rsidRPr="00E07EB0">
        <w:tab/>
      </w:r>
      <w:r w:rsidRPr="00E07EB0">
        <w:tab/>
      </w:r>
      <w:r w:rsidR="008D539F" w:rsidRPr="00E07EB0">
        <w:t>Education for Roma</w:t>
      </w:r>
    </w:p>
    <w:p w:rsidR="00AA0727" w:rsidRPr="00E07EB0" w:rsidRDefault="00AA0727" w:rsidP="0012639F">
      <w:pPr>
        <w:pStyle w:val="SingleTxtG"/>
        <w:numPr>
          <w:ilvl w:val="0"/>
          <w:numId w:val="17"/>
        </w:numPr>
        <w:tabs>
          <w:tab w:val="left" w:pos="851"/>
        </w:tabs>
        <w:ind w:left="1134" w:firstLine="0"/>
      </w:pPr>
      <w:r w:rsidRPr="00E07EB0">
        <w:t xml:space="preserve">The </w:t>
      </w:r>
      <w:r w:rsidR="008D539F" w:rsidRPr="00E07EB0">
        <w:t xml:space="preserve">Committee </w:t>
      </w:r>
      <w:r w:rsidRPr="00E07EB0">
        <w:t xml:space="preserve">expresses concern at the low level of education of Roma, as reflected by </w:t>
      </w:r>
      <w:r w:rsidRPr="00E07EB0">
        <w:rPr>
          <w:rFonts w:eastAsia="Calibri"/>
          <w:lang w:eastAsia="en-GB"/>
        </w:rPr>
        <w:t>the</w:t>
      </w:r>
      <w:r w:rsidRPr="00E07EB0">
        <w:t xml:space="preserve"> poor </w:t>
      </w:r>
      <w:r w:rsidR="001C36ED" w:rsidRPr="00E07EB0">
        <w:t>school enrolment of Roma (arts. </w:t>
      </w:r>
      <w:r w:rsidRPr="00E07EB0">
        <w:t>13</w:t>
      </w:r>
      <w:r w:rsidR="0012639F" w:rsidRPr="00E07EB0">
        <w:t xml:space="preserve"> and </w:t>
      </w:r>
      <w:r w:rsidRPr="00E07EB0">
        <w:t xml:space="preserve">14). </w:t>
      </w:r>
    </w:p>
    <w:p w:rsidR="00D8748E" w:rsidRPr="00E07EB0" w:rsidRDefault="008D539F" w:rsidP="0012639F">
      <w:pPr>
        <w:pStyle w:val="SingleTxtG"/>
        <w:rPr>
          <w:b/>
          <w:bCs/>
        </w:rPr>
      </w:pPr>
      <w:r w:rsidRPr="00E07EB0">
        <w:rPr>
          <w:b/>
          <w:bCs/>
        </w:rPr>
        <w:t xml:space="preserve">The Committee </w:t>
      </w:r>
      <w:r w:rsidR="00AA0727" w:rsidRPr="00E07EB0">
        <w:rPr>
          <w:b/>
          <w:bCs/>
        </w:rPr>
        <w:t>recommends that the State party redouble its efforts to address the insufficient level of education of Roma and take urgent measures to increase attendance rates of Roma students and their retention in school by</w:t>
      </w:r>
      <w:r w:rsidR="0012639F" w:rsidRPr="00E07EB0">
        <w:rPr>
          <w:b/>
          <w:bCs/>
        </w:rPr>
        <w:t>, inter alia,</w:t>
      </w:r>
      <w:r w:rsidR="00AA0727" w:rsidRPr="00E07EB0">
        <w:rPr>
          <w:b/>
          <w:bCs/>
        </w:rPr>
        <w:t xml:space="preserve"> providing sufficient financial support to cover education-related expenses and raising awareness of the importance of education among Roma families.</w:t>
      </w:r>
    </w:p>
    <w:p w:rsidR="00431748" w:rsidRPr="00E07EB0" w:rsidRDefault="00F472B8" w:rsidP="009552FC">
      <w:pPr>
        <w:pStyle w:val="H1G"/>
      </w:pPr>
      <w:r w:rsidRPr="00E07EB0">
        <w:tab/>
        <w:t>D</w:t>
      </w:r>
      <w:r w:rsidR="00431748" w:rsidRPr="00E07EB0">
        <w:t>.</w:t>
      </w:r>
      <w:r w:rsidR="00431748" w:rsidRPr="00E07EB0">
        <w:tab/>
        <w:t xml:space="preserve">Other recommendations </w:t>
      </w:r>
    </w:p>
    <w:p w:rsidR="003A134F" w:rsidRPr="00E07EB0" w:rsidRDefault="003A134F" w:rsidP="003C105B">
      <w:pPr>
        <w:pStyle w:val="SingleTxtG"/>
        <w:numPr>
          <w:ilvl w:val="0"/>
          <w:numId w:val="17"/>
        </w:numPr>
        <w:tabs>
          <w:tab w:val="left" w:pos="851"/>
        </w:tabs>
        <w:ind w:left="1134" w:firstLine="0"/>
        <w:rPr>
          <w:b/>
          <w:bCs/>
          <w:lang w:val="en-US"/>
        </w:rPr>
      </w:pPr>
      <w:r w:rsidRPr="00E07EB0">
        <w:rPr>
          <w:b/>
          <w:bCs/>
          <w:lang w:val="en-US"/>
        </w:rPr>
        <w:t>The Committee</w:t>
      </w:r>
      <w:r w:rsidR="00606193" w:rsidRPr="00E07EB0">
        <w:rPr>
          <w:b/>
          <w:bCs/>
          <w:lang w:val="en-US"/>
        </w:rPr>
        <w:t xml:space="preserve">, while acknowledging the contribution of the State party to official development assistance, encourages </w:t>
      </w:r>
      <w:r w:rsidR="00A64F73" w:rsidRPr="00E07EB0">
        <w:rPr>
          <w:b/>
          <w:bCs/>
          <w:lang w:val="en-US"/>
        </w:rPr>
        <w:t xml:space="preserve">the State party </w:t>
      </w:r>
      <w:r w:rsidR="00606193" w:rsidRPr="00E07EB0">
        <w:rPr>
          <w:b/>
          <w:bCs/>
          <w:lang w:val="en-US"/>
        </w:rPr>
        <w:t>to</w:t>
      </w:r>
      <w:r w:rsidRPr="00E07EB0">
        <w:rPr>
          <w:b/>
          <w:bCs/>
          <w:lang w:val="en-US"/>
        </w:rPr>
        <w:t xml:space="preserve"> gradually increase </w:t>
      </w:r>
      <w:r w:rsidR="003C105B" w:rsidRPr="00E07EB0">
        <w:rPr>
          <w:b/>
          <w:bCs/>
          <w:lang w:val="en-US"/>
        </w:rPr>
        <w:t xml:space="preserve">that </w:t>
      </w:r>
      <w:r w:rsidRPr="00E07EB0">
        <w:rPr>
          <w:b/>
          <w:bCs/>
          <w:lang w:val="en-US"/>
        </w:rPr>
        <w:t>assistance</w:t>
      </w:r>
      <w:r w:rsidR="003C105B" w:rsidRPr="00E07EB0">
        <w:rPr>
          <w:b/>
          <w:bCs/>
          <w:lang w:val="en-US"/>
        </w:rPr>
        <w:t>,</w:t>
      </w:r>
      <w:r w:rsidRPr="00E07EB0">
        <w:rPr>
          <w:b/>
          <w:bCs/>
          <w:lang w:val="en-US"/>
        </w:rPr>
        <w:t xml:space="preserve"> with a view to achieving the international commitment of 0.7 per cent of its gross </w:t>
      </w:r>
      <w:r w:rsidR="00F5173F" w:rsidRPr="00E07EB0">
        <w:rPr>
          <w:b/>
          <w:bCs/>
          <w:lang w:val="en-US"/>
        </w:rPr>
        <w:t>national</w:t>
      </w:r>
      <w:r w:rsidR="008270ED" w:rsidRPr="00E07EB0">
        <w:rPr>
          <w:b/>
          <w:bCs/>
          <w:lang w:val="en-US"/>
        </w:rPr>
        <w:t xml:space="preserve"> product</w:t>
      </w:r>
      <w:r w:rsidRPr="00E07EB0">
        <w:rPr>
          <w:b/>
          <w:bCs/>
          <w:lang w:val="en-US"/>
        </w:rPr>
        <w:t xml:space="preserve"> and to pursue a human rights-based approach in its development cooperation policy, </w:t>
      </w:r>
      <w:r w:rsidR="005150E0" w:rsidRPr="00E07EB0">
        <w:rPr>
          <w:b/>
          <w:bCs/>
          <w:lang w:val="en-US"/>
        </w:rPr>
        <w:t xml:space="preserve">while </w:t>
      </w:r>
      <w:r w:rsidRPr="00E07EB0">
        <w:rPr>
          <w:b/>
          <w:bCs/>
          <w:lang w:val="en-US"/>
        </w:rPr>
        <w:t>fully incorporating the rights contained in the Covenant.</w:t>
      </w:r>
    </w:p>
    <w:p w:rsidR="0052320D" w:rsidRPr="00E07EB0" w:rsidRDefault="0052320D" w:rsidP="003C105B">
      <w:pPr>
        <w:pStyle w:val="SingleTxtG"/>
        <w:numPr>
          <w:ilvl w:val="0"/>
          <w:numId w:val="17"/>
        </w:numPr>
        <w:tabs>
          <w:tab w:val="left" w:pos="851"/>
        </w:tabs>
        <w:ind w:left="1134" w:firstLine="0"/>
        <w:rPr>
          <w:b/>
          <w:bCs/>
          <w:lang w:val="en-US"/>
        </w:rPr>
      </w:pPr>
      <w:r w:rsidRPr="00E07EB0">
        <w:rPr>
          <w:b/>
          <w:bCs/>
          <w:lang w:val="en-US"/>
        </w:rPr>
        <w:t xml:space="preserve">The Committee recommends that </w:t>
      </w:r>
      <w:r w:rsidR="00C576C9" w:rsidRPr="00E07EB0">
        <w:rPr>
          <w:b/>
          <w:bCs/>
          <w:lang w:val="en-US"/>
        </w:rPr>
        <w:t xml:space="preserve">all future national plans, </w:t>
      </w:r>
      <w:proofErr w:type="spellStart"/>
      <w:r w:rsidR="00C576C9" w:rsidRPr="00E07EB0">
        <w:rPr>
          <w:b/>
          <w:bCs/>
          <w:lang w:val="en-US"/>
        </w:rPr>
        <w:t>programmes</w:t>
      </w:r>
      <w:proofErr w:type="spellEnd"/>
      <w:r w:rsidR="00C576C9" w:rsidRPr="00E07EB0">
        <w:rPr>
          <w:b/>
          <w:bCs/>
          <w:lang w:val="en-US"/>
        </w:rPr>
        <w:t xml:space="preserve"> and strategies </w:t>
      </w:r>
      <w:r w:rsidR="003C105B" w:rsidRPr="00E07EB0">
        <w:rPr>
          <w:b/>
          <w:bCs/>
          <w:lang w:val="en-US"/>
        </w:rPr>
        <w:t xml:space="preserve">that </w:t>
      </w:r>
      <w:r w:rsidR="0066261A" w:rsidRPr="00E07EB0">
        <w:rPr>
          <w:b/>
          <w:bCs/>
          <w:lang w:val="en-US"/>
        </w:rPr>
        <w:t xml:space="preserve">address a wide range of economic, social and cultural rights </w:t>
      </w:r>
      <w:r w:rsidRPr="00E07EB0">
        <w:rPr>
          <w:b/>
          <w:bCs/>
          <w:lang w:val="en-US"/>
        </w:rPr>
        <w:t>provide for built-in monitoring and assessment mechanisms</w:t>
      </w:r>
      <w:r w:rsidR="003C105B" w:rsidRPr="00E07EB0">
        <w:rPr>
          <w:b/>
          <w:bCs/>
          <w:lang w:val="en-US"/>
        </w:rPr>
        <w:t>,</w:t>
      </w:r>
      <w:r w:rsidRPr="00E07EB0">
        <w:rPr>
          <w:b/>
          <w:bCs/>
          <w:lang w:val="en-US"/>
        </w:rPr>
        <w:t xml:space="preserve"> with a view to ensuring t</w:t>
      </w:r>
      <w:r w:rsidR="00AD159B" w:rsidRPr="00E07EB0">
        <w:rPr>
          <w:b/>
          <w:bCs/>
          <w:lang w:val="en-US"/>
        </w:rPr>
        <w:t xml:space="preserve">hat interim results are available </w:t>
      </w:r>
      <w:r w:rsidRPr="00E07EB0">
        <w:rPr>
          <w:b/>
          <w:bCs/>
          <w:lang w:val="en-US"/>
        </w:rPr>
        <w:t>at any stage of their implementation in practice</w:t>
      </w:r>
      <w:r w:rsidR="003C105B" w:rsidRPr="00E07EB0">
        <w:rPr>
          <w:b/>
          <w:bCs/>
          <w:lang w:val="en-US"/>
        </w:rPr>
        <w:t>,</w:t>
      </w:r>
      <w:r w:rsidRPr="00E07EB0">
        <w:rPr>
          <w:b/>
          <w:bCs/>
          <w:lang w:val="en-US"/>
        </w:rPr>
        <w:t xml:space="preserve"> and </w:t>
      </w:r>
      <w:r w:rsidR="00487EEC" w:rsidRPr="00E07EB0">
        <w:rPr>
          <w:b/>
          <w:bCs/>
          <w:lang w:val="en-US"/>
        </w:rPr>
        <w:t>t</w:t>
      </w:r>
      <w:r w:rsidR="00AD159B" w:rsidRPr="00E07EB0">
        <w:rPr>
          <w:b/>
          <w:bCs/>
          <w:lang w:val="en-US"/>
        </w:rPr>
        <w:t xml:space="preserve">hat such plans, </w:t>
      </w:r>
      <w:proofErr w:type="spellStart"/>
      <w:r w:rsidR="00AD159B" w:rsidRPr="00E07EB0">
        <w:rPr>
          <w:b/>
          <w:bCs/>
          <w:lang w:val="en-US"/>
        </w:rPr>
        <w:t>programmes</w:t>
      </w:r>
      <w:proofErr w:type="spellEnd"/>
      <w:r w:rsidR="00AD159B" w:rsidRPr="00E07EB0">
        <w:rPr>
          <w:b/>
          <w:bCs/>
          <w:lang w:val="en-US"/>
        </w:rPr>
        <w:t xml:space="preserve"> and strategies </w:t>
      </w:r>
      <w:r w:rsidRPr="00E07EB0">
        <w:rPr>
          <w:b/>
          <w:bCs/>
          <w:lang w:val="en-US"/>
        </w:rPr>
        <w:t xml:space="preserve">are adjusted accordingly when </w:t>
      </w:r>
      <w:r w:rsidR="003C105B" w:rsidRPr="00E07EB0">
        <w:rPr>
          <w:b/>
          <w:bCs/>
          <w:lang w:val="en-US"/>
        </w:rPr>
        <w:t xml:space="preserve">the </w:t>
      </w:r>
      <w:r w:rsidRPr="00E07EB0">
        <w:rPr>
          <w:b/>
          <w:bCs/>
          <w:lang w:val="en-US"/>
        </w:rPr>
        <w:t>measures taken do not bring about the expected positive impact.</w:t>
      </w:r>
    </w:p>
    <w:p w:rsidR="008A3B3C" w:rsidRPr="00E07EB0" w:rsidRDefault="008A3B3C" w:rsidP="005150E0">
      <w:pPr>
        <w:pStyle w:val="SingleTxtG"/>
        <w:numPr>
          <w:ilvl w:val="0"/>
          <w:numId w:val="17"/>
        </w:numPr>
        <w:tabs>
          <w:tab w:val="left" w:pos="851"/>
        </w:tabs>
        <w:ind w:left="1134" w:firstLine="0"/>
        <w:rPr>
          <w:b/>
          <w:bCs/>
          <w:lang w:val="en-US"/>
        </w:rPr>
      </w:pPr>
      <w:r w:rsidRPr="00E07EB0">
        <w:rPr>
          <w:b/>
          <w:bCs/>
          <w:lang w:val="en-US"/>
        </w:rPr>
        <w:t xml:space="preserve">The Committee </w:t>
      </w:r>
      <w:r w:rsidR="00243E9C" w:rsidRPr="00E07EB0">
        <w:rPr>
          <w:b/>
          <w:bCs/>
          <w:lang w:val="en-US"/>
        </w:rPr>
        <w:t xml:space="preserve">welcomes the development and application of </w:t>
      </w:r>
      <w:r w:rsidR="003F53DC" w:rsidRPr="00E07EB0">
        <w:rPr>
          <w:b/>
          <w:bCs/>
          <w:lang w:val="en-US"/>
        </w:rPr>
        <w:t>indicators on the implementation of human rights, including economic, social and cultural rights</w:t>
      </w:r>
      <w:r w:rsidR="005150E0" w:rsidRPr="00E07EB0">
        <w:rPr>
          <w:b/>
          <w:bCs/>
          <w:lang w:val="en-US"/>
        </w:rPr>
        <w:t>,</w:t>
      </w:r>
      <w:r w:rsidR="003F53DC" w:rsidRPr="00E07EB0">
        <w:rPr>
          <w:b/>
          <w:bCs/>
          <w:lang w:val="en-US"/>
        </w:rPr>
        <w:t xml:space="preserve"> and in </w:t>
      </w:r>
      <w:r w:rsidR="003C105B" w:rsidRPr="00E07EB0">
        <w:rPr>
          <w:b/>
          <w:bCs/>
          <w:lang w:val="en-US"/>
        </w:rPr>
        <w:t xml:space="preserve">that </w:t>
      </w:r>
      <w:r w:rsidR="003F53DC" w:rsidRPr="00E07EB0">
        <w:rPr>
          <w:b/>
          <w:bCs/>
          <w:lang w:val="en-US"/>
        </w:rPr>
        <w:t xml:space="preserve">context </w:t>
      </w:r>
      <w:r w:rsidR="00D355A1" w:rsidRPr="00E07EB0">
        <w:rPr>
          <w:b/>
          <w:bCs/>
          <w:lang w:val="en-US"/>
        </w:rPr>
        <w:t xml:space="preserve">takes note of the State party’s statement that it had </w:t>
      </w:r>
      <w:r w:rsidR="0069153D" w:rsidRPr="00E07EB0">
        <w:rPr>
          <w:b/>
          <w:bCs/>
          <w:lang w:val="en-US"/>
        </w:rPr>
        <w:t>benefit</w:t>
      </w:r>
      <w:r w:rsidR="00D355A1" w:rsidRPr="00E07EB0">
        <w:rPr>
          <w:b/>
          <w:bCs/>
          <w:lang w:val="en-US"/>
        </w:rPr>
        <w:t>ed</w:t>
      </w:r>
      <w:r w:rsidR="0069153D" w:rsidRPr="00E07EB0">
        <w:rPr>
          <w:b/>
          <w:bCs/>
          <w:lang w:val="en-US"/>
        </w:rPr>
        <w:t xml:space="preserve"> from </w:t>
      </w:r>
      <w:r w:rsidRPr="00E07EB0">
        <w:rPr>
          <w:b/>
          <w:bCs/>
          <w:lang w:val="en-US"/>
        </w:rPr>
        <w:t xml:space="preserve">the conceptual and methodological framework on human rights indicators developed by </w:t>
      </w:r>
      <w:r w:rsidR="003C105B" w:rsidRPr="00E07EB0">
        <w:rPr>
          <w:b/>
          <w:bCs/>
          <w:lang w:val="en-US"/>
        </w:rPr>
        <w:t xml:space="preserve">the Office of the United Nations High Commissioner for Human Rights </w:t>
      </w:r>
      <w:r w:rsidRPr="00E07EB0">
        <w:rPr>
          <w:b/>
          <w:bCs/>
          <w:lang w:val="en-US"/>
        </w:rPr>
        <w:t>(HRI/MC/2008/3)</w:t>
      </w:r>
      <w:r w:rsidR="007E4D3F" w:rsidRPr="00E07EB0">
        <w:rPr>
          <w:b/>
          <w:bCs/>
          <w:lang w:val="en-US"/>
        </w:rPr>
        <w:t>.</w:t>
      </w:r>
      <w:r w:rsidR="00B03E1A" w:rsidRPr="00E07EB0">
        <w:t xml:space="preserve"> </w:t>
      </w:r>
      <w:r w:rsidR="00D355A1" w:rsidRPr="00E07EB0">
        <w:rPr>
          <w:b/>
        </w:rPr>
        <w:t xml:space="preserve">The Committee encourages the State party to continue </w:t>
      </w:r>
      <w:r w:rsidR="00B05F36" w:rsidRPr="00E07EB0">
        <w:rPr>
          <w:b/>
        </w:rPr>
        <w:t xml:space="preserve">its work on </w:t>
      </w:r>
      <w:r w:rsidR="00CB04EC" w:rsidRPr="00E07EB0">
        <w:rPr>
          <w:b/>
        </w:rPr>
        <w:t xml:space="preserve">developing </w:t>
      </w:r>
      <w:r w:rsidR="00B05F36" w:rsidRPr="00E07EB0">
        <w:rPr>
          <w:b/>
        </w:rPr>
        <w:t xml:space="preserve">indicators </w:t>
      </w:r>
      <w:r w:rsidR="00CB04EC" w:rsidRPr="00E07EB0">
        <w:rPr>
          <w:b/>
        </w:rPr>
        <w:t>for economic, social and cultural rights.</w:t>
      </w:r>
      <w:r w:rsidR="00B05F36" w:rsidRPr="00E07EB0">
        <w:rPr>
          <w:b/>
        </w:rPr>
        <w:t xml:space="preserve"> </w:t>
      </w:r>
    </w:p>
    <w:p w:rsidR="000C37D5" w:rsidRPr="00E07EB0" w:rsidRDefault="000C37D5" w:rsidP="00C9540E">
      <w:pPr>
        <w:pStyle w:val="SingleTxtG"/>
        <w:numPr>
          <w:ilvl w:val="0"/>
          <w:numId w:val="17"/>
        </w:numPr>
        <w:tabs>
          <w:tab w:val="left" w:pos="851"/>
        </w:tabs>
        <w:ind w:left="1134" w:firstLine="0"/>
        <w:rPr>
          <w:b/>
          <w:bCs/>
        </w:rPr>
      </w:pPr>
      <w:r w:rsidRPr="00E07EB0">
        <w:rPr>
          <w:b/>
          <w:bCs/>
        </w:rPr>
        <w:t xml:space="preserve">The Committee requests the State party to disseminate the present concluding observations widely </w:t>
      </w:r>
      <w:r w:rsidR="00726804" w:rsidRPr="00E07EB0">
        <w:rPr>
          <w:b/>
          <w:bCs/>
        </w:rPr>
        <w:t>among</w:t>
      </w:r>
      <w:r w:rsidRPr="00E07EB0">
        <w:rPr>
          <w:b/>
          <w:bCs/>
        </w:rPr>
        <w:t xml:space="preserve"> all levels of society, </w:t>
      </w:r>
      <w:r w:rsidR="00726804" w:rsidRPr="00E07EB0">
        <w:rPr>
          <w:b/>
          <w:bCs/>
        </w:rPr>
        <w:t xml:space="preserve">in particular </w:t>
      </w:r>
      <w:r w:rsidRPr="00E07EB0">
        <w:rPr>
          <w:b/>
          <w:bCs/>
        </w:rPr>
        <w:t>among gover</w:t>
      </w:r>
      <w:r w:rsidR="00726804" w:rsidRPr="00E07EB0">
        <w:rPr>
          <w:b/>
          <w:bCs/>
        </w:rPr>
        <w:t xml:space="preserve">nment officials, members of </w:t>
      </w:r>
      <w:r w:rsidR="007771A3" w:rsidRPr="00E07EB0">
        <w:rPr>
          <w:b/>
          <w:bCs/>
        </w:rPr>
        <w:t>Parliament</w:t>
      </w:r>
      <w:r w:rsidRPr="00E07EB0">
        <w:rPr>
          <w:b/>
          <w:bCs/>
        </w:rPr>
        <w:t xml:space="preserve"> and judicial authorities</w:t>
      </w:r>
      <w:r w:rsidR="00E871DF" w:rsidRPr="00E07EB0">
        <w:rPr>
          <w:b/>
          <w:bCs/>
        </w:rPr>
        <w:t xml:space="preserve"> and civil society organizations</w:t>
      </w:r>
      <w:r w:rsidRPr="00E07EB0">
        <w:rPr>
          <w:b/>
          <w:bCs/>
        </w:rPr>
        <w:t>, and to inform the Committee</w:t>
      </w:r>
      <w:r w:rsidR="00E871DF" w:rsidRPr="00E07EB0">
        <w:rPr>
          <w:b/>
          <w:bCs/>
        </w:rPr>
        <w:t>,</w:t>
      </w:r>
      <w:r w:rsidRPr="00E07EB0">
        <w:rPr>
          <w:b/>
          <w:bCs/>
        </w:rPr>
        <w:t xml:space="preserve"> in its next periodic report</w:t>
      </w:r>
      <w:r w:rsidR="00E871DF" w:rsidRPr="00E07EB0">
        <w:rPr>
          <w:b/>
          <w:bCs/>
        </w:rPr>
        <w:t>,</w:t>
      </w:r>
      <w:r w:rsidRPr="00E07EB0">
        <w:rPr>
          <w:b/>
          <w:bCs/>
        </w:rPr>
        <w:t xml:space="preserve"> </w:t>
      </w:r>
      <w:r w:rsidR="00E871DF" w:rsidRPr="00E07EB0">
        <w:rPr>
          <w:b/>
          <w:bCs/>
        </w:rPr>
        <w:t xml:space="preserve">about </w:t>
      </w:r>
      <w:r w:rsidR="00ED0AD3" w:rsidRPr="00E07EB0">
        <w:rPr>
          <w:b/>
          <w:bCs/>
        </w:rPr>
        <w:t>the steps</w:t>
      </w:r>
      <w:r w:rsidRPr="00E07EB0">
        <w:rPr>
          <w:b/>
          <w:bCs/>
        </w:rPr>
        <w:t xml:space="preserve"> taken to i</w:t>
      </w:r>
      <w:r w:rsidR="0013516A" w:rsidRPr="00E07EB0">
        <w:rPr>
          <w:b/>
          <w:bCs/>
        </w:rPr>
        <w:t xml:space="preserve">mplement the present </w:t>
      </w:r>
      <w:r w:rsidR="00ED0AD3" w:rsidRPr="00E07EB0">
        <w:rPr>
          <w:b/>
          <w:bCs/>
        </w:rPr>
        <w:t>recommendations</w:t>
      </w:r>
      <w:r w:rsidRPr="00E07EB0">
        <w:rPr>
          <w:b/>
          <w:bCs/>
        </w:rPr>
        <w:t xml:space="preserve">. </w:t>
      </w:r>
    </w:p>
    <w:p w:rsidR="00A05FB3" w:rsidRPr="00E07EB0" w:rsidRDefault="00A05FB3" w:rsidP="00C9540E">
      <w:pPr>
        <w:pStyle w:val="SingleTxtG"/>
        <w:numPr>
          <w:ilvl w:val="0"/>
          <w:numId w:val="17"/>
        </w:numPr>
        <w:tabs>
          <w:tab w:val="left" w:pos="851"/>
        </w:tabs>
        <w:ind w:left="1134" w:firstLine="0"/>
        <w:rPr>
          <w:rFonts w:eastAsia="SimSun"/>
          <w:b/>
          <w:bCs/>
          <w:lang w:eastAsia="zh-CN"/>
        </w:rPr>
      </w:pPr>
      <w:r w:rsidRPr="00E07EB0">
        <w:rPr>
          <w:rFonts w:eastAsia="SimSun"/>
          <w:b/>
          <w:bCs/>
          <w:lang w:eastAsia="zh-CN"/>
        </w:rPr>
        <w:t xml:space="preserve">The Committee encourages the State party to engage </w:t>
      </w:r>
      <w:r w:rsidR="00ED0AD3" w:rsidRPr="00E07EB0">
        <w:rPr>
          <w:rFonts w:eastAsia="SimSun"/>
          <w:b/>
          <w:bCs/>
          <w:lang w:eastAsia="zh-CN"/>
        </w:rPr>
        <w:t xml:space="preserve">non-governmental organizations and other members of civil society </w:t>
      </w:r>
      <w:r w:rsidRPr="00E07EB0">
        <w:rPr>
          <w:rFonts w:eastAsia="SimSun"/>
          <w:b/>
          <w:bCs/>
          <w:lang w:eastAsia="zh-CN"/>
        </w:rPr>
        <w:t>in constructive cooperation in the preparation and submission of its next periodic report.</w:t>
      </w:r>
    </w:p>
    <w:p w:rsidR="00B74026" w:rsidRPr="00E07EB0" w:rsidRDefault="000C37D5" w:rsidP="003C105B">
      <w:pPr>
        <w:pStyle w:val="SingleTxtG"/>
        <w:numPr>
          <w:ilvl w:val="0"/>
          <w:numId w:val="17"/>
        </w:numPr>
        <w:tabs>
          <w:tab w:val="left" w:pos="851"/>
        </w:tabs>
        <w:ind w:left="1134" w:firstLine="0"/>
        <w:rPr>
          <w:b/>
          <w:bCs/>
        </w:rPr>
      </w:pPr>
      <w:r w:rsidRPr="00E07EB0">
        <w:rPr>
          <w:rFonts w:eastAsia="SimSun"/>
          <w:b/>
          <w:bCs/>
          <w:lang w:eastAsia="zh-CN"/>
        </w:rPr>
        <w:t xml:space="preserve">The Committee requests the State party to submit its </w:t>
      </w:r>
      <w:r w:rsidR="007771A3" w:rsidRPr="00E07EB0">
        <w:rPr>
          <w:rFonts w:eastAsia="SimSun"/>
          <w:b/>
          <w:bCs/>
          <w:lang w:eastAsia="zh-CN"/>
        </w:rPr>
        <w:t>fifth</w:t>
      </w:r>
      <w:r w:rsidRPr="00E07EB0">
        <w:rPr>
          <w:rFonts w:eastAsia="SimSun"/>
          <w:b/>
          <w:bCs/>
          <w:lang w:eastAsia="zh-CN"/>
        </w:rPr>
        <w:t xml:space="preserve"> periodic report, prepared in accordance with the revised reporting guidelines </w:t>
      </w:r>
      <w:r w:rsidR="00544428" w:rsidRPr="00E07EB0">
        <w:rPr>
          <w:rFonts w:eastAsia="SimSun"/>
          <w:b/>
          <w:bCs/>
          <w:lang w:eastAsia="zh-CN"/>
        </w:rPr>
        <w:t xml:space="preserve">adopted by the Committee </w:t>
      </w:r>
      <w:r w:rsidRPr="00E07EB0">
        <w:rPr>
          <w:rFonts w:eastAsia="SimSun"/>
          <w:b/>
          <w:bCs/>
          <w:lang w:eastAsia="zh-CN"/>
        </w:rPr>
        <w:t>in 2008 (E/C.12/2008/2), by</w:t>
      </w:r>
      <w:r w:rsidR="007771A3" w:rsidRPr="00E07EB0">
        <w:rPr>
          <w:rFonts w:eastAsia="SimSun"/>
          <w:b/>
          <w:bCs/>
          <w:lang w:eastAsia="zh-CN"/>
        </w:rPr>
        <w:t xml:space="preserve"> </w:t>
      </w:r>
      <w:r w:rsidR="00737236" w:rsidRPr="00E07EB0">
        <w:rPr>
          <w:rFonts w:eastAsia="SimSun"/>
          <w:b/>
          <w:bCs/>
          <w:lang w:eastAsia="zh-CN"/>
        </w:rPr>
        <w:t>30 November 2019</w:t>
      </w:r>
      <w:r w:rsidRPr="00E07EB0">
        <w:rPr>
          <w:rFonts w:eastAsia="SimSun"/>
          <w:b/>
          <w:bCs/>
          <w:lang w:eastAsia="zh-CN"/>
        </w:rPr>
        <w:t>.</w:t>
      </w:r>
    </w:p>
    <w:p w:rsidR="00E04FFD" w:rsidRPr="00E07EB0" w:rsidRDefault="0005735B" w:rsidP="00371930">
      <w:pPr>
        <w:pStyle w:val="SingleTxtG"/>
        <w:spacing w:before="240" w:after="0"/>
        <w:jc w:val="center"/>
      </w:pPr>
      <w:r w:rsidRPr="00E07EB0">
        <w:rPr>
          <w:rFonts w:eastAsia="SimSun"/>
          <w:u w:val="single"/>
          <w:lang w:eastAsia="zh-CN"/>
        </w:rPr>
        <w:tab/>
      </w:r>
      <w:r w:rsidRPr="00E07EB0">
        <w:rPr>
          <w:rFonts w:eastAsia="SimSun"/>
          <w:u w:val="single"/>
          <w:lang w:eastAsia="zh-CN"/>
        </w:rPr>
        <w:tab/>
      </w:r>
      <w:r w:rsidRPr="00E07EB0">
        <w:rPr>
          <w:rFonts w:eastAsia="SimSun"/>
          <w:u w:val="single"/>
          <w:lang w:eastAsia="zh-CN"/>
        </w:rPr>
        <w:tab/>
      </w:r>
    </w:p>
    <w:sectPr w:rsidR="00E04FFD" w:rsidRPr="00E07EB0" w:rsidSect="0047141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DD" w:rsidRDefault="007318DD"/>
  </w:endnote>
  <w:endnote w:type="continuationSeparator" w:id="0">
    <w:p w:rsidR="007318DD" w:rsidRDefault="007318DD"/>
  </w:endnote>
  <w:endnote w:type="continuationNotice" w:id="1">
    <w:p w:rsidR="007318DD" w:rsidRDefault="00731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07" w:rsidRPr="0024165B" w:rsidRDefault="00CE6C07" w:rsidP="0024165B">
    <w:pPr>
      <w:pStyle w:val="Footer"/>
      <w:tabs>
        <w:tab w:val="right" w:pos="9598"/>
      </w:tabs>
    </w:pPr>
    <w:r w:rsidRPr="0024165B">
      <w:rPr>
        <w:b/>
        <w:sz w:val="18"/>
      </w:rPr>
      <w:fldChar w:fldCharType="begin"/>
    </w:r>
    <w:r w:rsidRPr="0024165B">
      <w:rPr>
        <w:b/>
        <w:sz w:val="18"/>
      </w:rPr>
      <w:instrText xml:space="preserve"> PAGE  \* MERGEFORMAT </w:instrText>
    </w:r>
    <w:r w:rsidRPr="0024165B">
      <w:rPr>
        <w:b/>
        <w:sz w:val="18"/>
      </w:rPr>
      <w:fldChar w:fldCharType="separate"/>
    </w:r>
    <w:r w:rsidR="008C7F2E">
      <w:rPr>
        <w:b/>
        <w:noProof/>
        <w:sz w:val="18"/>
      </w:rPr>
      <w:t>2</w:t>
    </w:r>
    <w:r w:rsidRPr="002416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07" w:rsidRPr="0024165B" w:rsidRDefault="00CE6C07" w:rsidP="0024165B">
    <w:pPr>
      <w:pStyle w:val="Footer"/>
      <w:tabs>
        <w:tab w:val="right" w:pos="9598"/>
      </w:tabs>
      <w:rPr>
        <w:b/>
        <w:sz w:val="18"/>
      </w:rPr>
    </w:pPr>
    <w:r>
      <w:tab/>
    </w:r>
    <w:r w:rsidRPr="0024165B">
      <w:rPr>
        <w:b/>
        <w:sz w:val="18"/>
      </w:rPr>
      <w:fldChar w:fldCharType="begin"/>
    </w:r>
    <w:r w:rsidRPr="0024165B">
      <w:rPr>
        <w:b/>
        <w:sz w:val="18"/>
      </w:rPr>
      <w:instrText xml:space="preserve"> PAGE  \* MERGEFORMAT </w:instrText>
    </w:r>
    <w:r w:rsidRPr="0024165B">
      <w:rPr>
        <w:b/>
        <w:sz w:val="18"/>
      </w:rPr>
      <w:fldChar w:fldCharType="separate"/>
    </w:r>
    <w:r w:rsidR="008C7F2E">
      <w:rPr>
        <w:b/>
        <w:noProof/>
        <w:sz w:val="18"/>
      </w:rPr>
      <w:t>3</w:t>
    </w:r>
    <w:r w:rsidRPr="002416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11" w:rsidRPr="00D55F0E" w:rsidRDefault="00BA24D9" w:rsidP="001D1861">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2E4711" w:rsidRPr="00D55F0E">
      <w:t>GE.</w:t>
    </w:r>
    <w:r w:rsidR="001C5291" w:rsidRPr="00D55F0E">
      <w:t>14</w:t>
    </w:r>
    <w:r w:rsidR="00E62310">
      <w:t>-</w:t>
    </w:r>
    <w:r w:rsidR="00DB166A">
      <w:t>23792</w:t>
    </w:r>
    <w:r>
      <w:t xml:space="preserve">  (E)</w:t>
    </w:r>
    <w:r>
      <w:br/>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Pr="00BA24D9">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DD" w:rsidRPr="000B175B" w:rsidRDefault="007318DD" w:rsidP="000B175B">
      <w:pPr>
        <w:tabs>
          <w:tab w:val="right" w:pos="2155"/>
        </w:tabs>
        <w:spacing w:after="80"/>
        <w:ind w:left="680"/>
        <w:rPr>
          <w:u w:val="single"/>
        </w:rPr>
      </w:pPr>
      <w:r>
        <w:rPr>
          <w:u w:val="single"/>
        </w:rPr>
        <w:tab/>
      </w:r>
    </w:p>
  </w:footnote>
  <w:footnote w:type="continuationSeparator" w:id="0">
    <w:p w:rsidR="007318DD" w:rsidRPr="00FC68B7" w:rsidRDefault="007318DD" w:rsidP="00FC68B7">
      <w:pPr>
        <w:tabs>
          <w:tab w:val="left" w:pos="2155"/>
        </w:tabs>
        <w:spacing w:after="80"/>
        <w:ind w:left="680"/>
        <w:rPr>
          <w:u w:val="single"/>
        </w:rPr>
      </w:pPr>
      <w:r>
        <w:rPr>
          <w:u w:val="single"/>
        </w:rPr>
        <w:tab/>
      </w:r>
    </w:p>
  </w:footnote>
  <w:footnote w:type="continuationNotice" w:id="1">
    <w:p w:rsidR="007318DD" w:rsidRDefault="007318DD"/>
  </w:footnote>
  <w:footnote w:id="2">
    <w:p w:rsidR="0018694B" w:rsidRDefault="0018694B" w:rsidP="0018694B">
      <w:pPr>
        <w:pStyle w:val="FootnoteText"/>
      </w:pPr>
      <w:r>
        <w:tab/>
      </w:r>
      <w:r w:rsidRPr="00471411">
        <w:rPr>
          <w:rStyle w:val="FootnoteReference"/>
          <w:sz w:val="20"/>
          <w:vertAlign w:val="baseline"/>
        </w:rPr>
        <w:t>*</w:t>
      </w:r>
      <w:r>
        <w:rPr>
          <w:sz w:val="20"/>
        </w:rPr>
        <w:tab/>
      </w:r>
      <w:r w:rsidR="00EC3630" w:rsidRPr="000D36A1">
        <w:t>Adopted by the Committee at its fifty-third session (10-28 November 2014)</w:t>
      </w:r>
      <w:r w:rsidR="0047141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07" w:rsidRPr="0066568E" w:rsidRDefault="0066568E" w:rsidP="0066568E">
    <w:pPr>
      <w:pStyle w:val="Header"/>
    </w:pPr>
    <w:r w:rsidRPr="0066568E">
      <w:t>E/C.12/PRT/CO/4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07" w:rsidRPr="0024165B" w:rsidRDefault="00AB64BD" w:rsidP="00AB64BD">
    <w:pPr>
      <w:pStyle w:val="Header"/>
      <w:jc w:val="right"/>
    </w:pPr>
    <w:r w:rsidRPr="00AB64BD">
      <w:t>E/C.12/PRT/CO/4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1705ED"/>
    <w:multiLevelType w:val="hybridMultilevel"/>
    <w:tmpl w:val="930CD9E6"/>
    <w:lvl w:ilvl="0" w:tplc="76120378">
      <w:start w:val="1"/>
      <w:numFmt w:val="lowerLetter"/>
      <w:lvlText w:val="(%1)"/>
      <w:lvlJc w:val="left"/>
      <w:pPr>
        <w:ind w:left="2154" w:hanging="72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3">
    <w:nsid w:val="14773B5F"/>
    <w:multiLevelType w:val="hybridMultilevel"/>
    <w:tmpl w:val="DBACDB50"/>
    <w:lvl w:ilvl="0" w:tplc="7320F1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BE7457"/>
    <w:multiLevelType w:val="hybridMultilevel"/>
    <w:tmpl w:val="58AAC932"/>
    <w:lvl w:ilvl="0" w:tplc="0EA2BCB6">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1440"/>
        </w:tabs>
        <w:ind w:left="1440" w:hanging="360"/>
      </w:pPr>
    </w:lvl>
    <w:lvl w:ilvl="2" w:tplc="12B2AB88">
      <w:start w:val="1"/>
      <w:numFmt w:val="decimal"/>
      <w:lvlText w:val="%3."/>
      <w:lvlJc w:val="left"/>
      <w:pPr>
        <w:tabs>
          <w:tab w:val="num" w:pos="1701"/>
        </w:tabs>
        <w:ind w:left="1134" w:firstLine="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9F0A76"/>
    <w:multiLevelType w:val="hybridMultilevel"/>
    <w:tmpl w:val="4BE64B58"/>
    <w:lvl w:ilvl="0" w:tplc="45427F76">
      <w:start w:val="1"/>
      <w:numFmt w:val="lowerLetter"/>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nsid w:val="1E030CDB"/>
    <w:multiLevelType w:val="hybridMultilevel"/>
    <w:tmpl w:val="887EADAE"/>
    <w:lvl w:ilvl="0" w:tplc="535095E8">
      <w:start w:val="1"/>
      <w:numFmt w:val="lowerLetter"/>
      <w:lvlText w:val="(%1)"/>
      <w:lvlJc w:val="left"/>
      <w:pPr>
        <w:ind w:left="2071" w:hanging="360"/>
      </w:pPr>
      <w:rPr>
        <w:rFonts w:hint="default"/>
      </w:rPr>
    </w:lvl>
    <w:lvl w:ilvl="1" w:tplc="08090019" w:tentative="1">
      <w:start w:val="1"/>
      <w:numFmt w:val="lowerLetter"/>
      <w:lvlText w:val="%2."/>
      <w:lvlJc w:val="left"/>
      <w:pPr>
        <w:ind w:left="2791" w:hanging="360"/>
      </w:pPr>
    </w:lvl>
    <w:lvl w:ilvl="2" w:tplc="0809001B" w:tentative="1">
      <w:start w:val="1"/>
      <w:numFmt w:val="lowerRoman"/>
      <w:lvlText w:val="%3."/>
      <w:lvlJc w:val="right"/>
      <w:pPr>
        <w:ind w:left="3511" w:hanging="180"/>
      </w:pPr>
    </w:lvl>
    <w:lvl w:ilvl="3" w:tplc="0809000F" w:tentative="1">
      <w:start w:val="1"/>
      <w:numFmt w:val="decimal"/>
      <w:lvlText w:val="%4."/>
      <w:lvlJc w:val="left"/>
      <w:pPr>
        <w:ind w:left="4231" w:hanging="360"/>
      </w:pPr>
    </w:lvl>
    <w:lvl w:ilvl="4" w:tplc="08090019" w:tentative="1">
      <w:start w:val="1"/>
      <w:numFmt w:val="lowerLetter"/>
      <w:lvlText w:val="%5."/>
      <w:lvlJc w:val="left"/>
      <w:pPr>
        <w:ind w:left="4951" w:hanging="360"/>
      </w:pPr>
    </w:lvl>
    <w:lvl w:ilvl="5" w:tplc="0809001B" w:tentative="1">
      <w:start w:val="1"/>
      <w:numFmt w:val="lowerRoman"/>
      <w:lvlText w:val="%6."/>
      <w:lvlJc w:val="right"/>
      <w:pPr>
        <w:ind w:left="5671" w:hanging="180"/>
      </w:pPr>
    </w:lvl>
    <w:lvl w:ilvl="6" w:tplc="0809000F" w:tentative="1">
      <w:start w:val="1"/>
      <w:numFmt w:val="decimal"/>
      <w:lvlText w:val="%7."/>
      <w:lvlJc w:val="left"/>
      <w:pPr>
        <w:ind w:left="6391" w:hanging="360"/>
      </w:pPr>
    </w:lvl>
    <w:lvl w:ilvl="7" w:tplc="08090019" w:tentative="1">
      <w:start w:val="1"/>
      <w:numFmt w:val="lowerLetter"/>
      <w:lvlText w:val="%8."/>
      <w:lvlJc w:val="left"/>
      <w:pPr>
        <w:ind w:left="7111" w:hanging="360"/>
      </w:pPr>
    </w:lvl>
    <w:lvl w:ilvl="8" w:tplc="0809001B" w:tentative="1">
      <w:start w:val="1"/>
      <w:numFmt w:val="lowerRoman"/>
      <w:lvlText w:val="%9."/>
      <w:lvlJc w:val="right"/>
      <w:pPr>
        <w:ind w:left="7831" w:hanging="18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1B1E7C"/>
    <w:multiLevelType w:val="hybridMultilevel"/>
    <w:tmpl w:val="2F9238FC"/>
    <w:lvl w:ilvl="0" w:tplc="D6AC431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35524FBB"/>
    <w:multiLevelType w:val="hybridMultilevel"/>
    <w:tmpl w:val="02361B96"/>
    <w:lvl w:ilvl="0" w:tplc="EC285444">
      <w:start w:val="1"/>
      <w:numFmt w:val="lowerLetter"/>
      <w:lvlText w:val="(%1)"/>
      <w:lvlJc w:val="left"/>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393D0D15"/>
    <w:multiLevelType w:val="hybridMultilevel"/>
    <w:tmpl w:val="30B03E84"/>
    <w:lvl w:ilvl="0" w:tplc="0716382A">
      <w:start w:val="3"/>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nsid w:val="3E923A0B"/>
    <w:multiLevelType w:val="hybridMultilevel"/>
    <w:tmpl w:val="F7E492D4"/>
    <w:lvl w:ilvl="0" w:tplc="55BA3990">
      <w:start w:val="1"/>
      <w:numFmt w:val="decimal"/>
      <w:lvlText w:val="%1."/>
      <w:lvlJc w:val="left"/>
      <w:pPr>
        <w:ind w:left="1854" w:hanging="360"/>
      </w:pPr>
      <w:rPr>
        <w:b w:val="0"/>
      </w:rPr>
    </w:lvl>
    <w:lvl w:ilvl="1" w:tplc="80AA75EE">
      <w:start w:val="1"/>
      <w:numFmt w:val="lowerLetter"/>
      <w:lvlText w:val="(%2)"/>
      <w:lvlJc w:val="left"/>
      <w:pPr>
        <w:ind w:left="2778" w:hanging="564"/>
      </w:pPr>
      <w:rPr>
        <w:rFonts w:hint="default"/>
      </w:rPr>
    </w:lvl>
    <w:lvl w:ilvl="2" w:tplc="6AC69FBC">
      <w:start w:val="1"/>
      <w:numFmt w:val="lowerLetter"/>
      <w:lvlText w:val="%3)"/>
      <w:lvlJc w:val="left"/>
      <w:pPr>
        <w:tabs>
          <w:tab w:val="num" w:pos="3474"/>
        </w:tabs>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3E9D4BD0"/>
    <w:multiLevelType w:val="hybridMultilevel"/>
    <w:tmpl w:val="47F85092"/>
    <w:lvl w:ilvl="0" w:tplc="29AAB2F8">
      <w:start w:val="1"/>
      <w:numFmt w:val="lowerLetter"/>
      <w:lvlText w:val="(%1)"/>
      <w:lvlJc w:val="left"/>
      <w:pPr>
        <w:ind w:left="2272" w:hanging="570"/>
      </w:pPr>
      <w:rPr>
        <w:rFonts w:hint="default"/>
      </w:rPr>
    </w:lvl>
    <w:lvl w:ilvl="1" w:tplc="04090019" w:tentative="1">
      <w:start w:val="1"/>
      <w:numFmt w:val="upperLetter"/>
      <w:lvlText w:val="%2."/>
      <w:lvlJc w:val="left"/>
      <w:pPr>
        <w:ind w:left="2502" w:hanging="400"/>
      </w:pPr>
    </w:lvl>
    <w:lvl w:ilvl="2" w:tplc="0409001B" w:tentative="1">
      <w:start w:val="1"/>
      <w:numFmt w:val="lowerRoman"/>
      <w:lvlText w:val="%3."/>
      <w:lvlJc w:val="right"/>
      <w:pPr>
        <w:ind w:left="2902" w:hanging="400"/>
      </w:pPr>
    </w:lvl>
    <w:lvl w:ilvl="3" w:tplc="0409000F" w:tentative="1">
      <w:start w:val="1"/>
      <w:numFmt w:val="decimal"/>
      <w:lvlText w:val="%4."/>
      <w:lvlJc w:val="left"/>
      <w:pPr>
        <w:ind w:left="3302" w:hanging="400"/>
      </w:pPr>
    </w:lvl>
    <w:lvl w:ilvl="4" w:tplc="04090019" w:tentative="1">
      <w:start w:val="1"/>
      <w:numFmt w:val="upperLetter"/>
      <w:lvlText w:val="%5."/>
      <w:lvlJc w:val="left"/>
      <w:pPr>
        <w:ind w:left="3702" w:hanging="400"/>
      </w:pPr>
    </w:lvl>
    <w:lvl w:ilvl="5" w:tplc="0409001B" w:tentative="1">
      <w:start w:val="1"/>
      <w:numFmt w:val="lowerRoman"/>
      <w:lvlText w:val="%6."/>
      <w:lvlJc w:val="right"/>
      <w:pPr>
        <w:ind w:left="4102" w:hanging="400"/>
      </w:pPr>
    </w:lvl>
    <w:lvl w:ilvl="6" w:tplc="0409000F" w:tentative="1">
      <w:start w:val="1"/>
      <w:numFmt w:val="decimal"/>
      <w:lvlText w:val="%7."/>
      <w:lvlJc w:val="left"/>
      <w:pPr>
        <w:ind w:left="4502" w:hanging="400"/>
      </w:pPr>
    </w:lvl>
    <w:lvl w:ilvl="7" w:tplc="04090019" w:tentative="1">
      <w:start w:val="1"/>
      <w:numFmt w:val="upperLetter"/>
      <w:lvlText w:val="%8."/>
      <w:lvlJc w:val="left"/>
      <w:pPr>
        <w:ind w:left="4902" w:hanging="400"/>
      </w:pPr>
    </w:lvl>
    <w:lvl w:ilvl="8" w:tplc="0409001B" w:tentative="1">
      <w:start w:val="1"/>
      <w:numFmt w:val="lowerRoman"/>
      <w:lvlText w:val="%9."/>
      <w:lvlJc w:val="right"/>
      <w:pPr>
        <w:ind w:left="5302" w:hanging="400"/>
      </w:pPr>
    </w:lvl>
  </w:abstractNum>
  <w:abstractNum w:abstractNumId="25">
    <w:nsid w:val="49FA3CCC"/>
    <w:multiLevelType w:val="hybridMultilevel"/>
    <w:tmpl w:val="30C436C0"/>
    <w:lvl w:ilvl="0" w:tplc="7320F14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52CF0E66"/>
    <w:multiLevelType w:val="multilevel"/>
    <w:tmpl w:val="47F85092"/>
    <w:lvl w:ilvl="0">
      <w:start w:val="1"/>
      <w:numFmt w:val="lowerLetter"/>
      <w:lvlText w:val="(%1)"/>
      <w:lvlJc w:val="left"/>
      <w:pPr>
        <w:ind w:left="2272" w:hanging="570"/>
      </w:pPr>
      <w:rPr>
        <w:rFonts w:hint="default"/>
      </w:rPr>
    </w:lvl>
    <w:lvl w:ilvl="1">
      <w:start w:val="1"/>
      <w:numFmt w:val="upperLetter"/>
      <w:lvlText w:val="%2."/>
      <w:lvlJc w:val="left"/>
      <w:pPr>
        <w:ind w:left="2502" w:hanging="400"/>
      </w:pPr>
    </w:lvl>
    <w:lvl w:ilvl="2">
      <w:start w:val="1"/>
      <w:numFmt w:val="lowerRoman"/>
      <w:lvlText w:val="%3."/>
      <w:lvlJc w:val="right"/>
      <w:pPr>
        <w:ind w:left="2902" w:hanging="400"/>
      </w:pPr>
    </w:lvl>
    <w:lvl w:ilvl="3">
      <w:start w:val="1"/>
      <w:numFmt w:val="decimal"/>
      <w:lvlText w:val="%4."/>
      <w:lvlJc w:val="left"/>
      <w:pPr>
        <w:ind w:left="3302" w:hanging="400"/>
      </w:pPr>
    </w:lvl>
    <w:lvl w:ilvl="4">
      <w:start w:val="1"/>
      <w:numFmt w:val="upperLetter"/>
      <w:lvlText w:val="%5."/>
      <w:lvlJc w:val="left"/>
      <w:pPr>
        <w:ind w:left="3702" w:hanging="400"/>
      </w:pPr>
    </w:lvl>
    <w:lvl w:ilvl="5">
      <w:start w:val="1"/>
      <w:numFmt w:val="lowerRoman"/>
      <w:lvlText w:val="%6."/>
      <w:lvlJc w:val="right"/>
      <w:pPr>
        <w:ind w:left="4102" w:hanging="400"/>
      </w:pPr>
    </w:lvl>
    <w:lvl w:ilvl="6">
      <w:start w:val="1"/>
      <w:numFmt w:val="decimal"/>
      <w:lvlText w:val="%7."/>
      <w:lvlJc w:val="left"/>
      <w:pPr>
        <w:ind w:left="4502" w:hanging="400"/>
      </w:pPr>
    </w:lvl>
    <w:lvl w:ilvl="7">
      <w:start w:val="1"/>
      <w:numFmt w:val="upperLetter"/>
      <w:lvlText w:val="%8."/>
      <w:lvlJc w:val="left"/>
      <w:pPr>
        <w:ind w:left="4902" w:hanging="400"/>
      </w:pPr>
    </w:lvl>
    <w:lvl w:ilvl="8">
      <w:start w:val="1"/>
      <w:numFmt w:val="lowerRoman"/>
      <w:lvlText w:val="%9."/>
      <w:lvlJc w:val="right"/>
      <w:pPr>
        <w:ind w:left="5302" w:hanging="400"/>
      </w:pPr>
    </w:lvl>
  </w:abstractNum>
  <w:abstractNum w:abstractNumId="27">
    <w:nsid w:val="590440C9"/>
    <w:multiLevelType w:val="hybridMultilevel"/>
    <w:tmpl w:val="1E643EEA"/>
    <w:lvl w:ilvl="0" w:tplc="EC285444">
      <w:start w:val="1"/>
      <w:numFmt w:val="lowerLetter"/>
      <w:lvlText w:val="(%1)"/>
      <w:lvlJc w:val="left"/>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5D5306BC"/>
    <w:multiLevelType w:val="hybridMultilevel"/>
    <w:tmpl w:val="37BA693E"/>
    <w:lvl w:ilvl="0" w:tplc="CE46FFC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7A2721D"/>
    <w:multiLevelType w:val="hybridMultilevel"/>
    <w:tmpl w:val="08867914"/>
    <w:lvl w:ilvl="0" w:tplc="7320F14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6A034E1D"/>
    <w:multiLevelType w:val="hybridMultilevel"/>
    <w:tmpl w:val="D50830DA"/>
    <w:lvl w:ilvl="0" w:tplc="D90A04D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728825DC"/>
    <w:multiLevelType w:val="hybridMultilevel"/>
    <w:tmpl w:val="33DAAB0C"/>
    <w:lvl w:ilvl="0" w:tplc="7320F14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73280937"/>
    <w:multiLevelType w:val="hybridMultilevel"/>
    <w:tmpl w:val="E7C28458"/>
    <w:lvl w:ilvl="0" w:tplc="ECDC3A3E">
      <w:start w:val="1"/>
      <w:numFmt w:val="upperLetter"/>
      <w:lvlText w:val="%1."/>
      <w:lvlJc w:val="left"/>
      <w:pPr>
        <w:ind w:left="4051" w:hanging="855"/>
      </w:pPr>
      <w:rPr>
        <w:rFonts w:hint="default"/>
      </w:rPr>
    </w:lvl>
    <w:lvl w:ilvl="1" w:tplc="08090019" w:tentative="1">
      <w:start w:val="1"/>
      <w:numFmt w:val="lowerLetter"/>
      <w:lvlText w:val="%2."/>
      <w:lvlJc w:val="left"/>
      <w:pPr>
        <w:ind w:left="4276" w:hanging="360"/>
      </w:pPr>
    </w:lvl>
    <w:lvl w:ilvl="2" w:tplc="0809001B" w:tentative="1">
      <w:start w:val="1"/>
      <w:numFmt w:val="lowerRoman"/>
      <w:lvlText w:val="%3."/>
      <w:lvlJc w:val="right"/>
      <w:pPr>
        <w:ind w:left="4996" w:hanging="180"/>
      </w:pPr>
    </w:lvl>
    <w:lvl w:ilvl="3" w:tplc="0809000F" w:tentative="1">
      <w:start w:val="1"/>
      <w:numFmt w:val="decimal"/>
      <w:lvlText w:val="%4."/>
      <w:lvlJc w:val="left"/>
      <w:pPr>
        <w:ind w:left="5716" w:hanging="360"/>
      </w:pPr>
    </w:lvl>
    <w:lvl w:ilvl="4" w:tplc="08090019" w:tentative="1">
      <w:start w:val="1"/>
      <w:numFmt w:val="lowerLetter"/>
      <w:lvlText w:val="%5."/>
      <w:lvlJc w:val="left"/>
      <w:pPr>
        <w:ind w:left="6436" w:hanging="360"/>
      </w:pPr>
    </w:lvl>
    <w:lvl w:ilvl="5" w:tplc="0809001B" w:tentative="1">
      <w:start w:val="1"/>
      <w:numFmt w:val="lowerRoman"/>
      <w:lvlText w:val="%6."/>
      <w:lvlJc w:val="right"/>
      <w:pPr>
        <w:ind w:left="7156" w:hanging="180"/>
      </w:pPr>
    </w:lvl>
    <w:lvl w:ilvl="6" w:tplc="0809000F" w:tentative="1">
      <w:start w:val="1"/>
      <w:numFmt w:val="decimal"/>
      <w:lvlText w:val="%7."/>
      <w:lvlJc w:val="left"/>
      <w:pPr>
        <w:ind w:left="7876" w:hanging="360"/>
      </w:pPr>
    </w:lvl>
    <w:lvl w:ilvl="7" w:tplc="08090019" w:tentative="1">
      <w:start w:val="1"/>
      <w:numFmt w:val="lowerLetter"/>
      <w:lvlText w:val="%8."/>
      <w:lvlJc w:val="left"/>
      <w:pPr>
        <w:ind w:left="8596" w:hanging="360"/>
      </w:pPr>
    </w:lvl>
    <w:lvl w:ilvl="8" w:tplc="0809001B" w:tentative="1">
      <w:start w:val="1"/>
      <w:numFmt w:val="lowerRoman"/>
      <w:lvlText w:val="%9."/>
      <w:lvlJc w:val="right"/>
      <w:pPr>
        <w:ind w:left="9316" w:hanging="180"/>
      </w:pPr>
    </w:lvl>
  </w:abstractNum>
  <w:abstractNum w:abstractNumId="34">
    <w:nsid w:val="7B570BF1"/>
    <w:multiLevelType w:val="hybridMultilevel"/>
    <w:tmpl w:val="2A185974"/>
    <w:lvl w:ilvl="0" w:tplc="50AEA014">
      <w:start w:val="1"/>
      <w:numFmt w:val="decimal"/>
      <w:lvlText w:val="%1."/>
      <w:lvlJc w:val="left"/>
      <w:pPr>
        <w:ind w:left="1711" w:hanging="576"/>
      </w:pPr>
      <w:rPr>
        <w:b w:val="0"/>
        <w:i w:val="0"/>
        <w:color w:val="auto"/>
        <w:sz w:val="20"/>
        <w:szCs w:val="20"/>
        <w:lang w:val="en-GB"/>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29"/>
  </w:num>
  <w:num w:numId="15">
    <w:abstractNumId w:val="14"/>
  </w:num>
  <w:num w:numId="16">
    <w:abstractNumId w:val="11"/>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3"/>
  </w:num>
  <w:num w:numId="20">
    <w:abstractNumId w:val="24"/>
  </w:num>
  <w:num w:numId="21">
    <w:abstractNumId w:val="17"/>
  </w:num>
  <w:num w:numId="22">
    <w:abstractNumId w:val="15"/>
  </w:num>
  <w:num w:numId="23">
    <w:abstractNumId w:val="23"/>
  </w:num>
  <w:num w:numId="24">
    <w:abstractNumId w:val="12"/>
  </w:num>
  <w:num w:numId="25">
    <w:abstractNumId w:val="30"/>
  </w:num>
  <w:num w:numId="26">
    <w:abstractNumId w:val="20"/>
  </w:num>
  <w:num w:numId="27">
    <w:abstractNumId w:val="31"/>
  </w:num>
  <w:num w:numId="28">
    <w:abstractNumId w:val="13"/>
  </w:num>
  <w:num w:numId="29">
    <w:abstractNumId w:val="32"/>
  </w:num>
  <w:num w:numId="30">
    <w:abstractNumId w:val="25"/>
  </w:num>
  <w:num w:numId="31">
    <w:abstractNumId w:val="21"/>
  </w:num>
  <w:num w:numId="32">
    <w:abstractNumId w:val="27"/>
  </w:num>
  <w:num w:numId="33">
    <w:abstractNumId w:val="22"/>
  </w:num>
  <w:num w:numId="34">
    <w:abstractNumId w:val="26"/>
  </w:num>
  <w:num w:numId="35">
    <w:abstractNumId w:val="28"/>
  </w:num>
  <w:num w:numId="3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fillcolor="white">
      <v:fill color="white"/>
    </o:shapedefaults>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A93"/>
    <w:rsid w:val="00001B99"/>
    <w:rsid w:val="00003796"/>
    <w:rsid w:val="00007E9E"/>
    <w:rsid w:val="000116CB"/>
    <w:rsid w:val="0001321F"/>
    <w:rsid w:val="00013DE0"/>
    <w:rsid w:val="00014165"/>
    <w:rsid w:val="00016AA6"/>
    <w:rsid w:val="000170F4"/>
    <w:rsid w:val="00017588"/>
    <w:rsid w:val="00017619"/>
    <w:rsid w:val="00024790"/>
    <w:rsid w:val="000255D0"/>
    <w:rsid w:val="00030884"/>
    <w:rsid w:val="00030B99"/>
    <w:rsid w:val="000337CD"/>
    <w:rsid w:val="000411BC"/>
    <w:rsid w:val="00042271"/>
    <w:rsid w:val="00050D8B"/>
    <w:rsid w:val="00050F6B"/>
    <w:rsid w:val="000513CD"/>
    <w:rsid w:val="0005311D"/>
    <w:rsid w:val="000563E4"/>
    <w:rsid w:val="00056D75"/>
    <w:rsid w:val="0005735B"/>
    <w:rsid w:val="00064E7F"/>
    <w:rsid w:val="000726E8"/>
    <w:rsid w:val="00072C8C"/>
    <w:rsid w:val="0007747A"/>
    <w:rsid w:val="000931C0"/>
    <w:rsid w:val="000A2266"/>
    <w:rsid w:val="000A36EE"/>
    <w:rsid w:val="000A4EF0"/>
    <w:rsid w:val="000A5527"/>
    <w:rsid w:val="000A63A7"/>
    <w:rsid w:val="000B087E"/>
    <w:rsid w:val="000B0FFE"/>
    <w:rsid w:val="000B175B"/>
    <w:rsid w:val="000B24A6"/>
    <w:rsid w:val="000B2B85"/>
    <w:rsid w:val="000B3908"/>
    <w:rsid w:val="000B3A0F"/>
    <w:rsid w:val="000B5B7F"/>
    <w:rsid w:val="000B7C86"/>
    <w:rsid w:val="000C2716"/>
    <w:rsid w:val="000C3162"/>
    <w:rsid w:val="000C37D5"/>
    <w:rsid w:val="000C4C55"/>
    <w:rsid w:val="000D34E5"/>
    <w:rsid w:val="000D3A12"/>
    <w:rsid w:val="000D5EFB"/>
    <w:rsid w:val="000D6FB6"/>
    <w:rsid w:val="000E0415"/>
    <w:rsid w:val="000E1E25"/>
    <w:rsid w:val="000E2536"/>
    <w:rsid w:val="000E315F"/>
    <w:rsid w:val="000F177E"/>
    <w:rsid w:val="000F2016"/>
    <w:rsid w:val="000F3789"/>
    <w:rsid w:val="000F63E4"/>
    <w:rsid w:val="000F7858"/>
    <w:rsid w:val="00100227"/>
    <w:rsid w:val="001101C0"/>
    <w:rsid w:val="00111B26"/>
    <w:rsid w:val="001153C3"/>
    <w:rsid w:val="0011548C"/>
    <w:rsid w:val="001179FF"/>
    <w:rsid w:val="00123327"/>
    <w:rsid w:val="00125AA0"/>
    <w:rsid w:val="0012639F"/>
    <w:rsid w:val="00126D70"/>
    <w:rsid w:val="0013289A"/>
    <w:rsid w:val="0013516A"/>
    <w:rsid w:val="001475CF"/>
    <w:rsid w:val="00153D0B"/>
    <w:rsid w:val="00155541"/>
    <w:rsid w:val="00160C9E"/>
    <w:rsid w:val="00165313"/>
    <w:rsid w:val="00165678"/>
    <w:rsid w:val="001700C7"/>
    <w:rsid w:val="00173234"/>
    <w:rsid w:val="00177518"/>
    <w:rsid w:val="00181CE5"/>
    <w:rsid w:val="00183058"/>
    <w:rsid w:val="001837E5"/>
    <w:rsid w:val="0018694B"/>
    <w:rsid w:val="001917A7"/>
    <w:rsid w:val="00192722"/>
    <w:rsid w:val="00192FAF"/>
    <w:rsid w:val="0019358F"/>
    <w:rsid w:val="001937A7"/>
    <w:rsid w:val="00194F9B"/>
    <w:rsid w:val="001A0CFA"/>
    <w:rsid w:val="001A2E96"/>
    <w:rsid w:val="001A3D8D"/>
    <w:rsid w:val="001A5F06"/>
    <w:rsid w:val="001A74BD"/>
    <w:rsid w:val="001B02DA"/>
    <w:rsid w:val="001B4B04"/>
    <w:rsid w:val="001B4BE0"/>
    <w:rsid w:val="001B4DD9"/>
    <w:rsid w:val="001B61E3"/>
    <w:rsid w:val="001C0713"/>
    <w:rsid w:val="001C18D6"/>
    <w:rsid w:val="001C36ED"/>
    <w:rsid w:val="001C5271"/>
    <w:rsid w:val="001C5291"/>
    <w:rsid w:val="001C6663"/>
    <w:rsid w:val="001C7895"/>
    <w:rsid w:val="001D1861"/>
    <w:rsid w:val="001D26DF"/>
    <w:rsid w:val="001D3230"/>
    <w:rsid w:val="001E1BAF"/>
    <w:rsid w:val="001E2CB2"/>
    <w:rsid w:val="001F3FDF"/>
    <w:rsid w:val="001F6081"/>
    <w:rsid w:val="001F60DB"/>
    <w:rsid w:val="001F74B2"/>
    <w:rsid w:val="00202AF1"/>
    <w:rsid w:val="00204081"/>
    <w:rsid w:val="002051D5"/>
    <w:rsid w:val="00205E77"/>
    <w:rsid w:val="00211E0B"/>
    <w:rsid w:val="002145DA"/>
    <w:rsid w:val="0023101F"/>
    <w:rsid w:val="00234ADB"/>
    <w:rsid w:val="0023637A"/>
    <w:rsid w:val="00236B1D"/>
    <w:rsid w:val="00240B60"/>
    <w:rsid w:val="0024165B"/>
    <w:rsid w:val="00242A93"/>
    <w:rsid w:val="00243E9C"/>
    <w:rsid w:val="002464E3"/>
    <w:rsid w:val="00246FD4"/>
    <w:rsid w:val="00250EC4"/>
    <w:rsid w:val="00263120"/>
    <w:rsid w:val="00266181"/>
    <w:rsid w:val="0027187A"/>
    <w:rsid w:val="002843A0"/>
    <w:rsid w:val="002846D9"/>
    <w:rsid w:val="002926BC"/>
    <w:rsid w:val="002959C2"/>
    <w:rsid w:val="002A66E8"/>
    <w:rsid w:val="002B1C3A"/>
    <w:rsid w:val="002B5DED"/>
    <w:rsid w:val="002B75D4"/>
    <w:rsid w:val="002B7E05"/>
    <w:rsid w:val="002C0BE3"/>
    <w:rsid w:val="002C1690"/>
    <w:rsid w:val="002C262B"/>
    <w:rsid w:val="002C59D4"/>
    <w:rsid w:val="002C5F71"/>
    <w:rsid w:val="002C6A1F"/>
    <w:rsid w:val="002D20DB"/>
    <w:rsid w:val="002E0EBC"/>
    <w:rsid w:val="002E416E"/>
    <w:rsid w:val="002E4711"/>
    <w:rsid w:val="002E5327"/>
    <w:rsid w:val="002F14A7"/>
    <w:rsid w:val="002F1566"/>
    <w:rsid w:val="002F168C"/>
    <w:rsid w:val="002F3320"/>
    <w:rsid w:val="002F6E5E"/>
    <w:rsid w:val="00302F3B"/>
    <w:rsid w:val="003107FA"/>
    <w:rsid w:val="00310AFD"/>
    <w:rsid w:val="003125F0"/>
    <w:rsid w:val="00313BB7"/>
    <w:rsid w:val="00315D28"/>
    <w:rsid w:val="003229D8"/>
    <w:rsid w:val="00326AA0"/>
    <w:rsid w:val="0033128A"/>
    <w:rsid w:val="00332A43"/>
    <w:rsid w:val="003335E1"/>
    <w:rsid w:val="00336041"/>
    <w:rsid w:val="00344DE0"/>
    <w:rsid w:val="0035097E"/>
    <w:rsid w:val="00351568"/>
    <w:rsid w:val="00360313"/>
    <w:rsid w:val="003710F6"/>
    <w:rsid w:val="00371930"/>
    <w:rsid w:val="003719E1"/>
    <w:rsid w:val="00371B04"/>
    <w:rsid w:val="00373ADA"/>
    <w:rsid w:val="00374514"/>
    <w:rsid w:val="00374A6D"/>
    <w:rsid w:val="00382603"/>
    <w:rsid w:val="003829A3"/>
    <w:rsid w:val="003836C1"/>
    <w:rsid w:val="00383739"/>
    <w:rsid w:val="0038421B"/>
    <w:rsid w:val="00390F10"/>
    <w:rsid w:val="0039277A"/>
    <w:rsid w:val="0039293A"/>
    <w:rsid w:val="00396D66"/>
    <w:rsid w:val="003972E0"/>
    <w:rsid w:val="003A1192"/>
    <w:rsid w:val="003A134F"/>
    <w:rsid w:val="003A3758"/>
    <w:rsid w:val="003A3794"/>
    <w:rsid w:val="003A565B"/>
    <w:rsid w:val="003B5106"/>
    <w:rsid w:val="003C105B"/>
    <w:rsid w:val="003C2CC4"/>
    <w:rsid w:val="003C3C4D"/>
    <w:rsid w:val="003C6107"/>
    <w:rsid w:val="003D4649"/>
    <w:rsid w:val="003D46CC"/>
    <w:rsid w:val="003D4B23"/>
    <w:rsid w:val="003D5C2C"/>
    <w:rsid w:val="003D6429"/>
    <w:rsid w:val="003D6B65"/>
    <w:rsid w:val="003D7146"/>
    <w:rsid w:val="003D783E"/>
    <w:rsid w:val="003E3E4C"/>
    <w:rsid w:val="003F0CB4"/>
    <w:rsid w:val="003F111F"/>
    <w:rsid w:val="003F53DC"/>
    <w:rsid w:val="003F5C6D"/>
    <w:rsid w:val="003F78B1"/>
    <w:rsid w:val="0041099C"/>
    <w:rsid w:val="00410A38"/>
    <w:rsid w:val="0041543A"/>
    <w:rsid w:val="004170E9"/>
    <w:rsid w:val="004213EC"/>
    <w:rsid w:val="00431748"/>
    <w:rsid w:val="004325CB"/>
    <w:rsid w:val="00432D9E"/>
    <w:rsid w:val="00440663"/>
    <w:rsid w:val="004447E6"/>
    <w:rsid w:val="004464E0"/>
    <w:rsid w:val="00446DE4"/>
    <w:rsid w:val="004474BB"/>
    <w:rsid w:val="004478B2"/>
    <w:rsid w:val="004529CC"/>
    <w:rsid w:val="00452E3C"/>
    <w:rsid w:val="00457830"/>
    <w:rsid w:val="004623D5"/>
    <w:rsid w:val="0046437F"/>
    <w:rsid w:val="00465964"/>
    <w:rsid w:val="00471411"/>
    <w:rsid w:val="004769AE"/>
    <w:rsid w:val="00477400"/>
    <w:rsid w:val="00477CE1"/>
    <w:rsid w:val="00477F15"/>
    <w:rsid w:val="00480DD8"/>
    <w:rsid w:val="0048221C"/>
    <w:rsid w:val="00487EEC"/>
    <w:rsid w:val="004A324E"/>
    <w:rsid w:val="004A41CA"/>
    <w:rsid w:val="004B0E81"/>
    <w:rsid w:val="004B1BFF"/>
    <w:rsid w:val="004B386F"/>
    <w:rsid w:val="004B3B21"/>
    <w:rsid w:val="004B7FC9"/>
    <w:rsid w:val="004C70B3"/>
    <w:rsid w:val="004D2E45"/>
    <w:rsid w:val="004D43FF"/>
    <w:rsid w:val="004D6867"/>
    <w:rsid w:val="004D7754"/>
    <w:rsid w:val="004F59D6"/>
    <w:rsid w:val="00502825"/>
    <w:rsid w:val="00502A31"/>
    <w:rsid w:val="005135AD"/>
    <w:rsid w:val="005150E0"/>
    <w:rsid w:val="005221C7"/>
    <w:rsid w:val="0052320D"/>
    <w:rsid w:val="00527DDA"/>
    <w:rsid w:val="00533DCC"/>
    <w:rsid w:val="00536151"/>
    <w:rsid w:val="00540E79"/>
    <w:rsid w:val="005420F2"/>
    <w:rsid w:val="00542D8C"/>
    <w:rsid w:val="00544428"/>
    <w:rsid w:val="00551BBC"/>
    <w:rsid w:val="0055264B"/>
    <w:rsid w:val="00553792"/>
    <w:rsid w:val="0055651A"/>
    <w:rsid w:val="0056504B"/>
    <w:rsid w:val="005679BE"/>
    <w:rsid w:val="005722BC"/>
    <w:rsid w:val="00572756"/>
    <w:rsid w:val="00573D87"/>
    <w:rsid w:val="00574445"/>
    <w:rsid w:val="00575CCC"/>
    <w:rsid w:val="00580E52"/>
    <w:rsid w:val="005815B3"/>
    <w:rsid w:val="00585B80"/>
    <w:rsid w:val="00587076"/>
    <w:rsid w:val="005939A8"/>
    <w:rsid w:val="00596B4F"/>
    <w:rsid w:val="00597B2E"/>
    <w:rsid w:val="005A1ED0"/>
    <w:rsid w:val="005A2C6D"/>
    <w:rsid w:val="005B2E34"/>
    <w:rsid w:val="005B3DB3"/>
    <w:rsid w:val="005B4153"/>
    <w:rsid w:val="005B4F3F"/>
    <w:rsid w:val="005C0706"/>
    <w:rsid w:val="005C4249"/>
    <w:rsid w:val="005C4400"/>
    <w:rsid w:val="005C5029"/>
    <w:rsid w:val="005D0357"/>
    <w:rsid w:val="005D35B0"/>
    <w:rsid w:val="005D7A78"/>
    <w:rsid w:val="005E37B4"/>
    <w:rsid w:val="005E6D93"/>
    <w:rsid w:val="005F0D1D"/>
    <w:rsid w:val="005F4C7C"/>
    <w:rsid w:val="005F5110"/>
    <w:rsid w:val="00606193"/>
    <w:rsid w:val="00611FC4"/>
    <w:rsid w:val="00612E15"/>
    <w:rsid w:val="006144A7"/>
    <w:rsid w:val="0061628C"/>
    <w:rsid w:val="006176FB"/>
    <w:rsid w:val="00620973"/>
    <w:rsid w:val="00622822"/>
    <w:rsid w:val="00625015"/>
    <w:rsid w:val="006268F1"/>
    <w:rsid w:val="00627ED0"/>
    <w:rsid w:val="00630BA0"/>
    <w:rsid w:val="00633109"/>
    <w:rsid w:val="006340AE"/>
    <w:rsid w:val="00637580"/>
    <w:rsid w:val="00640B26"/>
    <w:rsid w:val="006449EE"/>
    <w:rsid w:val="00646FC3"/>
    <w:rsid w:val="00650E27"/>
    <w:rsid w:val="00651A03"/>
    <w:rsid w:val="00651AAF"/>
    <w:rsid w:val="00652599"/>
    <w:rsid w:val="00652C08"/>
    <w:rsid w:val="00662121"/>
    <w:rsid w:val="0066261A"/>
    <w:rsid w:val="00665595"/>
    <w:rsid w:val="0066568E"/>
    <w:rsid w:val="006700D0"/>
    <w:rsid w:val="0067374C"/>
    <w:rsid w:val="00677AD4"/>
    <w:rsid w:val="0068013C"/>
    <w:rsid w:val="00680595"/>
    <w:rsid w:val="00681AFE"/>
    <w:rsid w:val="00685A25"/>
    <w:rsid w:val="00690833"/>
    <w:rsid w:val="00690EB4"/>
    <w:rsid w:val="006913E2"/>
    <w:rsid w:val="0069153D"/>
    <w:rsid w:val="0069404B"/>
    <w:rsid w:val="0069547C"/>
    <w:rsid w:val="00696218"/>
    <w:rsid w:val="006A26DC"/>
    <w:rsid w:val="006A58A3"/>
    <w:rsid w:val="006A7392"/>
    <w:rsid w:val="006B08F9"/>
    <w:rsid w:val="006B163F"/>
    <w:rsid w:val="006C0A34"/>
    <w:rsid w:val="006C151F"/>
    <w:rsid w:val="006C44C6"/>
    <w:rsid w:val="006C711B"/>
    <w:rsid w:val="006D43B1"/>
    <w:rsid w:val="006D5707"/>
    <w:rsid w:val="006E0A73"/>
    <w:rsid w:val="006E2554"/>
    <w:rsid w:val="006E2762"/>
    <w:rsid w:val="006E2DC3"/>
    <w:rsid w:val="006E564B"/>
    <w:rsid w:val="006E7A1C"/>
    <w:rsid w:val="006F2455"/>
    <w:rsid w:val="006F2986"/>
    <w:rsid w:val="006F608B"/>
    <w:rsid w:val="007005CE"/>
    <w:rsid w:val="00702FE5"/>
    <w:rsid w:val="007052D0"/>
    <w:rsid w:val="00705BA6"/>
    <w:rsid w:val="007177E1"/>
    <w:rsid w:val="00721ED8"/>
    <w:rsid w:val="007232A9"/>
    <w:rsid w:val="0072332E"/>
    <w:rsid w:val="0072534B"/>
    <w:rsid w:val="0072632A"/>
    <w:rsid w:val="00726804"/>
    <w:rsid w:val="007274AE"/>
    <w:rsid w:val="00730DA5"/>
    <w:rsid w:val="007318DD"/>
    <w:rsid w:val="00737236"/>
    <w:rsid w:val="00737A4C"/>
    <w:rsid w:val="00742241"/>
    <w:rsid w:val="0074485B"/>
    <w:rsid w:val="00744CA4"/>
    <w:rsid w:val="00747D37"/>
    <w:rsid w:val="0075137E"/>
    <w:rsid w:val="00753013"/>
    <w:rsid w:val="00763D05"/>
    <w:rsid w:val="00765ADB"/>
    <w:rsid w:val="007767BB"/>
    <w:rsid w:val="007771A3"/>
    <w:rsid w:val="00781D9E"/>
    <w:rsid w:val="00784C0B"/>
    <w:rsid w:val="007A1923"/>
    <w:rsid w:val="007A6704"/>
    <w:rsid w:val="007A690C"/>
    <w:rsid w:val="007A7346"/>
    <w:rsid w:val="007A7D91"/>
    <w:rsid w:val="007B6BA5"/>
    <w:rsid w:val="007C1FBF"/>
    <w:rsid w:val="007C3390"/>
    <w:rsid w:val="007C45DA"/>
    <w:rsid w:val="007C4CB5"/>
    <w:rsid w:val="007C4F4B"/>
    <w:rsid w:val="007C5D2F"/>
    <w:rsid w:val="007D7279"/>
    <w:rsid w:val="007E2C6D"/>
    <w:rsid w:val="007E4D3F"/>
    <w:rsid w:val="007E6952"/>
    <w:rsid w:val="007F0B83"/>
    <w:rsid w:val="007F1E0C"/>
    <w:rsid w:val="007F5943"/>
    <w:rsid w:val="007F65FB"/>
    <w:rsid w:val="007F6611"/>
    <w:rsid w:val="00803C67"/>
    <w:rsid w:val="00807C7C"/>
    <w:rsid w:val="00815810"/>
    <w:rsid w:val="00815B87"/>
    <w:rsid w:val="008175E9"/>
    <w:rsid w:val="0082270E"/>
    <w:rsid w:val="00823426"/>
    <w:rsid w:val="00823820"/>
    <w:rsid w:val="008242D7"/>
    <w:rsid w:val="00825A12"/>
    <w:rsid w:val="008270ED"/>
    <w:rsid w:val="008311A3"/>
    <w:rsid w:val="0083486E"/>
    <w:rsid w:val="00837067"/>
    <w:rsid w:val="00840224"/>
    <w:rsid w:val="00842EC5"/>
    <w:rsid w:val="00843343"/>
    <w:rsid w:val="00843B11"/>
    <w:rsid w:val="00852B9B"/>
    <w:rsid w:val="008571CC"/>
    <w:rsid w:val="0086762C"/>
    <w:rsid w:val="0087108F"/>
    <w:rsid w:val="00871FD5"/>
    <w:rsid w:val="00874777"/>
    <w:rsid w:val="00881DFD"/>
    <w:rsid w:val="00886B91"/>
    <w:rsid w:val="00892BFA"/>
    <w:rsid w:val="008979B1"/>
    <w:rsid w:val="008A07C6"/>
    <w:rsid w:val="008A1266"/>
    <w:rsid w:val="008A154E"/>
    <w:rsid w:val="008A3B3C"/>
    <w:rsid w:val="008A5A80"/>
    <w:rsid w:val="008A6B25"/>
    <w:rsid w:val="008A6C4F"/>
    <w:rsid w:val="008B4BA4"/>
    <w:rsid w:val="008B6571"/>
    <w:rsid w:val="008B7450"/>
    <w:rsid w:val="008B7A3C"/>
    <w:rsid w:val="008B7E76"/>
    <w:rsid w:val="008C375C"/>
    <w:rsid w:val="008C5CA7"/>
    <w:rsid w:val="008C7F2E"/>
    <w:rsid w:val="008C7FCF"/>
    <w:rsid w:val="008D20B5"/>
    <w:rsid w:val="008D539F"/>
    <w:rsid w:val="008D74FE"/>
    <w:rsid w:val="008D7D8E"/>
    <w:rsid w:val="008E0E46"/>
    <w:rsid w:val="008E122D"/>
    <w:rsid w:val="008E4FCB"/>
    <w:rsid w:val="008E653C"/>
    <w:rsid w:val="008E7EBE"/>
    <w:rsid w:val="008F1555"/>
    <w:rsid w:val="008F2548"/>
    <w:rsid w:val="008F78EE"/>
    <w:rsid w:val="008F79B2"/>
    <w:rsid w:val="00903522"/>
    <w:rsid w:val="00903B83"/>
    <w:rsid w:val="00907AD2"/>
    <w:rsid w:val="00911228"/>
    <w:rsid w:val="009167E4"/>
    <w:rsid w:val="00922B52"/>
    <w:rsid w:val="00925E4E"/>
    <w:rsid w:val="00930FCA"/>
    <w:rsid w:val="00933BB1"/>
    <w:rsid w:val="009359E3"/>
    <w:rsid w:val="00936918"/>
    <w:rsid w:val="00943979"/>
    <w:rsid w:val="009513B5"/>
    <w:rsid w:val="009552FC"/>
    <w:rsid w:val="00955508"/>
    <w:rsid w:val="009559BE"/>
    <w:rsid w:val="00963CBA"/>
    <w:rsid w:val="00964452"/>
    <w:rsid w:val="009659F6"/>
    <w:rsid w:val="00974A8D"/>
    <w:rsid w:val="00974AD4"/>
    <w:rsid w:val="00974BCA"/>
    <w:rsid w:val="00986613"/>
    <w:rsid w:val="00986F7D"/>
    <w:rsid w:val="00990759"/>
    <w:rsid w:val="00991261"/>
    <w:rsid w:val="009A2ADF"/>
    <w:rsid w:val="009A2B7C"/>
    <w:rsid w:val="009A3106"/>
    <w:rsid w:val="009A42EE"/>
    <w:rsid w:val="009A4E3E"/>
    <w:rsid w:val="009A5EA2"/>
    <w:rsid w:val="009A60AE"/>
    <w:rsid w:val="009A6E23"/>
    <w:rsid w:val="009B0454"/>
    <w:rsid w:val="009B2979"/>
    <w:rsid w:val="009C0E0C"/>
    <w:rsid w:val="009C3E66"/>
    <w:rsid w:val="009C43CE"/>
    <w:rsid w:val="009C680B"/>
    <w:rsid w:val="009D29A4"/>
    <w:rsid w:val="009E4ACF"/>
    <w:rsid w:val="009E4FED"/>
    <w:rsid w:val="009E7C2A"/>
    <w:rsid w:val="009F22A1"/>
    <w:rsid w:val="009F3A17"/>
    <w:rsid w:val="00A02BEC"/>
    <w:rsid w:val="00A05FB3"/>
    <w:rsid w:val="00A11821"/>
    <w:rsid w:val="00A1427D"/>
    <w:rsid w:val="00A14809"/>
    <w:rsid w:val="00A200CB"/>
    <w:rsid w:val="00A21ADA"/>
    <w:rsid w:val="00A26F5D"/>
    <w:rsid w:val="00A416A9"/>
    <w:rsid w:val="00A4594D"/>
    <w:rsid w:val="00A50362"/>
    <w:rsid w:val="00A50F86"/>
    <w:rsid w:val="00A609FF"/>
    <w:rsid w:val="00A623BC"/>
    <w:rsid w:val="00A64F73"/>
    <w:rsid w:val="00A66C94"/>
    <w:rsid w:val="00A7150E"/>
    <w:rsid w:val="00A72F22"/>
    <w:rsid w:val="00A72FE1"/>
    <w:rsid w:val="00A748A6"/>
    <w:rsid w:val="00A77059"/>
    <w:rsid w:val="00A83172"/>
    <w:rsid w:val="00A85C4C"/>
    <w:rsid w:val="00A879A4"/>
    <w:rsid w:val="00A90558"/>
    <w:rsid w:val="00A90D03"/>
    <w:rsid w:val="00A9232E"/>
    <w:rsid w:val="00A94CBA"/>
    <w:rsid w:val="00AA0727"/>
    <w:rsid w:val="00AB2CEC"/>
    <w:rsid w:val="00AB3955"/>
    <w:rsid w:val="00AB64BD"/>
    <w:rsid w:val="00AC5153"/>
    <w:rsid w:val="00AC744D"/>
    <w:rsid w:val="00AD0CA3"/>
    <w:rsid w:val="00AD159B"/>
    <w:rsid w:val="00AD4202"/>
    <w:rsid w:val="00AD5002"/>
    <w:rsid w:val="00AE3ADD"/>
    <w:rsid w:val="00AE7082"/>
    <w:rsid w:val="00AF1905"/>
    <w:rsid w:val="00AF259E"/>
    <w:rsid w:val="00AF2791"/>
    <w:rsid w:val="00AF7500"/>
    <w:rsid w:val="00B03E1A"/>
    <w:rsid w:val="00B05F36"/>
    <w:rsid w:val="00B06459"/>
    <w:rsid w:val="00B073B0"/>
    <w:rsid w:val="00B10F56"/>
    <w:rsid w:val="00B14858"/>
    <w:rsid w:val="00B20D2F"/>
    <w:rsid w:val="00B222CE"/>
    <w:rsid w:val="00B23AC6"/>
    <w:rsid w:val="00B24BC9"/>
    <w:rsid w:val="00B24EB7"/>
    <w:rsid w:val="00B27AF8"/>
    <w:rsid w:val="00B30179"/>
    <w:rsid w:val="00B30677"/>
    <w:rsid w:val="00B306D4"/>
    <w:rsid w:val="00B33EC0"/>
    <w:rsid w:val="00B44C3B"/>
    <w:rsid w:val="00B47D48"/>
    <w:rsid w:val="00B549CC"/>
    <w:rsid w:val="00B701CA"/>
    <w:rsid w:val="00B70E0F"/>
    <w:rsid w:val="00B73A17"/>
    <w:rsid w:val="00B74026"/>
    <w:rsid w:val="00B765C6"/>
    <w:rsid w:val="00B76D0F"/>
    <w:rsid w:val="00B77882"/>
    <w:rsid w:val="00B806A3"/>
    <w:rsid w:val="00B8180E"/>
    <w:rsid w:val="00B81E12"/>
    <w:rsid w:val="00B82CCF"/>
    <w:rsid w:val="00B92736"/>
    <w:rsid w:val="00B92952"/>
    <w:rsid w:val="00B9401B"/>
    <w:rsid w:val="00B9474B"/>
    <w:rsid w:val="00BA0659"/>
    <w:rsid w:val="00BA1B53"/>
    <w:rsid w:val="00BA24D9"/>
    <w:rsid w:val="00BA3A0E"/>
    <w:rsid w:val="00BA5E46"/>
    <w:rsid w:val="00BA670A"/>
    <w:rsid w:val="00BB476A"/>
    <w:rsid w:val="00BC0578"/>
    <w:rsid w:val="00BC591E"/>
    <w:rsid w:val="00BC74E9"/>
    <w:rsid w:val="00BD07EF"/>
    <w:rsid w:val="00BD52EB"/>
    <w:rsid w:val="00BD5FBF"/>
    <w:rsid w:val="00BE0D28"/>
    <w:rsid w:val="00BE3D39"/>
    <w:rsid w:val="00BE4F74"/>
    <w:rsid w:val="00BE5A5B"/>
    <w:rsid w:val="00BE618E"/>
    <w:rsid w:val="00BF214F"/>
    <w:rsid w:val="00BF32D9"/>
    <w:rsid w:val="00BF5813"/>
    <w:rsid w:val="00BF7450"/>
    <w:rsid w:val="00C043D8"/>
    <w:rsid w:val="00C04D25"/>
    <w:rsid w:val="00C11B6B"/>
    <w:rsid w:val="00C25066"/>
    <w:rsid w:val="00C31820"/>
    <w:rsid w:val="00C43863"/>
    <w:rsid w:val="00C45986"/>
    <w:rsid w:val="00C463DD"/>
    <w:rsid w:val="00C515BD"/>
    <w:rsid w:val="00C576C9"/>
    <w:rsid w:val="00C67CEE"/>
    <w:rsid w:val="00C728BC"/>
    <w:rsid w:val="00C745C3"/>
    <w:rsid w:val="00C7649E"/>
    <w:rsid w:val="00C8468D"/>
    <w:rsid w:val="00C85A4D"/>
    <w:rsid w:val="00C93D96"/>
    <w:rsid w:val="00C948B4"/>
    <w:rsid w:val="00C9540E"/>
    <w:rsid w:val="00C95F64"/>
    <w:rsid w:val="00C97AA3"/>
    <w:rsid w:val="00CA0FCE"/>
    <w:rsid w:val="00CA2AC6"/>
    <w:rsid w:val="00CB04EC"/>
    <w:rsid w:val="00CB14F0"/>
    <w:rsid w:val="00CB1B4A"/>
    <w:rsid w:val="00CB2B02"/>
    <w:rsid w:val="00CB33EB"/>
    <w:rsid w:val="00CC0BB1"/>
    <w:rsid w:val="00CC14CE"/>
    <w:rsid w:val="00CC3C46"/>
    <w:rsid w:val="00CD0A46"/>
    <w:rsid w:val="00CD0CEA"/>
    <w:rsid w:val="00CE4A8F"/>
    <w:rsid w:val="00CE55A0"/>
    <w:rsid w:val="00CE6C07"/>
    <w:rsid w:val="00CF4EE5"/>
    <w:rsid w:val="00CF5E38"/>
    <w:rsid w:val="00CF6152"/>
    <w:rsid w:val="00D019D6"/>
    <w:rsid w:val="00D067C4"/>
    <w:rsid w:val="00D13424"/>
    <w:rsid w:val="00D164AD"/>
    <w:rsid w:val="00D2031B"/>
    <w:rsid w:val="00D25FE2"/>
    <w:rsid w:val="00D300DE"/>
    <w:rsid w:val="00D317BB"/>
    <w:rsid w:val="00D32B4C"/>
    <w:rsid w:val="00D355A1"/>
    <w:rsid w:val="00D4055D"/>
    <w:rsid w:val="00D4103E"/>
    <w:rsid w:val="00D423EC"/>
    <w:rsid w:val="00D43252"/>
    <w:rsid w:val="00D45037"/>
    <w:rsid w:val="00D45E0D"/>
    <w:rsid w:val="00D46FD2"/>
    <w:rsid w:val="00D47BCF"/>
    <w:rsid w:val="00D55F0E"/>
    <w:rsid w:val="00D56B0E"/>
    <w:rsid w:val="00D633E8"/>
    <w:rsid w:val="00D6750D"/>
    <w:rsid w:val="00D75742"/>
    <w:rsid w:val="00D80302"/>
    <w:rsid w:val="00D82691"/>
    <w:rsid w:val="00D84C6E"/>
    <w:rsid w:val="00D8748E"/>
    <w:rsid w:val="00D968F0"/>
    <w:rsid w:val="00D978C6"/>
    <w:rsid w:val="00DA3693"/>
    <w:rsid w:val="00DA4D38"/>
    <w:rsid w:val="00DA67AD"/>
    <w:rsid w:val="00DB0F0D"/>
    <w:rsid w:val="00DB166A"/>
    <w:rsid w:val="00DC242D"/>
    <w:rsid w:val="00DC36D8"/>
    <w:rsid w:val="00DD1051"/>
    <w:rsid w:val="00DD6F95"/>
    <w:rsid w:val="00DD7073"/>
    <w:rsid w:val="00DE0B64"/>
    <w:rsid w:val="00DF12F7"/>
    <w:rsid w:val="00E02C81"/>
    <w:rsid w:val="00E04FFD"/>
    <w:rsid w:val="00E0678D"/>
    <w:rsid w:val="00E07EB0"/>
    <w:rsid w:val="00E10ADF"/>
    <w:rsid w:val="00E11495"/>
    <w:rsid w:val="00E12D6F"/>
    <w:rsid w:val="00E130AB"/>
    <w:rsid w:val="00E134E2"/>
    <w:rsid w:val="00E17EBB"/>
    <w:rsid w:val="00E23842"/>
    <w:rsid w:val="00E32F98"/>
    <w:rsid w:val="00E34533"/>
    <w:rsid w:val="00E37D10"/>
    <w:rsid w:val="00E40BEF"/>
    <w:rsid w:val="00E40F25"/>
    <w:rsid w:val="00E42E4F"/>
    <w:rsid w:val="00E5203C"/>
    <w:rsid w:val="00E53FB9"/>
    <w:rsid w:val="00E55A34"/>
    <w:rsid w:val="00E55FE5"/>
    <w:rsid w:val="00E57021"/>
    <w:rsid w:val="00E62310"/>
    <w:rsid w:val="00E62C9D"/>
    <w:rsid w:val="00E6398B"/>
    <w:rsid w:val="00E71DB2"/>
    <w:rsid w:val="00E7260F"/>
    <w:rsid w:val="00E73015"/>
    <w:rsid w:val="00E7325B"/>
    <w:rsid w:val="00E76B60"/>
    <w:rsid w:val="00E76ED5"/>
    <w:rsid w:val="00E82F77"/>
    <w:rsid w:val="00E83442"/>
    <w:rsid w:val="00E855E0"/>
    <w:rsid w:val="00E871DF"/>
    <w:rsid w:val="00E87921"/>
    <w:rsid w:val="00E905FF"/>
    <w:rsid w:val="00E910E0"/>
    <w:rsid w:val="00E92DE5"/>
    <w:rsid w:val="00E9443B"/>
    <w:rsid w:val="00E96630"/>
    <w:rsid w:val="00E96A37"/>
    <w:rsid w:val="00EA08B6"/>
    <w:rsid w:val="00EA4F28"/>
    <w:rsid w:val="00EB012C"/>
    <w:rsid w:val="00EB3D6C"/>
    <w:rsid w:val="00EC0107"/>
    <w:rsid w:val="00EC3630"/>
    <w:rsid w:val="00ED0AD3"/>
    <w:rsid w:val="00ED146D"/>
    <w:rsid w:val="00ED7A2A"/>
    <w:rsid w:val="00EE7280"/>
    <w:rsid w:val="00EF1D7F"/>
    <w:rsid w:val="00EF215B"/>
    <w:rsid w:val="00EF22F9"/>
    <w:rsid w:val="00EF49A8"/>
    <w:rsid w:val="00F033C3"/>
    <w:rsid w:val="00F150A2"/>
    <w:rsid w:val="00F1616A"/>
    <w:rsid w:val="00F23F34"/>
    <w:rsid w:val="00F3021B"/>
    <w:rsid w:val="00F30638"/>
    <w:rsid w:val="00F410F5"/>
    <w:rsid w:val="00F450DC"/>
    <w:rsid w:val="00F472B8"/>
    <w:rsid w:val="00F50481"/>
    <w:rsid w:val="00F50F3E"/>
    <w:rsid w:val="00F5173F"/>
    <w:rsid w:val="00F53EDA"/>
    <w:rsid w:val="00F5448F"/>
    <w:rsid w:val="00F5637F"/>
    <w:rsid w:val="00F61A5F"/>
    <w:rsid w:val="00F636AD"/>
    <w:rsid w:val="00F6391B"/>
    <w:rsid w:val="00F74057"/>
    <w:rsid w:val="00F7753D"/>
    <w:rsid w:val="00F85F34"/>
    <w:rsid w:val="00F9054F"/>
    <w:rsid w:val="00F9204D"/>
    <w:rsid w:val="00F926BA"/>
    <w:rsid w:val="00F96A0A"/>
    <w:rsid w:val="00FA06F7"/>
    <w:rsid w:val="00FA5F55"/>
    <w:rsid w:val="00FB1138"/>
    <w:rsid w:val="00FB171A"/>
    <w:rsid w:val="00FB2C1E"/>
    <w:rsid w:val="00FB6EFF"/>
    <w:rsid w:val="00FC0DB9"/>
    <w:rsid w:val="00FC68B7"/>
    <w:rsid w:val="00FD2B55"/>
    <w:rsid w:val="00FD6CD0"/>
    <w:rsid w:val="00FD7BF6"/>
    <w:rsid w:val="00FE100A"/>
    <w:rsid w:val="00FF1B15"/>
    <w:rsid w:val="00FF3D14"/>
    <w:rsid w:val="00FF4F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paragraph" w:styleId="ListParagraph">
    <w:name w:val="List Paragraph"/>
    <w:basedOn w:val="Normal"/>
    <w:uiPriority w:val="34"/>
    <w:qFormat/>
    <w:rsid w:val="00B73A17"/>
    <w:pPr>
      <w:ind w:left="567"/>
    </w:pPr>
  </w:style>
  <w:style w:type="character" w:customStyle="1" w:styleId="SingleTxtGCar">
    <w:name w:val="_ Single Txt_G Car"/>
    <w:locked/>
    <w:rsid w:val="001A0CFA"/>
    <w:rPr>
      <w:rFonts w:ascii="Times New Roman" w:eastAsia="SimSun" w:hAnsi="Times New Roman"/>
      <w:lang w:eastAsia="en-US"/>
    </w:rPr>
  </w:style>
  <w:style w:type="paragraph" w:styleId="CommentSubject">
    <w:name w:val="annotation subject"/>
    <w:basedOn w:val="CommentText"/>
    <w:next w:val="CommentText"/>
    <w:link w:val="CommentSubjectChar"/>
    <w:rsid w:val="00D4103E"/>
    <w:rPr>
      <w:b/>
      <w:bCs/>
    </w:rPr>
  </w:style>
  <w:style w:type="character" w:customStyle="1" w:styleId="CommentTextChar">
    <w:name w:val="Comment Text Char"/>
    <w:link w:val="CommentText"/>
    <w:semiHidden/>
    <w:rsid w:val="00D4103E"/>
    <w:rPr>
      <w:lang w:eastAsia="en-US"/>
    </w:rPr>
  </w:style>
  <w:style w:type="character" w:customStyle="1" w:styleId="CommentSubjectChar">
    <w:name w:val="Comment Subject Char"/>
    <w:link w:val="CommentSubject"/>
    <w:rsid w:val="00D4103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32826">
      <w:bodyDiv w:val="1"/>
      <w:marLeft w:val="0"/>
      <w:marRight w:val="0"/>
      <w:marTop w:val="0"/>
      <w:marBottom w:val="0"/>
      <w:divBdr>
        <w:top w:val="none" w:sz="0" w:space="0" w:color="auto"/>
        <w:left w:val="none" w:sz="0" w:space="0" w:color="auto"/>
        <w:bottom w:val="none" w:sz="0" w:space="0" w:color="auto"/>
        <w:right w:val="none" w:sz="0" w:space="0" w:color="auto"/>
      </w:divBdr>
    </w:div>
    <w:div w:id="1416435982">
      <w:bodyDiv w:val="1"/>
      <w:marLeft w:val="0"/>
      <w:marRight w:val="0"/>
      <w:marTop w:val="0"/>
      <w:marBottom w:val="0"/>
      <w:divBdr>
        <w:top w:val="none" w:sz="0" w:space="0" w:color="auto"/>
        <w:left w:val="none" w:sz="0" w:space="0" w:color="auto"/>
        <w:bottom w:val="none" w:sz="0" w:space="0" w:color="auto"/>
        <w:right w:val="none" w:sz="0" w:space="0" w:color="auto"/>
      </w:divBdr>
    </w:div>
    <w:div w:id="1779181976">
      <w:bodyDiv w:val="1"/>
      <w:marLeft w:val="0"/>
      <w:marRight w:val="0"/>
      <w:marTop w:val="0"/>
      <w:marBottom w:val="0"/>
      <w:divBdr>
        <w:top w:val="none" w:sz="0" w:space="0" w:color="auto"/>
        <w:left w:val="none" w:sz="0" w:space="0" w:color="auto"/>
        <w:bottom w:val="none" w:sz="0" w:space="0" w:color="auto"/>
        <w:right w:val="none" w:sz="0" w:space="0" w:color="auto"/>
      </w:divBdr>
    </w:div>
    <w:div w:id="206159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Plain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PlainPage.dot</Template>
  <TotalTime>0</TotalTime>
  <Pages>8</Pages>
  <Words>3342</Words>
  <Characters>19052</Characters>
  <Application>Microsoft Office Word</Application>
  <DocSecurity>4</DocSecurity>
  <Lines>158</Lines>
  <Paragraphs>44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1043830</vt:lpstr>
      <vt:lpstr>1043830</vt:lpstr>
    </vt:vector>
  </TitlesOfParts>
  <Company>CSD</Company>
  <LinksUpToDate>false</LinksUpToDate>
  <CharactersWithSpaces>22350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1043830</dc:title>
  <dc:subject>CCPR/C/COL/6/CRP.1</dc:subject>
  <dc:creator>mtw</dc:creator>
  <cp:keywords/>
  <dc:description>final</dc:description>
  <cp:lastModifiedBy>Pdfeng</cp:lastModifiedBy>
  <cp:revision>2</cp:revision>
  <cp:lastPrinted>2013-02-20T08:46:00Z</cp:lastPrinted>
  <dcterms:created xsi:type="dcterms:W3CDTF">2014-12-09T07:58:00Z</dcterms:created>
  <dcterms:modified xsi:type="dcterms:W3CDTF">2014-12-09T07:58:00Z</dcterms:modified>
</cp:coreProperties>
</file>