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E1BE5" w:rsidP="003E1BE5">
            <w:pPr>
              <w:suppressAutoHyphens w:val="0"/>
              <w:spacing w:after="20" w:line="240" w:lineRule="atLeast"/>
              <w:jc w:val="right"/>
            </w:pPr>
            <w:r w:rsidRPr="003E1BE5">
              <w:rPr>
                <w:sz w:val="40"/>
              </w:rPr>
              <w:t>E</w:t>
            </w:r>
            <w:r>
              <w:t>/C.12/TKM/CO/2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E1BE5" w:rsidP="003E1BE5">
            <w:pPr>
              <w:spacing w:before="240"/>
            </w:pPr>
            <w:r>
              <w:t>Distr.: General</w:t>
            </w:r>
          </w:p>
          <w:p w:rsidR="003E1BE5" w:rsidRDefault="00B15E93" w:rsidP="003E1BE5">
            <w:pPr>
              <w:suppressAutoHyphens w:val="0"/>
            </w:pPr>
            <w:r>
              <w:t>31</w:t>
            </w:r>
            <w:r w:rsidR="003E1BE5">
              <w:t xml:space="preserve"> October 2018</w:t>
            </w:r>
          </w:p>
          <w:p w:rsidR="003E1BE5" w:rsidRDefault="003E1BE5" w:rsidP="003E1BE5">
            <w:pPr>
              <w:suppressAutoHyphens w:val="0"/>
            </w:pPr>
          </w:p>
          <w:p w:rsidR="003E1BE5" w:rsidRDefault="003E1BE5" w:rsidP="003E1BE5">
            <w:pPr>
              <w:suppressAutoHyphens w:val="0"/>
              <w:spacing w:line="240" w:lineRule="atLeast"/>
            </w:pPr>
            <w:r>
              <w:t>Original: English</w:t>
            </w:r>
          </w:p>
        </w:tc>
      </w:tr>
    </w:tbl>
    <w:p w:rsidR="003E1BE5" w:rsidRPr="003E1BE5" w:rsidRDefault="003E1BE5" w:rsidP="003E1BE5">
      <w:pPr>
        <w:spacing w:before="120"/>
        <w:rPr>
          <w:b/>
          <w:bCs/>
          <w:sz w:val="24"/>
          <w:szCs w:val="24"/>
        </w:rPr>
      </w:pPr>
      <w:r w:rsidRPr="003E1BE5">
        <w:rPr>
          <w:b/>
          <w:bCs/>
          <w:sz w:val="24"/>
          <w:szCs w:val="24"/>
        </w:rPr>
        <w:t>Committee on Economic, Social and Cultural Rights</w:t>
      </w:r>
    </w:p>
    <w:p w:rsidR="003E1BE5" w:rsidRDefault="003E1BE5" w:rsidP="003E1BE5">
      <w:pPr>
        <w:pStyle w:val="HChG"/>
      </w:pPr>
      <w:r w:rsidRPr="00791FF3">
        <w:tab/>
      </w:r>
      <w:r w:rsidRPr="00791FF3">
        <w:tab/>
        <w:t xml:space="preserve">Concluding observations on the second periodic report </w:t>
      </w:r>
      <w:r w:rsidRPr="00791FF3">
        <w:br/>
        <w:t>of Turkmenistan</w:t>
      </w:r>
      <w:r w:rsidRPr="00D25A67">
        <w:rPr>
          <w:rStyle w:val="FootnoteReference"/>
          <w:b w:val="0"/>
          <w:bCs/>
          <w:sz w:val="20"/>
          <w:vertAlign w:val="baseline"/>
        </w:rPr>
        <w:footnoteReference w:customMarkFollows="1" w:id="1"/>
        <w:t>*</w:t>
      </w:r>
    </w:p>
    <w:p w:rsidR="00D25A67" w:rsidRPr="00544A82" w:rsidRDefault="00D25A67" w:rsidP="00D25A67">
      <w:pPr>
        <w:pStyle w:val="SingleTxtG"/>
        <w:tabs>
          <w:tab w:val="left" w:pos="1701"/>
        </w:tabs>
      </w:pPr>
      <w:r w:rsidRPr="00544A82">
        <w:rPr>
          <w:rFonts w:hAnsi="Arial Unicode MS"/>
        </w:rPr>
        <w:t>1.</w:t>
      </w:r>
      <w:r w:rsidRPr="00544A82">
        <w:rPr>
          <w:rFonts w:hAnsi="Arial Unicode MS"/>
        </w:rPr>
        <w:tab/>
      </w:r>
      <w:r w:rsidRPr="00544A82">
        <w:t>The Committee on Economic, Social and Cultural Rights considered the second periodic report of Turkmenistan</w:t>
      </w:r>
      <w:r w:rsidRPr="00544A82">
        <w:rPr>
          <w:u w:color="FF0000"/>
        </w:rPr>
        <w:t xml:space="preserve"> </w:t>
      </w:r>
      <w:r w:rsidRPr="00544A82">
        <w:t>(E/C.12/TKM/2) at its 40th and 41st meetings (</w:t>
      </w:r>
      <w:r w:rsidRPr="002029A6">
        <w:t xml:space="preserve">see </w:t>
      </w:r>
      <w:r w:rsidRPr="00544A82">
        <w:t xml:space="preserve">E/C.12/2018/SR.40 and 41) held on 1 and 2 October 2018, and adopted the </w:t>
      </w:r>
      <w:r w:rsidRPr="002029A6">
        <w:t>present</w:t>
      </w:r>
      <w:r w:rsidRPr="00544A82">
        <w:t xml:space="preserve"> concluding observations at its 58th meeting, held on 12 October 2018.</w:t>
      </w:r>
    </w:p>
    <w:p w:rsidR="00D25A67" w:rsidRPr="00544A82" w:rsidRDefault="00D25A67" w:rsidP="00D25A67">
      <w:pPr>
        <w:pStyle w:val="H1G"/>
      </w:pPr>
      <w:r w:rsidRPr="00544A82">
        <w:rPr>
          <w:rFonts w:eastAsia="Arial Unicode MS" w:cs="Arial Unicode MS"/>
        </w:rPr>
        <w:tab/>
        <w:t>A.</w:t>
      </w:r>
      <w:r w:rsidRPr="00544A82">
        <w:rPr>
          <w:rFonts w:eastAsia="Arial Unicode MS" w:cs="Arial Unicode MS"/>
        </w:rPr>
        <w:tab/>
        <w:t>Introduction</w:t>
      </w:r>
    </w:p>
    <w:p w:rsidR="00D25A67" w:rsidRPr="00544A82" w:rsidRDefault="00D25A67" w:rsidP="00D25A67">
      <w:pPr>
        <w:pStyle w:val="SingleTxtG"/>
        <w:tabs>
          <w:tab w:val="left" w:pos="1701"/>
        </w:tabs>
      </w:pPr>
      <w:r w:rsidRPr="00544A82">
        <w:rPr>
          <w:rFonts w:hAnsi="Arial Unicode MS"/>
        </w:rPr>
        <w:t>2.</w:t>
      </w:r>
      <w:r w:rsidRPr="00544A82">
        <w:rPr>
          <w:rFonts w:hAnsi="Arial Unicode MS"/>
        </w:rPr>
        <w:tab/>
      </w:r>
      <w:r w:rsidRPr="00544A82">
        <w:t xml:space="preserve">The Committee welcomes the timely submission of the second periodic report of the State party and the submission of </w:t>
      </w:r>
      <w:r w:rsidRPr="002029A6">
        <w:t>its</w:t>
      </w:r>
      <w:r w:rsidRPr="00544A82">
        <w:t xml:space="preserve"> written replies to the list of issues (E/C.12/TKM/Q/2/Add.1). The Committee appreciates the constructive dialogue that it had with the State party</w:t>
      </w:r>
      <w:r>
        <w:t>’</w:t>
      </w:r>
      <w:r w:rsidRPr="00544A82">
        <w:t xml:space="preserve">s high-level </w:t>
      </w:r>
      <w:proofErr w:type="spellStart"/>
      <w:r w:rsidRPr="00544A82">
        <w:t>intersectoral</w:t>
      </w:r>
      <w:proofErr w:type="spellEnd"/>
      <w:r w:rsidRPr="00544A82">
        <w:t xml:space="preserve"> delegation. </w:t>
      </w:r>
    </w:p>
    <w:p w:rsidR="00D25A67" w:rsidRPr="00544A82" w:rsidRDefault="00D25A67" w:rsidP="00D25A67">
      <w:pPr>
        <w:pStyle w:val="H1G"/>
      </w:pPr>
      <w:r w:rsidRPr="00544A82">
        <w:rPr>
          <w:rFonts w:eastAsia="Arial Unicode MS" w:cs="Arial Unicode MS"/>
        </w:rPr>
        <w:tab/>
        <w:t>B.</w:t>
      </w:r>
      <w:r w:rsidRPr="00544A82">
        <w:rPr>
          <w:rFonts w:eastAsia="Arial Unicode MS" w:cs="Arial Unicode MS"/>
        </w:rPr>
        <w:tab/>
        <w:t xml:space="preserve">Positive aspects </w:t>
      </w:r>
    </w:p>
    <w:p w:rsidR="00D25A67" w:rsidRPr="00544A82" w:rsidRDefault="00D25A67" w:rsidP="00D25A67">
      <w:pPr>
        <w:pStyle w:val="SingleTxtG"/>
        <w:tabs>
          <w:tab w:val="left" w:pos="1701"/>
        </w:tabs>
      </w:pPr>
      <w:r w:rsidRPr="00544A82">
        <w:rPr>
          <w:rFonts w:hAnsi="Arial Unicode MS"/>
        </w:rPr>
        <w:t>3.</w:t>
      </w:r>
      <w:r w:rsidRPr="00544A82">
        <w:rPr>
          <w:rFonts w:hAnsi="Arial Unicode MS"/>
        </w:rPr>
        <w:tab/>
      </w:r>
      <w:r w:rsidRPr="00544A82">
        <w:t xml:space="preserve">The Committee welcomes the </w:t>
      </w:r>
      <w:r w:rsidRPr="002029A6">
        <w:rPr>
          <w:lang w:eastAsia="ko-KR"/>
        </w:rPr>
        <w:t>c</w:t>
      </w:r>
      <w:r w:rsidRPr="00544A82">
        <w:rPr>
          <w:lang w:eastAsia="ko-KR"/>
        </w:rPr>
        <w:t xml:space="preserve">onstitutional, legal and </w:t>
      </w:r>
      <w:r w:rsidRPr="00544A82">
        <w:t xml:space="preserve">policy measures that have been taken to promote the enjoyment of economic, social and cultural rights in the State party: </w:t>
      </w:r>
      <w:r w:rsidRPr="002029A6">
        <w:rPr>
          <w:lang w:eastAsia="ko-KR"/>
        </w:rPr>
        <w:t>t</w:t>
      </w:r>
      <w:r w:rsidRPr="00544A82">
        <w:rPr>
          <w:lang w:eastAsia="ko-KR"/>
        </w:rPr>
        <w:t xml:space="preserve">he new Constitution adopted in 2016, prohibiting discrimination based on sex; </w:t>
      </w:r>
      <w:r w:rsidRPr="002029A6">
        <w:rPr>
          <w:lang w:eastAsia="ko-KR"/>
        </w:rPr>
        <w:t>t</w:t>
      </w:r>
      <w:r w:rsidRPr="00544A82">
        <w:t xml:space="preserve">he Act on State </w:t>
      </w:r>
      <w:r w:rsidRPr="002029A6">
        <w:t>G</w:t>
      </w:r>
      <w:r w:rsidRPr="00544A82">
        <w:t xml:space="preserve">uarantees for </w:t>
      </w:r>
      <w:r w:rsidRPr="002029A6">
        <w:t>E</w:t>
      </w:r>
      <w:r w:rsidRPr="00544A82">
        <w:t xml:space="preserve">qual </w:t>
      </w:r>
      <w:r w:rsidRPr="002029A6">
        <w:t>R</w:t>
      </w:r>
      <w:r w:rsidRPr="00544A82">
        <w:t xml:space="preserve">ights and </w:t>
      </w:r>
      <w:r w:rsidRPr="002029A6">
        <w:t>Equal O</w:t>
      </w:r>
      <w:r w:rsidRPr="00544A82">
        <w:t xml:space="preserve">pportunities for </w:t>
      </w:r>
      <w:r w:rsidRPr="002029A6">
        <w:t>W</w:t>
      </w:r>
      <w:r w:rsidRPr="00544A82">
        <w:t xml:space="preserve">omen and </w:t>
      </w:r>
      <w:r w:rsidRPr="002029A6">
        <w:t>M</w:t>
      </w:r>
      <w:r w:rsidRPr="00544A82">
        <w:t xml:space="preserve">en, in 2015; </w:t>
      </w:r>
      <w:r w:rsidRPr="002029A6">
        <w:t xml:space="preserve">and </w:t>
      </w:r>
      <w:r w:rsidRPr="00544A82">
        <w:t xml:space="preserve">policy measures such as </w:t>
      </w:r>
      <w:r w:rsidRPr="002029A6">
        <w:t>t</w:t>
      </w:r>
      <w:r w:rsidRPr="00544A82">
        <w:t>he National Action Plan on Human Rights (2016</w:t>
      </w:r>
      <w:r w:rsidRPr="002029A6">
        <w:t>–</w:t>
      </w:r>
      <w:r w:rsidRPr="00544A82">
        <w:t xml:space="preserve">2020); </w:t>
      </w:r>
      <w:r w:rsidRPr="002029A6">
        <w:t>t</w:t>
      </w:r>
      <w:r w:rsidRPr="00544A82">
        <w:t>he National Action Plan on Gender Equality</w:t>
      </w:r>
      <w:r w:rsidRPr="002029A6">
        <w:t xml:space="preserve"> </w:t>
      </w:r>
      <w:r w:rsidRPr="00544A82">
        <w:t>(2015</w:t>
      </w:r>
      <w:r w:rsidRPr="002029A6">
        <w:t>–</w:t>
      </w:r>
      <w:r w:rsidRPr="00544A82">
        <w:t xml:space="preserve">2020); </w:t>
      </w:r>
      <w:r w:rsidRPr="002029A6">
        <w:t>t</w:t>
      </w:r>
      <w:r w:rsidRPr="00544A82">
        <w:t xml:space="preserve">he National Action Plan on </w:t>
      </w:r>
      <w:r w:rsidRPr="002029A6">
        <w:t>A</w:t>
      </w:r>
      <w:r w:rsidRPr="00544A82">
        <w:t xml:space="preserve">chieving </w:t>
      </w:r>
      <w:r w:rsidRPr="002029A6">
        <w:t xml:space="preserve">the </w:t>
      </w:r>
      <w:r w:rsidRPr="00544A82">
        <w:t xml:space="preserve">Sustainable Development Goals; and </w:t>
      </w:r>
      <w:r w:rsidRPr="002029A6">
        <w:t>t</w:t>
      </w:r>
      <w:r w:rsidRPr="00544A82">
        <w:t>he National Programme on Socioeconomic Development (2011–2030).</w:t>
      </w:r>
    </w:p>
    <w:p w:rsidR="00D25A67" w:rsidRPr="00544A82" w:rsidRDefault="00D25A67" w:rsidP="00D25A67">
      <w:pPr>
        <w:pStyle w:val="H1G"/>
      </w:pPr>
      <w:r w:rsidRPr="00544A82">
        <w:rPr>
          <w:rFonts w:eastAsia="Arial Unicode MS" w:cs="Arial Unicode MS"/>
        </w:rPr>
        <w:tab/>
        <w:t>C.</w:t>
      </w:r>
      <w:r w:rsidRPr="00544A82">
        <w:rPr>
          <w:rFonts w:eastAsia="Arial Unicode MS" w:cs="Arial Unicode MS"/>
        </w:rPr>
        <w:tab/>
        <w:t>Principal subjects of concern and recommendations</w:t>
      </w:r>
    </w:p>
    <w:p w:rsidR="00D25A67" w:rsidRPr="00544A82" w:rsidRDefault="00D25A67" w:rsidP="00D25A67">
      <w:pPr>
        <w:pStyle w:val="H23G"/>
        <w:rPr>
          <w:b w:val="0"/>
          <w:bCs/>
        </w:rPr>
      </w:pPr>
      <w:r w:rsidRPr="00544A82">
        <w:tab/>
      </w:r>
      <w:r w:rsidRPr="00544A82">
        <w:tab/>
        <w:t>Application</w:t>
      </w:r>
      <w:r w:rsidRPr="00544A82">
        <w:rPr>
          <w:bCs/>
        </w:rPr>
        <w:t xml:space="preserve"> of the Covenant </w:t>
      </w:r>
    </w:p>
    <w:p w:rsidR="00D25A67" w:rsidRPr="00544A82" w:rsidRDefault="00D25A67" w:rsidP="00D25A67">
      <w:pPr>
        <w:pStyle w:val="SingleTxtG"/>
        <w:tabs>
          <w:tab w:val="left" w:pos="1701"/>
        </w:tabs>
        <w:rPr>
          <w:b/>
          <w:bCs/>
        </w:rPr>
      </w:pPr>
      <w:r w:rsidRPr="00544A82">
        <w:rPr>
          <w:rFonts w:hAnsi="Arial Unicode MS"/>
          <w:bCs/>
        </w:rPr>
        <w:t>4.</w:t>
      </w:r>
      <w:r w:rsidRPr="00544A82">
        <w:rPr>
          <w:rFonts w:hAnsi="Arial Unicode MS"/>
          <w:bCs/>
        </w:rPr>
        <w:tab/>
      </w:r>
      <w:r w:rsidRPr="00544A82">
        <w:t xml:space="preserve">The Committee regrets the lack of information provided by the State party on the cases in which provisions of the Covenant have been invoked by </w:t>
      </w:r>
      <w:r w:rsidRPr="002029A6">
        <w:t>national</w:t>
      </w:r>
      <w:r w:rsidRPr="00544A82">
        <w:t xml:space="preserve"> courts. It is concerned that the State party has not </w:t>
      </w:r>
      <w:r w:rsidRPr="00544A82">
        <w:rPr>
          <w:lang w:eastAsia="ko-KR"/>
        </w:rPr>
        <w:t>made</w:t>
      </w:r>
      <w:r w:rsidRPr="00544A82">
        <w:t xml:space="preserve"> sufficient effort to incorporate </w:t>
      </w:r>
      <w:r w:rsidRPr="002029A6">
        <w:t xml:space="preserve">the </w:t>
      </w:r>
      <w:r w:rsidRPr="00544A82">
        <w:t xml:space="preserve">provisions of the Covenant in relevant </w:t>
      </w:r>
      <w:r w:rsidRPr="002029A6">
        <w:t>national</w:t>
      </w:r>
      <w:r w:rsidRPr="00544A82">
        <w:t xml:space="preserve"> laws and policies and raise awareness of the Covenant and the justiciability of the rights enshrined therein. </w:t>
      </w:r>
      <w:r w:rsidRPr="002029A6">
        <w:t>It</w:t>
      </w:r>
      <w:r w:rsidRPr="00544A82">
        <w:t xml:space="preserve"> is also concerned by the absence of effective remedies</w:t>
      </w:r>
      <w:r w:rsidRPr="00544A82">
        <w:rPr>
          <w:rFonts w:cs="Arial Unicode MS"/>
        </w:rPr>
        <w:t xml:space="preserve"> </w:t>
      </w:r>
      <w:r w:rsidRPr="00544A82">
        <w:rPr>
          <w:bCs/>
        </w:rPr>
        <w:t>in case</w:t>
      </w:r>
      <w:r w:rsidRPr="002029A6">
        <w:rPr>
          <w:bCs/>
        </w:rPr>
        <w:t>s</w:t>
      </w:r>
      <w:r w:rsidRPr="00544A82">
        <w:rPr>
          <w:bCs/>
        </w:rPr>
        <w:t xml:space="preserve"> of violations of economic, social and cultural rights.</w:t>
      </w:r>
    </w:p>
    <w:p w:rsidR="00D25A67" w:rsidRPr="00544A82" w:rsidRDefault="00D25A67" w:rsidP="00D25A67">
      <w:pPr>
        <w:pStyle w:val="SingleTxtG"/>
        <w:tabs>
          <w:tab w:val="left" w:pos="1701"/>
        </w:tabs>
      </w:pPr>
      <w:r w:rsidRPr="00544A82">
        <w:rPr>
          <w:rFonts w:hAnsi="Arial Unicode MS"/>
        </w:rPr>
        <w:t>5.</w:t>
      </w:r>
      <w:r w:rsidRPr="00544A82">
        <w:rPr>
          <w:rFonts w:hAnsi="Arial Unicode MS"/>
        </w:rPr>
        <w:tab/>
      </w:r>
      <w:r w:rsidRPr="00544A82">
        <w:rPr>
          <w:b/>
          <w:bCs/>
        </w:rPr>
        <w:t xml:space="preserve">The Committee recommends that the State party ensure that </w:t>
      </w:r>
      <w:r w:rsidRPr="002029A6">
        <w:rPr>
          <w:b/>
          <w:bCs/>
        </w:rPr>
        <w:t xml:space="preserve">the </w:t>
      </w:r>
      <w:r w:rsidRPr="00544A82">
        <w:rPr>
          <w:b/>
          <w:bCs/>
        </w:rPr>
        <w:t>provisions of the Covenant are incorporated in</w:t>
      </w:r>
      <w:r w:rsidRPr="002029A6">
        <w:rPr>
          <w:b/>
          <w:bCs/>
        </w:rPr>
        <w:t>to</w:t>
      </w:r>
      <w:r w:rsidRPr="00544A82">
        <w:rPr>
          <w:b/>
          <w:bCs/>
        </w:rPr>
        <w:t xml:space="preserve"> </w:t>
      </w:r>
      <w:r w:rsidRPr="002029A6">
        <w:rPr>
          <w:b/>
          <w:bCs/>
        </w:rPr>
        <w:t>national</w:t>
      </w:r>
      <w:r w:rsidRPr="00544A82">
        <w:rPr>
          <w:b/>
          <w:bCs/>
        </w:rPr>
        <w:t xml:space="preserve"> law and enhance training for judges, prosecutors, lawyers and public officials on these provisions and the justiciability of </w:t>
      </w:r>
      <w:r w:rsidRPr="00544A82">
        <w:rPr>
          <w:b/>
          <w:bCs/>
        </w:rPr>
        <w:lastRenderedPageBreak/>
        <w:t xml:space="preserve">the rights enshrined in the Covenant. It recommends that the State party provide, in </w:t>
      </w:r>
      <w:bookmarkStart w:id="0" w:name="_GoBack"/>
      <w:bookmarkEnd w:id="0"/>
      <w:r w:rsidRPr="00544A82">
        <w:rPr>
          <w:b/>
          <w:bCs/>
        </w:rPr>
        <w:t>its next periodic report, information on the relevant case law. In that respect, the Committee draws the attention of the State party to its general comment No. 9 (1998) on the domestic application of the Covenant.</w:t>
      </w:r>
    </w:p>
    <w:p w:rsidR="00D25A67" w:rsidRPr="00544A82" w:rsidRDefault="00D25A67" w:rsidP="00D25A67">
      <w:pPr>
        <w:pStyle w:val="H23G"/>
        <w:rPr>
          <w:b w:val="0"/>
          <w:bCs/>
        </w:rPr>
      </w:pPr>
      <w:r w:rsidRPr="00544A82">
        <w:tab/>
      </w:r>
      <w:r w:rsidRPr="00544A82">
        <w:tab/>
      </w:r>
      <w:r w:rsidRPr="00544A82">
        <w:rPr>
          <w:bCs/>
        </w:rPr>
        <w:t xml:space="preserve">Data collection </w:t>
      </w:r>
    </w:p>
    <w:p w:rsidR="00D25A67" w:rsidRPr="00544A82" w:rsidRDefault="00D25A67" w:rsidP="00D25A67">
      <w:pPr>
        <w:pStyle w:val="SingleTxtG"/>
        <w:tabs>
          <w:tab w:val="left" w:pos="1701"/>
        </w:tabs>
      </w:pPr>
      <w:r w:rsidRPr="00544A82">
        <w:rPr>
          <w:rFonts w:hAnsi="Arial Unicode MS"/>
        </w:rPr>
        <w:t>6.</w:t>
      </w:r>
      <w:r w:rsidRPr="00544A82">
        <w:rPr>
          <w:rFonts w:hAnsi="Arial Unicode MS"/>
        </w:rPr>
        <w:tab/>
      </w:r>
      <w:r w:rsidRPr="00544A82">
        <w:t>The Committee regrets the insufficient provision of reliable and relevant statistical data relating to the progressive realization of the Covenant rights, in particular for persons with disabilities</w:t>
      </w:r>
      <w:r w:rsidRPr="002029A6">
        <w:t xml:space="preserve"> and</w:t>
      </w:r>
      <w:r w:rsidRPr="00544A82">
        <w:t xml:space="preserve"> pe</w:t>
      </w:r>
      <w:r w:rsidRPr="002029A6">
        <w:t>rsons</w:t>
      </w:r>
      <w:r w:rsidRPr="00544A82">
        <w:t xml:space="preserve"> living in poverty, and that data from the 2012 census w</w:t>
      </w:r>
      <w:r w:rsidRPr="002029A6">
        <w:t>ere</w:t>
      </w:r>
      <w:r w:rsidRPr="00544A82">
        <w:t xml:space="preserve"> not made available to the public. The Committee further regrets the lack of data on persons with HIV/AIDS in the State party. </w:t>
      </w:r>
    </w:p>
    <w:p w:rsidR="00D25A67" w:rsidRPr="00544A82" w:rsidRDefault="00D25A67" w:rsidP="00D25A67">
      <w:pPr>
        <w:pStyle w:val="SingleTxtG"/>
        <w:tabs>
          <w:tab w:val="left" w:pos="1701"/>
        </w:tabs>
        <w:rPr>
          <w:b/>
          <w:bCs/>
        </w:rPr>
      </w:pPr>
      <w:r w:rsidRPr="00544A82">
        <w:rPr>
          <w:rFonts w:hAnsi="Arial Unicode MS"/>
          <w:bCs/>
        </w:rPr>
        <w:t>7.</w:t>
      </w:r>
      <w:r w:rsidRPr="00544A82">
        <w:rPr>
          <w:rFonts w:hAnsi="Arial Unicode MS"/>
          <w:bCs/>
        </w:rPr>
        <w:tab/>
      </w:r>
      <w:r w:rsidRPr="00544A82">
        <w:rPr>
          <w:b/>
          <w:bCs/>
        </w:rPr>
        <w:t>The Committee recommends that the State party improve its data-collection system with a view to collecting and making public comprehensive and disaggregated data, which would make it possible to assess the level of enjoyment of Covenant rights, particularly by disadvantaged and marginalized individuals and groups</w:t>
      </w:r>
      <w:r w:rsidRPr="002029A6">
        <w:rPr>
          <w:b/>
          <w:bCs/>
        </w:rPr>
        <w:t>,</w:t>
      </w:r>
      <w:r w:rsidRPr="00544A82">
        <w:rPr>
          <w:b/>
          <w:bCs/>
        </w:rPr>
        <w:t xml:space="preserve"> including persons with disabilities, pe</w:t>
      </w:r>
      <w:r w:rsidRPr="002029A6">
        <w:rPr>
          <w:b/>
          <w:bCs/>
        </w:rPr>
        <w:t>rsons</w:t>
      </w:r>
      <w:r w:rsidRPr="00544A82">
        <w:rPr>
          <w:b/>
          <w:bCs/>
        </w:rPr>
        <w:t xml:space="preserve"> living in poverty, </w:t>
      </w:r>
      <w:r w:rsidRPr="002029A6">
        <w:rPr>
          <w:b/>
          <w:bCs/>
        </w:rPr>
        <w:t xml:space="preserve">the </w:t>
      </w:r>
      <w:r w:rsidRPr="00544A82">
        <w:rPr>
          <w:b/>
          <w:bCs/>
        </w:rPr>
        <w:t xml:space="preserve">unemployed and </w:t>
      </w:r>
      <w:r w:rsidRPr="002029A6">
        <w:rPr>
          <w:b/>
          <w:bCs/>
        </w:rPr>
        <w:t>those</w:t>
      </w:r>
      <w:r w:rsidRPr="00544A82">
        <w:rPr>
          <w:b/>
          <w:bCs/>
        </w:rPr>
        <w:t xml:space="preserve"> </w:t>
      </w:r>
      <w:r w:rsidRPr="002029A6">
        <w:rPr>
          <w:b/>
          <w:bCs/>
        </w:rPr>
        <w:t>earning income</w:t>
      </w:r>
      <w:r w:rsidRPr="00544A82">
        <w:rPr>
          <w:b/>
          <w:bCs/>
        </w:rPr>
        <w:t xml:space="preserve"> in the informal sector, and persons with HIV/AIDS. The Committee recommends </w:t>
      </w:r>
      <w:r w:rsidRPr="00544A82">
        <w:rPr>
          <w:b/>
          <w:bCs/>
          <w:lang w:eastAsia="ko-KR"/>
        </w:rPr>
        <w:t xml:space="preserve">that </w:t>
      </w:r>
      <w:r w:rsidRPr="00544A82">
        <w:rPr>
          <w:b/>
          <w:bCs/>
        </w:rPr>
        <w:t>the State party provide such data, including census data, in its next periodic report. Such data are necessary in order to track progress in the realization of those rights and to design effective and targeted measures to increase their enjoyment.</w:t>
      </w:r>
    </w:p>
    <w:p w:rsidR="00D25A67" w:rsidRPr="00544A82" w:rsidRDefault="00D25A67" w:rsidP="00D25A67">
      <w:pPr>
        <w:pStyle w:val="H23G"/>
      </w:pPr>
      <w:r w:rsidRPr="00544A82">
        <w:tab/>
      </w:r>
      <w:r w:rsidRPr="00544A82">
        <w:tab/>
        <w:t xml:space="preserve">Independence of the judiciary </w:t>
      </w:r>
    </w:p>
    <w:p w:rsidR="00D25A67" w:rsidRPr="00544A82" w:rsidRDefault="00D25A67" w:rsidP="00D25A67">
      <w:pPr>
        <w:pStyle w:val="SingleTxtG"/>
        <w:tabs>
          <w:tab w:val="left" w:pos="1701"/>
        </w:tabs>
      </w:pPr>
      <w:r w:rsidRPr="00544A82">
        <w:rPr>
          <w:rFonts w:hAnsi="Arial Unicode MS"/>
        </w:rPr>
        <w:t>8.</w:t>
      </w:r>
      <w:r w:rsidRPr="00544A82">
        <w:rPr>
          <w:rFonts w:hAnsi="Arial Unicode MS"/>
        </w:rPr>
        <w:tab/>
      </w:r>
      <w:r w:rsidRPr="00544A82">
        <w:t>The Committee is concerned that, despite the ongoing reforms, the judiciary</w:t>
      </w:r>
      <w:r>
        <w:t>’</w:t>
      </w:r>
      <w:r w:rsidRPr="00544A82">
        <w:t>s independence and impartiality are not guaranteed in the State party. In this regard, the Committee is concerned by the exclusive right of the President to nominate judges</w:t>
      </w:r>
      <w:r>
        <w:t>,</w:t>
      </w:r>
      <w:r w:rsidRPr="00544A82">
        <w:t xml:space="preserve"> as well as </w:t>
      </w:r>
      <w:r>
        <w:t>by</w:t>
      </w:r>
      <w:r w:rsidRPr="00574F02">
        <w:t xml:space="preserve"> </w:t>
      </w:r>
      <w:r>
        <w:t>his or her</w:t>
      </w:r>
      <w:r w:rsidRPr="00574F02">
        <w:t xml:space="preserve"> </w:t>
      </w:r>
      <w:r w:rsidRPr="00544A82">
        <w:t xml:space="preserve">power to remove </w:t>
      </w:r>
      <w:r w:rsidRPr="002029A6">
        <w:t>them</w:t>
      </w:r>
      <w:r w:rsidRPr="00544A82">
        <w:t xml:space="preserve">. </w:t>
      </w:r>
    </w:p>
    <w:p w:rsidR="00D25A67" w:rsidRPr="00544A82" w:rsidRDefault="00D25A67" w:rsidP="00D25A67">
      <w:pPr>
        <w:pStyle w:val="SingleTxtG"/>
        <w:tabs>
          <w:tab w:val="left" w:pos="1701"/>
        </w:tabs>
      </w:pPr>
      <w:r w:rsidRPr="00544A82">
        <w:rPr>
          <w:rFonts w:hAnsi="Arial Unicode MS"/>
        </w:rPr>
        <w:t>9.</w:t>
      </w:r>
      <w:r w:rsidRPr="00544A82">
        <w:rPr>
          <w:rFonts w:hAnsi="Arial Unicode MS"/>
        </w:rPr>
        <w:tab/>
      </w:r>
      <w:r w:rsidRPr="00544A82">
        <w:rPr>
          <w:b/>
          <w:bCs/>
        </w:rPr>
        <w:t xml:space="preserve">The Committee recommends that the State party ensure the full independence and impartiality of the judiciary as a means of safeguarding the enjoyment of human rights, including economic, social and cultural rights, including by introducing the principle of the security of tenure of judges and establishing an independent and transparent mechanism for the appointment, promotion, suspension and removal of judges. </w:t>
      </w:r>
    </w:p>
    <w:p w:rsidR="00D25A67" w:rsidRPr="00544A82" w:rsidRDefault="00D25A67" w:rsidP="00D25A67">
      <w:pPr>
        <w:pStyle w:val="H23G"/>
      </w:pPr>
      <w:r w:rsidRPr="00544A82">
        <w:tab/>
      </w:r>
      <w:r w:rsidRPr="00544A82">
        <w:tab/>
        <w:t xml:space="preserve">National human rights institution </w:t>
      </w:r>
    </w:p>
    <w:p w:rsidR="00D25A67" w:rsidRPr="00544A82" w:rsidRDefault="00D25A67" w:rsidP="00D25A67">
      <w:pPr>
        <w:pStyle w:val="SingleTxtG"/>
        <w:tabs>
          <w:tab w:val="left" w:pos="1701"/>
        </w:tabs>
      </w:pPr>
      <w:r w:rsidRPr="00544A82">
        <w:rPr>
          <w:rFonts w:hAnsi="Arial Unicode MS"/>
        </w:rPr>
        <w:t>10.</w:t>
      </w:r>
      <w:r w:rsidRPr="00544A82">
        <w:rPr>
          <w:rFonts w:hAnsi="Arial Unicode MS"/>
        </w:rPr>
        <w:tab/>
      </w:r>
      <w:r w:rsidRPr="00544A82">
        <w:rPr>
          <w:lang w:eastAsia="ko-KR"/>
        </w:rPr>
        <w:t>While</w:t>
      </w:r>
      <w:r w:rsidRPr="00544A82">
        <w:t xml:space="preserve"> welcom</w:t>
      </w:r>
      <w:r w:rsidRPr="00544A82">
        <w:rPr>
          <w:lang w:eastAsia="ko-KR"/>
        </w:rPr>
        <w:t>ing</w:t>
      </w:r>
      <w:r w:rsidRPr="00544A82">
        <w:t xml:space="preserve"> the adoption of the </w:t>
      </w:r>
      <w:r w:rsidRPr="002029A6">
        <w:t xml:space="preserve">Act on the </w:t>
      </w:r>
      <w:r w:rsidRPr="00544A82">
        <w:t>Ombudsman in 2016 and the appointment of the first Ombuds</w:t>
      </w:r>
      <w:r w:rsidRPr="00544A82">
        <w:rPr>
          <w:lang w:eastAsia="ko-KR"/>
        </w:rPr>
        <w:t>man</w:t>
      </w:r>
      <w:r w:rsidRPr="00544A82">
        <w:t xml:space="preserve"> in 2017</w:t>
      </w:r>
      <w:r w:rsidRPr="00544A82">
        <w:rPr>
          <w:lang w:eastAsia="ko-KR"/>
        </w:rPr>
        <w:t>,</w:t>
      </w:r>
      <w:r w:rsidRPr="00544A82">
        <w:t xml:space="preserve"> </w:t>
      </w:r>
      <w:r w:rsidRPr="00544A82">
        <w:rPr>
          <w:lang w:eastAsia="ko-KR"/>
        </w:rPr>
        <w:t>t</w:t>
      </w:r>
      <w:r w:rsidRPr="00544A82">
        <w:t xml:space="preserve">he Committee regrets that the Ombudsman has not yet been accredited by the Global Alliance of National Human Rights Institutions. The Committee regrets the lack of information on </w:t>
      </w:r>
      <w:r w:rsidRPr="002029A6">
        <w:t xml:space="preserve">the </w:t>
      </w:r>
      <w:r w:rsidRPr="00544A82">
        <w:t>cases handled and remedies provided by the Ombudsman on violation</w:t>
      </w:r>
      <w:r w:rsidRPr="002029A6">
        <w:t>s</w:t>
      </w:r>
      <w:r w:rsidRPr="00544A82">
        <w:t xml:space="preserve"> of rights under the Covenant, </w:t>
      </w:r>
      <w:r w:rsidRPr="002029A6">
        <w:rPr>
          <w:lang w:eastAsia="ko-KR"/>
        </w:rPr>
        <w:t>and</w:t>
      </w:r>
      <w:r w:rsidRPr="00544A82">
        <w:t xml:space="preserve"> the lack of information on the resources made available to ensure the effective implementation of </w:t>
      </w:r>
      <w:r w:rsidRPr="002029A6">
        <w:t>the</w:t>
      </w:r>
      <w:r w:rsidRPr="00544A82">
        <w:t xml:space="preserve"> mandate. The Committee is also concerned </w:t>
      </w:r>
      <w:r w:rsidRPr="002029A6">
        <w:t>about the</w:t>
      </w:r>
      <w:r w:rsidRPr="00544A82">
        <w:t xml:space="preserve"> limitations on </w:t>
      </w:r>
      <w:r w:rsidRPr="002029A6">
        <w:t xml:space="preserve">the </w:t>
      </w:r>
      <w:r w:rsidRPr="00544A82">
        <w:t xml:space="preserve">nomination of candidates for </w:t>
      </w:r>
      <w:r w:rsidRPr="002029A6">
        <w:t xml:space="preserve">the post of </w:t>
      </w:r>
      <w:r w:rsidRPr="00544A82">
        <w:t xml:space="preserve">Ombudsman. </w:t>
      </w:r>
    </w:p>
    <w:p w:rsidR="00D25A67" w:rsidRPr="00544A82" w:rsidRDefault="00D25A67" w:rsidP="00D25A67">
      <w:pPr>
        <w:pStyle w:val="SingleTxtG"/>
        <w:tabs>
          <w:tab w:val="left" w:pos="1701"/>
        </w:tabs>
      </w:pPr>
      <w:r w:rsidRPr="00544A82">
        <w:rPr>
          <w:rFonts w:hAnsi="Arial Unicode MS"/>
        </w:rPr>
        <w:t>11.</w:t>
      </w:r>
      <w:r w:rsidRPr="00544A82">
        <w:rPr>
          <w:rFonts w:hAnsi="Arial Unicode MS"/>
        </w:rPr>
        <w:tab/>
      </w:r>
      <w:r w:rsidRPr="00544A82">
        <w:rPr>
          <w:b/>
          <w:bCs/>
        </w:rPr>
        <w:t xml:space="preserve">The Committee recommends that the State party seek accreditation </w:t>
      </w:r>
      <w:r w:rsidRPr="00544A82">
        <w:rPr>
          <w:b/>
          <w:bCs/>
          <w:lang w:eastAsia="ko-KR"/>
        </w:rPr>
        <w:t xml:space="preserve">of the Ombudsman </w:t>
      </w:r>
      <w:r w:rsidRPr="00544A82">
        <w:rPr>
          <w:b/>
          <w:bCs/>
        </w:rPr>
        <w:t>from the Global Alliance of National Human Rights Institutions and ensure that the status of the Ombudsman is fully in compliance with the principles relating to the status of national institutions for the promotion and protection of human rights (</w:t>
      </w:r>
      <w:r w:rsidRPr="002029A6">
        <w:rPr>
          <w:b/>
          <w:bCs/>
        </w:rPr>
        <w:t xml:space="preserve">the </w:t>
      </w:r>
      <w:r w:rsidRPr="00544A82">
        <w:rPr>
          <w:b/>
          <w:bCs/>
        </w:rPr>
        <w:t xml:space="preserve">Paris Principles). The Committee recommends that the State party ensure that the Ombudsman is provided with adequate resources to effectively and independently carry out </w:t>
      </w:r>
      <w:r w:rsidRPr="002029A6">
        <w:rPr>
          <w:b/>
          <w:bCs/>
        </w:rPr>
        <w:t>the</w:t>
      </w:r>
      <w:r w:rsidRPr="00544A82">
        <w:rPr>
          <w:b/>
          <w:bCs/>
        </w:rPr>
        <w:t xml:space="preserve"> mandate, including the promotion and protection of economic, social and cultural rights, and provide information in its next periodic report on </w:t>
      </w:r>
      <w:r w:rsidRPr="002029A6">
        <w:rPr>
          <w:b/>
          <w:bCs/>
        </w:rPr>
        <w:t xml:space="preserve">the </w:t>
      </w:r>
      <w:r w:rsidRPr="00544A82">
        <w:rPr>
          <w:b/>
          <w:bCs/>
        </w:rPr>
        <w:t>cases handled</w:t>
      </w:r>
      <w:r w:rsidRPr="002029A6">
        <w:rPr>
          <w:b/>
          <w:bCs/>
        </w:rPr>
        <w:t>,</w:t>
      </w:r>
      <w:r w:rsidRPr="00544A82">
        <w:rPr>
          <w:b/>
          <w:bCs/>
        </w:rPr>
        <w:t xml:space="preserve"> and </w:t>
      </w:r>
      <w:r w:rsidRPr="002029A6">
        <w:rPr>
          <w:b/>
          <w:bCs/>
        </w:rPr>
        <w:t xml:space="preserve">the </w:t>
      </w:r>
      <w:r w:rsidRPr="00544A82">
        <w:rPr>
          <w:b/>
          <w:bCs/>
        </w:rPr>
        <w:t>effective remedies provided</w:t>
      </w:r>
      <w:r w:rsidRPr="002029A6">
        <w:rPr>
          <w:b/>
          <w:bCs/>
        </w:rPr>
        <w:t>,</w:t>
      </w:r>
      <w:r w:rsidRPr="00544A82">
        <w:rPr>
          <w:b/>
          <w:bCs/>
        </w:rPr>
        <w:t xml:space="preserve"> by the Ombudsman </w:t>
      </w:r>
      <w:r w:rsidRPr="002029A6">
        <w:rPr>
          <w:b/>
          <w:bCs/>
        </w:rPr>
        <w:t xml:space="preserve">concerning violations </w:t>
      </w:r>
      <w:r w:rsidRPr="00544A82">
        <w:rPr>
          <w:b/>
          <w:bCs/>
        </w:rPr>
        <w:t>o</w:t>
      </w:r>
      <w:r w:rsidRPr="002029A6">
        <w:rPr>
          <w:b/>
          <w:bCs/>
        </w:rPr>
        <w:t>f</w:t>
      </w:r>
      <w:r w:rsidRPr="00544A82">
        <w:rPr>
          <w:b/>
          <w:bCs/>
        </w:rPr>
        <w:t xml:space="preserve"> </w:t>
      </w:r>
      <w:r w:rsidRPr="002029A6">
        <w:rPr>
          <w:b/>
          <w:bCs/>
        </w:rPr>
        <w:t xml:space="preserve">Covenant </w:t>
      </w:r>
      <w:r w:rsidRPr="00544A82">
        <w:rPr>
          <w:b/>
          <w:bCs/>
        </w:rPr>
        <w:t xml:space="preserve">rights. The Committee recommends that the scope of nominations for candidates </w:t>
      </w:r>
      <w:r w:rsidRPr="002029A6">
        <w:rPr>
          <w:b/>
          <w:bCs/>
        </w:rPr>
        <w:t>in elections for the post of</w:t>
      </w:r>
      <w:r w:rsidRPr="00544A82">
        <w:rPr>
          <w:b/>
          <w:bCs/>
        </w:rPr>
        <w:t xml:space="preserve"> Ombudsman </w:t>
      </w:r>
      <w:r w:rsidRPr="002029A6">
        <w:rPr>
          <w:b/>
          <w:bCs/>
        </w:rPr>
        <w:t>be</w:t>
      </w:r>
      <w:r w:rsidRPr="00544A82">
        <w:rPr>
          <w:b/>
          <w:bCs/>
        </w:rPr>
        <w:t xml:space="preserve"> expanded. </w:t>
      </w:r>
    </w:p>
    <w:p w:rsidR="00D25A67" w:rsidRPr="00544A82" w:rsidRDefault="00D25A67" w:rsidP="00D25A67">
      <w:pPr>
        <w:pStyle w:val="H23G"/>
        <w:rPr>
          <w:lang w:eastAsia="ko-KR"/>
        </w:rPr>
      </w:pPr>
      <w:r w:rsidRPr="00544A82">
        <w:rPr>
          <w:lang w:eastAsia="ko-KR"/>
        </w:rPr>
        <w:lastRenderedPageBreak/>
        <w:tab/>
      </w:r>
      <w:r w:rsidRPr="00544A82">
        <w:rPr>
          <w:lang w:eastAsia="ko-KR"/>
        </w:rPr>
        <w:tab/>
        <w:t>Civil society</w:t>
      </w:r>
    </w:p>
    <w:p w:rsidR="00D25A67" w:rsidRPr="00544A82" w:rsidRDefault="00D25A67" w:rsidP="00A26032">
      <w:pPr>
        <w:pStyle w:val="SingleTxtG"/>
      </w:pPr>
      <w:r w:rsidRPr="00544A82">
        <w:rPr>
          <w:rFonts w:hAnsi="Arial Unicode MS"/>
        </w:rPr>
        <w:t>12.</w:t>
      </w:r>
      <w:r w:rsidRPr="00544A82">
        <w:rPr>
          <w:rFonts w:hAnsi="Arial Unicode MS"/>
        </w:rPr>
        <w:tab/>
      </w:r>
      <w:r w:rsidRPr="00544A82">
        <w:t xml:space="preserve">The Committee is concerned at the information that non-governmental organizations in the State party, including those working for </w:t>
      </w:r>
      <w:r w:rsidRPr="002029A6">
        <w:t xml:space="preserve">the </w:t>
      </w:r>
      <w:r w:rsidRPr="00544A82">
        <w:t>protection and promotion of human rights, face difficulties in setting up and registering, due to excessive requirements and control.</w:t>
      </w:r>
    </w:p>
    <w:p w:rsidR="00D25A67" w:rsidRPr="00A26032" w:rsidRDefault="00D25A67" w:rsidP="00A26032">
      <w:pPr>
        <w:pStyle w:val="SingleTxtG"/>
        <w:rPr>
          <w:b/>
          <w:bCs/>
        </w:rPr>
      </w:pPr>
      <w:r w:rsidRPr="00544A82">
        <w:rPr>
          <w:rFonts w:hAnsi="Arial Unicode MS"/>
          <w:color w:val="000000"/>
          <w:u w:color="000000"/>
          <w:lang w:eastAsia="en-GB"/>
        </w:rPr>
        <w:t>13.</w:t>
      </w:r>
      <w:r w:rsidRPr="00544A82">
        <w:rPr>
          <w:rFonts w:hAnsi="Arial Unicode MS"/>
          <w:color w:val="000000"/>
          <w:u w:color="000000"/>
          <w:lang w:eastAsia="en-GB"/>
        </w:rPr>
        <w:tab/>
      </w:r>
      <w:r w:rsidRPr="00A26032">
        <w:rPr>
          <w:b/>
          <w:bCs/>
          <w:lang w:eastAsia="ko-KR"/>
        </w:rPr>
        <w:t xml:space="preserve">The Committee recommends that the State party guarantee an enabling environment for the activities of non-governmental organizations, including easier registration, to protect and promote human rights, including in the areas of economic, social and cultural rights. The Committee encourages the State party to consult with </w:t>
      </w:r>
      <w:r w:rsidRPr="00A26032">
        <w:rPr>
          <w:b/>
          <w:bCs/>
        </w:rPr>
        <w:t>non-governmental organizations</w:t>
      </w:r>
      <w:r w:rsidRPr="00A26032">
        <w:rPr>
          <w:b/>
          <w:bCs/>
          <w:lang w:eastAsia="ko-KR"/>
        </w:rPr>
        <w:t xml:space="preserve"> </w:t>
      </w:r>
      <w:r w:rsidRPr="00A26032">
        <w:rPr>
          <w:b/>
          <w:bCs/>
        </w:rPr>
        <w:t>working for the protection and promotion of</w:t>
      </w:r>
      <w:r w:rsidRPr="00A26032">
        <w:rPr>
          <w:b/>
          <w:bCs/>
          <w:lang w:eastAsia="ko-KR"/>
        </w:rPr>
        <w:t xml:space="preserve"> human rights in the preparation of its next report.</w:t>
      </w:r>
    </w:p>
    <w:p w:rsidR="00D25A67" w:rsidRPr="00544A82" w:rsidRDefault="00D25A67" w:rsidP="00D25A67">
      <w:pPr>
        <w:pStyle w:val="H23G"/>
        <w:rPr>
          <w:rFonts w:eastAsia="Times"/>
        </w:rPr>
      </w:pPr>
      <w:r w:rsidRPr="00544A82">
        <w:tab/>
      </w:r>
      <w:r w:rsidRPr="00544A82">
        <w:tab/>
        <w:t xml:space="preserve">Corruption </w:t>
      </w:r>
    </w:p>
    <w:p w:rsidR="00D25A67" w:rsidRPr="00544A82" w:rsidRDefault="00D25A67" w:rsidP="00D25A67">
      <w:pPr>
        <w:pStyle w:val="SingleTxtG"/>
        <w:tabs>
          <w:tab w:val="left" w:pos="1701"/>
        </w:tabs>
        <w:rPr>
          <w:rFonts w:eastAsia="Times"/>
        </w:rPr>
      </w:pPr>
      <w:r w:rsidRPr="00544A82">
        <w:rPr>
          <w:rFonts w:eastAsia="Times" w:hAnsi="Arial Unicode MS"/>
        </w:rPr>
        <w:t>14.</w:t>
      </w:r>
      <w:r w:rsidRPr="00544A82">
        <w:rPr>
          <w:rFonts w:eastAsia="Times" w:hAnsi="Arial Unicode MS"/>
        </w:rPr>
        <w:tab/>
      </w:r>
      <w:r w:rsidRPr="00544A82">
        <w:t xml:space="preserve">The Committee notes information about the adoption of anti-corruption legislation and </w:t>
      </w:r>
      <w:r w:rsidRPr="002029A6">
        <w:t xml:space="preserve">the </w:t>
      </w:r>
      <w:r w:rsidRPr="00544A82">
        <w:t>establishment of an anti-corruption body</w:t>
      </w:r>
      <w:r w:rsidRPr="002029A6">
        <w:t>.</w:t>
      </w:r>
      <w:r w:rsidRPr="00544A82">
        <w:t xml:space="preserve"> However</w:t>
      </w:r>
      <w:r w:rsidRPr="002029A6">
        <w:t>,</w:t>
      </w:r>
      <w:r w:rsidRPr="00544A82">
        <w:t xml:space="preserve"> it is concerned about the persistence of high levels of corruption in the State party, particularly regarding access to health care and education, which hinders the effective use of the State party</w:t>
      </w:r>
      <w:r>
        <w:t>’</w:t>
      </w:r>
      <w:r w:rsidRPr="00544A82">
        <w:t xml:space="preserve">s resources for the implementation of the Covenant. The Committee regrets the lack of detailed information on </w:t>
      </w:r>
      <w:r w:rsidRPr="002029A6">
        <w:t xml:space="preserve">the </w:t>
      </w:r>
      <w:r w:rsidRPr="00544A82">
        <w:t xml:space="preserve">cases of corruption that were registered, investigated and prosecuted and the number of </w:t>
      </w:r>
      <w:r w:rsidRPr="002029A6">
        <w:t xml:space="preserve">perpetrators </w:t>
      </w:r>
      <w:r w:rsidRPr="00544A82">
        <w:t>convict</w:t>
      </w:r>
      <w:r w:rsidRPr="002029A6">
        <w:t>ed</w:t>
      </w:r>
      <w:r w:rsidRPr="00544A82">
        <w:t xml:space="preserve"> (art</w:t>
      </w:r>
      <w:r w:rsidRPr="002029A6">
        <w:t>.</w:t>
      </w:r>
      <w:r w:rsidRPr="00544A82">
        <w:t xml:space="preserve"> 2</w:t>
      </w:r>
      <w:r>
        <w:t xml:space="preserve"> </w:t>
      </w:r>
      <w:r w:rsidRPr="00544A82">
        <w:t xml:space="preserve">(1)). </w:t>
      </w:r>
    </w:p>
    <w:p w:rsidR="00D25A67" w:rsidRPr="00544A82" w:rsidRDefault="00D25A67" w:rsidP="00D25A67">
      <w:pPr>
        <w:pStyle w:val="SingleTxtG"/>
        <w:tabs>
          <w:tab w:val="left" w:pos="1701"/>
        </w:tabs>
        <w:rPr>
          <w:rFonts w:eastAsia="Times"/>
        </w:rPr>
      </w:pPr>
      <w:r w:rsidRPr="00544A82">
        <w:rPr>
          <w:rFonts w:eastAsia="Times" w:hAnsi="Arial Unicode MS"/>
        </w:rPr>
        <w:t>15.</w:t>
      </w:r>
      <w:r w:rsidRPr="00544A82">
        <w:rPr>
          <w:rFonts w:eastAsia="Times" w:hAnsi="Arial Unicode MS"/>
        </w:rPr>
        <w:tab/>
      </w:r>
      <w:r w:rsidRPr="00544A82">
        <w:rPr>
          <w:b/>
          <w:bCs/>
        </w:rPr>
        <w:t>The Committee recommends that the State party ensure the effective implementation and monitoring of current anti-corruption laws and policies, including in the areas of health care and education. The Committee recommends that the State party ensure safe, accessible and visible channels for reporting corruption</w:t>
      </w:r>
      <w:r w:rsidRPr="002029A6">
        <w:rPr>
          <w:b/>
          <w:bCs/>
        </w:rPr>
        <w:t>,</w:t>
      </w:r>
      <w:r w:rsidRPr="00544A82">
        <w:rPr>
          <w:b/>
          <w:bCs/>
        </w:rPr>
        <w:t xml:space="preserve"> conduct adequate investigations o</w:t>
      </w:r>
      <w:r w:rsidRPr="002029A6">
        <w:rPr>
          <w:b/>
          <w:bCs/>
        </w:rPr>
        <w:t>f</w:t>
      </w:r>
      <w:r w:rsidRPr="00544A82">
        <w:rPr>
          <w:b/>
          <w:bCs/>
        </w:rPr>
        <w:t xml:space="preserve"> alleged corruption</w:t>
      </w:r>
      <w:r w:rsidRPr="002029A6">
        <w:rPr>
          <w:b/>
          <w:bCs/>
        </w:rPr>
        <w:t>,</w:t>
      </w:r>
      <w:r w:rsidRPr="00544A82">
        <w:rPr>
          <w:b/>
          <w:bCs/>
        </w:rPr>
        <w:t xml:space="preserve"> </w:t>
      </w:r>
      <w:r w:rsidRPr="002029A6">
        <w:rPr>
          <w:b/>
          <w:bCs/>
        </w:rPr>
        <w:t xml:space="preserve">and </w:t>
      </w:r>
      <w:r w:rsidRPr="00544A82">
        <w:rPr>
          <w:b/>
          <w:bCs/>
        </w:rPr>
        <w:t xml:space="preserve">ensure prompt punishment of </w:t>
      </w:r>
      <w:r w:rsidRPr="002029A6">
        <w:rPr>
          <w:b/>
          <w:bCs/>
        </w:rPr>
        <w:t xml:space="preserve">the </w:t>
      </w:r>
      <w:r w:rsidRPr="00544A82">
        <w:rPr>
          <w:b/>
          <w:bCs/>
        </w:rPr>
        <w:t xml:space="preserve">perpetrators </w:t>
      </w:r>
      <w:r w:rsidRPr="002029A6">
        <w:rPr>
          <w:b/>
          <w:bCs/>
        </w:rPr>
        <w:t>and</w:t>
      </w:r>
      <w:r w:rsidRPr="00544A82">
        <w:rPr>
          <w:b/>
          <w:bCs/>
        </w:rPr>
        <w:t xml:space="preserve"> commensurate sanctions and </w:t>
      </w:r>
      <w:r w:rsidRPr="002029A6">
        <w:rPr>
          <w:b/>
          <w:bCs/>
        </w:rPr>
        <w:t xml:space="preserve">that </w:t>
      </w:r>
      <w:r w:rsidRPr="00544A82">
        <w:rPr>
          <w:b/>
          <w:bCs/>
        </w:rPr>
        <w:t xml:space="preserve">reprisals are not taken against those who report corruption. </w:t>
      </w:r>
    </w:p>
    <w:p w:rsidR="00D25A67" w:rsidRPr="00544A82" w:rsidRDefault="00D25A67" w:rsidP="00D25A67">
      <w:pPr>
        <w:pStyle w:val="H23G"/>
      </w:pPr>
      <w:r w:rsidRPr="00544A82">
        <w:tab/>
      </w:r>
      <w:r w:rsidRPr="00544A82">
        <w:tab/>
        <w:t xml:space="preserve">Non-discrimination </w:t>
      </w:r>
    </w:p>
    <w:p w:rsidR="00D25A67" w:rsidRPr="00544A82" w:rsidRDefault="00D25A67" w:rsidP="00D25A67">
      <w:pPr>
        <w:pStyle w:val="SingleTxtG"/>
        <w:tabs>
          <w:tab w:val="left" w:pos="1701"/>
        </w:tabs>
      </w:pPr>
      <w:r w:rsidRPr="00544A82">
        <w:rPr>
          <w:rFonts w:hAnsi="Arial Unicode MS"/>
        </w:rPr>
        <w:t>16.</w:t>
      </w:r>
      <w:r w:rsidRPr="00544A82">
        <w:rPr>
          <w:rFonts w:hAnsi="Arial Unicode MS"/>
        </w:rPr>
        <w:tab/>
      </w:r>
      <w:r w:rsidRPr="00544A82">
        <w:rPr>
          <w:rFonts w:cs="Arial Unicode MS"/>
          <w:color w:val="000000"/>
        </w:rPr>
        <w:t xml:space="preserve">The </w:t>
      </w:r>
      <w:r w:rsidRPr="00544A82">
        <w:t>Committee</w:t>
      </w:r>
      <w:r w:rsidRPr="00544A82">
        <w:rPr>
          <w:rFonts w:cs="Arial Unicode MS"/>
          <w:color w:val="000000"/>
        </w:rPr>
        <w:t xml:space="preserve"> is concerned that</w:t>
      </w:r>
      <w:r w:rsidRPr="00544A82">
        <w:t>:</w:t>
      </w:r>
    </w:p>
    <w:p w:rsidR="00D25A67" w:rsidRPr="00D25A67" w:rsidRDefault="00D25A67" w:rsidP="00D25A67">
      <w:pPr>
        <w:pStyle w:val="SingleTxtG"/>
      </w:pPr>
      <w:r>
        <w:tab/>
      </w:r>
      <w:r w:rsidRPr="00D25A67">
        <w:t>(a)</w:t>
      </w:r>
      <w:r w:rsidRPr="00D25A67">
        <w:tab/>
        <w:t>There is no comprehensive anti-discrimination legislation in the State party and that the existing legal provisions are partial and fragmented;</w:t>
      </w:r>
    </w:p>
    <w:p w:rsidR="00D25A67" w:rsidRPr="00D25A67" w:rsidRDefault="00D25A67" w:rsidP="00D25A67">
      <w:pPr>
        <w:pStyle w:val="SingleTxtG"/>
      </w:pPr>
      <w:r>
        <w:tab/>
      </w:r>
      <w:r w:rsidRPr="00D25A67">
        <w:t>(b)</w:t>
      </w:r>
      <w:r w:rsidRPr="00D25A67">
        <w:tab/>
        <w:t>There is a strong stigmatization of lesbian, gay, bisexual, transgender and intersex persons and discrimination against them is not prohibited. Furthermore, under section 135 of the Criminal Code, homosexual acts between adult men is punished by a prison sentence of up to two years;</w:t>
      </w:r>
    </w:p>
    <w:p w:rsidR="00D25A67" w:rsidRPr="00D25A67" w:rsidRDefault="00D25A67" w:rsidP="00D25A67">
      <w:pPr>
        <w:pStyle w:val="SingleTxtG"/>
      </w:pPr>
      <w:r>
        <w:tab/>
      </w:r>
      <w:r w:rsidRPr="00D25A67">
        <w:t>(c)</w:t>
      </w:r>
      <w:r w:rsidRPr="00D25A67">
        <w:tab/>
        <w:t>Persons with HIV/AIDS continue to face discrimination in the areas of marriage and travel;</w:t>
      </w:r>
    </w:p>
    <w:p w:rsidR="00D25A67" w:rsidRPr="00544A82" w:rsidRDefault="00D25A67" w:rsidP="00D25A67">
      <w:pPr>
        <w:pStyle w:val="SingleTxtG"/>
      </w:pPr>
      <w:r>
        <w:tab/>
      </w:r>
      <w:r w:rsidRPr="00D25A67">
        <w:t>(d)</w:t>
      </w:r>
      <w:r w:rsidRPr="00D25A67">
        <w:tab/>
        <w:t>The “third-generation test” discriminates against ethnic minorities, in particular</w:t>
      </w:r>
      <w:r w:rsidRPr="00544A82">
        <w:t xml:space="preserve"> in the areas of employment, registration and housing (art. 2</w:t>
      </w:r>
      <w:r w:rsidRPr="002029A6">
        <w:t xml:space="preserve"> (</w:t>
      </w:r>
      <w:r w:rsidRPr="00544A82">
        <w:t>2</w:t>
      </w:r>
      <w:r w:rsidRPr="002029A6">
        <w:t>)</w:t>
      </w:r>
      <w:r w:rsidRPr="00544A82">
        <w:t>).</w:t>
      </w:r>
    </w:p>
    <w:p w:rsidR="00D25A67" w:rsidRPr="00544A82" w:rsidRDefault="00D25A67" w:rsidP="00D25A67">
      <w:pPr>
        <w:pStyle w:val="SingleTxtG"/>
        <w:tabs>
          <w:tab w:val="left" w:pos="1701"/>
        </w:tabs>
      </w:pPr>
      <w:r w:rsidRPr="00544A82">
        <w:rPr>
          <w:rFonts w:hAnsi="Arial Unicode MS"/>
        </w:rPr>
        <w:t>17.</w:t>
      </w:r>
      <w:r w:rsidRPr="00544A82">
        <w:rPr>
          <w:rFonts w:hAnsi="Arial Unicode MS"/>
        </w:rPr>
        <w:tab/>
      </w:r>
      <w:r w:rsidRPr="00544A82">
        <w:rPr>
          <w:b/>
          <w:bCs/>
        </w:rPr>
        <w:t>The Committee recommends that the State party:</w:t>
      </w:r>
    </w:p>
    <w:p w:rsidR="00D25A67" w:rsidRPr="00A26032" w:rsidRDefault="00D25A67" w:rsidP="00D25A67">
      <w:pPr>
        <w:pStyle w:val="SingleTxtG"/>
        <w:rPr>
          <w:b/>
          <w:bCs/>
        </w:rPr>
      </w:pPr>
      <w:r>
        <w:rPr>
          <w:b/>
          <w:bCs/>
        </w:rPr>
        <w:tab/>
      </w:r>
      <w:r w:rsidRPr="00A26032">
        <w:rPr>
          <w:b/>
          <w:bCs/>
        </w:rPr>
        <w:t>(a)</w:t>
      </w:r>
      <w:r w:rsidRPr="00A26032">
        <w:rPr>
          <w:b/>
          <w:bCs/>
        </w:rPr>
        <w:tab/>
        <w:t>Adopt comprehensive anti-discrimination legislation that provides a definition of direct and indirect discrimination and includes all the grounds for discrimination set out in article 2 (2) of the Covenant, taking also into account the Committee’s general comment No. 20 (2009) on non-discrimination in economic, social and cultural rights;</w:t>
      </w:r>
    </w:p>
    <w:p w:rsidR="00D25A67" w:rsidRPr="00A26032" w:rsidRDefault="00D25A67" w:rsidP="00D25A67">
      <w:pPr>
        <w:pStyle w:val="SingleTxtG"/>
        <w:rPr>
          <w:b/>
          <w:bCs/>
        </w:rPr>
      </w:pPr>
      <w:r w:rsidRPr="00A26032">
        <w:rPr>
          <w:b/>
          <w:bCs/>
        </w:rPr>
        <w:tab/>
        <w:t>(b)</w:t>
      </w:r>
      <w:r w:rsidRPr="00A26032">
        <w:rPr>
          <w:b/>
          <w:bCs/>
        </w:rPr>
        <w:tab/>
        <w:t>Repeal section 135 of the Criminal Code;</w:t>
      </w:r>
    </w:p>
    <w:p w:rsidR="00D25A67" w:rsidRPr="00A26032" w:rsidRDefault="00D25A67" w:rsidP="00D25A67">
      <w:pPr>
        <w:pStyle w:val="SingleTxtG"/>
        <w:rPr>
          <w:b/>
          <w:bCs/>
        </w:rPr>
      </w:pPr>
      <w:r w:rsidRPr="00A26032">
        <w:rPr>
          <w:b/>
          <w:bCs/>
        </w:rPr>
        <w:tab/>
        <w:t>(c)</w:t>
      </w:r>
      <w:r w:rsidRPr="00A26032">
        <w:rPr>
          <w:b/>
          <w:bCs/>
        </w:rPr>
        <w:tab/>
        <w:t>Step up efforts to eliminate discriminatory provisions against persons with HIV/AIDS, and effectively enforce the relevant legal provisions and promote awareness-raising campaigns;</w:t>
      </w:r>
    </w:p>
    <w:p w:rsidR="00D25A67" w:rsidRPr="00544A82" w:rsidRDefault="00D25A67" w:rsidP="00D25A67">
      <w:pPr>
        <w:pStyle w:val="SingleTxtG"/>
      </w:pPr>
      <w:r w:rsidRPr="00A26032">
        <w:rPr>
          <w:b/>
          <w:bCs/>
        </w:rPr>
        <w:lastRenderedPageBreak/>
        <w:tab/>
        <w:t>(d)</w:t>
      </w:r>
      <w:r w:rsidRPr="00A26032">
        <w:rPr>
          <w:b/>
          <w:bCs/>
        </w:rPr>
        <w:tab/>
        <w:t>End the practice of third-generation tests and ensure that ethnic minorities have access to employment, registration and housing without discrimination</w:t>
      </w:r>
      <w:r w:rsidRPr="00544A82">
        <w:t xml:space="preserve">. </w:t>
      </w:r>
    </w:p>
    <w:p w:rsidR="00D25A67" w:rsidRPr="00544A82" w:rsidRDefault="00D25A67" w:rsidP="00D25A67">
      <w:pPr>
        <w:pStyle w:val="H23G"/>
        <w:rPr>
          <w:rFonts w:eastAsiaTheme="minorHAnsi"/>
          <w:lang w:eastAsia="en-US"/>
        </w:rPr>
      </w:pPr>
      <w:r w:rsidRPr="00544A82">
        <w:rPr>
          <w:rFonts w:eastAsiaTheme="minorHAnsi"/>
          <w:lang w:eastAsia="en-US"/>
        </w:rPr>
        <w:tab/>
      </w:r>
      <w:r>
        <w:rPr>
          <w:rFonts w:eastAsiaTheme="minorHAnsi"/>
          <w:lang w:eastAsia="en-US"/>
        </w:rPr>
        <w:tab/>
      </w:r>
      <w:r w:rsidRPr="00544A82">
        <w:rPr>
          <w:rFonts w:eastAsiaTheme="minorHAnsi"/>
          <w:lang w:eastAsia="en-US"/>
        </w:rPr>
        <w:t xml:space="preserve">Persons with disabilities </w:t>
      </w:r>
    </w:p>
    <w:p w:rsidR="00D25A67" w:rsidRPr="00544A82" w:rsidRDefault="00D25A67" w:rsidP="00D25A67">
      <w:pPr>
        <w:pStyle w:val="SingleTxtG"/>
        <w:tabs>
          <w:tab w:val="left" w:pos="1701"/>
        </w:tabs>
      </w:pPr>
      <w:r w:rsidRPr="00544A82">
        <w:rPr>
          <w:rFonts w:hAnsi="Arial Unicode MS"/>
        </w:rPr>
        <w:t>18.</w:t>
      </w:r>
      <w:r w:rsidRPr="00544A82">
        <w:rPr>
          <w:rFonts w:hAnsi="Arial Unicode MS"/>
        </w:rPr>
        <w:tab/>
      </w:r>
      <w:r w:rsidRPr="00544A82">
        <w:rPr>
          <w:lang w:eastAsia="ko-KR"/>
        </w:rPr>
        <w:t>While</w:t>
      </w:r>
      <w:r w:rsidRPr="00544A82">
        <w:t xml:space="preserve"> welcom</w:t>
      </w:r>
      <w:r w:rsidRPr="00544A82">
        <w:rPr>
          <w:lang w:eastAsia="ko-KR"/>
        </w:rPr>
        <w:t>ing</w:t>
      </w:r>
      <w:r w:rsidRPr="00544A82">
        <w:t xml:space="preserve"> </w:t>
      </w:r>
      <w:r w:rsidRPr="00544A82">
        <w:rPr>
          <w:lang w:eastAsia="ko-KR"/>
        </w:rPr>
        <w:t xml:space="preserve">the </w:t>
      </w:r>
      <w:r w:rsidRPr="00544A82">
        <w:t xml:space="preserve">measures taken to improve the situation of persons with disabilities, </w:t>
      </w:r>
      <w:r w:rsidRPr="00544A82">
        <w:rPr>
          <w:lang w:eastAsia="ko-KR"/>
        </w:rPr>
        <w:t>the Committee</w:t>
      </w:r>
      <w:r w:rsidRPr="00544A82">
        <w:t xml:space="preserve"> regrets the lack of information on the impact of these measures</w:t>
      </w:r>
      <w:r w:rsidRPr="00544A82">
        <w:rPr>
          <w:lang w:eastAsia="ko-KR"/>
        </w:rPr>
        <w:t xml:space="preserve">. </w:t>
      </w:r>
      <w:r w:rsidRPr="00544A82">
        <w:t xml:space="preserve">The Committee is </w:t>
      </w:r>
      <w:r w:rsidRPr="00544A82">
        <w:rPr>
          <w:lang w:eastAsia="ko-KR"/>
        </w:rPr>
        <w:t xml:space="preserve">also </w:t>
      </w:r>
      <w:r w:rsidRPr="00544A82">
        <w:t xml:space="preserve">concerned that persons with disabilities face discrimination in </w:t>
      </w:r>
      <w:r w:rsidRPr="00544A82">
        <w:rPr>
          <w:lang w:eastAsia="ko-KR"/>
        </w:rPr>
        <w:t xml:space="preserve">employment, both in the </w:t>
      </w:r>
      <w:r w:rsidRPr="00544A82">
        <w:t xml:space="preserve">public and private </w:t>
      </w:r>
      <w:r w:rsidRPr="00544A82">
        <w:rPr>
          <w:lang w:eastAsia="ko-KR"/>
        </w:rPr>
        <w:t xml:space="preserve">sectors, </w:t>
      </w:r>
      <w:r w:rsidRPr="00544A82">
        <w:t xml:space="preserve">and that the employment rate among persons with disabilities is very low, despite the measures taken to stimulate their employment. </w:t>
      </w:r>
    </w:p>
    <w:p w:rsidR="00D25A67" w:rsidRPr="00544A82" w:rsidRDefault="00D25A67" w:rsidP="00D25A67">
      <w:pPr>
        <w:pStyle w:val="SingleTxtG"/>
        <w:tabs>
          <w:tab w:val="left" w:pos="1701"/>
        </w:tabs>
        <w:rPr>
          <w:b/>
        </w:rPr>
      </w:pPr>
      <w:r w:rsidRPr="00544A82">
        <w:rPr>
          <w:rFonts w:hAnsi="Arial Unicode MS"/>
        </w:rPr>
        <w:t>19.</w:t>
      </w:r>
      <w:r w:rsidRPr="00544A82">
        <w:rPr>
          <w:rFonts w:hAnsi="Arial Unicode MS"/>
        </w:rPr>
        <w:tab/>
      </w:r>
      <w:r w:rsidRPr="00544A82">
        <w:rPr>
          <w:b/>
        </w:rPr>
        <w:t>The Committee recommends that the State party enhance its efforts to ensure that persons with disabilities enjoy unhindered access to all social services, including education and employment, by</w:t>
      </w:r>
      <w:r w:rsidRPr="002029A6">
        <w:rPr>
          <w:b/>
        </w:rPr>
        <w:t xml:space="preserve">, inter alia, </w:t>
      </w:r>
      <w:r w:rsidRPr="00544A82">
        <w:rPr>
          <w:b/>
        </w:rPr>
        <w:t>providing</w:t>
      </w:r>
      <w:r w:rsidRPr="002029A6">
        <w:rPr>
          <w:b/>
        </w:rPr>
        <w:t xml:space="preserve"> </w:t>
      </w:r>
      <w:r w:rsidRPr="00544A82">
        <w:rPr>
          <w:b/>
        </w:rPr>
        <w:t xml:space="preserve">reasonable accommodation at school and in the workplace and improving the accessibility of </w:t>
      </w:r>
      <w:r w:rsidRPr="000444D8">
        <w:rPr>
          <w:b/>
        </w:rPr>
        <w:t xml:space="preserve">facilities and services open or provided to the public. </w:t>
      </w:r>
      <w:r w:rsidRPr="00544A82">
        <w:rPr>
          <w:b/>
        </w:rPr>
        <w:t>It requests th</w:t>
      </w:r>
      <w:r w:rsidRPr="002029A6">
        <w:rPr>
          <w:b/>
        </w:rPr>
        <w:t>at the</w:t>
      </w:r>
      <w:r w:rsidRPr="00544A82">
        <w:rPr>
          <w:b/>
        </w:rPr>
        <w:t xml:space="preserve"> State party provide information, in its next periodic report, on the employment of persons with disabilities</w:t>
      </w:r>
      <w:r w:rsidRPr="00544A82">
        <w:rPr>
          <w:b/>
          <w:lang w:eastAsia="ko-KR"/>
        </w:rPr>
        <w:t>, disaggregated by sex and age</w:t>
      </w:r>
      <w:r w:rsidRPr="00544A82">
        <w:rPr>
          <w:b/>
        </w:rPr>
        <w:t xml:space="preserve">, including the outcome of the implementation of the action plan </w:t>
      </w:r>
      <w:r w:rsidRPr="002029A6">
        <w:rPr>
          <w:b/>
        </w:rPr>
        <w:t xml:space="preserve">(2017–2020) </w:t>
      </w:r>
      <w:r w:rsidRPr="00544A82">
        <w:rPr>
          <w:b/>
        </w:rPr>
        <w:t xml:space="preserve">to achieve the full realization of the right of people with disabilities to labour and employment. </w:t>
      </w:r>
    </w:p>
    <w:p w:rsidR="00D25A67" w:rsidRPr="00544A82" w:rsidRDefault="00D25A67" w:rsidP="00D25A67">
      <w:pPr>
        <w:pStyle w:val="H23G"/>
      </w:pPr>
      <w:r w:rsidRPr="00544A82">
        <w:tab/>
      </w:r>
      <w:r w:rsidRPr="00544A82">
        <w:tab/>
        <w:t>Gender equality</w:t>
      </w:r>
    </w:p>
    <w:p w:rsidR="00D25A67" w:rsidRPr="00544A82" w:rsidRDefault="00D25A67" w:rsidP="00D25A67">
      <w:pPr>
        <w:pStyle w:val="SingleTxtG"/>
        <w:tabs>
          <w:tab w:val="left" w:pos="1701"/>
        </w:tabs>
        <w:rPr>
          <w:bCs/>
        </w:rPr>
      </w:pPr>
      <w:r w:rsidRPr="00544A82">
        <w:rPr>
          <w:rFonts w:hAnsi="Arial Unicode MS"/>
          <w:bCs/>
        </w:rPr>
        <w:t>20.</w:t>
      </w:r>
      <w:r w:rsidRPr="00544A82">
        <w:rPr>
          <w:rFonts w:hAnsi="Arial Unicode MS"/>
          <w:bCs/>
        </w:rPr>
        <w:tab/>
      </w:r>
      <w:r w:rsidRPr="00544A82">
        <w:rPr>
          <w:bCs/>
          <w:lang w:eastAsia="ko-KR"/>
        </w:rPr>
        <w:t xml:space="preserve">Despite the legal and policy measures </w:t>
      </w:r>
      <w:r w:rsidRPr="00544A82">
        <w:rPr>
          <w:bCs/>
        </w:rPr>
        <w:t xml:space="preserve">for </w:t>
      </w:r>
      <w:r w:rsidRPr="00544A82">
        <w:rPr>
          <w:bCs/>
          <w:lang w:eastAsia="ko-KR"/>
        </w:rPr>
        <w:t>g</w:t>
      </w:r>
      <w:r w:rsidRPr="00544A82">
        <w:rPr>
          <w:bCs/>
        </w:rPr>
        <w:t xml:space="preserve">ender </w:t>
      </w:r>
      <w:r w:rsidRPr="00544A82">
        <w:rPr>
          <w:bCs/>
          <w:lang w:eastAsia="ko-KR"/>
        </w:rPr>
        <w:t>e</w:t>
      </w:r>
      <w:r w:rsidRPr="00544A82">
        <w:rPr>
          <w:bCs/>
        </w:rPr>
        <w:t xml:space="preserve">quality, </w:t>
      </w:r>
      <w:r w:rsidRPr="00544A82">
        <w:rPr>
          <w:bCs/>
          <w:lang w:eastAsia="ko-KR"/>
        </w:rPr>
        <w:t>there is still pervasive and long</w:t>
      </w:r>
      <w:r w:rsidRPr="002029A6">
        <w:rPr>
          <w:bCs/>
          <w:lang w:eastAsia="ko-KR"/>
        </w:rPr>
        <w:t>-</w:t>
      </w:r>
      <w:r w:rsidRPr="00544A82">
        <w:rPr>
          <w:bCs/>
          <w:lang w:eastAsia="ko-KR"/>
        </w:rPr>
        <w:t xml:space="preserve">standing discrimination against women in law and in practice in the State party. The Committee is </w:t>
      </w:r>
      <w:r w:rsidRPr="00544A82">
        <w:rPr>
          <w:bCs/>
        </w:rPr>
        <w:t>concerned at the:</w:t>
      </w:r>
    </w:p>
    <w:p w:rsidR="00D25A67" w:rsidRPr="00D25A67" w:rsidRDefault="00D25A67" w:rsidP="00D25A67">
      <w:pPr>
        <w:pStyle w:val="SingleTxtG"/>
      </w:pPr>
      <w:r>
        <w:tab/>
      </w:r>
      <w:r w:rsidRPr="00D25A67">
        <w:t>(a)</w:t>
      </w:r>
      <w:r w:rsidRPr="00D25A67">
        <w:tab/>
        <w:t xml:space="preserve">Lack of information on the implementation and impact of the National Action Plan on Gender Equality; </w:t>
      </w:r>
    </w:p>
    <w:p w:rsidR="00D25A67" w:rsidRPr="00D25A67" w:rsidRDefault="00D25A67" w:rsidP="00D25A67">
      <w:pPr>
        <w:pStyle w:val="SingleTxtG"/>
      </w:pPr>
      <w:r>
        <w:tab/>
      </w:r>
      <w:r w:rsidRPr="00D25A67">
        <w:t>(b)</w:t>
      </w:r>
      <w:r w:rsidRPr="00D25A67">
        <w:tab/>
        <w:t xml:space="preserve">Underrepresentation of women in the public and private sectors, in particular at decision-making levels; </w:t>
      </w:r>
    </w:p>
    <w:p w:rsidR="00D25A67" w:rsidRPr="00D25A67" w:rsidRDefault="00D25A67" w:rsidP="00D25A67">
      <w:pPr>
        <w:pStyle w:val="SingleTxtG"/>
      </w:pPr>
      <w:r>
        <w:tab/>
      </w:r>
      <w:r w:rsidRPr="00D25A67">
        <w:t>(c)</w:t>
      </w:r>
      <w:r w:rsidRPr="00D25A67">
        <w:tab/>
        <w:t>Continuation of entrenched stereotypes against women;</w:t>
      </w:r>
    </w:p>
    <w:p w:rsidR="00D25A67" w:rsidRPr="00D25A67" w:rsidRDefault="00D25A67" w:rsidP="00D25A67">
      <w:pPr>
        <w:pStyle w:val="SingleTxtG"/>
      </w:pPr>
      <w:r>
        <w:tab/>
      </w:r>
      <w:r w:rsidRPr="00D25A67">
        <w:t>(d)</w:t>
      </w:r>
      <w:r w:rsidRPr="00D25A67">
        <w:tab/>
        <w:t>Harmful practice of “virginity tests” on women;</w:t>
      </w:r>
    </w:p>
    <w:p w:rsidR="00D25A67" w:rsidRPr="00D25A67" w:rsidRDefault="00D25A67" w:rsidP="00D25A67">
      <w:pPr>
        <w:pStyle w:val="SingleTxtG"/>
      </w:pPr>
      <w:r>
        <w:tab/>
      </w:r>
      <w:r w:rsidRPr="00D25A67">
        <w:t>(e)</w:t>
      </w:r>
      <w:r w:rsidRPr="00D25A67">
        <w:tab/>
        <w:t xml:space="preserve">Low participation of women in the labour market and the continuation of restrictions on women’s access to certain jobs; </w:t>
      </w:r>
    </w:p>
    <w:p w:rsidR="00D25A67" w:rsidRPr="00D25A67" w:rsidRDefault="00D25A67" w:rsidP="00D25A67">
      <w:pPr>
        <w:pStyle w:val="SingleTxtG"/>
      </w:pPr>
      <w:r>
        <w:tab/>
      </w:r>
      <w:r w:rsidRPr="00D25A67">
        <w:t>(f)</w:t>
      </w:r>
      <w:r w:rsidRPr="00D25A67">
        <w:tab/>
        <w:t>Absence of legislation on sexual harassment in the workplace;</w:t>
      </w:r>
    </w:p>
    <w:p w:rsidR="00D25A67" w:rsidRPr="00544A82" w:rsidRDefault="00D25A67" w:rsidP="00D25A67">
      <w:pPr>
        <w:pStyle w:val="SingleTxtG"/>
      </w:pPr>
      <w:r>
        <w:tab/>
      </w:r>
      <w:r w:rsidRPr="00D25A67">
        <w:t>(g)</w:t>
      </w:r>
      <w:r w:rsidRPr="00D25A67">
        <w:tab/>
        <w:t>Persis</w:t>
      </w:r>
      <w:r w:rsidRPr="00544A82">
        <w:t>tence of a wage gap between men and women.</w:t>
      </w:r>
    </w:p>
    <w:p w:rsidR="00D25A67" w:rsidRPr="00544A82" w:rsidRDefault="00D25A67" w:rsidP="00D25A67">
      <w:pPr>
        <w:pStyle w:val="SingleTxtG"/>
        <w:tabs>
          <w:tab w:val="left" w:pos="1701"/>
        </w:tabs>
        <w:rPr>
          <w:b/>
          <w:bCs/>
        </w:rPr>
      </w:pPr>
      <w:r w:rsidRPr="00544A82">
        <w:rPr>
          <w:rFonts w:hAnsi="Arial Unicode MS"/>
          <w:bCs/>
        </w:rPr>
        <w:t>21.</w:t>
      </w:r>
      <w:r w:rsidRPr="00544A82">
        <w:rPr>
          <w:rFonts w:hAnsi="Arial Unicode MS"/>
          <w:bCs/>
        </w:rPr>
        <w:tab/>
      </w:r>
      <w:r w:rsidRPr="002029A6">
        <w:rPr>
          <w:b/>
          <w:bCs/>
        </w:rPr>
        <w:t>So as t</w:t>
      </w:r>
      <w:r w:rsidRPr="00544A82">
        <w:rPr>
          <w:b/>
          <w:bCs/>
        </w:rPr>
        <w:t xml:space="preserve">o guarantee </w:t>
      </w:r>
      <w:r w:rsidRPr="002029A6">
        <w:rPr>
          <w:b/>
          <w:bCs/>
        </w:rPr>
        <w:t>equality for</w:t>
      </w:r>
      <w:r w:rsidRPr="00544A82">
        <w:rPr>
          <w:b/>
          <w:bCs/>
        </w:rPr>
        <w:t xml:space="preserve"> women </w:t>
      </w:r>
      <w:r w:rsidRPr="002029A6">
        <w:rPr>
          <w:b/>
          <w:bCs/>
        </w:rPr>
        <w:t>in</w:t>
      </w:r>
      <w:r w:rsidRPr="00544A82">
        <w:rPr>
          <w:b/>
          <w:bCs/>
        </w:rPr>
        <w:t xml:space="preserve"> the enjoyment of economic</w:t>
      </w:r>
      <w:r w:rsidRPr="002029A6">
        <w:rPr>
          <w:b/>
          <w:bCs/>
        </w:rPr>
        <w:t>,</w:t>
      </w:r>
      <w:r w:rsidRPr="00544A82">
        <w:rPr>
          <w:b/>
          <w:bCs/>
        </w:rPr>
        <w:t xml:space="preserve"> social and cultural rights, the Committee recommends that the State party:</w:t>
      </w:r>
    </w:p>
    <w:p w:rsidR="00D25A67" w:rsidRPr="00A26032" w:rsidRDefault="00D25A67" w:rsidP="00D25A67">
      <w:pPr>
        <w:pStyle w:val="SingleTxtG"/>
        <w:rPr>
          <w:b/>
        </w:rPr>
      </w:pPr>
      <w:r w:rsidRPr="00A26032">
        <w:rPr>
          <w:b/>
        </w:rPr>
        <w:tab/>
        <w:t>(a)</w:t>
      </w:r>
      <w:r w:rsidRPr="00A26032">
        <w:rPr>
          <w:b/>
        </w:rPr>
        <w:tab/>
        <w:t>Ensure the full implementation of the measures outlined in the National Action Plan on Gender Equality and provide information on their impact in the next report;</w:t>
      </w:r>
    </w:p>
    <w:p w:rsidR="00D25A67" w:rsidRPr="00A26032" w:rsidRDefault="00D25A67" w:rsidP="00D25A67">
      <w:pPr>
        <w:pStyle w:val="SingleTxtG"/>
        <w:rPr>
          <w:b/>
        </w:rPr>
      </w:pPr>
      <w:r w:rsidRPr="00A26032">
        <w:rPr>
          <w:b/>
        </w:rPr>
        <w:tab/>
        <w:t>(b)</w:t>
      </w:r>
      <w:r w:rsidRPr="00A26032">
        <w:rPr>
          <w:b/>
        </w:rPr>
        <w:tab/>
        <w:t>Increase women’s representation, in particular in decision-making positions in the public sector, and encourage greater representation of women in senior positions in the private sector;</w:t>
      </w:r>
    </w:p>
    <w:p w:rsidR="00D25A67" w:rsidRPr="00A26032" w:rsidRDefault="00D25A67" w:rsidP="00D25A67">
      <w:pPr>
        <w:pStyle w:val="SingleTxtG"/>
        <w:rPr>
          <w:b/>
        </w:rPr>
      </w:pPr>
      <w:r w:rsidRPr="00A26032">
        <w:rPr>
          <w:b/>
        </w:rPr>
        <w:tab/>
        <w:t>(c)</w:t>
      </w:r>
      <w:r w:rsidRPr="00A26032">
        <w:rPr>
          <w:b/>
        </w:rPr>
        <w:tab/>
        <w:t xml:space="preserve">Take measures to change society’s perception of stereotypes and gender roles, including through awareness-raising campaigns; </w:t>
      </w:r>
    </w:p>
    <w:p w:rsidR="00D25A67" w:rsidRPr="00A26032" w:rsidRDefault="00D25A67" w:rsidP="00D25A67">
      <w:pPr>
        <w:pStyle w:val="SingleTxtG"/>
        <w:rPr>
          <w:b/>
        </w:rPr>
      </w:pPr>
      <w:r w:rsidRPr="00A26032">
        <w:rPr>
          <w:b/>
        </w:rPr>
        <w:tab/>
        <w:t>(d)</w:t>
      </w:r>
      <w:r w:rsidRPr="00A26032">
        <w:rPr>
          <w:b/>
        </w:rPr>
        <w:tab/>
        <w:t>Eliminate the practice of “virginity tests”;</w:t>
      </w:r>
    </w:p>
    <w:p w:rsidR="00D25A67" w:rsidRPr="00A26032" w:rsidRDefault="00D25A67" w:rsidP="00D25A67">
      <w:pPr>
        <w:pStyle w:val="SingleTxtG"/>
        <w:rPr>
          <w:b/>
        </w:rPr>
      </w:pPr>
      <w:r w:rsidRPr="00A26032">
        <w:rPr>
          <w:b/>
        </w:rPr>
        <w:tab/>
        <w:t>(e)</w:t>
      </w:r>
      <w:r w:rsidRPr="00A26032">
        <w:rPr>
          <w:b/>
        </w:rPr>
        <w:tab/>
        <w:t>Eliminate any restrictions on women’s employment based on gender stereotypes;</w:t>
      </w:r>
    </w:p>
    <w:p w:rsidR="00D25A67" w:rsidRPr="00A26032" w:rsidRDefault="00D25A67" w:rsidP="00D25A67">
      <w:pPr>
        <w:pStyle w:val="SingleTxtG"/>
        <w:rPr>
          <w:b/>
        </w:rPr>
      </w:pPr>
      <w:r w:rsidRPr="00A26032">
        <w:rPr>
          <w:b/>
        </w:rPr>
        <w:tab/>
        <w:t>(f)</w:t>
      </w:r>
      <w:r w:rsidRPr="00A26032">
        <w:rPr>
          <w:b/>
        </w:rPr>
        <w:tab/>
        <w:t xml:space="preserve">Enact legislation against sexual harassment in the workplace and ensure effective enforcement and recourse for victims of harassment; </w:t>
      </w:r>
    </w:p>
    <w:p w:rsidR="00D25A67" w:rsidRPr="00544A82" w:rsidRDefault="00D25A67" w:rsidP="00D25A67">
      <w:pPr>
        <w:pStyle w:val="SingleTxtG"/>
        <w:rPr>
          <w:b/>
        </w:rPr>
      </w:pPr>
      <w:r w:rsidRPr="00A26032">
        <w:rPr>
          <w:b/>
        </w:rPr>
        <w:lastRenderedPageBreak/>
        <w:tab/>
        <w:t>(g)</w:t>
      </w:r>
      <w:r w:rsidRPr="00A26032">
        <w:rPr>
          <w:b/>
        </w:rPr>
        <w:tab/>
        <w:t>Take</w:t>
      </w:r>
      <w:r w:rsidRPr="00544A82">
        <w:rPr>
          <w:b/>
        </w:rPr>
        <w:t xml:space="preserve"> effective measures to close the wage gap between men and women.</w:t>
      </w:r>
    </w:p>
    <w:p w:rsidR="00D25A67" w:rsidRPr="00544A82" w:rsidRDefault="00D25A67" w:rsidP="00D25A67">
      <w:pPr>
        <w:pStyle w:val="SingleTxtG"/>
        <w:tabs>
          <w:tab w:val="left" w:pos="1701"/>
        </w:tabs>
        <w:rPr>
          <w:b/>
        </w:rPr>
      </w:pPr>
      <w:r w:rsidRPr="00544A82">
        <w:rPr>
          <w:rFonts w:hAnsi="Arial Unicode MS"/>
        </w:rPr>
        <w:t>22.</w:t>
      </w:r>
      <w:r w:rsidRPr="00544A82">
        <w:rPr>
          <w:rFonts w:hAnsi="Arial Unicode MS"/>
        </w:rPr>
        <w:tab/>
      </w:r>
      <w:r w:rsidRPr="00544A82">
        <w:rPr>
          <w:b/>
        </w:rPr>
        <w:t>The Committee draws the attention of the State party to its</w:t>
      </w:r>
      <w:r w:rsidRPr="00544A82">
        <w:rPr>
          <w:b/>
          <w:bCs/>
        </w:rPr>
        <w:t xml:space="preserve"> general comment No. 16 (2005) on the equal right of men and women to the enjoyment of all economic</w:t>
      </w:r>
      <w:r w:rsidRPr="002029A6">
        <w:rPr>
          <w:b/>
          <w:bCs/>
        </w:rPr>
        <w:t>,</w:t>
      </w:r>
      <w:r w:rsidRPr="00544A82">
        <w:rPr>
          <w:b/>
          <w:bCs/>
        </w:rPr>
        <w:t xml:space="preserve"> social and cultural rights. </w:t>
      </w:r>
    </w:p>
    <w:p w:rsidR="00D25A67" w:rsidRPr="00544A82" w:rsidRDefault="00D25A67" w:rsidP="00D25A67">
      <w:pPr>
        <w:pStyle w:val="H23G"/>
      </w:pPr>
      <w:r w:rsidRPr="00544A82">
        <w:tab/>
      </w:r>
      <w:r w:rsidRPr="00544A82">
        <w:tab/>
        <w:t xml:space="preserve">Forced labour </w:t>
      </w:r>
    </w:p>
    <w:p w:rsidR="00D25A67" w:rsidRPr="00544A82" w:rsidRDefault="00D25A67" w:rsidP="00D25A67">
      <w:pPr>
        <w:pStyle w:val="SingleTxtG"/>
        <w:tabs>
          <w:tab w:val="left" w:pos="1701"/>
        </w:tabs>
      </w:pPr>
      <w:r w:rsidRPr="00544A82">
        <w:rPr>
          <w:rFonts w:hAnsi="Arial Unicode MS"/>
        </w:rPr>
        <w:t>23.</w:t>
      </w:r>
      <w:r w:rsidRPr="00544A82">
        <w:rPr>
          <w:rFonts w:hAnsi="Arial Unicode MS"/>
        </w:rPr>
        <w:tab/>
      </w:r>
      <w:r w:rsidRPr="00544A82">
        <w:t xml:space="preserve">While noting that </w:t>
      </w:r>
      <w:r w:rsidRPr="002029A6">
        <w:t>a</w:t>
      </w:r>
      <w:r w:rsidRPr="00544A82">
        <w:t>rticle 49 of the new Constitution of 2016 introduced a rule on the prevention of forced labour and the worst forms of child labour, the Committee is concerned about the reported continued widespread use of forced labour among workers and students under threat of penalties during the cotton harvest.</w:t>
      </w:r>
    </w:p>
    <w:p w:rsidR="00D25A67" w:rsidRPr="00544A82" w:rsidRDefault="00D25A67" w:rsidP="00D25A67">
      <w:pPr>
        <w:pStyle w:val="SingleTxtG"/>
        <w:tabs>
          <w:tab w:val="left" w:pos="1701"/>
        </w:tabs>
      </w:pPr>
      <w:r w:rsidRPr="00544A82">
        <w:rPr>
          <w:rFonts w:hAnsi="Arial Unicode MS"/>
        </w:rPr>
        <w:t>24.</w:t>
      </w:r>
      <w:r w:rsidRPr="00544A82">
        <w:rPr>
          <w:rFonts w:hAnsi="Arial Unicode MS"/>
        </w:rPr>
        <w:tab/>
      </w:r>
      <w:r w:rsidRPr="00544A82">
        <w:rPr>
          <w:b/>
          <w:bCs/>
        </w:rPr>
        <w:t xml:space="preserve">The Committee recommends that the State party further strengthen its measures to stop forced labour, including by enforcing existing laws and policies prohibiting forced labour and increasing </w:t>
      </w:r>
      <w:r w:rsidRPr="002029A6">
        <w:rPr>
          <w:b/>
          <w:bCs/>
        </w:rPr>
        <w:t xml:space="preserve">the </w:t>
      </w:r>
      <w:r w:rsidRPr="00544A82">
        <w:rPr>
          <w:b/>
          <w:bCs/>
        </w:rPr>
        <w:t xml:space="preserve">monitoring of compliance, in particular in the cotton sector. It should also ensure that those employers violating labour rights are prosecuted and that, if convicted, commensurate sanctions are imposed and effectively implemented, and that full reparations are provided to victims. </w:t>
      </w:r>
    </w:p>
    <w:p w:rsidR="00D25A67" w:rsidRPr="00544A82" w:rsidRDefault="00D25A67" w:rsidP="00D25A67">
      <w:pPr>
        <w:pStyle w:val="H23G"/>
      </w:pPr>
      <w:r w:rsidRPr="00544A82">
        <w:tab/>
      </w:r>
      <w:r w:rsidRPr="00544A82">
        <w:tab/>
        <w:t xml:space="preserve">Trade </w:t>
      </w:r>
      <w:r w:rsidRPr="002029A6">
        <w:t>u</w:t>
      </w:r>
      <w:r w:rsidRPr="00544A82">
        <w:t xml:space="preserve">nions </w:t>
      </w:r>
    </w:p>
    <w:p w:rsidR="00D25A67" w:rsidRPr="002029A6" w:rsidRDefault="00D25A67" w:rsidP="00D25A67">
      <w:pPr>
        <w:pStyle w:val="SingleTxtG"/>
        <w:tabs>
          <w:tab w:val="left" w:pos="1701"/>
        </w:tabs>
        <w:rPr>
          <w:bCs/>
        </w:rPr>
      </w:pPr>
      <w:r w:rsidRPr="002029A6">
        <w:rPr>
          <w:rFonts w:hAnsi="Arial Unicode MS"/>
          <w:bCs/>
        </w:rPr>
        <w:t>25.</w:t>
      </w:r>
      <w:r w:rsidRPr="002029A6">
        <w:rPr>
          <w:rFonts w:hAnsi="Arial Unicode MS"/>
          <w:bCs/>
        </w:rPr>
        <w:tab/>
      </w:r>
      <w:r w:rsidRPr="002029A6">
        <w:rPr>
          <w:bCs/>
        </w:rPr>
        <w:t>The Committee is concerned that there is no right to establish an independent trade union and that there is no legislation on the right to strike in the State party. It also expresses concern that workers abstain from engaging in trade union activities out of fear of reprisals.</w:t>
      </w:r>
    </w:p>
    <w:p w:rsidR="00D25A67" w:rsidRPr="002029A6" w:rsidRDefault="00D25A67" w:rsidP="00D25A67">
      <w:pPr>
        <w:pStyle w:val="SingleTxtG"/>
        <w:tabs>
          <w:tab w:val="left" w:pos="1701"/>
        </w:tabs>
        <w:rPr>
          <w:bCs/>
        </w:rPr>
      </w:pPr>
      <w:r w:rsidRPr="002029A6">
        <w:rPr>
          <w:rFonts w:hAnsi="Arial Unicode MS"/>
          <w:bCs/>
        </w:rPr>
        <w:t>26.</w:t>
      </w:r>
      <w:r w:rsidRPr="002029A6">
        <w:rPr>
          <w:rFonts w:hAnsi="Arial Unicode MS"/>
          <w:bCs/>
        </w:rPr>
        <w:tab/>
      </w:r>
      <w:r w:rsidRPr="002029A6">
        <w:rPr>
          <w:b/>
          <w:bCs/>
        </w:rPr>
        <w:t xml:space="preserve">The Committee recommends that the State party </w:t>
      </w:r>
      <w:r w:rsidRPr="00544A82">
        <w:rPr>
          <w:b/>
          <w:bCs/>
        </w:rPr>
        <w:t xml:space="preserve">introduce a legal right to establish an independent trade union and </w:t>
      </w:r>
      <w:r>
        <w:rPr>
          <w:b/>
          <w:bCs/>
        </w:rPr>
        <w:t>a</w:t>
      </w:r>
      <w:r w:rsidRPr="00544A82">
        <w:rPr>
          <w:b/>
          <w:bCs/>
        </w:rPr>
        <w:t xml:space="preserve"> right to strike and </w:t>
      </w:r>
      <w:r w:rsidRPr="002029A6">
        <w:rPr>
          <w:b/>
          <w:bCs/>
        </w:rPr>
        <w:t>bring its legislation on trade unions into conformity with the provisions of article 8 of the Covenant, including by guaranteeing the right of workers to freely form and join the trade union of their choice and the free registration of trade unions, and by not interfering with union activities. The Committee also recommends that workers be allowed to freely exercise trade union rights and be effectively protected against reprisals.</w:t>
      </w:r>
    </w:p>
    <w:p w:rsidR="00D25A67" w:rsidRPr="00544A82" w:rsidRDefault="00D25A67" w:rsidP="00D25A67">
      <w:pPr>
        <w:pStyle w:val="H23G"/>
        <w:rPr>
          <w:rFonts w:eastAsia="Times"/>
        </w:rPr>
      </w:pPr>
      <w:r w:rsidRPr="00544A82">
        <w:tab/>
      </w:r>
      <w:r w:rsidRPr="00544A82">
        <w:tab/>
        <w:t xml:space="preserve">Domestic violence </w:t>
      </w:r>
    </w:p>
    <w:p w:rsidR="00D25A67" w:rsidRPr="00544A82" w:rsidRDefault="00D25A67" w:rsidP="00D25A67">
      <w:pPr>
        <w:pStyle w:val="SingleTxtG"/>
        <w:tabs>
          <w:tab w:val="left" w:pos="1701"/>
        </w:tabs>
        <w:rPr>
          <w:rFonts w:eastAsia="Times"/>
          <w:b/>
          <w:bCs/>
        </w:rPr>
      </w:pPr>
      <w:r w:rsidRPr="00544A82">
        <w:rPr>
          <w:rFonts w:eastAsia="Times" w:hAnsi="Arial Unicode MS"/>
          <w:bCs/>
        </w:rPr>
        <w:t>27.</w:t>
      </w:r>
      <w:r w:rsidRPr="00544A82">
        <w:rPr>
          <w:rFonts w:eastAsia="Times" w:hAnsi="Arial Unicode MS"/>
          <w:bCs/>
        </w:rPr>
        <w:tab/>
      </w:r>
      <w:r w:rsidRPr="00544A82">
        <w:t xml:space="preserve">While noting recent efforts to conduct a survey on domestic violence, the Committee is concerned that </w:t>
      </w:r>
      <w:r w:rsidRPr="002029A6">
        <w:t>such</w:t>
      </w:r>
      <w:r w:rsidRPr="00544A82">
        <w:t xml:space="preserve"> violence remains prevalent in the State party and is not yet criminalized. The Committee is also concerned that domestic violence is underreported and not adequately investigated, and that </w:t>
      </w:r>
      <w:r w:rsidRPr="002029A6">
        <w:t xml:space="preserve">the </w:t>
      </w:r>
      <w:r w:rsidRPr="00544A82">
        <w:t xml:space="preserve">perpetrators often avoid punishment. </w:t>
      </w:r>
    </w:p>
    <w:p w:rsidR="00D25A67" w:rsidRPr="00544A82" w:rsidRDefault="00D25A67" w:rsidP="00D25A67">
      <w:pPr>
        <w:pStyle w:val="SingleTxtG"/>
        <w:tabs>
          <w:tab w:val="left" w:pos="1701"/>
        </w:tabs>
        <w:rPr>
          <w:rFonts w:eastAsia="Times"/>
          <w:b/>
          <w:bCs/>
        </w:rPr>
      </w:pPr>
      <w:r w:rsidRPr="00544A82">
        <w:rPr>
          <w:rFonts w:eastAsia="Times" w:hAnsi="Arial Unicode MS"/>
          <w:bCs/>
        </w:rPr>
        <w:t>28.</w:t>
      </w:r>
      <w:r w:rsidRPr="00544A82">
        <w:rPr>
          <w:rFonts w:eastAsia="Times" w:hAnsi="Arial Unicode MS"/>
          <w:bCs/>
        </w:rPr>
        <w:tab/>
      </w:r>
      <w:r w:rsidRPr="00544A82">
        <w:rPr>
          <w:b/>
          <w:bCs/>
        </w:rPr>
        <w:t>The Committee recommends that the State party criminalize domestic violence under its penal law and take measures to ensure the prompt investigation and prosecution of offenders</w:t>
      </w:r>
      <w:r w:rsidRPr="002029A6">
        <w:rPr>
          <w:b/>
          <w:bCs/>
        </w:rPr>
        <w:t>,</w:t>
      </w:r>
      <w:r w:rsidRPr="00544A82">
        <w:rPr>
          <w:b/>
          <w:bCs/>
        </w:rPr>
        <w:t xml:space="preserve"> as well as the effective protection, rehabilitation and compensation of victims. The Committee also recommends that the State party enhance preventive measures, including nationwide awareness-raising of the general public and law enforcement officials on domestic violence. </w:t>
      </w:r>
    </w:p>
    <w:p w:rsidR="00D25A67" w:rsidRPr="00544A82" w:rsidRDefault="00D25A67" w:rsidP="00D25A67">
      <w:pPr>
        <w:pStyle w:val="H23G"/>
        <w:rPr>
          <w:rFonts w:eastAsia="Times"/>
        </w:rPr>
      </w:pPr>
      <w:r w:rsidRPr="00544A82">
        <w:tab/>
      </w:r>
      <w:r w:rsidRPr="00544A82">
        <w:tab/>
        <w:t xml:space="preserve">Poverty </w:t>
      </w:r>
    </w:p>
    <w:p w:rsidR="00D25A67" w:rsidRPr="00544A82" w:rsidRDefault="00D25A67" w:rsidP="00D25A67">
      <w:pPr>
        <w:pStyle w:val="SingleTxtG"/>
        <w:tabs>
          <w:tab w:val="left" w:pos="1701"/>
        </w:tabs>
        <w:rPr>
          <w:rFonts w:eastAsia="Times"/>
        </w:rPr>
      </w:pPr>
      <w:r w:rsidRPr="00544A82">
        <w:rPr>
          <w:rFonts w:eastAsia="Times" w:hAnsi="Arial Unicode MS"/>
        </w:rPr>
        <w:t>29.</w:t>
      </w:r>
      <w:r w:rsidRPr="00544A82">
        <w:rPr>
          <w:rFonts w:eastAsia="Times" w:hAnsi="Arial Unicode MS"/>
        </w:rPr>
        <w:tab/>
      </w:r>
      <w:r w:rsidRPr="00544A82">
        <w:t xml:space="preserve">The Committee regrets the lack of information provided by the State party, including data on persons living in poverty and extreme poverty, and on any progress made on reducing poverty. </w:t>
      </w:r>
    </w:p>
    <w:p w:rsidR="00D25A67" w:rsidRPr="00544A82" w:rsidRDefault="00D25A67" w:rsidP="00D25A67">
      <w:pPr>
        <w:pStyle w:val="SingleTxtG"/>
        <w:tabs>
          <w:tab w:val="left" w:pos="1701"/>
        </w:tabs>
        <w:rPr>
          <w:rFonts w:eastAsia="Times"/>
          <w:b/>
          <w:bCs/>
        </w:rPr>
      </w:pPr>
      <w:r w:rsidRPr="00544A82">
        <w:rPr>
          <w:rFonts w:eastAsia="Times" w:hAnsi="Arial Unicode MS"/>
          <w:bCs/>
        </w:rPr>
        <w:t>30.</w:t>
      </w:r>
      <w:r w:rsidRPr="00544A82">
        <w:rPr>
          <w:rFonts w:eastAsia="Times" w:hAnsi="Arial Unicode MS"/>
          <w:bCs/>
        </w:rPr>
        <w:tab/>
      </w:r>
      <w:r w:rsidRPr="00544A82">
        <w:rPr>
          <w:b/>
          <w:bCs/>
        </w:rPr>
        <w:t>The Committee recommends that the State party</w:t>
      </w:r>
      <w:r w:rsidRPr="00544A82">
        <w:rPr>
          <w:b/>
        </w:rPr>
        <w:t xml:space="preserve"> establish a national poverty line and i</w:t>
      </w:r>
      <w:r w:rsidRPr="00544A82">
        <w:rPr>
          <w:b/>
          <w:bCs/>
        </w:rPr>
        <w:t>nclude, in its next periodic report</w:t>
      </w:r>
      <w:r w:rsidRPr="002029A6">
        <w:rPr>
          <w:b/>
          <w:bCs/>
        </w:rPr>
        <w:t>,</w:t>
      </w:r>
      <w:r w:rsidRPr="00544A82">
        <w:rPr>
          <w:b/>
          <w:bCs/>
        </w:rPr>
        <w:t xml:space="preserve"> </w:t>
      </w:r>
      <w:r w:rsidRPr="00544A82">
        <w:rPr>
          <w:b/>
        </w:rPr>
        <w:t>information and comparative data</w:t>
      </w:r>
      <w:r w:rsidRPr="002029A6">
        <w:rPr>
          <w:b/>
        </w:rPr>
        <w:t>,</w:t>
      </w:r>
      <w:r w:rsidRPr="00544A82">
        <w:rPr>
          <w:b/>
        </w:rPr>
        <w:t xml:space="preserve"> disaggregated by sex, age group, urban/rural areas and other relevant factors</w:t>
      </w:r>
      <w:r w:rsidRPr="002029A6">
        <w:rPr>
          <w:b/>
        </w:rPr>
        <w:t>,</w:t>
      </w:r>
      <w:r w:rsidRPr="00544A82">
        <w:rPr>
          <w:b/>
        </w:rPr>
        <w:t xml:space="preserve"> on the proportion</w:t>
      </w:r>
      <w:r w:rsidRPr="00544A82">
        <w:rPr>
          <w:rFonts w:cs="Arial Unicode MS"/>
          <w:b/>
        </w:rPr>
        <w:t xml:space="preserve"> </w:t>
      </w:r>
      <w:r w:rsidRPr="00544A82">
        <w:rPr>
          <w:b/>
          <w:bCs/>
        </w:rPr>
        <w:t xml:space="preserve">of </w:t>
      </w:r>
      <w:r w:rsidRPr="00544A82">
        <w:rPr>
          <w:b/>
        </w:rPr>
        <w:t>the population</w:t>
      </w:r>
      <w:r w:rsidRPr="00544A82">
        <w:rPr>
          <w:b/>
          <w:bCs/>
        </w:rPr>
        <w:t xml:space="preserve"> living in poverty and extreme poverty, and on concrete progress made in reducing poverty.</w:t>
      </w:r>
      <w:r w:rsidRPr="002029A6">
        <w:rPr>
          <w:b/>
          <w:bCs/>
        </w:rPr>
        <w:t xml:space="preserve"> </w:t>
      </w:r>
    </w:p>
    <w:p w:rsidR="00D25A67" w:rsidRPr="00544A82" w:rsidRDefault="00D25A67" w:rsidP="00D25A67">
      <w:pPr>
        <w:pStyle w:val="H23G"/>
        <w:rPr>
          <w:rFonts w:eastAsia="Times"/>
        </w:rPr>
      </w:pPr>
      <w:r w:rsidRPr="00544A82">
        <w:lastRenderedPageBreak/>
        <w:tab/>
      </w:r>
      <w:r w:rsidRPr="00544A82">
        <w:tab/>
        <w:t>Access to water</w:t>
      </w:r>
    </w:p>
    <w:p w:rsidR="00D25A67" w:rsidRPr="00544A82" w:rsidRDefault="00D25A67" w:rsidP="00D25A67">
      <w:pPr>
        <w:pStyle w:val="SingleTxtG"/>
        <w:tabs>
          <w:tab w:val="left" w:pos="1701"/>
        </w:tabs>
        <w:rPr>
          <w:rFonts w:eastAsia="Times"/>
        </w:rPr>
      </w:pPr>
      <w:r w:rsidRPr="00544A82">
        <w:rPr>
          <w:rFonts w:eastAsia="Times" w:hAnsi="Arial Unicode MS"/>
        </w:rPr>
        <w:t>31.</w:t>
      </w:r>
      <w:r w:rsidRPr="00544A82">
        <w:rPr>
          <w:rFonts w:eastAsia="Times" w:hAnsi="Arial Unicode MS"/>
        </w:rPr>
        <w:tab/>
      </w:r>
      <w:r w:rsidRPr="00544A82">
        <w:t>The Committee, while noting the reported overall increase in the percentage of households with improved drinking water between 2006 and 2016, remains concerned that access to safe drinking water and sanitation is much lower in rural areas than urban areas (art.</w:t>
      </w:r>
      <w:r>
        <w:t xml:space="preserve"> </w:t>
      </w:r>
      <w:r w:rsidRPr="00544A82">
        <w:t xml:space="preserve">11). </w:t>
      </w:r>
    </w:p>
    <w:p w:rsidR="00D25A67" w:rsidRPr="00544A82" w:rsidRDefault="00D25A67" w:rsidP="00D25A67">
      <w:pPr>
        <w:pStyle w:val="SingleTxtG"/>
        <w:tabs>
          <w:tab w:val="left" w:pos="1701"/>
        </w:tabs>
        <w:rPr>
          <w:rFonts w:eastAsia="Times"/>
        </w:rPr>
      </w:pPr>
      <w:r w:rsidRPr="00544A82">
        <w:rPr>
          <w:rFonts w:eastAsia="Times" w:hAnsi="Arial Unicode MS"/>
        </w:rPr>
        <w:t>32.</w:t>
      </w:r>
      <w:r w:rsidRPr="00544A82">
        <w:rPr>
          <w:rFonts w:eastAsia="Times" w:hAnsi="Arial Unicode MS"/>
        </w:rPr>
        <w:tab/>
      </w:r>
      <w:r w:rsidRPr="00544A82">
        <w:rPr>
          <w:b/>
          <w:bCs/>
        </w:rPr>
        <w:t xml:space="preserve">The Committee recommends that the State party improve access to safe drinking water and sanitation, and take all measures </w:t>
      </w:r>
      <w:r w:rsidRPr="002029A6">
        <w:rPr>
          <w:b/>
          <w:bCs/>
        </w:rPr>
        <w:t xml:space="preserve">necessary </w:t>
      </w:r>
      <w:r w:rsidRPr="00544A82">
        <w:rPr>
          <w:b/>
          <w:bCs/>
        </w:rPr>
        <w:t xml:space="preserve">to reduce the current disparities between urban and rural areas in this regard. </w:t>
      </w:r>
    </w:p>
    <w:p w:rsidR="00D25A67" w:rsidRPr="00544A82" w:rsidRDefault="00D25A67" w:rsidP="00D25A67">
      <w:pPr>
        <w:pStyle w:val="H23G"/>
        <w:rPr>
          <w:rFonts w:eastAsia="Times"/>
        </w:rPr>
      </w:pPr>
      <w:r w:rsidRPr="00544A82">
        <w:tab/>
      </w:r>
      <w:r w:rsidRPr="00544A82">
        <w:tab/>
        <w:t xml:space="preserve">Registration </w:t>
      </w:r>
      <w:r w:rsidRPr="002029A6">
        <w:t>s</w:t>
      </w:r>
      <w:r w:rsidRPr="00544A82">
        <w:t>ystem (</w:t>
      </w:r>
      <w:proofErr w:type="spellStart"/>
      <w:r w:rsidRPr="00544A82">
        <w:rPr>
          <w:i/>
          <w:iCs/>
        </w:rPr>
        <w:t>propiska</w:t>
      </w:r>
      <w:proofErr w:type="spellEnd"/>
      <w:r w:rsidRPr="00544A82">
        <w:t xml:space="preserve">) </w:t>
      </w:r>
    </w:p>
    <w:p w:rsidR="00D25A67" w:rsidRPr="00544A82" w:rsidRDefault="00D25A67" w:rsidP="00D25A67">
      <w:pPr>
        <w:pStyle w:val="SingleTxtG"/>
        <w:tabs>
          <w:tab w:val="left" w:pos="1701"/>
        </w:tabs>
        <w:rPr>
          <w:rFonts w:eastAsia="Times"/>
        </w:rPr>
      </w:pPr>
      <w:r w:rsidRPr="00544A82">
        <w:rPr>
          <w:rFonts w:eastAsia="Times" w:hAnsi="Arial Unicode MS"/>
        </w:rPr>
        <w:t>33.</w:t>
      </w:r>
      <w:r w:rsidRPr="00544A82">
        <w:rPr>
          <w:rFonts w:eastAsia="Times" w:hAnsi="Arial Unicode MS"/>
        </w:rPr>
        <w:tab/>
      </w:r>
      <w:r w:rsidRPr="00544A82">
        <w:t>The Committee remains concerned about the implications of the registration system (</w:t>
      </w:r>
      <w:proofErr w:type="spellStart"/>
      <w:r w:rsidRPr="00544A82">
        <w:rPr>
          <w:i/>
          <w:iCs/>
        </w:rPr>
        <w:t>propiska</w:t>
      </w:r>
      <w:proofErr w:type="spellEnd"/>
      <w:r w:rsidRPr="00544A82">
        <w:t>) on access to employment, housing, health care and social benefits.</w:t>
      </w:r>
      <w:r w:rsidRPr="002029A6">
        <w:t xml:space="preserve"> </w:t>
      </w:r>
      <w:r w:rsidRPr="00544A82">
        <w:t>In particular</w:t>
      </w:r>
      <w:r w:rsidRPr="002029A6">
        <w:t>,</w:t>
      </w:r>
      <w:r w:rsidRPr="00544A82">
        <w:t xml:space="preserve"> it is concerned at the vulnerable situation of individuals living in place</w:t>
      </w:r>
      <w:r w:rsidRPr="002029A6">
        <w:t>s</w:t>
      </w:r>
      <w:r w:rsidRPr="00544A82">
        <w:t xml:space="preserve"> other than </w:t>
      </w:r>
      <w:r w:rsidRPr="002029A6">
        <w:t xml:space="preserve">the ones in </w:t>
      </w:r>
      <w:r w:rsidRPr="00544A82">
        <w:t>wh</w:t>
      </w:r>
      <w:r w:rsidRPr="002029A6">
        <w:t>ich</w:t>
      </w:r>
      <w:r w:rsidRPr="00544A82">
        <w:t xml:space="preserve"> they are registered, such as individuals seeking employment in the capital </w:t>
      </w:r>
      <w:r w:rsidRPr="002029A6">
        <w:t>who</w:t>
      </w:r>
      <w:r w:rsidRPr="00544A82">
        <w:t xml:space="preserve"> </w:t>
      </w:r>
      <w:r w:rsidRPr="002029A6">
        <w:t xml:space="preserve">are </w:t>
      </w:r>
      <w:r w:rsidRPr="00544A82">
        <w:t xml:space="preserve">unable to </w:t>
      </w:r>
      <w:r w:rsidRPr="002029A6">
        <w:t>register their</w:t>
      </w:r>
      <w:r w:rsidRPr="00544A82">
        <w:t xml:space="preserve"> residency there.</w:t>
      </w:r>
      <w:r w:rsidRPr="002029A6">
        <w:t xml:space="preserve"> </w:t>
      </w:r>
    </w:p>
    <w:p w:rsidR="00D25A67" w:rsidRPr="00544A82" w:rsidRDefault="00D25A67" w:rsidP="00D25A67">
      <w:pPr>
        <w:pStyle w:val="SingleTxtG"/>
        <w:tabs>
          <w:tab w:val="left" w:pos="1701"/>
        </w:tabs>
        <w:rPr>
          <w:rFonts w:eastAsia="Times"/>
        </w:rPr>
      </w:pPr>
      <w:r w:rsidRPr="00544A82">
        <w:rPr>
          <w:rFonts w:eastAsia="Times" w:hAnsi="Arial Unicode MS"/>
        </w:rPr>
        <w:t>34.</w:t>
      </w:r>
      <w:r w:rsidRPr="00544A82">
        <w:rPr>
          <w:rFonts w:eastAsia="Times" w:hAnsi="Arial Unicode MS"/>
        </w:rPr>
        <w:tab/>
      </w:r>
      <w:r w:rsidRPr="00544A82">
        <w:rPr>
          <w:b/>
          <w:bCs/>
        </w:rPr>
        <w:t xml:space="preserve">The Committee recommends that the State party take effective measures to ensure that </w:t>
      </w:r>
      <w:proofErr w:type="spellStart"/>
      <w:r w:rsidRPr="00544A82">
        <w:rPr>
          <w:b/>
          <w:bCs/>
          <w:i/>
          <w:iCs/>
        </w:rPr>
        <w:t>propiska</w:t>
      </w:r>
      <w:proofErr w:type="spellEnd"/>
      <w:r w:rsidRPr="00544A82">
        <w:rPr>
          <w:b/>
          <w:bCs/>
        </w:rPr>
        <w:t xml:space="preserve"> does not limit access to economic, social and cultural rights, in particular as regards employment, housing, health care and social benefits, and </w:t>
      </w:r>
      <w:r w:rsidRPr="002029A6">
        <w:rPr>
          <w:b/>
          <w:bCs/>
        </w:rPr>
        <w:t xml:space="preserve">to </w:t>
      </w:r>
      <w:r w:rsidRPr="00544A82">
        <w:rPr>
          <w:b/>
          <w:bCs/>
        </w:rPr>
        <w:t xml:space="preserve">facilitate the </w:t>
      </w:r>
      <w:r w:rsidRPr="000E536E">
        <w:rPr>
          <w:b/>
          <w:bCs/>
        </w:rPr>
        <w:t xml:space="preserve">ability to obtain </w:t>
      </w:r>
      <w:proofErr w:type="spellStart"/>
      <w:r w:rsidRPr="00544A82">
        <w:rPr>
          <w:b/>
          <w:bCs/>
          <w:i/>
          <w:iCs/>
        </w:rPr>
        <w:t>propiska</w:t>
      </w:r>
      <w:proofErr w:type="spellEnd"/>
      <w:r w:rsidRPr="00544A82">
        <w:rPr>
          <w:b/>
          <w:bCs/>
        </w:rPr>
        <w:t xml:space="preserve"> outside the place of origin. The Committee also recommends that the State party consider replacing </w:t>
      </w:r>
      <w:proofErr w:type="spellStart"/>
      <w:r w:rsidRPr="00544A82">
        <w:rPr>
          <w:b/>
          <w:bCs/>
          <w:i/>
          <w:iCs/>
        </w:rPr>
        <w:t>propiska</w:t>
      </w:r>
      <w:proofErr w:type="spellEnd"/>
      <w:r w:rsidRPr="00544A82">
        <w:rPr>
          <w:b/>
          <w:bCs/>
        </w:rPr>
        <w:t xml:space="preserve"> </w:t>
      </w:r>
      <w:r w:rsidRPr="002029A6">
        <w:rPr>
          <w:b/>
          <w:bCs/>
        </w:rPr>
        <w:t>with a</w:t>
      </w:r>
      <w:r w:rsidRPr="00544A82">
        <w:rPr>
          <w:b/>
          <w:bCs/>
        </w:rPr>
        <w:t xml:space="preserve"> system </w:t>
      </w:r>
      <w:r w:rsidRPr="002029A6">
        <w:rPr>
          <w:b/>
          <w:bCs/>
        </w:rPr>
        <w:t>that</w:t>
      </w:r>
      <w:r w:rsidRPr="00544A82">
        <w:rPr>
          <w:b/>
          <w:bCs/>
        </w:rPr>
        <w:t xml:space="preserve"> ensure</w:t>
      </w:r>
      <w:r w:rsidRPr="002029A6">
        <w:rPr>
          <w:b/>
          <w:bCs/>
        </w:rPr>
        <w:t>s</w:t>
      </w:r>
      <w:r w:rsidRPr="00544A82">
        <w:rPr>
          <w:b/>
          <w:bCs/>
        </w:rPr>
        <w:t xml:space="preserve"> freedom of movement and the full enjoyment of all economic</w:t>
      </w:r>
      <w:r w:rsidRPr="002029A6">
        <w:rPr>
          <w:b/>
          <w:bCs/>
        </w:rPr>
        <w:t>,</w:t>
      </w:r>
      <w:r w:rsidRPr="00544A82">
        <w:rPr>
          <w:b/>
          <w:bCs/>
        </w:rPr>
        <w:t xml:space="preserve"> social and cultural rights. </w:t>
      </w:r>
    </w:p>
    <w:p w:rsidR="00D25A67" w:rsidRPr="00544A82" w:rsidRDefault="00D25A67" w:rsidP="00D25A67">
      <w:pPr>
        <w:pStyle w:val="H23G"/>
        <w:rPr>
          <w:rFonts w:eastAsia="Times"/>
        </w:rPr>
      </w:pPr>
      <w:r w:rsidRPr="00544A82">
        <w:tab/>
      </w:r>
      <w:r w:rsidRPr="00544A82">
        <w:tab/>
        <w:t>Housing and forced evictions</w:t>
      </w:r>
    </w:p>
    <w:p w:rsidR="00D25A67" w:rsidRPr="00544A82" w:rsidRDefault="00D25A67" w:rsidP="00D25A67">
      <w:pPr>
        <w:pStyle w:val="SingleTxtG"/>
        <w:tabs>
          <w:tab w:val="left" w:pos="1701"/>
        </w:tabs>
        <w:rPr>
          <w:rFonts w:eastAsia="Times"/>
        </w:rPr>
      </w:pPr>
      <w:r w:rsidRPr="00544A82">
        <w:rPr>
          <w:rFonts w:eastAsia="Times" w:hAnsi="Arial Unicode MS"/>
        </w:rPr>
        <w:t>35.</w:t>
      </w:r>
      <w:r w:rsidRPr="00544A82">
        <w:rPr>
          <w:rFonts w:eastAsia="Times" w:hAnsi="Arial Unicode MS"/>
        </w:rPr>
        <w:tab/>
      </w:r>
      <w:r w:rsidRPr="00544A82">
        <w:t xml:space="preserve">The Committee is concerned that urban renewal and </w:t>
      </w:r>
      <w:r w:rsidRPr="002029A6">
        <w:t xml:space="preserve">efforts at </w:t>
      </w:r>
      <w:r w:rsidRPr="00544A82">
        <w:t xml:space="preserve">beautification in the State party have resulted in </w:t>
      </w:r>
      <w:r w:rsidRPr="002029A6">
        <w:t xml:space="preserve">the </w:t>
      </w:r>
      <w:r w:rsidRPr="00544A82">
        <w:t>expropriation</w:t>
      </w:r>
      <w:r w:rsidRPr="002029A6">
        <w:t xml:space="preserve"> of property</w:t>
      </w:r>
      <w:r w:rsidRPr="00544A82">
        <w:t xml:space="preserve">, demolition of houses and eviction of residents without proper prior notice of eviction, adequate consultations, compensation for </w:t>
      </w:r>
      <w:r>
        <w:t xml:space="preserve">loss of </w:t>
      </w:r>
      <w:r w:rsidRPr="00544A82">
        <w:t xml:space="preserve">property and adequate alternative housing for residents. While noting information on the existence of a framework for </w:t>
      </w:r>
      <w:r w:rsidRPr="002029A6">
        <w:t>financial</w:t>
      </w:r>
      <w:r w:rsidRPr="00544A82">
        <w:t xml:space="preserve"> compensation, it regrets the lack of information on </w:t>
      </w:r>
      <w:r w:rsidRPr="002029A6">
        <w:t>the</w:t>
      </w:r>
      <w:r w:rsidRPr="00544A82">
        <w:t xml:space="preserve"> payment of adequate compensation </w:t>
      </w:r>
      <w:r w:rsidRPr="002029A6">
        <w:t>to</w:t>
      </w:r>
      <w:r w:rsidRPr="00544A82">
        <w:t xml:space="preserve"> those affected by </w:t>
      </w:r>
      <w:r>
        <w:t xml:space="preserve">the </w:t>
      </w:r>
      <w:r w:rsidRPr="000E536E">
        <w:t>expropriation of property and demolition of homes</w:t>
      </w:r>
      <w:r w:rsidRPr="00544A82">
        <w:t xml:space="preserve">. </w:t>
      </w:r>
    </w:p>
    <w:p w:rsidR="00D25A67" w:rsidRPr="00544A82" w:rsidRDefault="00D25A67" w:rsidP="00D25A67">
      <w:pPr>
        <w:pStyle w:val="SingleTxtG"/>
        <w:tabs>
          <w:tab w:val="left" w:pos="1701"/>
        </w:tabs>
        <w:rPr>
          <w:b/>
          <w:bCs/>
        </w:rPr>
      </w:pPr>
      <w:r w:rsidRPr="00544A82">
        <w:rPr>
          <w:rFonts w:hAnsi="Arial Unicode MS"/>
          <w:bCs/>
        </w:rPr>
        <w:t>36.</w:t>
      </w:r>
      <w:r w:rsidRPr="00544A82">
        <w:rPr>
          <w:rFonts w:hAnsi="Arial Unicode MS"/>
          <w:bCs/>
        </w:rPr>
        <w:tab/>
      </w:r>
      <w:r w:rsidRPr="00544A82">
        <w:rPr>
          <w:rFonts w:cs="Arial Unicode MS"/>
          <w:b/>
          <w:bCs/>
          <w:color w:val="000000"/>
          <w:u w:color="000000"/>
          <w:lang w:eastAsia="en-GB"/>
        </w:rPr>
        <w:t xml:space="preserve">The Committee recommends that the State party urgently put in place an independent and impartial adjudicatory process </w:t>
      </w:r>
      <w:r w:rsidRPr="002029A6">
        <w:rPr>
          <w:b/>
          <w:bCs/>
        </w:rPr>
        <w:t xml:space="preserve">in </w:t>
      </w:r>
      <w:r w:rsidRPr="00544A82">
        <w:rPr>
          <w:rFonts w:cs="Arial Unicode MS"/>
          <w:b/>
          <w:bCs/>
          <w:color w:val="000000"/>
          <w:u w:color="000000"/>
          <w:lang w:eastAsia="en-GB"/>
        </w:rPr>
        <w:t>wh</w:t>
      </w:r>
      <w:r w:rsidRPr="002029A6">
        <w:rPr>
          <w:b/>
          <w:bCs/>
        </w:rPr>
        <w:t>ich</w:t>
      </w:r>
      <w:r w:rsidRPr="00544A82">
        <w:rPr>
          <w:rFonts w:cs="Arial Unicode MS"/>
          <w:b/>
          <w:bCs/>
          <w:color w:val="000000"/>
          <w:u w:color="000000"/>
          <w:lang w:eastAsia="en-GB"/>
        </w:rPr>
        <w:t xml:space="preserve"> aggrieved parties can bring complaints relating to both monetary </w:t>
      </w:r>
      <w:proofErr w:type="gramStart"/>
      <w:r w:rsidRPr="00544A82">
        <w:rPr>
          <w:rFonts w:cs="Arial Unicode MS"/>
          <w:b/>
          <w:bCs/>
          <w:color w:val="000000"/>
          <w:u w:color="000000"/>
          <w:lang w:eastAsia="en-GB"/>
        </w:rPr>
        <w:t>compensation</w:t>
      </w:r>
      <w:proofErr w:type="gramEnd"/>
      <w:r w:rsidRPr="00544A82">
        <w:rPr>
          <w:rFonts w:cs="Arial Unicode MS"/>
          <w:b/>
          <w:bCs/>
          <w:color w:val="000000"/>
          <w:u w:color="000000"/>
          <w:lang w:eastAsia="en-GB"/>
        </w:rPr>
        <w:t xml:space="preserve"> for demolished property </w:t>
      </w:r>
      <w:r w:rsidRPr="002029A6">
        <w:rPr>
          <w:b/>
          <w:bCs/>
        </w:rPr>
        <w:t>and</w:t>
      </w:r>
      <w:r w:rsidRPr="00544A82">
        <w:rPr>
          <w:rFonts w:cs="Arial Unicode MS"/>
          <w:b/>
          <w:bCs/>
          <w:color w:val="000000"/>
          <w:u w:color="000000"/>
          <w:lang w:eastAsia="en-GB"/>
        </w:rPr>
        <w:t xml:space="preserve"> the adequacy of the alternative accommodation to which they and their families have been relocated. </w:t>
      </w:r>
      <w:r w:rsidRPr="00544A82">
        <w:rPr>
          <w:b/>
          <w:bCs/>
        </w:rPr>
        <w:t xml:space="preserve">The Committee also recommends that the State party bring all relevant laws and practices relating </w:t>
      </w:r>
      <w:r w:rsidRPr="000E536E">
        <w:rPr>
          <w:b/>
          <w:bCs/>
        </w:rPr>
        <w:t>to the expropriation of property</w:t>
      </w:r>
      <w:r>
        <w:rPr>
          <w:b/>
          <w:bCs/>
        </w:rPr>
        <w:t>,</w:t>
      </w:r>
      <w:r w:rsidRPr="000E536E">
        <w:rPr>
          <w:b/>
          <w:bCs/>
        </w:rPr>
        <w:t xml:space="preserve"> as well as </w:t>
      </w:r>
      <w:r w:rsidRPr="00544A82">
        <w:rPr>
          <w:b/>
          <w:bCs/>
        </w:rPr>
        <w:t xml:space="preserve">forced evictions and </w:t>
      </w:r>
      <w:r>
        <w:rPr>
          <w:b/>
          <w:bCs/>
        </w:rPr>
        <w:t xml:space="preserve">the </w:t>
      </w:r>
      <w:r w:rsidRPr="00544A82">
        <w:rPr>
          <w:b/>
          <w:bCs/>
        </w:rPr>
        <w:t>demolition of people</w:t>
      </w:r>
      <w:r>
        <w:rPr>
          <w:b/>
          <w:bCs/>
        </w:rPr>
        <w:t>’</w:t>
      </w:r>
      <w:r w:rsidRPr="00544A82">
        <w:rPr>
          <w:b/>
          <w:bCs/>
        </w:rPr>
        <w:t>s homes</w:t>
      </w:r>
      <w:r>
        <w:rPr>
          <w:b/>
          <w:bCs/>
        </w:rPr>
        <w:t>,</w:t>
      </w:r>
      <w:r w:rsidRPr="00544A82">
        <w:rPr>
          <w:b/>
          <w:bCs/>
        </w:rPr>
        <w:t xml:space="preserve"> in</w:t>
      </w:r>
      <w:r w:rsidRPr="002029A6">
        <w:rPr>
          <w:b/>
          <w:bCs/>
        </w:rPr>
        <w:t>to</w:t>
      </w:r>
      <w:r w:rsidRPr="00544A82">
        <w:rPr>
          <w:b/>
          <w:bCs/>
        </w:rPr>
        <w:t xml:space="preserve"> line with the Committee</w:t>
      </w:r>
      <w:r>
        <w:rPr>
          <w:b/>
          <w:bCs/>
        </w:rPr>
        <w:t>’</w:t>
      </w:r>
      <w:r w:rsidRPr="00544A82">
        <w:rPr>
          <w:b/>
          <w:bCs/>
        </w:rPr>
        <w:t xml:space="preserve">s </w:t>
      </w:r>
      <w:r w:rsidRPr="002029A6">
        <w:rPr>
          <w:b/>
          <w:bCs/>
        </w:rPr>
        <w:t xml:space="preserve">general comment </w:t>
      </w:r>
      <w:r w:rsidRPr="00544A82">
        <w:rPr>
          <w:b/>
          <w:bCs/>
        </w:rPr>
        <w:t xml:space="preserve">No. 7 (1997) on forced evictions. It also draws the State </w:t>
      </w:r>
      <w:r w:rsidR="008F0730" w:rsidRPr="00544A82">
        <w:rPr>
          <w:b/>
          <w:bCs/>
        </w:rPr>
        <w:t>party</w:t>
      </w:r>
      <w:r w:rsidR="008F0730">
        <w:rPr>
          <w:b/>
          <w:bCs/>
        </w:rPr>
        <w:t>’</w:t>
      </w:r>
      <w:r w:rsidR="008F0730" w:rsidRPr="00544A82">
        <w:rPr>
          <w:b/>
          <w:bCs/>
        </w:rPr>
        <w:t xml:space="preserve">s </w:t>
      </w:r>
      <w:r w:rsidRPr="00544A82">
        <w:rPr>
          <w:b/>
          <w:bCs/>
        </w:rPr>
        <w:t xml:space="preserve">attention in this context to the </w:t>
      </w:r>
      <w:r w:rsidRPr="002029A6">
        <w:rPr>
          <w:b/>
          <w:bCs/>
        </w:rPr>
        <w:t>basic principles and guidelines on development-based evictions and displacement</w:t>
      </w:r>
      <w:r w:rsidRPr="00544A82">
        <w:rPr>
          <w:b/>
          <w:bCs/>
        </w:rPr>
        <w:t xml:space="preserve"> </w:t>
      </w:r>
      <w:r w:rsidRPr="002029A6">
        <w:rPr>
          <w:b/>
          <w:bCs/>
        </w:rPr>
        <w:t>drawn up by</w:t>
      </w:r>
      <w:r w:rsidRPr="00544A82">
        <w:rPr>
          <w:b/>
          <w:bCs/>
        </w:rPr>
        <w:t xml:space="preserve"> the Special Rapporteur on adequate housing</w:t>
      </w:r>
      <w:r w:rsidRPr="002029A6">
        <w:rPr>
          <w:b/>
          <w:bCs/>
        </w:rPr>
        <w:t xml:space="preserve"> as a component of the right to an adequate standard of living</w:t>
      </w:r>
      <w:r w:rsidRPr="00544A82">
        <w:rPr>
          <w:b/>
          <w:bCs/>
        </w:rPr>
        <w:t xml:space="preserve"> (A/HRC/4/18</w:t>
      </w:r>
      <w:r w:rsidRPr="002029A6">
        <w:rPr>
          <w:b/>
          <w:bCs/>
        </w:rPr>
        <w:t>, annex</w:t>
      </w:r>
      <w:r w:rsidRPr="00544A82">
        <w:rPr>
          <w:b/>
          <w:bCs/>
        </w:rPr>
        <w:t xml:space="preserve">). </w:t>
      </w:r>
    </w:p>
    <w:p w:rsidR="00D25A67" w:rsidRPr="00544A82" w:rsidRDefault="00D25A67" w:rsidP="00D25A67">
      <w:pPr>
        <w:pStyle w:val="H23G"/>
      </w:pPr>
      <w:r w:rsidRPr="00544A82">
        <w:tab/>
      </w:r>
      <w:r w:rsidRPr="00544A82">
        <w:tab/>
        <w:t>Persons in prisons</w:t>
      </w:r>
    </w:p>
    <w:p w:rsidR="00D25A67" w:rsidRPr="00544A82" w:rsidRDefault="00D25A67" w:rsidP="00D25A67">
      <w:pPr>
        <w:pStyle w:val="SingleTxtG"/>
        <w:tabs>
          <w:tab w:val="left" w:pos="1701"/>
        </w:tabs>
        <w:rPr>
          <w:rFonts w:cs="Arial Unicode MS"/>
          <w:b/>
        </w:rPr>
      </w:pPr>
      <w:r w:rsidRPr="00544A82">
        <w:rPr>
          <w:rFonts w:hAnsi="Arial Unicode MS"/>
        </w:rPr>
        <w:t>37.</w:t>
      </w:r>
      <w:r w:rsidRPr="00544A82">
        <w:rPr>
          <w:rFonts w:hAnsi="Arial Unicode MS"/>
        </w:rPr>
        <w:tab/>
      </w:r>
      <w:r w:rsidRPr="00544A82">
        <w:rPr>
          <w:bCs/>
        </w:rPr>
        <w:t xml:space="preserve">While recognizing the efforts made by the State </w:t>
      </w:r>
      <w:r w:rsidR="008F0730" w:rsidRPr="00544A82">
        <w:rPr>
          <w:bCs/>
        </w:rPr>
        <w:t xml:space="preserve">party </w:t>
      </w:r>
      <w:r w:rsidRPr="00544A82">
        <w:rPr>
          <w:bCs/>
        </w:rPr>
        <w:t>to improve living conditions in prisons, the Committee is concerned</w:t>
      </w:r>
      <w:r w:rsidRPr="00544A82">
        <w:rPr>
          <w:rFonts w:cs="Arial Unicode MS"/>
          <w:b/>
        </w:rPr>
        <w:t xml:space="preserve"> </w:t>
      </w:r>
      <w:r w:rsidRPr="00544A82">
        <w:t>about the persistence of high levels of overcrowding</w:t>
      </w:r>
      <w:r w:rsidRPr="00544A82">
        <w:rPr>
          <w:rFonts w:cs="Arial Unicode MS"/>
          <w:color w:val="000000"/>
        </w:rPr>
        <w:t xml:space="preserve"> and </w:t>
      </w:r>
      <w:r w:rsidRPr="00544A82">
        <w:t xml:space="preserve">the very poor conditions </w:t>
      </w:r>
      <w:r w:rsidRPr="002029A6">
        <w:t xml:space="preserve">that </w:t>
      </w:r>
      <w:r w:rsidRPr="00544A82">
        <w:t>exist in places of detention.</w:t>
      </w:r>
    </w:p>
    <w:p w:rsidR="00D25A67" w:rsidRPr="00544A82" w:rsidRDefault="00D25A67" w:rsidP="00D25A67">
      <w:pPr>
        <w:pStyle w:val="SingleTxtG"/>
        <w:tabs>
          <w:tab w:val="left" w:pos="1701"/>
        </w:tabs>
        <w:rPr>
          <w:rFonts w:eastAsiaTheme="minorEastAsia" w:cs="Arial Unicode MS"/>
          <w:b/>
        </w:rPr>
      </w:pPr>
      <w:r w:rsidRPr="00544A82">
        <w:rPr>
          <w:rFonts w:hAnsi="Arial Unicode MS"/>
        </w:rPr>
        <w:t>38.</w:t>
      </w:r>
      <w:r w:rsidRPr="00544A82">
        <w:rPr>
          <w:rFonts w:hAnsi="Arial Unicode MS"/>
        </w:rPr>
        <w:tab/>
      </w:r>
      <w:r w:rsidRPr="00544A82">
        <w:rPr>
          <w:rFonts w:cs="Arial Unicode MS"/>
          <w:b/>
          <w:bCs/>
          <w:color w:val="000000"/>
          <w:u w:color="000000"/>
          <w:lang w:eastAsia="en-GB"/>
        </w:rPr>
        <w:t xml:space="preserve">The Committee recommends </w:t>
      </w:r>
      <w:r w:rsidRPr="002029A6">
        <w:rPr>
          <w:b/>
          <w:bCs/>
        </w:rPr>
        <w:t xml:space="preserve">that </w:t>
      </w:r>
      <w:r w:rsidRPr="00544A82">
        <w:rPr>
          <w:rFonts w:cs="Arial Unicode MS"/>
          <w:b/>
          <w:bCs/>
          <w:color w:val="000000"/>
          <w:u w:color="000000"/>
          <w:lang w:eastAsia="en-GB"/>
        </w:rPr>
        <w:t xml:space="preserve">the State </w:t>
      </w:r>
      <w:r w:rsidRPr="002029A6">
        <w:rPr>
          <w:b/>
          <w:bCs/>
        </w:rPr>
        <w:t>p</w:t>
      </w:r>
      <w:r w:rsidRPr="00544A82">
        <w:rPr>
          <w:rFonts w:cs="Arial Unicode MS"/>
          <w:b/>
          <w:bCs/>
          <w:color w:val="000000"/>
          <w:u w:color="000000"/>
          <w:lang w:eastAsia="en-GB"/>
        </w:rPr>
        <w:t xml:space="preserve">arty make </w:t>
      </w:r>
      <w:r w:rsidRPr="002029A6">
        <w:rPr>
          <w:b/>
          <w:bCs/>
        </w:rPr>
        <w:t>every</w:t>
      </w:r>
      <w:r w:rsidRPr="00544A82">
        <w:rPr>
          <w:rFonts w:cs="Arial Unicode MS"/>
          <w:b/>
          <w:bCs/>
          <w:color w:val="000000"/>
          <w:u w:color="000000"/>
          <w:lang w:eastAsia="en-GB"/>
        </w:rPr>
        <w:t xml:space="preserve"> </w:t>
      </w:r>
      <w:r w:rsidRPr="00544A82">
        <w:rPr>
          <w:rFonts w:cs="Arial Unicode MS"/>
          <w:b/>
          <w:color w:val="000000"/>
          <w:u w:color="000000"/>
          <w:lang w:eastAsia="en-GB"/>
        </w:rPr>
        <w:t xml:space="preserve">effort to </w:t>
      </w:r>
      <w:r w:rsidRPr="00544A82">
        <w:rPr>
          <w:rFonts w:cs="Arial Unicode MS"/>
          <w:b/>
          <w:bCs/>
          <w:color w:val="000000"/>
          <w:u w:color="000000"/>
          <w:lang w:eastAsia="en-GB"/>
        </w:rPr>
        <w:t xml:space="preserve">improve </w:t>
      </w:r>
      <w:r w:rsidRPr="002029A6">
        <w:rPr>
          <w:b/>
          <w:bCs/>
        </w:rPr>
        <w:t xml:space="preserve">the </w:t>
      </w:r>
      <w:r w:rsidRPr="00544A82">
        <w:rPr>
          <w:rFonts w:cs="Arial Unicode MS"/>
          <w:b/>
          <w:bCs/>
          <w:color w:val="000000"/>
          <w:u w:color="000000"/>
          <w:lang w:eastAsia="en-GB"/>
        </w:rPr>
        <w:t>living conditions in prisons, in accordance with the Covenant</w:t>
      </w:r>
      <w:r w:rsidRPr="00544A82">
        <w:rPr>
          <w:rFonts w:cs="Arial Unicode MS"/>
          <w:b/>
          <w:color w:val="000000"/>
          <w:u w:color="000000"/>
          <w:lang w:eastAsia="en-GB"/>
        </w:rPr>
        <w:t xml:space="preserve"> and </w:t>
      </w:r>
      <w:r w:rsidRPr="00544A82">
        <w:rPr>
          <w:rFonts w:cs="Arial Unicode MS"/>
          <w:b/>
          <w:color w:val="000000"/>
        </w:rPr>
        <w:t xml:space="preserve">the </w:t>
      </w:r>
      <w:r w:rsidRPr="00544A82">
        <w:rPr>
          <w:b/>
          <w:bCs/>
        </w:rPr>
        <w:t>United Nations Standard Minimum Rules</w:t>
      </w:r>
      <w:r w:rsidRPr="00544A82">
        <w:rPr>
          <w:rFonts w:cs="Arial Unicode MS"/>
          <w:b/>
          <w:color w:val="000000"/>
        </w:rPr>
        <w:t xml:space="preserve"> for the </w:t>
      </w:r>
      <w:r w:rsidRPr="00544A82">
        <w:rPr>
          <w:b/>
          <w:bCs/>
        </w:rPr>
        <w:t>Treatment of Prisoners (the Nelson Mandela Rules).</w:t>
      </w:r>
    </w:p>
    <w:p w:rsidR="00D25A67" w:rsidRPr="00544A82" w:rsidRDefault="00D25A67" w:rsidP="00D25A67">
      <w:pPr>
        <w:pStyle w:val="H23G"/>
      </w:pPr>
      <w:r w:rsidRPr="00544A82">
        <w:lastRenderedPageBreak/>
        <w:tab/>
      </w:r>
      <w:r w:rsidRPr="00544A82">
        <w:tab/>
        <w:t>Right to education</w:t>
      </w:r>
    </w:p>
    <w:p w:rsidR="00D25A67" w:rsidRPr="00544A82" w:rsidRDefault="00D25A67" w:rsidP="00D25A67">
      <w:pPr>
        <w:pStyle w:val="SingleTxtG"/>
        <w:tabs>
          <w:tab w:val="left" w:pos="1701"/>
        </w:tabs>
      </w:pPr>
      <w:r w:rsidRPr="00544A82">
        <w:rPr>
          <w:rFonts w:hAnsi="Arial Unicode MS"/>
        </w:rPr>
        <w:t>39.</w:t>
      </w:r>
      <w:r w:rsidRPr="00544A82">
        <w:rPr>
          <w:rFonts w:hAnsi="Arial Unicode MS"/>
        </w:rPr>
        <w:tab/>
      </w:r>
      <w:r w:rsidRPr="00544A82">
        <w:t>The Committee is concerned that various practices in the State party limit the right to education and related benefits, in particular in higher education, including but not limited to the following areas:</w:t>
      </w:r>
    </w:p>
    <w:p w:rsidR="00D25A67" w:rsidRPr="006F3628" w:rsidRDefault="006F3628" w:rsidP="006F3628">
      <w:pPr>
        <w:pStyle w:val="SingleTxtG"/>
      </w:pPr>
      <w:r>
        <w:tab/>
      </w:r>
      <w:r w:rsidR="00D25A67" w:rsidRPr="006F3628">
        <w:t>(a)</w:t>
      </w:r>
      <w:r w:rsidR="00D25A67" w:rsidRPr="006F3628">
        <w:tab/>
        <w:t>Some students are reportedly prevented from leaving the country to study abroad;</w:t>
      </w:r>
    </w:p>
    <w:p w:rsidR="00D25A67" w:rsidRPr="006F3628" w:rsidRDefault="006F3628" w:rsidP="006F3628">
      <w:pPr>
        <w:pStyle w:val="SingleTxtG"/>
      </w:pPr>
      <w:r>
        <w:tab/>
      </w:r>
      <w:r w:rsidR="00D25A67" w:rsidRPr="006F3628">
        <w:t>(b)</w:t>
      </w:r>
      <w:r w:rsidR="00D25A67" w:rsidRPr="006F3628">
        <w:tab/>
        <w:t>Since 2015, there are restrictions in place on the recognition of diplomas from foreign universities;</w:t>
      </w:r>
    </w:p>
    <w:p w:rsidR="00D25A67" w:rsidRPr="00544A82" w:rsidRDefault="006F3628" w:rsidP="006F3628">
      <w:pPr>
        <w:pStyle w:val="SingleTxtG"/>
      </w:pPr>
      <w:r>
        <w:tab/>
      </w:r>
      <w:r w:rsidR="00D25A67" w:rsidRPr="00544A82">
        <w:t>(c)</w:t>
      </w:r>
      <w:r w:rsidR="00D25A67" w:rsidRPr="00544A82">
        <w:tab/>
        <w:t>Graduates with foreign diplomas face difficult</w:t>
      </w:r>
      <w:r w:rsidR="00D25A67" w:rsidRPr="002029A6">
        <w:t>ies in</w:t>
      </w:r>
      <w:r w:rsidR="00D25A67" w:rsidRPr="00544A82">
        <w:t xml:space="preserve"> obtaining employment in the public sector;</w:t>
      </w:r>
    </w:p>
    <w:p w:rsidR="00D25A67" w:rsidRPr="00544A82" w:rsidRDefault="006F3628" w:rsidP="006F3628">
      <w:pPr>
        <w:pStyle w:val="SingleTxtG"/>
        <w:rPr>
          <w:color w:val="000000"/>
        </w:rPr>
      </w:pPr>
      <w:r>
        <w:tab/>
      </w:r>
      <w:r w:rsidR="00D25A67" w:rsidRPr="00544A82">
        <w:t>(d)</w:t>
      </w:r>
      <w:r w:rsidR="00D25A67" w:rsidRPr="00544A82">
        <w:tab/>
      </w:r>
      <w:r w:rsidR="00D25A67" w:rsidRPr="00544A82">
        <w:rPr>
          <w:color w:val="000000"/>
        </w:rPr>
        <w:t>Despite its illegality, unofficial fees are charged for access to higher education, and there is lack of information on whether adequate sanctions have been imposed on those found guilty.</w:t>
      </w:r>
    </w:p>
    <w:p w:rsidR="00D25A67" w:rsidRPr="00544A82" w:rsidRDefault="00D25A67" w:rsidP="00D25A67">
      <w:pPr>
        <w:pStyle w:val="SingleTxtG"/>
        <w:tabs>
          <w:tab w:val="left" w:pos="1701"/>
        </w:tabs>
        <w:rPr>
          <w:b/>
        </w:rPr>
      </w:pPr>
      <w:r w:rsidRPr="00544A82">
        <w:rPr>
          <w:rFonts w:hAnsi="Arial Unicode MS"/>
        </w:rPr>
        <w:t>40.</w:t>
      </w:r>
      <w:r w:rsidRPr="00544A82">
        <w:rPr>
          <w:rFonts w:hAnsi="Arial Unicode MS"/>
        </w:rPr>
        <w:tab/>
      </w:r>
      <w:r w:rsidRPr="00544A82">
        <w:rPr>
          <w:b/>
        </w:rPr>
        <w:t>The Committee recommends that the State party respect and fulfil the right to education by:</w:t>
      </w:r>
    </w:p>
    <w:p w:rsidR="00D25A67" w:rsidRPr="00544A82" w:rsidRDefault="00D03427" w:rsidP="00D03427">
      <w:pPr>
        <w:pStyle w:val="SingleTxtG"/>
        <w:rPr>
          <w:b/>
        </w:rPr>
      </w:pPr>
      <w:r>
        <w:rPr>
          <w:b/>
        </w:rPr>
        <w:tab/>
      </w:r>
      <w:r w:rsidR="00D25A67" w:rsidRPr="00544A82">
        <w:rPr>
          <w:b/>
        </w:rPr>
        <w:t>(a)</w:t>
      </w:r>
      <w:r w:rsidR="00D25A67" w:rsidRPr="00544A82">
        <w:rPr>
          <w:b/>
        </w:rPr>
        <w:tab/>
        <w:t>Stopping the arbitrary prohibition of students studying abroad;</w:t>
      </w:r>
    </w:p>
    <w:p w:rsidR="00D25A67" w:rsidRPr="00544A82" w:rsidRDefault="00D03427" w:rsidP="00D03427">
      <w:pPr>
        <w:pStyle w:val="SingleTxtG"/>
        <w:rPr>
          <w:b/>
        </w:rPr>
      </w:pPr>
      <w:r>
        <w:rPr>
          <w:b/>
        </w:rPr>
        <w:tab/>
      </w:r>
      <w:r w:rsidR="00D25A67" w:rsidRPr="00544A82">
        <w:rPr>
          <w:b/>
        </w:rPr>
        <w:t>(b)</w:t>
      </w:r>
      <w:r w:rsidR="00D25A67" w:rsidRPr="00544A82">
        <w:rPr>
          <w:b/>
        </w:rPr>
        <w:tab/>
        <w:t xml:space="preserve">Eliminating unreasonable restrictions on the recognition of foreign diplomas; </w:t>
      </w:r>
    </w:p>
    <w:p w:rsidR="00D25A67" w:rsidRPr="00544A82" w:rsidRDefault="00D03427" w:rsidP="00D03427">
      <w:pPr>
        <w:pStyle w:val="SingleTxtG"/>
        <w:rPr>
          <w:b/>
        </w:rPr>
      </w:pPr>
      <w:r>
        <w:rPr>
          <w:b/>
        </w:rPr>
        <w:tab/>
      </w:r>
      <w:r w:rsidR="00D25A67" w:rsidRPr="00544A82">
        <w:rPr>
          <w:b/>
        </w:rPr>
        <w:t>(c)</w:t>
      </w:r>
      <w:r w:rsidR="00D25A67" w:rsidRPr="00544A82">
        <w:rPr>
          <w:b/>
        </w:rPr>
        <w:tab/>
        <w:t xml:space="preserve">Removing discrimination against graduates with foreign </w:t>
      </w:r>
      <w:proofErr w:type="spellStart"/>
      <w:r w:rsidR="00D25A67" w:rsidRPr="00544A82">
        <w:rPr>
          <w:b/>
        </w:rPr>
        <w:t>diplomas</w:t>
      </w:r>
      <w:proofErr w:type="spellEnd"/>
      <w:r w:rsidR="00D25A67" w:rsidRPr="00544A82">
        <w:rPr>
          <w:b/>
        </w:rPr>
        <w:t xml:space="preserve"> in their access to employment in the public sector;</w:t>
      </w:r>
    </w:p>
    <w:p w:rsidR="00D25A67" w:rsidRPr="00544A82" w:rsidRDefault="00D03427" w:rsidP="00D03427">
      <w:pPr>
        <w:pStyle w:val="SingleTxtG"/>
        <w:rPr>
          <w:b/>
        </w:rPr>
      </w:pPr>
      <w:r>
        <w:rPr>
          <w:b/>
        </w:rPr>
        <w:tab/>
      </w:r>
      <w:r w:rsidR="00D25A67" w:rsidRPr="00544A82">
        <w:rPr>
          <w:b/>
        </w:rPr>
        <w:t>(d)</w:t>
      </w:r>
      <w:r w:rsidR="00D25A67" w:rsidRPr="00544A82">
        <w:rPr>
          <w:b/>
        </w:rPr>
        <w:tab/>
        <w:t xml:space="preserve">Enforcing laws to prevent the illegal charging of fees for access to higher education, investigating such cases and imposing adequate sanctions on those found guilty. </w:t>
      </w:r>
    </w:p>
    <w:p w:rsidR="00D25A67" w:rsidRPr="00544A82" w:rsidRDefault="00D25A67" w:rsidP="00D25A67">
      <w:pPr>
        <w:pStyle w:val="SingleTxtG"/>
        <w:tabs>
          <w:tab w:val="left" w:pos="1701"/>
        </w:tabs>
        <w:rPr>
          <w:rFonts w:eastAsiaTheme="minorEastAsia" w:cs="Arial Unicode MS"/>
          <w:b/>
        </w:rPr>
      </w:pPr>
      <w:r w:rsidRPr="00544A82">
        <w:rPr>
          <w:rFonts w:hAnsi="Arial Unicode MS"/>
        </w:rPr>
        <w:t>41.</w:t>
      </w:r>
      <w:r w:rsidRPr="00544A82">
        <w:rPr>
          <w:rFonts w:hAnsi="Arial Unicode MS"/>
        </w:rPr>
        <w:tab/>
      </w:r>
      <w:r w:rsidRPr="00544A82">
        <w:rPr>
          <w:b/>
        </w:rPr>
        <w:t>The Committee refers the State party to its general comment No. 13 (1999) on the right to education.</w:t>
      </w:r>
    </w:p>
    <w:p w:rsidR="00D25A67" w:rsidRPr="00544A82" w:rsidRDefault="00D25A67" w:rsidP="00D25A67">
      <w:pPr>
        <w:pStyle w:val="H23G"/>
        <w:rPr>
          <w:rFonts w:eastAsia="Times"/>
        </w:rPr>
      </w:pPr>
      <w:r w:rsidRPr="00544A82">
        <w:tab/>
      </w:r>
      <w:r w:rsidRPr="00544A82">
        <w:tab/>
        <w:t xml:space="preserve">Linguistic rights of ethnic minorities </w:t>
      </w:r>
    </w:p>
    <w:p w:rsidR="00D25A67" w:rsidRPr="00544A82" w:rsidRDefault="00D25A67" w:rsidP="00D25A67">
      <w:pPr>
        <w:pStyle w:val="SingleTxtG"/>
        <w:tabs>
          <w:tab w:val="left" w:pos="1701"/>
        </w:tabs>
        <w:rPr>
          <w:rFonts w:eastAsia="Times"/>
        </w:rPr>
      </w:pPr>
      <w:r w:rsidRPr="00544A82">
        <w:rPr>
          <w:rFonts w:eastAsia="Times" w:hAnsi="Arial Unicode MS"/>
        </w:rPr>
        <w:t>42.</w:t>
      </w:r>
      <w:r w:rsidRPr="00544A82">
        <w:rPr>
          <w:rFonts w:eastAsia="Times" w:hAnsi="Arial Unicode MS"/>
        </w:rPr>
        <w:tab/>
      </w:r>
      <w:r w:rsidRPr="00544A82">
        <w:t xml:space="preserve">The Committee is concerned at </w:t>
      </w:r>
      <w:r w:rsidRPr="002029A6">
        <w:t xml:space="preserve">the </w:t>
      </w:r>
      <w:r w:rsidRPr="00544A82">
        <w:t xml:space="preserve">obstacles faced by ethnic minorities in receiving education in their mother tongues owing to the insufficient number of teachers and </w:t>
      </w:r>
      <w:r w:rsidRPr="002029A6">
        <w:t xml:space="preserve">the </w:t>
      </w:r>
      <w:r w:rsidRPr="00544A82">
        <w:t>shortage of teaching materials in minority languages (art</w:t>
      </w:r>
      <w:r w:rsidRPr="002029A6">
        <w:t>s</w:t>
      </w:r>
      <w:r w:rsidRPr="00544A82">
        <w:t xml:space="preserve">. 13 and 15). </w:t>
      </w:r>
    </w:p>
    <w:p w:rsidR="00D25A67" w:rsidRPr="00544A82" w:rsidRDefault="00D25A67" w:rsidP="00D25A67">
      <w:pPr>
        <w:pStyle w:val="SingleTxtG"/>
        <w:tabs>
          <w:tab w:val="left" w:pos="1701"/>
        </w:tabs>
        <w:rPr>
          <w:rFonts w:eastAsia="Times"/>
        </w:rPr>
      </w:pPr>
      <w:r w:rsidRPr="00544A82">
        <w:rPr>
          <w:rFonts w:eastAsia="Times" w:hAnsi="Arial Unicode MS"/>
        </w:rPr>
        <w:t>43.</w:t>
      </w:r>
      <w:r w:rsidRPr="00544A82">
        <w:rPr>
          <w:rFonts w:eastAsia="Times" w:hAnsi="Arial Unicode MS"/>
        </w:rPr>
        <w:tab/>
      </w:r>
      <w:r w:rsidRPr="00544A82">
        <w:rPr>
          <w:b/>
          <w:bCs/>
        </w:rPr>
        <w:t xml:space="preserve">The Committee recommends that the State party take the necessary steps to promote education in ethnic languages, and consider adopting multilingual education programmes in its education system. </w:t>
      </w:r>
    </w:p>
    <w:p w:rsidR="00D25A67" w:rsidRPr="00544A82" w:rsidRDefault="00D25A67" w:rsidP="00D25A67">
      <w:pPr>
        <w:pStyle w:val="H23G"/>
      </w:pPr>
      <w:r w:rsidRPr="00544A82">
        <w:tab/>
      </w:r>
      <w:r w:rsidRPr="00544A82">
        <w:tab/>
        <w:t xml:space="preserve">Access to the Internet </w:t>
      </w:r>
    </w:p>
    <w:p w:rsidR="00D25A67" w:rsidRPr="00544A82" w:rsidRDefault="00D25A67" w:rsidP="00D25A67">
      <w:pPr>
        <w:pStyle w:val="SingleTxtG"/>
        <w:tabs>
          <w:tab w:val="left" w:pos="1701"/>
        </w:tabs>
      </w:pPr>
      <w:r w:rsidRPr="00544A82">
        <w:rPr>
          <w:rFonts w:hAnsi="Arial Unicode MS"/>
        </w:rPr>
        <w:t>44.</w:t>
      </w:r>
      <w:r w:rsidRPr="00544A82">
        <w:rPr>
          <w:rFonts w:hAnsi="Arial Unicode MS"/>
        </w:rPr>
        <w:tab/>
      </w:r>
      <w:r w:rsidRPr="00544A82">
        <w:t xml:space="preserve">The Committee is concerned at the limited access to the Internet in the State party, particularly in rural areas </w:t>
      </w:r>
      <w:r w:rsidRPr="002029A6">
        <w:t xml:space="preserve">in </w:t>
      </w:r>
      <w:r w:rsidRPr="00544A82">
        <w:t>wh</w:t>
      </w:r>
      <w:r w:rsidRPr="002029A6">
        <w:t>ich the</w:t>
      </w:r>
      <w:r w:rsidRPr="00544A82">
        <w:t xml:space="preserve"> Internet is either unavailable or very slow (art. 15). </w:t>
      </w:r>
    </w:p>
    <w:p w:rsidR="00D25A67" w:rsidRPr="00544A82" w:rsidRDefault="00D25A67" w:rsidP="00D25A67">
      <w:pPr>
        <w:pStyle w:val="SingleTxtG"/>
        <w:tabs>
          <w:tab w:val="left" w:pos="1701"/>
        </w:tabs>
        <w:rPr>
          <w:b/>
          <w:bCs/>
        </w:rPr>
      </w:pPr>
      <w:r w:rsidRPr="00544A82">
        <w:rPr>
          <w:rFonts w:hAnsi="Arial Unicode MS"/>
          <w:bCs/>
        </w:rPr>
        <w:t>45.</w:t>
      </w:r>
      <w:r w:rsidRPr="00544A82">
        <w:rPr>
          <w:rFonts w:hAnsi="Arial Unicode MS"/>
          <w:bCs/>
        </w:rPr>
        <w:tab/>
      </w:r>
      <w:r w:rsidRPr="00544A82">
        <w:rPr>
          <w:b/>
          <w:bCs/>
        </w:rPr>
        <w:t xml:space="preserve">The Committee recommends that the State party continue working to expand Internet access, particularly in rural areas. The Committee also recommends that the State party extend assistance to the most disadvantaged and marginalized individuals and groups so as to enable them to </w:t>
      </w:r>
      <w:r w:rsidRPr="002029A6">
        <w:rPr>
          <w:b/>
          <w:bCs/>
        </w:rPr>
        <w:t xml:space="preserve">have </w:t>
      </w:r>
      <w:r w:rsidRPr="00544A82">
        <w:rPr>
          <w:b/>
          <w:bCs/>
        </w:rPr>
        <w:t xml:space="preserve">access </w:t>
      </w:r>
      <w:r w:rsidRPr="002029A6">
        <w:rPr>
          <w:b/>
          <w:bCs/>
        </w:rPr>
        <w:t xml:space="preserve">to </w:t>
      </w:r>
      <w:r w:rsidRPr="00544A82">
        <w:rPr>
          <w:b/>
          <w:bCs/>
        </w:rPr>
        <w:t>the Internet and to other scientific and technological advances, in order to enhance their enjoyment of economic, social and cultural rights.</w:t>
      </w:r>
    </w:p>
    <w:p w:rsidR="00D25A67" w:rsidRPr="00544A82" w:rsidRDefault="00D25A67" w:rsidP="00D25A67">
      <w:pPr>
        <w:pStyle w:val="H1G"/>
      </w:pPr>
      <w:r w:rsidRPr="00544A82">
        <w:rPr>
          <w:rFonts w:eastAsia="Arial Unicode MS" w:cs="Arial Unicode MS"/>
        </w:rPr>
        <w:tab/>
        <w:t>D.</w:t>
      </w:r>
      <w:r w:rsidRPr="00544A82">
        <w:rPr>
          <w:rFonts w:eastAsia="Arial Unicode MS" w:cs="Arial Unicode MS"/>
        </w:rPr>
        <w:tab/>
        <w:t>Other recommendations</w:t>
      </w:r>
    </w:p>
    <w:p w:rsidR="00D25A67" w:rsidRPr="00544A82" w:rsidRDefault="00D25A67" w:rsidP="00D25A67">
      <w:pPr>
        <w:pStyle w:val="SingleTxtG"/>
        <w:tabs>
          <w:tab w:val="left" w:pos="1701"/>
        </w:tabs>
        <w:rPr>
          <w:b/>
          <w:bCs/>
        </w:rPr>
      </w:pPr>
      <w:r w:rsidRPr="00544A82">
        <w:rPr>
          <w:rFonts w:hAnsi="Arial Unicode MS"/>
          <w:bCs/>
        </w:rPr>
        <w:t>46.</w:t>
      </w:r>
      <w:r w:rsidRPr="00544A82">
        <w:rPr>
          <w:rFonts w:hAnsi="Arial Unicode MS"/>
          <w:bCs/>
        </w:rPr>
        <w:tab/>
      </w:r>
      <w:r w:rsidRPr="00544A82">
        <w:rPr>
          <w:b/>
          <w:bCs/>
        </w:rPr>
        <w:t xml:space="preserve">The Committee encourages the State party to ratify the Optional Protocol to the International Covenant on Economic, Social and Cultural Rights. </w:t>
      </w:r>
    </w:p>
    <w:p w:rsidR="00D25A67" w:rsidRPr="00544A82" w:rsidRDefault="00D25A67" w:rsidP="002565F6">
      <w:pPr>
        <w:pStyle w:val="SingleTxtG"/>
        <w:tabs>
          <w:tab w:val="left" w:pos="1701"/>
        </w:tabs>
        <w:rPr>
          <w:b/>
          <w:bCs/>
        </w:rPr>
      </w:pPr>
      <w:r w:rsidRPr="00544A82">
        <w:rPr>
          <w:rFonts w:hAnsi="Arial Unicode MS"/>
          <w:bCs/>
        </w:rPr>
        <w:t>47.</w:t>
      </w:r>
      <w:r w:rsidRPr="00544A82">
        <w:rPr>
          <w:rFonts w:hAnsi="Arial Unicode MS"/>
          <w:bCs/>
        </w:rPr>
        <w:tab/>
      </w:r>
      <w:r w:rsidRPr="00544A82">
        <w:rPr>
          <w:b/>
          <w:bCs/>
        </w:rPr>
        <w:t xml:space="preserve">The Committee </w:t>
      </w:r>
      <w:r w:rsidRPr="00C55DFC">
        <w:rPr>
          <w:b/>
          <w:bCs/>
        </w:rPr>
        <w:t xml:space="preserve">encourages </w:t>
      </w:r>
      <w:r w:rsidRPr="00544A82">
        <w:rPr>
          <w:b/>
          <w:bCs/>
        </w:rPr>
        <w:t xml:space="preserve">the State party </w:t>
      </w:r>
      <w:r w:rsidRPr="00C55DFC">
        <w:rPr>
          <w:b/>
          <w:bCs/>
        </w:rPr>
        <w:t xml:space="preserve">to </w:t>
      </w:r>
      <w:r w:rsidRPr="00544A82">
        <w:rPr>
          <w:b/>
          <w:bCs/>
        </w:rPr>
        <w:t>ratify</w:t>
      </w:r>
      <w:r w:rsidRPr="002029A6">
        <w:rPr>
          <w:b/>
          <w:bCs/>
        </w:rPr>
        <w:t xml:space="preserve"> </w:t>
      </w:r>
      <w:r w:rsidRPr="00544A82">
        <w:rPr>
          <w:b/>
          <w:bCs/>
        </w:rPr>
        <w:t xml:space="preserve">the International Convention on the Protection of the Rights of All Migrant Workers and Members of </w:t>
      </w:r>
      <w:r w:rsidRPr="00544A82">
        <w:rPr>
          <w:b/>
          <w:bCs/>
        </w:rPr>
        <w:lastRenderedPageBreak/>
        <w:t xml:space="preserve">Their Families; the International Convention for the Protection of All Persons from Enforced Disappearance; the Optional Protocol to the Convention against Torture and Other Cruel, Inhuman or Degrading Treatment or Punishment; and the Optional Protocol to the Convention on the Rights of the Child on a communications procedure. </w:t>
      </w:r>
    </w:p>
    <w:p w:rsidR="00D25A67" w:rsidRPr="00544A82" w:rsidRDefault="00D25A67" w:rsidP="00D25A67">
      <w:pPr>
        <w:pStyle w:val="SingleTxtG"/>
        <w:tabs>
          <w:tab w:val="left" w:pos="1701"/>
        </w:tabs>
        <w:rPr>
          <w:b/>
          <w:bCs/>
        </w:rPr>
      </w:pPr>
      <w:r w:rsidRPr="00544A82">
        <w:rPr>
          <w:rFonts w:hAnsi="Arial Unicode MS"/>
          <w:bCs/>
        </w:rPr>
        <w:t>48.</w:t>
      </w:r>
      <w:r w:rsidRPr="00544A82">
        <w:rPr>
          <w:rFonts w:hAnsi="Arial Unicode MS"/>
          <w:bCs/>
        </w:rPr>
        <w:tab/>
      </w:r>
      <w:r w:rsidRPr="00544A82">
        <w:rPr>
          <w:rFonts w:eastAsia="Arial Unicode MS"/>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w:t>
      </w:r>
    </w:p>
    <w:p w:rsidR="00D25A67" w:rsidRPr="00544A82" w:rsidRDefault="00D25A67" w:rsidP="00D25A67">
      <w:pPr>
        <w:pStyle w:val="SingleTxtG"/>
        <w:tabs>
          <w:tab w:val="left" w:pos="1701"/>
        </w:tabs>
        <w:rPr>
          <w:b/>
          <w:bCs/>
        </w:rPr>
      </w:pPr>
      <w:r w:rsidRPr="00544A82">
        <w:rPr>
          <w:rFonts w:hAnsi="Arial Unicode MS"/>
          <w:bCs/>
        </w:rPr>
        <w:t>49.</w:t>
      </w:r>
      <w:r w:rsidRPr="00544A82">
        <w:rPr>
          <w:rFonts w:hAnsi="Arial Unicode MS"/>
          <w:bCs/>
        </w:rPr>
        <w:tab/>
      </w:r>
      <w:r w:rsidRPr="00544A82">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 </w:t>
      </w:r>
    </w:p>
    <w:p w:rsidR="00D25A67" w:rsidRPr="00544A82" w:rsidRDefault="00D25A67" w:rsidP="00D25A67">
      <w:pPr>
        <w:pStyle w:val="SingleTxtG"/>
        <w:tabs>
          <w:tab w:val="left" w:pos="1701"/>
        </w:tabs>
        <w:rPr>
          <w:b/>
          <w:bCs/>
        </w:rPr>
      </w:pPr>
      <w:r w:rsidRPr="00544A82">
        <w:rPr>
          <w:rFonts w:hAnsi="Arial Unicode MS"/>
          <w:bCs/>
        </w:rPr>
        <w:t>50.</w:t>
      </w:r>
      <w:r w:rsidRPr="00544A82">
        <w:rPr>
          <w:rFonts w:hAnsi="Arial Unicode MS"/>
          <w:bCs/>
        </w:rPr>
        <w:tab/>
      </w:r>
      <w:r w:rsidRPr="00544A82">
        <w:rPr>
          <w:b/>
          <w:bCs/>
        </w:rPr>
        <w:t xml:space="preserve">The Committee requests </w:t>
      </w:r>
      <w:r w:rsidRPr="002029A6">
        <w:rPr>
          <w:b/>
          <w:bCs/>
        </w:rPr>
        <w:t xml:space="preserve">that </w:t>
      </w:r>
      <w:r w:rsidRPr="00544A82">
        <w:rPr>
          <w:b/>
          <w:bCs/>
        </w:rPr>
        <w:t>the State party disseminate the present concluding observations widely among all sectors of society and among public officials, judicial authorities, legislators, lawyers, the Ombudsman</w:t>
      </w:r>
      <w:r>
        <w:rPr>
          <w:b/>
          <w:bCs/>
        </w:rPr>
        <w:t>’</w:t>
      </w:r>
      <w:r w:rsidRPr="00544A82">
        <w:rPr>
          <w:b/>
          <w:bCs/>
        </w:rPr>
        <w:t xml:space="preserve">s Office and civil society organizations, and inform the Committee in its next periodic report about the measures </w:t>
      </w:r>
      <w:r w:rsidRPr="002029A6">
        <w:rPr>
          <w:b/>
          <w:bCs/>
        </w:rPr>
        <w:t>taken to implement them</w:t>
      </w:r>
      <w:r w:rsidRPr="00544A82">
        <w:rPr>
          <w:b/>
          <w:bCs/>
        </w:rPr>
        <w:t xml:space="preserve">. The Committee encourages the State party to </w:t>
      </w:r>
      <w:r w:rsidRPr="002029A6">
        <w:rPr>
          <w:b/>
          <w:bCs/>
        </w:rPr>
        <w:t>engage with</w:t>
      </w:r>
      <w:r w:rsidRPr="00544A82">
        <w:rPr>
          <w:b/>
          <w:bCs/>
        </w:rPr>
        <w:t xml:space="preserve"> civil society organizations in any discussions at the national level in </w:t>
      </w:r>
      <w:r w:rsidRPr="002029A6">
        <w:rPr>
          <w:b/>
          <w:bCs/>
        </w:rPr>
        <w:t xml:space="preserve">the </w:t>
      </w:r>
      <w:r w:rsidRPr="00544A82">
        <w:rPr>
          <w:b/>
          <w:bCs/>
        </w:rPr>
        <w:t>follow-up to the</w:t>
      </w:r>
      <w:r w:rsidRPr="002029A6">
        <w:rPr>
          <w:b/>
          <w:bCs/>
        </w:rPr>
        <w:t xml:space="preserve"> present</w:t>
      </w:r>
      <w:r w:rsidRPr="00544A82">
        <w:rPr>
          <w:b/>
          <w:bCs/>
        </w:rPr>
        <w:t xml:space="preserve"> concluding observations prior to the submission of its next periodic report. </w:t>
      </w:r>
    </w:p>
    <w:p w:rsidR="00D25A67" w:rsidRPr="00544A82" w:rsidRDefault="00D25A67" w:rsidP="00D25A67">
      <w:pPr>
        <w:pStyle w:val="SingleTxtG"/>
        <w:tabs>
          <w:tab w:val="left" w:pos="1701"/>
        </w:tabs>
        <w:rPr>
          <w:b/>
          <w:bCs/>
        </w:rPr>
      </w:pPr>
      <w:r w:rsidRPr="00544A82">
        <w:rPr>
          <w:rFonts w:hAnsi="Arial Unicode MS"/>
          <w:bCs/>
        </w:rPr>
        <w:t>51.</w:t>
      </w:r>
      <w:r w:rsidRPr="00544A82">
        <w:rPr>
          <w:rFonts w:hAnsi="Arial Unicode MS"/>
          <w:bCs/>
        </w:rPr>
        <w:tab/>
      </w:r>
      <w:r w:rsidRPr="002029A6">
        <w:rPr>
          <w:b/>
          <w:bCs/>
        </w:rPr>
        <w:t>In accordance with</w:t>
      </w:r>
      <w:r w:rsidRPr="00544A82">
        <w:rPr>
          <w:b/>
          <w:bCs/>
        </w:rPr>
        <w:t xml:space="preserve"> the procedure </w:t>
      </w:r>
      <w:r w:rsidRPr="002029A6">
        <w:rPr>
          <w:b/>
          <w:bCs/>
        </w:rPr>
        <w:t>on</w:t>
      </w:r>
      <w:r w:rsidRPr="00544A82">
        <w:rPr>
          <w:b/>
          <w:bCs/>
        </w:rPr>
        <w:t xml:space="preserve"> follow</w:t>
      </w:r>
      <w:r w:rsidRPr="002029A6">
        <w:rPr>
          <w:b/>
          <w:bCs/>
        </w:rPr>
        <w:t>-</w:t>
      </w:r>
      <w:r w:rsidRPr="00544A82">
        <w:rPr>
          <w:b/>
          <w:bCs/>
        </w:rPr>
        <w:t xml:space="preserve">up </w:t>
      </w:r>
      <w:r w:rsidRPr="002029A6">
        <w:rPr>
          <w:b/>
          <w:bCs/>
        </w:rPr>
        <w:t>to</w:t>
      </w:r>
      <w:r w:rsidRPr="00544A82">
        <w:rPr>
          <w:b/>
          <w:bCs/>
        </w:rPr>
        <w:t xml:space="preserve"> concluding observations</w:t>
      </w:r>
      <w:r w:rsidRPr="002029A6">
        <w:rPr>
          <w:b/>
          <w:bCs/>
        </w:rPr>
        <w:t xml:space="preserve"> adopted by the Committee</w:t>
      </w:r>
      <w:r w:rsidRPr="00544A82">
        <w:rPr>
          <w:b/>
          <w:bCs/>
        </w:rPr>
        <w:t xml:space="preserve">, the State party is requested to provide, within 24 months of the adoption of the present concluding observations, </w:t>
      </w:r>
      <w:r w:rsidRPr="002029A6">
        <w:rPr>
          <w:b/>
          <w:bCs/>
        </w:rPr>
        <w:t xml:space="preserve">information </w:t>
      </w:r>
      <w:r w:rsidRPr="00544A82">
        <w:rPr>
          <w:b/>
          <w:bCs/>
        </w:rPr>
        <w:t xml:space="preserve">on the </w:t>
      </w:r>
      <w:r w:rsidRPr="002029A6">
        <w:rPr>
          <w:b/>
          <w:bCs/>
        </w:rPr>
        <w:t>implementation</w:t>
      </w:r>
      <w:r w:rsidRPr="00544A82">
        <w:rPr>
          <w:b/>
          <w:bCs/>
        </w:rPr>
        <w:t xml:space="preserve"> </w:t>
      </w:r>
      <w:r w:rsidRPr="002029A6">
        <w:rPr>
          <w:b/>
          <w:bCs/>
        </w:rPr>
        <w:t>of</w:t>
      </w:r>
      <w:r w:rsidRPr="00544A82">
        <w:rPr>
          <w:b/>
          <w:bCs/>
        </w:rPr>
        <w:t xml:space="preserve"> the recommendations </w:t>
      </w:r>
      <w:r w:rsidRPr="002029A6">
        <w:rPr>
          <w:b/>
          <w:bCs/>
        </w:rPr>
        <w:t>contained</w:t>
      </w:r>
      <w:r w:rsidRPr="00544A82">
        <w:rPr>
          <w:b/>
          <w:bCs/>
        </w:rPr>
        <w:t xml:space="preserve"> in paragraphs 21 </w:t>
      </w:r>
      <w:r w:rsidRPr="002029A6">
        <w:rPr>
          <w:b/>
          <w:bCs/>
        </w:rPr>
        <w:t>(</w:t>
      </w:r>
      <w:r w:rsidRPr="00544A82">
        <w:rPr>
          <w:b/>
          <w:bCs/>
        </w:rPr>
        <w:t>d</w:t>
      </w:r>
      <w:r w:rsidRPr="002029A6">
        <w:rPr>
          <w:b/>
          <w:bCs/>
        </w:rPr>
        <w:t>)–(</w:t>
      </w:r>
      <w:r w:rsidRPr="00544A82">
        <w:rPr>
          <w:b/>
          <w:bCs/>
        </w:rPr>
        <w:t>f</w:t>
      </w:r>
      <w:r w:rsidRPr="002029A6">
        <w:rPr>
          <w:b/>
          <w:bCs/>
        </w:rPr>
        <w:t>)</w:t>
      </w:r>
      <w:r w:rsidRPr="00544A82">
        <w:rPr>
          <w:b/>
          <w:bCs/>
        </w:rPr>
        <w:t xml:space="preserve"> (</w:t>
      </w:r>
      <w:r w:rsidRPr="002029A6">
        <w:rPr>
          <w:b/>
          <w:bCs/>
        </w:rPr>
        <w:t>g</w:t>
      </w:r>
      <w:r w:rsidRPr="00544A82">
        <w:rPr>
          <w:b/>
          <w:bCs/>
        </w:rPr>
        <w:t xml:space="preserve">ender </w:t>
      </w:r>
      <w:r w:rsidRPr="002029A6">
        <w:rPr>
          <w:b/>
          <w:bCs/>
        </w:rPr>
        <w:t>e</w:t>
      </w:r>
      <w:r w:rsidRPr="00544A82">
        <w:rPr>
          <w:b/>
          <w:bCs/>
        </w:rPr>
        <w:t>quality), 24 (forced labour) and 36 (</w:t>
      </w:r>
      <w:r w:rsidRPr="002029A6">
        <w:rPr>
          <w:b/>
          <w:bCs/>
        </w:rPr>
        <w:t>h</w:t>
      </w:r>
      <w:r w:rsidRPr="00544A82">
        <w:rPr>
          <w:b/>
          <w:bCs/>
        </w:rPr>
        <w:t xml:space="preserve">ousing and forced evictions) above. </w:t>
      </w:r>
    </w:p>
    <w:p w:rsidR="00D25A67" w:rsidRPr="00544A82" w:rsidRDefault="00D25A67" w:rsidP="00D25A67">
      <w:pPr>
        <w:pStyle w:val="SingleTxtG"/>
        <w:tabs>
          <w:tab w:val="left" w:pos="1701"/>
        </w:tabs>
      </w:pPr>
      <w:r w:rsidRPr="00544A82">
        <w:rPr>
          <w:rFonts w:hAnsi="Arial Unicode MS"/>
        </w:rPr>
        <w:t>52.</w:t>
      </w:r>
      <w:r w:rsidRPr="00544A82">
        <w:rPr>
          <w:rFonts w:hAnsi="Arial Unicode MS"/>
        </w:rPr>
        <w:tab/>
      </w:r>
      <w:r w:rsidRPr="00544A82">
        <w:rPr>
          <w:b/>
        </w:rPr>
        <w:t xml:space="preserve">The Committee requests the State party to submit its third periodic report, to be prepared in accordance with the reporting guidelines adopted by the Committee in 2008 (E/C.12/2008/2), by 31 October 2023. </w:t>
      </w:r>
      <w:r w:rsidRPr="002029A6">
        <w:rPr>
          <w:b/>
        </w:rPr>
        <w:t>In addition, it</w:t>
      </w:r>
      <w:r w:rsidRPr="00544A82">
        <w:rPr>
          <w:b/>
        </w:rPr>
        <w:t xml:space="preserve"> invites the State party to update </w:t>
      </w:r>
      <w:r w:rsidRPr="002029A6">
        <w:rPr>
          <w:b/>
        </w:rPr>
        <w:t xml:space="preserve">its common core document, </w:t>
      </w:r>
      <w:r w:rsidRPr="00544A82">
        <w:rPr>
          <w:b/>
        </w:rPr>
        <w:t>as necessary, in accordance with the harmonized guidelines on reporting under the international human rights treaties (HRI/GEN/2/Rev.6, chap.</w:t>
      </w:r>
      <w:r>
        <w:rPr>
          <w:b/>
        </w:rPr>
        <w:t xml:space="preserve"> </w:t>
      </w:r>
      <w:r w:rsidRPr="00544A82">
        <w:rPr>
          <w:b/>
        </w:rPr>
        <w:t>I).</w:t>
      </w:r>
    </w:p>
    <w:p w:rsidR="00D25A67" w:rsidRPr="00544A82" w:rsidRDefault="00D25A67" w:rsidP="00D25A67">
      <w:pPr>
        <w:pStyle w:val="SingleTxtG"/>
        <w:jc w:val="center"/>
      </w:pPr>
      <w:r w:rsidRPr="00544A82">
        <w:rPr>
          <w:u w:val="single"/>
        </w:rPr>
        <w:tab/>
      </w:r>
      <w:r w:rsidRPr="00544A82">
        <w:rPr>
          <w:u w:val="single"/>
        </w:rPr>
        <w:tab/>
      </w:r>
      <w:r w:rsidRPr="00544A82">
        <w:rPr>
          <w:u w:val="single"/>
        </w:rPr>
        <w:tab/>
      </w:r>
      <w:r w:rsidRPr="00544A82">
        <w:rPr>
          <w:u w:val="single"/>
        </w:rPr>
        <w:tab/>
      </w:r>
    </w:p>
    <w:sectPr w:rsidR="00D25A67" w:rsidRPr="00544A8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67" w:rsidRPr="00FB1744" w:rsidRDefault="00D25A67" w:rsidP="00FB1744">
      <w:pPr>
        <w:pStyle w:val="Footer"/>
      </w:pPr>
    </w:p>
  </w:endnote>
  <w:endnote w:type="continuationSeparator" w:id="0">
    <w:p w:rsidR="00D25A67" w:rsidRPr="00FB1744" w:rsidRDefault="00D25A6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67" w:rsidRDefault="00D25A67" w:rsidP="00D25A67">
    <w:pPr>
      <w:pStyle w:val="Footer"/>
      <w:tabs>
        <w:tab w:val="right" w:pos="9638"/>
      </w:tabs>
    </w:pPr>
    <w:r w:rsidRPr="003E1BE5">
      <w:rPr>
        <w:b/>
        <w:bCs/>
        <w:sz w:val="18"/>
      </w:rPr>
      <w:fldChar w:fldCharType="begin"/>
    </w:r>
    <w:r w:rsidRPr="003E1BE5">
      <w:rPr>
        <w:b/>
        <w:bCs/>
        <w:sz w:val="18"/>
      </w:rPr>
      <w:instrText xml:space="preserve"> PAGE  \* MERGEFORMAT </w:instrText>
    </w:r>
    <w:r w:rsidRPr="003E1BE5">
      <w:rPr>
        <w:b/>
        <w:bCs/>
        <w:sz w:val="18"/>
      </w:rPr>
      <w:fldChar w:fldCharType="separate"/>
    </w:r>
    <w:r w:rsidR="0092701C">
      <w:rPr>
        <w:b/>
        <w:bCs/>
        <w:noProof/>
        <w:sz w:val="18"/>
      </w:rPr>
      <w:t>2</w:t>
    </w:r>
    <w:r w:rsidRPr="003E1B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67" w:rsidRDefault="00D25A67" w:rsidP="003E1BE5">
    <w:pPr>
      <w:pStyle w:val="Footer"/>
      <w:tabs>
        <w:tab w:val="right" w:pos="9638"/>
      </w:tabs>
    </w:pPr>
    <w:r>
      <w:tab/>
    </w:r>
    <w:r w:rsidRPr="003E1BE5">
      <w:rPr>
        <w:b/>
        <w:bCs/>
        <w:sz w:val="18"/>
      </w:rPr>
      <w:fldChar w:fldCharType="begin"/>
    </w:r>
    <w:r w:rsidRPr="003E1BE5">
      <w:rPr>
        <w:b/>
        <w:bCs/>
        <w:sz w:val="18"/>
      </w:rPr>
      <w:instrText xml:space="preserve"> PAGE  \* MERGEFORMAT </w:instrText>
    </w:r>
    <w:r w:rsidRPr="003E1BE5">
      <w:rPr>
        <w:b/>
        <w:bCs/>
        <w:sz w:val="18"/>
      </w:rPr>
      <w:fldChar w:fldCharType="separate"/>
    </w:r>
    <w:r w:rsidR="00AA211B">
      <w:rPr>
        <w:b/>
        <w:bCs/>
        <w:noProof/>
        <w:sz w:val="18"/>
      </w:rPr>
      <w:t>7</w:t>
    </w:r>
    <w:r w:rsidRPr="003E1B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1B" w:rsidRDefault="00AA211B" w:rsidP="00AA211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211B" w:rsidRDefault="00AA211B" w:rsidP="00AA211B">
    <w:pPr>
      <w:pStyle w:val="Footer"/>
      <w:ind w:right="1134"/>
      <w:rPr>
        <w:sz w:val="20"/>
      </w:rPr>
    </w:pPr>
    <w:r>
      <w:rPr>
        <w:sz w:val="20"/>
      </w:rPr>
      <w:t>GE.18-18172(E)</w:t>
    </w:r>
  </w:p>
  <w:p w:rsidR="00AA211B" w:rsidRPr="00AA211B" w:rsidRDefault="00AA211B" w:rsidP="00AA21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TKM/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67" w:rsidRPr="00FB1744" w:rsidRDefault="00D25A67" w:rsidP="00FB1744">
      <w:pPr>
        <w:tabs>
          <w:tab w:val="right" w:pos="2155"/>
        </w:tabs>
        <w:spacing w:after="80"/>
        <w:ind w:left="680"/>
      </w:pPr>
      <w:r>
        <w:rPr>
          <w:u w:val="single"/>
        </w:rPr>
        <w:tab/>
      </w:r>
    </w:p>
  </w:footnote>
  <w:footnote w:type="continuationSeparator" w:id="0">
    <w:p w:rsidR="00D25A67" w:rsidRPr="00FB1744" w:rsidRDefault="00D25A67" w:rsidP="00FB1744">
      <w:pPr>
        <w:tabs>
          <w:tab w:val="right" w:pos="2155"/>
        </w:tabs>
        <w:spacing w:after="80"/>
        <w:ind w:left="680"/>
      </w:pPr>
      <w:r>
        <w:rPr>
          <w:u w:val="single"/>
        </w:rPr>
        <w:tab/>
      </w:r>
    </w:p>
  </w:footnote>
  <w:footnote w:id="1">
    <w:p w:rsidR="00D25A67" w:rsidRDefault="00D25A67" w:rsidP="003E1BE5">
      <w:pPr>
        <w:pStyle w:val="FootnoteText"/>
      </w:pPr>
      <w:r>
        <w:tab/>
      </w:r>
      <w:r w:rsidRPr="00D25A67">
        <w:rPr>
          <w:sz w:val="20"/>
        </w:rPr>
        <w:t>*</w:t>
      </w:r>
      <w:r w:rsidRPr="00D25A67">
        <w:rPr>
          <w:sz w:val="20"/>
        </w:rPr>
        <w:tab/>
      </w:r>
      <w:r>
        <w:t>Adopted by the Committee at its sixty-fourth session (24 September–12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67" w:rsidRDefault="00D25A67" w:rsidP="003E1BE5">
    <w:pPr>
      <w:pStyle w:val="Header"/>
    </w:pPr>
    <w:r>
      <w:t>E/C.12/TKM/CO/2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67" w:rsidRDefault="00D25A67" w:rsidP="003E1BE5">
    <w:pPr>
      <w:pStyle w:val="Header"/>
      <w:jc w:val="right"/>
    </w:pPr>
    <w:r>
      <w:t>E/C.12/TKM/CO/2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3B8E"/>
    <w:rsid w:val="00046E92"/>
    <w:rsid w:val="000D1B89"/>
    <w:rsid w:val="001170DC"/>
    <w:rsid w:val="001C78D0"/>
    <w:rsid w:val="00247E2C"/>
    <w:rsid w:val="002565F6"/>
    <w:rsid w:val="002D6C53"/>
    <w:rsid w:val="002F5595"/>
    <w:rsid w:val="00334F6A"/>
    <w:rsid w:val="00342AC8"/>
    <w:rsid w:val="003B4550"/>
    <w:rsid w:val="003D5FD4"/>
    <w:rsid w:val="003E1BE5"/>
    <w:rsid w:val="00461253"/>
    <w:rsid w:val="005042C2"/>
    <w:rsid w:val="00506C12"/>
    <w:rsid w:val="0056599A"/>
    <w:rsid w:val="00576C51"/>
    <w:rsid w:val="00587690"/>
    <w:rsid w:val="00671529"/>
    <w:rsid w:val="006F3628"/>
    <w:rsid w:val="00717266"/>
    <w:rsid w:val="007268F9"/>
    <w:rsid w:val="00777A0D"/>
    <w:rsid w:val="007A27DF"/>
    <w:rsid w:val="007C52B0"/>
    <w:rsid w:val="008F0730"/>
    <w:rsid w:val="0092701C"/>
    <w:rsid w:val="0093046C"/>
    <w:rsid w:val="00932FDA"/>
    <w:rsid w:val="009411B4"/>
    <w:rsid w:val="00965804"/>
    <w:rsid w:val="00987E71"/>
    <w:rsid w:val="009A6555"/>
    <w:rsid w:val="009B339E"/>
    <w:rsid w:val="009D0139"/>
    <w:rsid w:val="009F5CDC"/>
    <w:rsid w:val="00A26032"/>
    <w:rsid w:val="00A30158"/>
    <w:rsid w:val="00A775CF"/>
    <w:rsid w:val="00A83B8E"/>
    <w:rsid w:val="00AA211B"/>
    <w:rsid w:val="00AB3C7E"/>
    <w:rsid w:val="00B06045"/>
    <w:rsid w:val="00B15E93"/>
    <w:rsid w:val="00B44250"/>
    <w:rsid w:val="00C35A27"/>
    <w:rsid w:val="00D03427"/>
    <w:rsid w:val="00D25A6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A2E99D3-B9BE-4844-B138-FF1C5A3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5A6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25A67"/>
    <w:pPr>
      <w:spacing w:after="0"/>
      <w:ind w:right="0"/>
      <w:jc w:val="left"/>
      <w:outlineLvl w:val="0"/>
    </w:pPr>
  </w:style>
  <w:style w:type="paragraph" w:styleId="Heading2">
    <w:name w:val="heading 2"/>
    <w:basedOn w:val="Normal"/>
    <w:next w:val="Normal"/>
    <w:link w:val="Heading2Char"/>
    <w:semiHidden/>
    <w:rsid w:val="00D25A67"/>
    <w:pPr>
      <w:outlineLvl w:val="1"/>
    </w:pPr>
  </w:style>
  <w:style w:type="paragraph" w:styleId="Heading3">
    <w:name w:val="heading 3"/>
    <w:basedOn w:val="Normal"/>
    <w:next w:val="Normal"/>
    <w:link w:val="Heading3Char"/>
    <w:semiHidden/>
    <w:rsid w:val="00D25A67"/>
    <w:pPr>
      <w:outlineLvl w:val="2"/>
    </w:pPr>
  </w:style>
  <w:style w:type="paragraph" w:styleId="Heading4">
    <w:name w:val="heading 4"/>
    <w:basedOn w:val="Normal"/>
    <w:next w:val="Normal"/>
    <w:link w:val="Heading4Char"/>
    <w:semiHidden/>
    <w:rsid w:val="00D25A67"/>
    <w:pPr>
      <w:outlineLvl w:val="3"/>
    </w:pPr>
  </w:style>
  <w:style w:type="paragraph" w:styleId="Heading5">
    <w:name w:val="heading 5"/>
    <w:basedOn w:val="Normal"/>
    <w:next w:val="Normal"/>
    <w:link w:val="Heading5Char"/>
    <w:semiHidden/>
    <w:rsid w:val="00D25A67"/>
    <w:pPr>
      <w:outlineLvl w:val="4"/>
    </w:pPr>
  </w:style>
  <w:style w:type="paragraph" w:styleId="Heading6">
    <w:name w:val="heading 6"/>
    <w:basedOn w:val="Normal"/>
    <w:next w:val="Normal"/>
    <w:link w:val="Heading6Char"/>
    <w:semiHidden/>
    <w:rsid w:val="00D25A67"/>
    <w:pPr>
      <w:outlineLvl w:val="5"/>
    </w:pPr>
  </w:style>
  <w:style w:type="paragraph" w:styleId="Heading7">
    <w:name w:val="heading 7"/>
    <w:basedOn w:val="Normal"/>
    <w:next w:val="Normal"/>
    <w:link w:val="Heading7Char"/>
    <w:semiHidden/>
    <w:rsid w:val="00D25A67"/>
    <w:pPr>
      <w:outlineLvl w:val="6"/>
    </w:pPr>
  </w:style>
  <w:style w:type="paragraph" w:styleId="Heading8">
    <w:name w:val="heading 8"/>
    <w:basedOn w:val="Normal"/>
    <w:next w:val="Normal"/>
    <w:link w:val="Heading8Char"/>
    <w:semiHidden/>
    <w:rsid w:val="00D25A67"/>
    <w:pPr>
      <w:outlineLvl w:val="7"/>
    </w:pPr>
  </w:style>
  <w:style w:type="paragraph" w:styleId="Heading9">
    <w:name w:val="heading 9"/>
    <w:basedOn w:val="Normal"/>
    <w:next w:val="Normal"/>
    <w:link w:val="Heading9Char"/>
    <w:semiHidden/>
    <w:rsid w:val="00D25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25A67"/>
    <w:pPr>
      <w:pBdr>
        <w:bottom w:val="single" w:sz="4" w:space="4" w:color="auto"/>
      </w:pBdr>
    </w:pPr>
    <w:rPr>
      <w:b/>
      <w:sz w:val="18"/>
    </w:rPr>
  </w:style>
  <w:style w:type="character" w:customStyle="1" w:styleId="HeaderChar">
    <w:name w:val="Header Char"/>
    <w:aliases w:val="6_G Char"/>
    <w:basedOn w:val="DefaultParagraphFont"/>
    <w:link w:val="Header"/>
    <w:rsid w:val="00D25A67"/>
    <w:rPr>
      <w:rFonts w:ascii="Times New Roman" w:hAnsi="Times New Roman" w:cs="Times New Roman"/>
      <w:b/>
      <w:sz w:val="18"/>
      <w:szCs w:val="20"/>
    </w:rPr>
  </w:style>
  <w:style w:type="paragraph" w:styleId="Footer">
    <w:name w:val="footer"/>
    <w:aliases w:val="3_G"/>
    <w:basedOn w:val="Normal"/>
    <w:link w:val="FooterChar"/>
    <w:rsid w:val="00D25A67"/>
    <w:rPr>
      <w:sz w:val="16"/>
    </w:rPr>
  </w:style>
  <w:style w:type="character" w:customStyle="1" w:styleId="FooterChar">
    <w:name w:val="Footer Char"/>
    <w:aliases w:val="3_G Char"/>
    <w:basedOn w:val="DefaultParagraphFont"/>
    <w:link w:val="Footer"/>
    <w:rsid w:val="00D25A67"/>
    <w:rPr>
      <w:rFonts w:ascii="Times New Roman" w:hAnsi="Times New Roman" w:cs="Times New Roman"/>
      <w:sz w:val="16"/>
      <w:szCs w:val="20"/>
    </w:rPr>
  </w:style>
  <w:style w:type="paragraph" w:customStyle="1" w:styleId="HMG">
    <w:name w:val="_ H __M_G"/>
    <w:basedOn w:val="Normal"/>
    <w:next w:val="Normal"/>
    <w:rsid w:val="00D25A6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25A6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25A6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25A6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25A6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25A6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25A67"/>
    <w:pPr>
      <w:spacing w:after="120" w:line="240" w:lineRule="atLeast"/>
      <w:ind w:left="1134" w:right="1134"/>
      <w:jc w:val="both"/>
    </w:pPr>
  </w:style>
  <w:style w:type="paragraph" w:customStyle="1" w:styleId="SLG">
    <w:name w:val="__S_L_G"/>
    <w:basedOn w:val="Normal"/>
    <w:next w:val="Normal"/>
    <w:rsid w:val="00D25A67"/>
    <w:pPr>
      <w:keepNext/>
      <w:keepLines/>
      <w:spacing w:before="240" w:after="240" w:line="580" w:lineRule="exact"/>
      <w:ind w:left="1134" w:right="1134"/>
    </w:pPr>
    <w:rPr>
      <w:b/>
      <w:sz w:val="56"/>
    </w:rPr>
  </w:style>
  <w:style w:type="paragraph" w:customStyle="1" w:styleId="SMG">
    <w:name w:val="__S_M_G"/>
    <w:basedOn w:val="Normal"/>
    <w:next w:val="Normal"/>
    <w:rsid w:val="00D25A67"/>
    <w:pPr>
      <w:keepNext/>
      <w:keepLines/>
      <w:spacing w:before="240" w:after="240" w:line="420" w:lineRule="exact"/>
      <w:ind w:left="1134" w:right="1134"/>
    </w:pPr>
    <w:rPr>
      <w:b/>
      <w:sz w:val="40"/>
    </w:rPr>
  </w:style>
  <w:style w:type="paragraph" w:customStyle="1" w:styleId="SSG">
    <w:name w:val="__S_S_G"/>
    <w:basedOn w:val="Normal"/>
    <w:next w:val="Normal"/>
    <w:rsid w:val="00D25A67"/>
    <w:pPr>
      <w:keepNext/>
      <w:keepLines/>
      <w:spacing w:before="240" w:after="240" w:line="300" w:lineRule="exact"/>
      <w:ind w:left="1134" w:right="1134"/>
    </w:pPr>
    <w:rPr>
      <w:b/>
      <w:sz w:val="28"/>
    </w:rPr>
  </w:style>
  <w:style w:type="paragraph" w:customStyle="1" w:styleId="XLargeG">
    <w:name w:val="__XLarge_G"/>
    <w:basedOn w:val="Normal"/>
    <w:next w:val="Normal"/>
    <w:rsid w:val="00D25A67"/>
    <w:pPr>
      <w:keepNext/>
      <w:keepLines/>
      <w:spacing w:before="240" w:after="240" w:line="420" w:lineRule="exact"/>
      <w:ind w:left="1134" w:right="1134"/>
    </w:pPr>
    <w:rPr>
      <w:b/>
      <w:sz w:val="40"/>
    </w:rPr>
  </w:style>
  <w:style w:type="paragraph" w:customStyle="1" w:styleId="Bullet1G">
    <w:name w:val="_Bullet 1_G"/>
    <w:basedOn w:val="Normal"/>
    <w:qFormat/>
    <w:rsid w:val="00D25A67"/>
    <w:pPr>
      <w:numPr>
        <w:numId w:val="8"/>
      </w:numPr>
      <w:spacing w:after="120"/>
      <w:ind w:right="1134"/>
      <w:jc w:val="both"/>
    </w:pPr>
  </w:style>
  <w:style w:type="paragraph" w:customStyle="1" w:styleId="Bullet2G">
    <w:name w:val="_Bullet 2_G"/>
    <w:basedOn w:val="Normal"/>
    <w:qFormat/>
    <w:rsid w:val="00D25A67"/>
    <w:pPr>
      <w:numPr>
        <w:numId w:val="9"/>
      </w:numPr>
      <w:spacing w:after="120"/>
      <w:ind w:right="1134"/>
      <w:jc w:val="both"/>
    </w:pPr>
  </w:style>
  <w:style w:type="paragraph" w:customStyle="1" w:styleId="ParaNoG">
    <w:name w:val="_ParaNo._G"/>
    <w:basedOn w:val="SingleTxtG"/>
    <w:rsid w:val="00D25A67"/>
    <w:pPr>
      <w:numPr>
        <w:numId w:val="10"/>
      </w:numPr>
    </w:pPr>
  </w:style>
  <w:style w:type="numbering" w:styleId="111111">
    <w:name w:val="Outline List 2"/>
    <w:basedOn w:val="NoList"/>
    <w:semiHidden/>
    <w:rsid w:val="00D25A67"/>
    <w:pPr>
      <w:numPr>
        <w:numId w:val="11"/>
      </w:numPr>
    </w:pPr>
  </w:style>
  <w:style w:type="numbering" w:styleId="1ai">
    <w:name w:val="Outline List 1"/>
    <w:basedOn w:val="NoList"/>
    <w:semiHidden/>
    <w:rsid w:val="00D25A67"/>
    <w:pPr>
      <w:numPr>
        <w:numId w:val="6"/>
      </w:numPr>
    </w:pPr>
  </w:style>
  <w:style w:type="character" w:styleId="EndnoteReference">
    <w:name w:val="endnote reference"/>
    <w:aliases w:val="1_G"/>
    <w:rsid w:val="00D25A67"/>
    <w:rPr>
      <w:rFonts w:ascii="Times New Roman" w:hAnsi="Times New Roman"/>
      <w:sz w:val="18"/>
      <w:vertAlign w:val="superscript"/>
    </w:rPr>
  </w:style>
  <w:style w:type="paragraph" w:styleId="FootnoteText">
    <w:name w:val="footnote text"/>
    <w:aliases w:val="5_G"/>
    <w:basedOn w:val="Normal"/>
    <w:link w:val="FootnoteTextChar"/>
    <w:rsid w:val="00D25A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25A67"/>
    <w:rPr>
      <w:rFonts w:ascii="Times New Roman" w:hAnsi="Times New Roman" w:cs="Times New Roman"/>
      <w:sz w:val="18"/>
      <w:szCs w:val="20"/>
    </w:rPr>
  </w:style>
  <w:style w:type="paragraph" w:styleId="EndnoteText">
    <w:name w:val="endnote text"/>
    <w:aliases w:val="2_G"/>
    <w:basedOn w:val="FootnoteText"/>
    <w:link w:val="EndnoteTextChar"/>
    <w:rsid w:val="00D25A67"/>
  </w:style>
  <w:style w:type="character" w:customStyle="1" w:styleId="EndnoteTextChar">
    <w:name w:val="Endnote Text Char"/>
    <w:aliases w:val="2_G Char"/>
    <w:basedOn w:val="DefaultParagraphFont"/>
    <w:link w:val="EndnoteText"/>
    <w:rsid w:val="00D25A67"/>
    <w:rPr>
      <w:rFonts w:ascii="Times New Roman" w:hAnsi="Times New Roman" w:cs="Times New Roman"/>
      <w:sz w:val="18"/>
      <w:szCs w:val="20"/>
    </w:rPr>
  </w:style>
  <w:style w:type="character" w:styleId="FootnoteReference">
    <w:name w:val="footnote reference"/>
    <w:aliases w:val="4_G"/>
    <w:rsid w:val="00D25A6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25A67"/>
    <w:rPr>
      <w:rFonts w:ascii="Times New Roman" w:hAnsi="Times New Roman" w:cs="Times New Roman"/>
      <w:sz w:val="20"/>
      <w:szCs w:val="20"/>
    </w:rPr>
  </w:style>
  <w:style w:type="character" w:customStyle="1" w:styleId="Heading2Char">
    <w:name w:val="Heading 2 Char"/>
    <w:basedOn w:val="DefaultParagraphFont"/>
    <w:link w:val="Heading2"/>
    <w:semiHidden/>
    <w:rsid w:val="00D25A67"/>
    <w:rPr>
      <w:rFonts w:ascii="Times New Roman" w:hAnsi="Times New Roman" w:cs="Times New Roman"/>
      <w:sz w:val="20"/>
      <w:szCs w:val="20"/>
    </w:rPr>
  </w:style>
  <w:style w:type="character" w:customStyle="1" w:styleId="Heading3Char">
    <w:name w:val="Heading 3 Char"/>
    <w:basedOn w:val="DefaultParagraphFont"/>
    <w:link w:val="Heading3"/>
    <w:semiHidden/>
    <w:rsid w:val="00D25A67"/>
    <w:rPr>
      <w:rFonts w:ascii="Times New Roman" w:hAnsi="Times New Roman" w:cs="Times New Roman"/>
      <w:sz w:val="20"/>
      <w:szCs w:val="20"/>
    </w:rPr>
  </w:style>
  <w:style w:type="character" w:customStyle="1" w:styleId="Heading4Char">
    <w:name w:val="Heading 4 Char"/>
    <w:basedOn w:val="DefaultParagraphFont"/>
    <w:link w:val="Heading4"/>
    <w:semiHidden/>
    <w:rsid w:val="00D25A67"/>
    <w:rPr>
      <w:rFonts w:ascii="Times New Roman" w:hAnsi="Times New Roman" w:cs="Times New Roman"/>
      <w:sz w:val="20"/>
      <w:szCs w:val="20"/>
    </w:rPr>
  </w:style>
  <w:style w:type="character" w:customStyle="1" w:styleId="Heading5Char">
    <w:name w:val="Heading 5 Char"/>
    <w:basedOn w:val="DefaultParagraphFont"/>
    <w:link w:val="Heading5"/>
    <w:semiHidden/>
    <w:rsid w:val="00D25A67"/>
    <w:rPr>
      <w:rFonts w:ascii="Times New Roman" w:hAnsi="Times New Roman" w:cs="Times New Roman"/>
      <w:sz w:val="20"/>
      <w:szCs w:val="20"/>
    </w:rPr>
  </w:style>
  <w:style w:type="character" w:customStyle="1" w:styleId="Heading6Char">
    <w:name w:val="Heading 6 Char"/>
    <w:basedOn w:val="DefaultParagraphFont"/>
    <w:link w:val="Heading6"/>
    <w:semiHidden/>
    <w:rsid w:val="00D25A67"/>
    <w:rPr>
      <w:rFonts w:ascii="Times New Roman" w:hAnsi="Times New Roman" w:cs="Times New Roman"/>
      <w:sz w:val="20"/>
      <w:szCs w:val="20"/>
    </w:rPr>
  </w:style>
  <w:style w:type="character" w:customStyle="1" w:styleId="Heading7Char">
    <w:name w:val="Heading 7 Char"/>
    <w:basedOn w:val="DefaultParagraphFont"/>
    <w:link w:val="Heading7"/>
    <w:semiHidden/>
    <w:rsid w:val="00D25A67"/>
    <w:rPr>
      <w:rFonts w:ascii="Times New Roman" w:hAnsi="Times New Roman" w:cs="Times New Roman"/>
      <w:sz w:val="20"/>
      <w:szCs w:val="20"/>
    </w:rPr>
  </w:style>
  <w:style w:type="character" w:customStyle="1" w:styleId="Heading8Char">
    <w:name w:val="Heading 8 Char"/>
    <w:basedOn w:val="DefaultParagraphFont"/>
    <w:link w:val="Heading8"/>
    <w:semiHidden/>
    <w:rsid w:val="00D25A67"/>
    <w:rPr>
      <w:rFonts w:ascii="Times New Roman" w:hAnsi="Times New Roman" w:cs="Times New Roman"/>
      <w:sz w:val="20"/>
      <w:szCs w:val="20"/>
    </w:rPr>
  </w:style>
  <w:style w:type="character" w:customStyle="1" w:styleId="Heading9Char">
    <w:name w:val="Heading 9 Char"/>
    <w:basedOn w:val="DefaultParagraphFont"/>
    <w:link w:val="Heading9"/>
    <w:semiHidden/>
    <w:rsid w:val="00D25A67"/>
    <w:rPr>
      <w:rFonts w:ascii="Times New Roman" w:hAnsi="Times New Roman" w:cs="Times New Roman"/>
      <w:sz w:val="20"/>
      <w:szCs w:val="20"/>
    </w:rPr>
  </w:style>
  <w:style w:type="character" w:styleId="PageNumber">
    <w:name w:val="page number"/>
    <w:aliases w:val="7_G"/>
    <w:semiHidden/>
    <w:rsid w:val="00D25A6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25A6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A67"/>
    <w:rPr>
      <w:rFonts w:ascii="Tahoma" w:hAnsi="Tahoma" w:cs="Tahoma"/>
      <w:sz w:val="16"/>
      <w:szCs w:val="16"/>
    </w:rPr>
  </w:style>
  <w:style w:type="character" w:customStyle="1" w:styleId="BalloonTextChar">
    <w:name w:val="Balloon Text Char"/>
    <w:basedOn w:val="DefaultParagraphFont"/>
    <w:link w:val="BalloonText"/>
    <w:uiPriority w:val="99"/>
    <w:semiHidden/>
    <w:rsid w:val="00D25A67"/>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6BE7-049E-4C83-BFCC-85E2B715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3785</Words>
  <Characters>21297</Characters>
  <Application>Microsoft Office Word</Application>
  <DocSecurity>0</DocSecurity>
  <Lines>370</Lines>
  <Paragraphs>114</Paragraphs>
  <ScaleCrop>false</ScaleCrop>
  <HeadingPairs>
    <vt:vector size="2" baseType="variant">
      <vt:variant>
        <vt:lpstr>Title</vt:lpstr>
      </vt:variant>
      <vt:variant>
        <vt:i4>1</vt:i4>
      </vt:variant>
    </vt:vector>
  </HeadingPairs>
  <TitlesOfParts>
    <vt:vector size="1" baseType="lpstr">
      <vt:lpstr>E/C.12/TKM/CO/2</vt:lpstr>
    </vt:vector>
  </TitlesOfParts>
  <Company>DCM</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E/C.12/TKM/CO/2</dc:title>
  <dc:subject>1818172</dc:subject>
  <dc:creator>pae</dc:creator>
  <cp:keywords/>
  <dc:description>formatted text</dc:description>
  <cp:lastModifiedBy>ESCALANT</cp:lastModifiedBy>
  <cp:revision>2</cp:revision>
  <dcterms:created xsi:type="dcterms:W3CDTF">2018-10-31T07:24:00Z</dcterms:created>
  <dcterms:modified xsi:type="dcterms:W3CDTF">2018-10-31T07:24:00Z</dcterms:modified>
</cp:coreProperties>
</file>