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BB810B1" w14:textId="77777777" w:rsidTr="00EE2AFF">
        <w:trPr>
          <w:trHeight w:hRule="exact" w:val="851"/>
        </w:trPr>
        <w:tc>
          <w:tcPr>
            <w:tcW w:w="1274" w:type="dxa"/>
            <w:tcBorders>
              <w:bottom w:val="single" w:sz="4" w:space="0" w:color="auto"/>
            </w:tcBorders>
          </w:tcPr>
          <w:p w14:paraId="2EF59EAE" w14:textId="77777777" w:rsidR="006B3E27" w:rsidRPr="003E159A" w:rsidRDefault="006B3E27" w:rsidP="00EE2AFF">
            <w:pPr>
              <w:pStyle w:val="H4GA"/>
              <w:bidi w:val="0"/>
            </w:pPr>
          </w:p>
        </w:tc>
        <w:tc>
          <w:tcPr>
            <w:tcW w:w="4963" w:type="dxa"/>
            <w:tcBorders>
              <w:bottom w:val="single" w:sz="4" w:space="0" w:color="auto"/>
            </w:tcBorders>
            <w:vAlign w:val="bottom"/>
          </w:tcPr>
          <w:p w14:paraId="1FD53947" w14:textId="77777777" w:rsidR="006B3E27" w:rsidRPr="00517BC9" w:rsidRDefault="006B3E27" w:rsidP="00EE2AFF">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14:paraId="520317E2" w14:textId="77777777" w:rsidR="006B3E27" w:rsidRPr="003E159A" w:rsidRDefault="005719A2" w:rsidP="00193EB1">
            <w:pPr>
              <w:bidi w:val="0"/>
              <w:spacing w:after="20"/>
              <w:jc w:val="left"/>
              <w:rPr>
                <w:szCs w:val="20"/>
              </w:rPr>
            </w:pPr>
            <w:r w:rsidRPr="005719A2">
              <w:rPr>
                <w:sz w:val="40"/>
                <w:szCs w:val="20"/>
              </w:rPr>
              <w:t>E</w:t>
            </w:r>
            <w:r>
              <w:rPr>
                <w:szCs w:val="20"/>
              </w:rPr>
              <w:t>/C.</w:t>
            </w:r>
            <w:r w:rsidRPr="0011532C">
              <w:rPr>
                <w:szCs w:val="20"/>
              </w:rPr>
              <w:t>12</w:t>
            </w:r>
            <w:r>
              <w:rPr>
                <w:szCs w:val="20"/>
              </w:rPr>
              <w:t>/</w:t>
            </w:r>
            <w:r w:rsidRPr="0011532C">
              <w:rPr>
                <w:szCs w:val="20"/>
              </w:rPr>
              <w:t>68</w:t>
            </w:r>
            <w:r>
              <w:rPr>
                <w:szCs w:val="20"/>
              </w:rPr>
              <w:t>/D/</w:t>
            </w:r>
            <w:r w:rsidRPr="0011532C">
              <w:rPr>
                <w:szCs w:val="20"/>
              </w:rPr>
              <w:t>149</w:t>
            </w:r>
            <w:r>
              <w:rPr>
                <w:szCs w:val="20"/>
              </w:rPr>
              <w:t>/</w:t>
            </w:r>
            <w:r w:rsidRPr="0011532C">
              <w:rPr>
                <w:szCs w:val="20"/>
              </w:rPr>
              <w:t>2019</w:t>
            </w:r>
          </w:p>
        </w:tc>
      </w:tr>
      <w:tr w:rsidR="006B3E27" w:rsidRPr="00ED7442" w14:paraId="61D2405F" w14:textId="77777777" w:rsidTr="00EE2AFF">
        <w:trPr>
          <w:trHeight w:hRule="exact" w:val="2835"/>
        </w:trPr>
        <w:tc>
          <w:tcPr>
            <w:tcW w:w="1274" w:type="dxa"/>
            <w:tcBorders>
              <w:top w:val="single" w:sz="4" w:space="0" w:color="auto"/>
              <w:bottom w:val="single" w:sz="12" w:space="0" w:color="auto"/>
            </w:tcBorders>
          </w:tcPr>
          <w:p w14:paraId="3F653D1A" w14:textId="77777777" w:rsidR="006B3E27" w:rsidRPr="00ED7442" w:rsidRDefault="0059622A" w:rsidP="00EE2AFF">
            <w:pPr>
              <w:jc w:val="center"/>
              <w:rPr>
                <w:sz w:val="56"/>
                <w:szCs w:val="56"/>
                <w:rtl/>
              </w:rPr>
            </w:pPr>
            <w:r w:rsidRPr="00ED7442">
              <w:rPr>
                <w:noProof/>
                <w:sz w:val="56"/>
                <w:szCs w:val="56"/>
              </w:rPr>
              <w:drawing>
                <wp:inline distT="0" distB="0" distL="0" distR="0" wp14:anchorId="6B97A767" wp14:editId="33FE1BD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29E5F061" w14:textId="77777777"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 الاقتصادي والاجتماعي</w:t>
            </w:r>
          </w:p>
        </w:tc>
        <w:tc>
          <w:tcPr>
            <w:tcW w:w="3402" w:type="dxa"/>
            <w:tcBorders>
              <w:top w:val="single" w:sz="4" w:space="0" w:color="auto"/>
              <w:bottom w:val="single" w:sz="12" w:space="0" w:color="auto"/>
            </w:tcBorders>
          </w:tcPr>
          <w:p w14:paraId="75437C39" w14:textId="77777777" w:rsidR="006B3E27" w:rsidRDefault="00193EB1" w:rsidP="00193EB1">
            <w:pPr>
              <w:bidi w:val="0"/>
              <w:spacing w:before="240"/>
              <w:jc w:val="left"/>
              <w:rPr>
                <w:szCs w:val="20"/>
              </w:rPr>
            </w:pPr>
            <w:r>
              <w:rPr>
                <w:szCs w:val="20"/>
              </w:rPr>
              <w:t>Distr.: General</w:t>
            </w:r>
          </w:p>
          <w:p w14:paraId="39017F62" w14:textId="4DB89929" w:rsidR="00193EB1" w:rsidRDefault="00640478" w:rsidP="00193EB1">
            <w:pPr>
              <w:bidi w:val="0"/>
              <w:jc w:val="left"/>
              <w:rPr>
                <w:szCs w:val="20"/>
              </w:rPr>
            </w:pPr>
            <w:r>
              <w:rPr>
                <w:szCs w:val="20"/>
              </w:rPr>
              <w:t>12 November 2020</w:t>
            </w:r>
          </w:p>
          <w:p w14:paraId="0980A301" w14:textId="77777777" w:rsidR="00193EB1" w:rsidRDefault="00193EB1" w:rsidP="00193EB1">
            <w:pPr>
              <w:bidi w:val="0"/>
              <w:jc w:val="left"/>
              <w:rPr>
                <w:szCs w:val="20"/>
              </w:rPr>
            </w:pPr>
            <w:r>
              <w:rPr>
                <w:szCs w:val="20"/>
              </w:rPr>
              <w:t>Arabic</w:t>
            </w:r>
          </w:p>
          <w:p w14:paraId="26FA0D05" w14:textId="2C96F1B7" w:rsidR="00193EB1" w:rsidRPr="003E159A" w:rsidRDefault="00193EB1" w:rsidP="00193EB1">
            <w:pPr>
              <w:bidi w:val="0"/>
              <w:jc w:val="left"/>
              <w:rPr>
                <w:szCs w:val="20"/>
              </w:rPr>
            </w:pPr>
            <w:r>
              <w:rPr>
                <w:szCs w:val="20"/>
              </w:rPr>
              <w:t xml:space="preserve">Original: </w:t>
            </w:r>
            <w:r w:rsidR="00640478">
              <w:rPr>
                <w:szCs w:val="20"/>
              </w:rPr>
              <w:t>Spanish</w:t>
            </w:r>
          </w:p>
        </w:tc>
      </w:tr>
    </w:tbl>
    <w:p w14:paraId="6E7FA15F" w14:textId="77777777" w:rsidR="001163AC" w:rsidRPr="00B202C0" w:rsidRDefault="001163AC" w:rsidP="00B202C0">
      <w:pPr>
        <w:spacing w:before="120" w:after="120" w:line="360" w:lineRule="exact"/>
        <w:textDirection w:val="tbRlV"/>
        <w:rPr>
          <w:b/>
          <w:sz w:val="34"/>
          <w:szCs w:val="34"/>
          <w:lang w:val="ar-SA" w:eastAsia="zh-TW" w:bidi="en-GB"/>
        </w:rPr>
      </w:pPr>
      <w:r w:rsidRPr="00B202C0">
        <w:rPr>
          <w:b/>
          <w:bCs/>
          <w:sz w:val="34"/>
          <w:szCs w:val="34"/>
          <w:rtl/>
        </w:rPr>
        <w:t>اللجنة المعنية بالحقوق الاقتصادية والاجتماعية والثقافية‏‏</w:t>
      </w:r>
    </w:p>
    <w:p w14:paraId="315E9F44" w14:textId="3C209D02" w:rsidR="001163AC" w:rsidRPr="0011532C" w:rsidRDefault="001163AC" w:rsidP="00C200DB">
      <w:pPr>
        <w:pStyle w:val="HChGA"/>
        <w:rPr>
          <w:szCs w:val="20"/>
          <w:lang w:eastAsia="zh-TW" w:bidi="en-GB"/>
        </w:rPr>
      </w:pPr>
      <w:r>
        <w:rPr>
          <w:rtl/>
        </w:rPr>
        <w:tab/>
      </w:r>
      <w:r>
        <w:rPr>
          <w:rtl/>
        </w:rPr>
        <w:tab/>
        <w:t>قرار اعتمدته اللجنة بموجب البروتوكول الاختياري الملحق بالعهد الدولي الخاص بالحقوق الاقتصادية والاجتماعية والثقافية، بشأن البلاغ رقم</w:t>
      </w:r>
      <w:r w:rsidR="00640478">
        <w:rPr>
          <w:rFonts w:hint="cs"/>
          <w:rtl/>
        </w:rPr>
        <w:t> </w:t>
      </w:r>
      <w:r w:rsidRPr="0011532C">
        <w:rPr>
          <w:szCs w:val="28"/>
        </w:rPr>
        <w:t>2019</w:t>
      </w:r>
      <w:r>
        <w:rPr>
          <w:rFonts w:ascii="Traditional Arabic"/>
          <w:szCs w:val="20"/>
        </w:rPr>
        <w:t>/</w:t>
      </w:r>
      <w:r w:rsidRPr="0011532C">
        <w:rPr>
          <w:szCs w:val="28"/>
        </w:rPr>
        <w:t>149</w:t>
      </w:r>
      <w:r w:rsidRPr="0011532C">
        <w:rPr>
          <w:rStyle w:val="FootnoteReference"/>
          <w:rFonts w:ascii="Traditional Arabic"/>
          <w:b/>
          <w:sz w:val="30"/>
          <w:szCs w:val="30"/>
          <w:vertAlign w:val="baseline"/>
          <w:rtl/>
        </w:rPr>
        <w:footnoteReference w:customMarkFollows="1" w:id="1"/>
        <w:t>*</w:t>
      </w:r>
    </w:p>
    <w:tbl>
      <w:tblPr>
        <w:tblStyle w:val="TableGrid"/>
        <w:bidiVisual/>
        <w:tblW w:w="0" w:type="auto"/>
        <w:tblInd w:w="1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73"/>
        <w:gridCol w:w="3970"/>
      </w:tblGrid>
      <w:tr w:rsidR="001163AC" w14:paraId="44451061" w14:textId="77777777" w:rsidTr="00C200DB">
        <w:tc>
          <w:tcPr>
            <w:tcW w:w="2573" w:type="dxa"/>
          </w:tcPr>
          <w:p w14:paraId="1610C0F5" w14:textId="77777777" w:rsidR="001163AC" w:rsidRPr="00C200DB" w:rsidRDefault="001163AC" w:rsidP="00C200DB">
            <w:pPr>
              <w:pStyle w:val="SingleTxtG"/>
              <w:bidi/>
              <w:spacing w:line="360" w:lineRule="exact"/>
              <w:ind w:left="0" w:right="0"/>
              <w:jc w:val="lowKashida"/>
              <w:textDirection w:val="tbRlV"/>
              <w:rPr>
                <w:i/>
                <w:iCs/>
                <w:sz w:val="28"/>
                <w:szCs w:val="28"/>
                <w:lang w:val="ar-SA" w:eastAsia="zh-TW" w:bidi="en-GB"/>
              </w:rPr>
            </w:pPr>
            <w:r w:rsidRPr="00C200DB">
              <w:rPr>
                <w:i/>
                <w:iCs/>
                <w:sz w:val="28"/>
                <w:szCs w:val="28"/>
                <w:rtl/>
              </w:rPr>
              <w:t>بلاغ مقدم من:</w:t>
            </w:r>
          </w:p>
        </w:tc>
        <w:tc>
          <w:tcPr>
            <w:tcW w:w="3970" w:type="dxa"/>
          </w:tcPr>
          <w:p w14:paraId="1BC734E6" w14:textId="18D3C402"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C200DB">
              <w:rPr>
                <w:sz w:val="28"/>
                <w:szCs w:val="28"/>
                <w:rtl/>
              </w:rPr>
              <w:t>لوتشيانو دانيال خواريز</w:t>
            </w:r>
            <w:r w:rsidR="004C6FD8">
              <w:rPr>
                <w:sz w:val="28"/>
                <w:szCs w:val="28"/>
                <w:rtl/>
              </w:rPr>
              <w:t xml:space="preserve"> </w:t>
            </w:r>
          </w:p>
        </w:tc>
      </w:tr>
      <w:tr w:rsidR="001163AC" w14:paraId="1E3A6A69" w14:textId="77777777" w:rsidTr="00C200DB">
        <w:tc>
          <w:tcPr>
            <w:tcW w:w="2573" w:type="dxa"/>
          </w:tcPr>
          <w:p w14:paraId="28923541" w14:textId="77777777" w:rsidR="001163AC" w:rsidRPr="00C200DB" w:rsidRDefault="001163AC" w:rsidP="00C200DB">
            <w:pPr>
              <w:pStyle w:val="SingleTxtG"/>
              <w:bidi/>
              <w:spacing w:line="360" w:lineRule="exact"/>
              <w:ind w:left="0" w:right="0"/>
              <w:jc w:val="lowKashida"/>
              <w:textDirection w:val="tbRlV"/>
              <w:rPr>
                <w:i/>
                <w:iCs/>
                <w:sz w:val="28"/>
                <w:szCs w:val="28"/>
                <w:lang w:val="ar-SA" w:eastAsia="zh-TW" w:bidi="en-GB"/>
              </w:rPr>
            </w:pPr>
            <w:r w:rsidRPr="00C200DB">
              <w:rPr>
                <w:i/>
                <w:iCs/>
                <w:sz w:val="28"/>
                <w:szCs w:val="28"/>
                <w:rtl/>
              </w:rPr>
              <w:t>الشخص المدعي أن ضحية:</w:t>
            </w:r>
          </w:p>
        </w:tc>
        <w:tc>
          <w:tcPr>
            <w:tcW w:w="3970" w:type="dxa"/>
          </w:tcPr>
          <w:p w14:paraId="0C11B431" w14:textId="77777777"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C200DB">
              <w:rPr>
                <w:sz w:val="28"/>
                <w:szCs w:val="28"/>
                <w:rtl/>
              </w:rPr>
              <w:t>صاحب البلاغ</w:t>
            </w:r>
          </w:p>
        </w:tc>
      </w:tr>
      <w:tr w:rsidR="001163AC" w14:paraId="496582CF" w14:textId="77777777" w:rsidTr="00C200DB">
        <w:tc>
          <w:tcPr>
            <w:tcW w:w="2573" w:type="dxa"/>
          </w:tcPr>
          <w:p w14:paraId="4210F0DF" w14:textId="77777777" w:rsidR="001163AC" w:rsidRPr="00C200DB" w:rsidRDefault="001163AC" w:rsidP="00C200DB">
            <w:pPr>
              <w:pStyle w:val="SingleTxtG"/>
              <w:bidi/>
              <w:spacing w:line="360" w:lineRule="exact"/>
              <w:ind w:left="0" w:right="0"/>
              <w:jc w:val="lowKashida"/>
              <w:textDirection w:val="tbRlV"/>
              <w:rPr>
                <w:i/>
                <w:iCs/>
                <w:sz w:val="28"/>
                <w:szCs w:val="28"/>
                <w:lang w:val="ar-SA" w:eastAsia="zh-TW" w:bidi="en-GB"/>
              </w:rPr>
            </w:pPr>
            <w:r w:rsidRPr="00C200DB">
              <w:rPr>
                <w:i/>
                <w:iCs/>
                <w:sz w:val="28"/>
                <w:szCs w:val="28"/>
                <w:rtl/>
              </w:rPr>
              <w:t>الدولة الطرف:</w:t>
            </w:r>
          </w:p>
        </w:tc>
        <w:tc>
          <w:tcPr>
            <w:tcW w:w="3970" w:type="dxa"/>
          </w:tcPr>
          <w:p w14:paraId="1EF573BB" w14:textId="77777777"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C200DB">
              <w:rPr>
                <w:sz w:val="28"/>
                <w:szCs w:val="28"/>
                <w:rtl/>
              </w:rPr>
              <w:t>الأرجنتين</w:t>
            </w:r>
          </w:p>
        </w:tc>
      </w:tr>
      <w:tr w:rsidR="001163AC" w14:paraId="3D8FCC24" w14:textId="77777777" w:rsidTr="00C200DB">
        <w:tc>
          <w:tcPr>
            <w:tcW w:w="2573" w:type="dxa"/>
          </w:tcPr>
          <w:p w14:paraId="565809AD" w14:textId="77777777" w:rsidR="001163AC" w:rsidRPr="00C200DB" w:rsidRDefault="001163AC" w:rsidP="00C200DB">
            <w:pPr>
              <w:pStyle w:val="SingleTxtG"/>
              <w:bidi/>
              <w:spacing w:line="360" w:lineRule="exact"/>
              <w:ind w:left="0" w:right="0"/>
              <w:jc w:val="lowKashida"/>
              <w:textDirection w:val="tbRlV"/>
              <w:rPr>
                <w:i/>
                <w:iCs/>
                <w:sz w:val="28"/>
                <w:szCs w:val="28"/>
                <w:lang w:val="ar-SA" w:eastAsia="zh-TW" w:bidi="en-GB"/>
              </w:rPr>
            </w:pPr>
            <w:r w:rsidRPr="00C200DB">
              <w:rPr>
                <w:i/>
                <w:iCs/>
                <w:sz w:val="28"/>
                <w:szCs w:val="28"/>
                <w:rtl/>
              </w:rPr>
              <w:t>تاريخ تقديم البلاغ:</w:t>
            </w:r>
          </w:p>
        </w:tc>
        <w:tc>
          <w:tcPr>
            <w:tcW w:w="3970" w:type="dxa"/>
          </w:tcPr>
          <w:p w14:paraId="0A7820D2" w14:textId="77777777"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11532C">
              <w:rPr>
                <w:rFonts w:hAnsi="Times New Roman"/>
                <w:szCs w:val="20"/>
                <w:rtl/>
              </w:rPr>
              <w:t>1</w:t>
            </w:r>
            <w:r w:rsidRPr="00C200DB">
              <w:rPr>
                <w:sz w:val="28"/>
                <w:szCs w:val="28"/>
                <w:rtl/>
              </w:rPr>
              <w:t xml:space="preserve"> شباط/فبراير </w:t>
            </w:r>
            <w:r w:rsidRPr="0011532C">
              <w:rPr>
                <w:rFonts w:hAnsi="Times New Roman"/>
                <w:szCs w:val="20"/>
                <w:rtl/>
              </w:rPr>
              <w:t>2018</w:t>
            </w:r>
          </w:p>
        </w:tc>
      </w:tr>
      <w:tr w:rsidR="001163AC" w14:paraId="1436E772" w14:textId="77777777" w:rsidTr="00C200DB">
        <w:tc>
          <w:tcPr>
            <w:tcW w:w="2573" w:type="dxa"/>
          </w:tcPr>
          <w:p w14:paraId="50974F3A" w14:textId="77777777" w:rsidR="001163AC" w:rsidRPr="00C200DB" w:rsidRDefault="001163AC" w:rsidP="00C200DB">
            <w:pPr>
              <w:pStyle w:val="SingleTxtG"/>
              <w:bidi/>
              <w:spacing w:line="360" w:lineRule="exact"/>
              <w:ind w:left="0" w:right="0"/>
              <w:jc w:val="lowKashida"/>
              <w:textDirection w:val="tbRlV"/>
              <w:rPr>
                <w:i/>
                <w:iCs/>
                <w:sz w:val="28"/>
                <w:szCs w:val="28"/>
                <w:lang w:val="ar-SA" w:eastAsia="zh-TW" w:bidi="en-GB"/>
              </w:rPr>
            </w:pPr>
            <w:r w:rsidRPr="00C200DB">
              <w:rPr>
                <w:i/>
                <w:iCs/>
                <w:sz w:val="28"/>
                <w:szCs w:val="28"/>
                <w:rtl/>
              </w:rPr>
              <w:t>تاريخ اعتماد القرار:</w:t>
            </w:r>
          </w:p>
        </w:tc>
        <w:tc>
          <w:tcPr>
            <w:tcW w:w="3970" w:type="dxa"/>
            <w:vAlign w:val="bottom"/>
          </w:tcPr>
          <w:p w14:paraId="57C74F37" w14:textId="77777777"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11532C">
              <w:rPr>
                <w:rFonts w:hAnsi="Times New Roman"/>
                <w:szCs w:val="20"/>
                <w:rtl/>
              </w:rPr>
              <w:t>15</w:t>
            </w:r>
            <w:r w:rsidRPr="00C200DB">
              <w:rPr>
                <w:sz w:val="28"/>
                <w:szCs w:val="28"/>
                <w:rtl/>
              </w:rPr>
              <w:t xml:space="preserve"> تشرين الأول/أكتوبر </w:t>
            </w:r>
            <w:r w:rsidRPr="0011532C">
              <w:rPr>
                <w:rFonts w:hAnsi="Times New Roman"/>
                <w:szCs w:val="20"/>
                <w:rtl/>
              </w:rPr>
              <w:t>2020</w:t>
            </w:r>
          </w:p>
        </w:tc>
      </w:tr>
      <w:tr w:rsidR="001163AC" w14:paraId="78A8EF28" w14:textId="77777777" w:rsidTr="00C200DB">
        <w:tc>
          <w:tcPr>
            <w:tcW w:w="2573" w:type="dxa"/>
          </w:tcPr>
          <w:p w14:paraId="1959BA90" w14:textId="77777777" w:rsidR="001163AC" w:rsidRPr="00C200DB" w:rsidRDefault="001163AC" w:rsidP="00C200DB">
            <w:pPr>
              <w:pStyle w:val="SingleTxtG"/>
              <w:bidi/>
              <w:spacing w:line="360" w:lineRule="exact"/>
              <w:ind w:left="0" w:right="0"/>
              <w:jc w:val="lowKashida"/>
              <w:textDirection w:val="tbRlV"/>
              <w:rPr>
                <w:i/>
                <w:iCs/>
                <w:sz w:val="28"/>
                <w:szCs w:val="28"/>
                <w:lang w:val="ar-SA" w:eastAsia="zh-TW" w:bidi="en-GB"/>
              </w:rPr>
            </w:pPr>
            <w:r w:rsidRPr="00C200DB">
              <w:rPr>
                <w:i/>
                <w:iCs/>
                <w:sz w:val="28"/>
                <w:szCs w:val="28"/>
                <w:rtl/>
              </w:rPr>
              <w:t>الموضوع:</w:t>
            </w:r>
          </w:p>
        </w:tc>
        <w:tc>
          <w:tcPr>
            <w:tcW w:w="3970" w:type="dxa"/>
            <w:vAlign w:val="bottom"/>
          </w:tcPr>
          <w:p w14:paraId="2256D7FE" w14:textId="77777777"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C200DB">
              <w:rPr>
                <w:sz w:val="28"/>
                <w:szCs w:val="28"/>
                <w:rtl/>
              </w:rPr>
              <w:t>إجراء تعيين في منصب قاض</w:t>
            </w:r>
          </w:p>
        </w:tc>
      </w:tr>
      <w:tr w:rsidR="001163AC" w14:paraId="0A0B11A1" w14:textId="77777777" w:rsidTr="00C200DB">
        <w:tc>
          <w:tcPr>
            <w:tcW w:w="2573" w:type="dxa"/>
          </w:tcPr>
          <w:p w14:paraId="03EBC11A" w14:textId="77777777" w:rsidR="001163AC" w:rsidRPr="0011532C" w:rsidRDefault="001163AC" w:rsidP="00C200DB">
            <w:pPr>
              <w:pStyle w:val="SingleTxtG"/>
              <w:bidi/>
              <w:spacing w:line="360" w:lineRule="exact"/>
              <w:ind w:left="0" w:right="0"/>
              <w:jc w:val="lowKashida"/>
              <w:textDirection w:val="tbRlV"/>
              <w:rPr>
                <w:i/>
                <w:iCs/>
                <w:sz w:val="28"/>
                <w:szCs w:val="28"/>
                <w:lang w:val="en-US" w:eastAsia="zh-TW" w:bidi="en-GB"/>
              </w:rPr>
            </w:pPr>
            <w:r w:rsidRPr="00C200DB">
              <w:rPr>
                <w:i/>
                <w:iCs/>
                <w:sz w:val="28"/>
                <w:szCs w:val="28"/>
                <w:rtl/>
              </w:rPr>
              <w:t>المسائل الإجرائية:</w:t>
            </w:r>
          </w:p>
        </w:tc>
        <w:tc>
          <w:tcPr>
            <w:tcW w:w="3970" w:type="dxa"/>
            <w:vAlign w:val="bottom"/>
          </w:tcPr>
          <w:p w14:paraId="065BC7C2" w14:textId="77777777"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C200DB">
              <w:rPr>
                <w:sz w:val="28"/>
                <w:szCs w:val="28"/>
                <w:rtl/>
              </w:rPr>
              <w:t>استنفاد سبل الانتصاف المحلية</w:t>
            </w:r>
          </w:p>
        </w:tc>
      </w:tr>
      <w:tr w:rsidR="001163AC" w:rsidRPr="00D65610" w14:paraId="346E0231" w14:textId="77777777" w:rsidTr="00C200DB">
        <w:tc>
          <w:tcPr>
            <w:tcW w:w="2573" w:type="dxa"/>
          </w:tcPr>
          <w:p w14:paraId="65B01126" w14:textId="77777777" w:rsidR="001163AC" w:rsidRPr="00C200DB" w:rsidRDefault="001163AC" w:rsidP="00C200DB">
            <w:pPr>
              <w:pStyle w:val="SingleTxtG"/>
              <w:bidi/>
              <w:spacing w:line="360" w:lineRule="exact"/>
              <w:ind w:left="0" w:right="0"/>
              <w:jc w:val="lowKashida"/>
              <w:textDirection w:val="tbRlV"/>
              <w:rPr>
                <w:i/>
                <w:iCs/>
                <w:sz w:val="28"/>
                <w:szCs w:val="28"/>
                <w:lang w:val="ar-SA" w:eastAsia="zh-TW" w:bidi="en-GB"/>
              </w:rPr>
            </w:pPr>
            <w:r w:rsidRPr="00C200DB">
              <w:rPr>
                <w:i/>
                <w:iCs/>
                <w:sz w:val="28"/>
                <w:szCs w:val="28"/>
                <w:rtl/>
              </w:rPr>
              <w:t>المسائل الموضوعية:</w:t>
            </w:r>
          </w:p>
        </w:tc>
        <w:tc>
          <w:tcPr>
            <w:tcW w:w="3970" w:type="dxa"/>
            <w:vAlign w:val="bottom"/>
          </w:tcPr>
          <w:p w14:paraId="2E8EB978" w14:textId="77777777"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C200DB">
              <w:rPr>
                <w:sz w:val="28"/>
                <w:szCs w:val="28"/>
                <w:rtl/>
              </w:rPr>
              <w:t>الحق في ظروف عمل عادلة ومرضية</w:t>
            </w:r>
          </w:p>
        </w:tc>
      </w:tr>
      <w:tr w:rsidR="001163AC" w14:paraId="372CB18A" w14:textId="77777777" w:rsidTr="00C200DB">
        <w:tc>
          <w:tcPr>
            <w:tcW w:w="2573" w:type="dxa"/>
          </w:tcPr>
          <w:p w14:paraId="7B56E438" w14:textId="77777777" w:rsidR="001163AC" w:rsidRPr="00C200DB" w:rsidRDefault="001163AC" w:rsidP="00C200DB">
            <w:pPr>
              <w:pStyle w:val="SingleTxtG"/>
              <w:bidi/>
              <w:spacing w:line="360" w:lineRule="exact"/>
              <w:ind w:left="0" w:right="0"/>
              <w:jc w:val="lowKashida"/>
              <w:textDirection w:val="tbRlV"/>
              <w:rPr>
                <w:i/>
                <w:iCs/>
                <w:sz w:val="28"/>
                <w:szCs w:val="28"/>
                <w:lang w:val="ar-SA" w:eastAsia="zh-TW" w:bidi="en-GB"/>
              </w:rPr>
            </w:pPr>
            <w:r w:rsidRPr="00C200DB">
              <w:rPr>
                <w:i/>
                <w:iCs/>
                <w:sz w:val="28"/>
                <w:szCs w:val="28"/>
                <w:rtl/>
              </w:rPr>
              <w:t>مواد العهد:</w:t>
            </w:r>
          </w:p>
        </w:tc>
        <w:tc>
          <w:tcPr>
            <w:tcW w:w="3970" w:type="dxa"/>
            <w:vAlign w:val="bottom"/>
          </w:tcPr>
          <w:p w14:paraId="4F7E310D" w14:textId="51BD18BB"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C200DB">
              <w:rPr>
                <w:sz w:val="28"/>
                <w:szCs w:val="28"/>
                <w:rtl/>
              </w:rPr>
              <w:t xml:space="preserve">الفقرة </w:t>
            </w:r>
            <w:r w:rsidRPr="0011532C">
              <w:rPr>
                <w:rFonts w:hAnsi="Times New Roman"/>
                <w:szCs w:val="20"/>
                <w:rtl/>
              </w:rPr>
              <w:t>7</w:t>
            </w:r>
            <w:r w:rsidRPr="004C6FD8">
              <w:rPr>
                <w:rtl/>
              </w:rPr>
              <w:t>(</w:t>
            </w:r>
            <w:r w:rsidRPr="00C200DB">
              <w:rPr>
                <w:sz w:val="28"/>
                <w:szCs w:val="28"/>
                <w:rtl/>
              </w:rPr>
              <w:t>ج</w:t>
            </w:r>
            <w:r w:rsidRPr="004C6FD8">
              <w:rPr>
                <w:rtl/>
              </w:rPr>
              <w:t>)</w:t>
            </w:r>
            <w:r w:rsidRPr="00C200DB">
              <w:rPr>
                <w:sz w:val="28"/>
                <w:szCs w:val="28"/>
                <w:rtl/>
              </w:rPr>
              <w:t xml:space="preserve"> </w:t>
            </w:r>
          </w:p>
        </w:tc>
      </w:tr>
      <w:tr w:rsidR="001163AC" w14:paraId="3318FC4D" w14:textId="77777777" w:rsidTr="00C200DB">
        <w:tc>
          <w:tcPr>
            <w:tcW w:w="2573" w:type="dxa"/>
          </w:tcPr>
          <w:p w14:paraId="48A3D19A" w14:textId="77777777" w:rsidR="001163AC" w:rsidRPr="00C200DB" w:rsidRDefault="001163AC" w:rsidP="00C200DB">
            <w:pPr>
              <w:pStyle w:val="SingleTxtG"/>
              <w:bidi/>
              <w:spacing w:line="360" w:lineRule="exact"/>
              <w:ind w:left="0" w:right="0"/>
              <w:jc w:val="lowKashida"/>
              <w:textDirection w:val="tbRlV"/>
              <w:rPr>
                <w:i/>
                <w:iCs/>
                <w:sz w:val="28"/>
                <w:szCs w:val="28"/>
                <w:lang w:val="ar-SA" w:eastAsia="zh-TW" w:bidi="en-GB"/>
              </w:rPr>
            </w:pPr>
            <w:r w:rsidRPr="00C200DB">
              <w:rPr>
                <w:i/>
                <w:iCs/>
                <w:sz w:val="28"/>
                <w:szCs w:val="28"/>
                <w:rtl/>
              </w:rPr>
              <w:t>مواد البروتوكول الاختياري:</w:t>
            </w:r>
          </w:p>
        </w:tc>
        <w:tc>
          <w:tcPr>
            <w:tcW w:w="3970" w:type="dxa"/>
            <w:vAlign w:val="bottom"/>
          </w:tcPr>
          <w:p w14:paraId="4FACCBF3" w14:textId="7825C770" w:rsidR="001163AC" w:rsidRPr="00C200DB" w:rsidRDefault="001163AC" w:rsidP="00C200DB">
            <w:pPr>
              <w:pStyle w:val="SingleTxtG"/>
              <w:bidi/>
              <w:spacing w:line="360" w:lineRule="exact"/>
              <w:ind w:left="0" w:right="0"/>
              <w:jc w:val="lowKashida"/>
              <w:textDirection w:val="tbRlV"/>
              <w:rPr>
                <w:sz w:val="28"/>
                <w:szCs w:val="28"/>
                <w:lang w:val="ar-SA" w:eastAsia="zh-TW" w:bidi="en-GB"/>
              </w:rPr>
            </w:pPr>
            <w:r w:rsidRPr="0011532C">
              <w:rPr>
                <w:rFonts w:hAnsi="Times New Roman"/>
                <w:szCs w:val="20"/>
                <w:rtl/>
              </w:rPr>
              <w:t>2</w:t>
            </w:r>
            <w:r w:rsidRPr="00C200DB">
              <w:rPr>
                <w:sz w:val="28"/>
                <w:szCs w:val="28"/>
                <w:rtl/>
              </w:rPr>
              <w:t>، و</w:t>
            </w:r>
            <w:r w:rsidRPr="0011532C">
              <w:rPr>
                <w:rFonts w:hAnsi="Times New Roman"/>
                <w:szCs w:val="20"/>
                <w:rtl/>
              </w:rPr>
              <w:t>3</w:t>
            </w:r>
            <w:r w:rsidRPr="004C6FD8">
              <w:rPr>
                <w:rtl/>
              </w:rPr>
              <w:t>(</w:t>
            </w:r>
            <w:r w:rsidRPr="0011532C">
              <w:rPr>
                <w:rFonts w:hAnsi="Times New Roman"/>
                <w:szCs w:val="20"/>
                <w:rtl/>
              </w:rPr>
              <w:t>1</w:t>
            </w:r>
            <w:r w:rsidRPr="004C6FD8">
              <w:rPr>
                <w:rtl/>
              </w:rPr>
              <w:t>)</w:t>
            </w:r>
            <w:r w:rsidRPr="00C200DB">
              <w:rPr>
                <w:sz w:val="28"/>
                <w:szCs w:val="28"/>
                <w:rtl/>
              </w:rPr>
              <w:t xml:space="preserve"> و</w:t>
            </w:r>
            <w:r w:rsidRPr="004C6FD8">
              <w:rPr>
                <w:rtl/>
              </w:rPr>
              <w:t>(</w:t>
            </w:r>
            <w:r w:rsidRPr="0011532C">
              <w:rPr>
                <w:rFonts w:hAnsi="Times New Roman"/>
                <w:szCs w:val="20"/>
                <w:rtl/>
              </w:rPr>
              <w:t>2</w:t>
            </w:r>
            <w:r w:rsidRPr="004C6FD8">
              <w:rPr>
                <w:rtl/>
              </w:rPr>
              <w:t>)(</w:t>
            </w:r>
            <w:r w:rsidRPr="00C200DB">
              <w:rPr>
                <w:sz w:val="28"/>
                <w:szCs w:val="28"/>
                <w:rtl/>
              </w:rPr>
              <w:t>ب</w:t>
            </w:r>
            <w:r w:rsidRPr="004C6FD8">
              <w:rPr>
                <w:rtl/>
              </w:rPr>
              <w:t>))</w:t>
            </w:r>
          </w:p>
        </w:tc>
      </w:tr>
    </w:tbl>
    <w:p w14:paraId="6093D356" w14:textId="77777777" w:rsidR="001163AC" w:rsidRPr="00D93F2E" w:rsidRDefault="001163AC" w:rsidP="00B202C0">
      <w:pPr>
        <w:pStyle w:val="SingleTxtGA"/>
        <w:spacing w:before="120"/>
        <w:rPr>
          <w:szCs w:val="20"/>
          <w:lang w:val="ar-SA" w:eastAsia="zh-TW" w:bidi="en-GB"/>
        </w:rPr>
      </w:pPr>
      <w:r w:rsidRPr="0011532C">
        <w:rPr>
          <w:szCs w:val="20"/>
          <w:rtl/>
        </w:rPr>
        <w:t>1</w:t>
      </w:r>
      <w:r w:rsidRPr="004C6FD8">
        <w:rPr>
          <w:rtl/>
        </w:rPr>
        <w:t>-</w:t>
      </w:r>
      <w:r w:rsidRPr="0011532C">
        <w:rPr>
          <w:szCs w:val="20"/>
          <w:rtl/>
        </w:rPr>
        <w:t>1</w:t>
      </w:r>
      <w:r>
        <w:rPr>
          <w:rtl/>
        </w:rPr>
        <w:tab/>
        <w:t xml:space="preserve">صاحب البلاغ المقدّم في </w:t>
      </w:r>
      <w:r w:rsidRPr="0011532C">
        <w:rPr>
          <w:szCs w:val="20"/>
          <w:rtl/>
        </w:rPr>
        <w:t>8</w:t>
      </w:r>
      <w:r>
        <w:rPr>
          <w:rtl/>
        </w:rPr>
        <w:t xml:space="preserve"> كانون الثاني/يناير </w:t>
      </w:r>
      <w:r w:rsidRPr="0011532C">
        <w:rPr>
          <w:szCs w:val="20"/>
          <w:rtl/>
        </w:rPr>
        <w:t>2018</w:t>
      </w:r>
      <w:r>
        <w:rPr>
          <w:rtl/>
        </w:rPr>
        <w:t xml:space="preserve"> يُدعى لوتشيانو دانيال خواريز، وهو مواطن أرجنتيني مولود في </w:t>
      </w:r>
      <w:r w:rsidRPr="0011532C">
        <w:rPr>
          <w:szCs w:val="20"/>
          <w:rtl/>
        </w:rPr>
        <w:t>27</w:t>
      </w:r>
      <w:r>
        <w:rPr>
          <w:rtl/>
        </w:rPr>
        <w:t xml:space="preserve"> تشرين الثاني/نوفمبر </w:t>
      </w:r>
      <w:r w:rsidRPr="0011532C">
        <w:rPr>
          <w:szCs w:val="20"/>
          <w:rtl/>
        </w:rPr>
        <w:t>1978</w:t>
      </w:r>
      <w:r w:rsidRPr="0011532C">
        <w:rPr>
          <w:rtl/>
        </w:rPr>
        <w:t>.</w:t>
      </w:r>
      <w:r>
        <w:rPr>
          <w:rtl/>
        </w:rPr>
        <w:t xml:space="preserve"> وهو يدّعي أن الدولة الطرف انتهكت حقوقه التي تكفلها المادة </w:t>
      </w:r>
      <w:r w:rsidRPr="0011532C">
        <w:rPr>
          <w:szCs w:val="20"/>
          <w:rtl/>
        </w:rPr>
        <w:t>7</w:t>
      </w:r>
      <w:r w:rsidRPr="004C6FD8">
        <w:rPr>
          <w:rtl/>
        </w:rPr>
        <w:t>(</w:t>
      </w:r>
      <w:r w:rsidRPr="00C200DB">
        <w:rPr>
          <w:rtl/>
        </w:rPr>
        <w:t>ج</w:t>
      </w:r>
      <w:r w:rsidRPr="004C6FD8">
        <w:rPr>
          <w:rtl/>
        </w:rPr>
        <w:t>)</w:t>
      </w:r>
      <w:r>
        <w:rPr>
          <w:rtl/>
        </w:rPr>
        <w:t xml:space="preserve"> من العهد الدولي الخاص بالحقوق الاقتصادية والاجتماعية والثقافية. وقد دخل البروتوكول الاختياري حيز النفاذ بالنسبة للدولة الطرف في </w:t>
      </w:r>
      <w:r w:rsidRPr="0011532C">
        <w:rPr>
          <w:szCs w:val="20"/>
          <w:rtl/>
        </w:rPr>
        <w:t>5</w:t>
      </w:r>
      <w:r>
        <w:rPr>
          <w:rtl/>
        </w:rPr>
        <w:t xml:space="preserve"> أيار/مايو </w:t>
      </w:r>
      <w:r w:rsidRPr="0011532C">
        <w:rPr>
          <w:szCs w:val="20"/>
          <w:rtl/>
        </w:rPr>
        <w:t>2013</w:t>
      </w:r>
      <w:r w:rsidRPr="0011532C">
        <w:rPr>
          <w:rtl/>
        </w:rPr>
        <w:t>.</w:t>
      </w:r>
      <w:r>
        <w:rPr>
          <w:rtl/>
        </w:rPr>
        <w:t xml:space="preserve"> </w:t>
      </w:r>
    </w:p>
    <w:p w14:paraId="221F8161" w14:textId="77777777" w:rsidR="001163AC" w:rsidRPr="00D93F2E" w:rsidRDefault="001163AC" w:rsidP="00C200DB">
      <w:pPr>
        <w:pStyle w:val="SingleTxtGA"/>
        <w:rPr>
          <w:szCs w:val="20"/>
          <w:lang w:val="ar-SA" w:eastAsia="zh-TW" w:bidi="en-GB"/>
        </w:rPr>
      </w:pPr>
      <w:r w:rsidRPr="0011532C">
        <w:rPr>
          <w:szCs w:val="20"/>
          <w:rtl/>
        </w:rPr>
        <w:t>1</w:t>
      </w:r>
      <w:r w:rsidRPr="004C6FD8">
        <w:rPr>
          <w:rtl/>
        </w:rPr>
        <w:t>-</w:t>
      </w:r>
      <w:r w:rsidRPr="0011532C">
        <w:rPr>
          <w:szCs w:val="20"/>
          <w:rtl/>
        </w:rPr>
        <w:t>2</w:t>
      </w:r>
      <w:r>
        <w:rPr>
          <w:rtl/>
        </w:rPr>
        <w:tab/>
        <w:t xml:space="preserve">وفي </w:t>
      </w:r>
      <w:r w:rsidRPr="0011532C">
        <w:rPr>
          <w:szCs w:val="20"/>
          <w:rtl/>
        </w:rPr>
        <w:t>16</w:t>
      </w:r>
      <w:r>
        <w:rPr>
          <w:rtl/>
        </w:rPr>
        <w:t xml:space="preserve"> كانون الأول/ديسمبر </w:t>
      </w:r>
      <w:r w:rsidRPr="0011532C">
        <w:rPr>
          <w:szCs w:val="20"/>
          <w:rtl/>
        </w:rPr>
        <w:t>2019</w:t>
      </w:r>
      <w:r>
        <w:rPr>
          <w:rtl/>
        </w:rPr>
        <w:t xml:space="preserve">، قرّرت اللجنة، متصرفة من خلال فريقها العامل المعني بالبلاغات، ووفقاً للفقرة </w:t>
      </w:r>
      <w:r w:rsidRPr="0011532C">
        <w:rPr>
          <w:szCs w:val="20"/>
          <w:rtl/>
        </w:rPr>
        <w:t>5</w:t>
      </w:r>
      <w:r>
        <w:rPr>
          <w:rtl/>
        </w:rPr>
        <w:t xml:space="preserve"> من المادة </w:t>
      </w:r>
      <w:r w:rsidRPr="0011532C">
        <w:rPr>
          <w:szCs w:val="20"/>
          <w:rtl/>
        </w:rPr>
        <w:t>15</w:t>
      </w:r>
      <w:r>
        <w:rPr>
          <w:rtl/>
        </w:rPr>
        <w:t xml:space="preserve"> من نظامها الداخلي المؤقت بموجب البروتوكول الاختياري، عدم مباشرة إجراء التسوية الودية التي طلبها صاحب البلاغ. </w:t>
      </w:r>
    </w:p>
    <w:p w14:paraId="2DB338BC" w14:textId="77777777" w:rsidR="001163AC" w:rsidRPr="00D93F2E" w:rsidRDefault="001163AC" w:rsidP="00C200DB">
      <w:pPr>
        <w:pStyle w:val="SingleTxtGA"/>
        <w:rPr>
          <w:szCs w:val="20"/>
          <w:lang w:val="ar-SA" w:eastAsia="zh-TW" w:bidi="en-GB"/>
        </w:rPr>
      </w:pPr>
      <w:r w:rsidRPr="0011532C">
        <w:rPr>
          <w:szCs w:val="20"/>
          <w:rtl/>
        </w:rPr>
        <w:lastRenderedPageBreak/>
        <w:t>1</w:t>
      </w:r>
      <w:r w:rsidRPr="004C6FD8">
        <w:rPr>
          <w:rtl/>
        </w:rPr>
        <w:t>-</w:t>
      </w:r>
      <w:r w:rsidRPr="0011532C">
        <w:rPr>
          <w:szCs w:val="20"/>
          <w:rtl/>
        </w:rPr>
        <w:t>3</w:t>
      </w:r>
      <w:r>
        <w:rPr>
          <w:rtl/>
        </w:rPr>
        <w:tab/>
        <w:t>وتستهل اللجنة هذا القرار بتقديم موجز للمعلومات والحجج المقدمة من الطرفين دون الإعراب عن موقفها، وتنتقل بعد ذلك للنظر في مقبولية البلاغ وأسسه الموضوعية.</w:t>
      </w:r>
    </w:p>
    <w:p w14:paraId="4F945D9C" w14:textId="731939E2" w:rsidR="001163AC" w:rsidRPr="00D93F2E" w:rsidRDefault="00C200DB" w:rsidP="00C200DB">
      <w:pPr>
        <w:pStyle w:val="H1GA"/>
        <w:rPr>
          <w:szCs w:val="20"/>
          <w:lang w:val="ar-SA" w:eastAsia="zh-TW" w:bidi="en-GB"/>
        </w:rPr>
      </w:pPr>
      <w:r>
        <w:rPr>
          <w:rtl/>
        </w:rPr>
        <w:tab/>
      </w:r>
      <w:r w:rsidR="001163AC">
        <w:rPr>
          <w:rtl/>
        </w:rPr>
        <w:t>ألف</w:t>
      </w:r>
      <w:r w:rsidR="001163AC" w:rsidRPr="004C6FD8">
        <w:rPr>
          <w:rtl/>
        </w:rPr>
        <w:t>-</w:t>
      </w:r>
      <w:r w:rsidR="001163AC">
        <w:rPr>
          <w:rtl/>
        </w:rPr>
        <w:tab/>
        <w:t>موجز المعلومات والحجج المقدمة من الطرفين</w:t>
      </w:r>
    </w:p>
    <w:p w14:paraId="09D8174C" w14:textId="77777777" w:rsidR="001163AC" w:rsidRPr="00D93F2E" w:rsidRDefault="001163AC" w:rsidP="00C200DB">
      <w:pPr>
        <w:pStyle w:val="H23GA"/>
        <w:rPr>
          <w:szCs w:val="20"/>
          <w:lang w:val="ar-SA" w:eastAsia="zh-TW" w:bidi="en-GB"/>
        </w:rPr>
      </w:pPr>
      <w:r>
        <w:rPr>
          <w:rtl/>
        </w:rPr>
        <w:tab/>
      </w:r>
      <w:r>
        <w:rPr>
          <w:rtl/>
        </w:rPr>
        <w:tab/>
        <w:t>الوقائع كما عرضها صاحب البلاغ</w:t>
      </w:r>
    </w:p>
    <w:p w14:paraId="4202681F" w14:textId="4EBA2555" w:rsidR="001163AC" w:rsidRPr="00D93F2E" w:rsidRDefault="001163AC" w:rsidP="00C200DB">
      <w:pPr>
        <w:pStyle w:val="SingleTxtGA"/>
        <w:rPr>
          <w:szCs w:val="20"/>
          <w:lang w:val="ar-SA" w:eastAsia="zh-TW" w:bidi="en-GB"/>
        </w:rPr>
      </w:pPr>
      <w:r w:rsidRPr="0011532C">
        <w:rPr>
          <w:szCs w:val="20"/>
          <w:rtl/>
        </w:rPr>
        <w:t>2</w:t>
      </w:r>
      <w:r w:rsidRPr="004C6FD8">
        <w:rPr>
          <w:rtl/>
        </w:rPr>
        <w:t>-</w:t>
      </w:r>
      <w:r w:rsidRPr="0011532C">
        <w:rPr>
          <w:szCs w:val="20"/>
          <w:rtl/>
        </w:rPr>
        <w:t>1</w:t>
      </w:r>
      <w:r>
        <w:rPr>
          <w:rtl/>
        </w:rPr>
        <w:tab/>
        <w:t xml:space="preserve">يعمل صاحب البلاغ منذ </w:t>
      </w:r>
      <w:r w:rsidRPr="0011532C">
        <w:rPr>
          <w:szCs w:val="20"/>
          <w:rtl/>
        </w:rPr>
        <w:t>8</w:t>
      </w:r>
      <w:r>
        <w:rPr>
          <w:rtl/>
        </w:rPr>
        <w:t xml:space="preserve"> آذار/مارس </w:t>
      </w:r>
      <w:r w:rsidRPr="0011532C">
        <w:rPr>
          <w:szCs w:val="20"/>
          <w:rtl/>
        </w:rPr>
        <w:t>2012</w:t>
      </w:r>
      <w:r>
        <w:rPr>
          <w:rFonts w:ascii="Traditional Arabic"/>
          <w:szCs w:val="20"/>
          <w:rtl/>
        </w:rPr>
        <w:t xml:space="preserve"> </w:t>
      </w:r>
      <w:r>
        <w:rPr>
          <w:rtl/>
        </w:rPr>
        <w:t>قاضيا</w:t>
      </w:r>
      <w:r w:rsidR="00393491">
        <w:rPr>
          <w:rFonts w:hint="cs"/>
          <w:rtl/>
        </w:rPr>
        <w:t>ً</w:t>
      </w:r>
      <w:r>
        <w:rPr>
          <w:rtl/>
        </w:rPr>
        <w:t xml:space="preserve"> في المحكمة الإقليمية لمدينة روزاريو، بإقليم سانتا في، بالأرجنتين</w:t>
      </w:r>
      <w:r>
        <w:rPr>
          <w:rFonts w:ascii="Traditional Arabic"/>
          <w:szCs w:val="20"/>
          <w:rtl/>
        </w:rPr>
        <w:t>.</w:t>
      </w:r>
      <w:r>
        <w:rPr>
          <w:rtl/>
        </w:rPr>
        <w:t xml:space="preserve"> وفي </w:t>
      </w:r>
      <w:r w:rsidRPr="0011532C">
        <w:rPr>
          <w:szCs w:val="20"/>
          <w:rtl/>
        </w:rPr>
        <w:t>24</w:t>
      </w:r>
      <w:r>
        <w:rPr>
          <w:rtl/>
        </w:rPr>
        <w:t xml:space="preserve"> تشرين الثاني/نوفمبر </w:t>
      </w:r>
      <w:r w:rsidRPr="0011532C">
        <w:rPr>
          <w:szCs w:val="20"/>
          <w:rtl/>
        </w:rPr>
        <w:t>2016</w:t>
      </w:r>
      <w:r>
        <w:rPr>
          <w:rtl/>
        </w:rPr>
        <w:t xml:space="preserve">، شارك في امتحان نظّمه مجلس القضاء لملء أربع وظائف شاغرة في الغرف الأولى والثالثة والرابعة لمحكمة الاستئناف المدنية والتجارية بروزاريو، وهي محكمة أعلى بدرجة من تلك التي يعمل فيها. وفي </w:t>
      </w:r>
      <w:r w:rsidRPr="0011532C">
        <w:rPr>
          <w:szCs w:val="20"/>
          <w:rtl/>
        </w:rPr>
        <w:t>27</w:t>
      </w:r>
      <w:r>
        <w:rPr>
          <w:rtl/>
        </w:rPr>
        <w:t xml:space="preserve"> كانون الأول/ديسمبر </w:t>
      </w:r>
      <w:r w:rsidRPr="0011532C">
        <w:rPr>
          <w:szCs w:val="20"/>
          <w:rtl/>
        </w:rPr>
        <w:t>2016</w:t>
      </w:r>
      <w:r>
        <w:rPr>
          <w:rtl/>
        </w:rPr>
        <w:t xml:space="preserve">، أجرى المرشحون والمرشحات مقابلة شفوية وعامة. </w:t>
      </w:r>
    </w:p>
    <w:p w14:paraId="716138DD" w14:textId="2639EEAB" w:rsidR="001163AC" w:rsidRPr="00D93F2E" w:rsidRDefault="001163AC" w:rsidP="00C200DB">
      <w:pPr>
        <w:pStyle w:val="SingleTxtGA"/>
        <w:rPr>
          <w:szCs w:val="20"/>
          <w:lang w:val="ar-SA" w:eastAsia="zh-TW" w:bidi="en-GB"/>
        </w:rPr>
      </w:pPr>
      <w:r w:rsidRPr="0011532C">
        <w:rPr>
          <w:szCs w:val="20"/>
          <w:rtl/>
        </w:rPr>
        <w:t>2</w:t>
      </w:r>
      <w:r w:rsidRPr="004C6FD8">
        <w:rPr>
          <w:rtl/>
        </w:rPr>
        <w:t>-</w:t>
      </w:r>
      <w:r w:rsidRPr="0011532C">
        <w:rPr>
          <w:szCs w:val="20"/>
          <w:rtl/>
        </w:rPr>
        <w:t>2</w:t>
      </w:r>
      <w:r>
        <w:rPr>
          <w:rtl/>
        </w:rPr>
        <w:tab/>
        <w:t>وتكلّل الامتحان التنافسي بـ "استيفاء صاحب البلاغ عددا</w:t>
      </w:r>
      <w:r w:rsidR="00F73B4D">
        <w:rPr>
          <w:rFonts w:hint="cs"/>
          <w:rtl/>
        </w:rPr>
        <w:t>ً</w:t>
      </w:r>
      <w:r>
        <w:rPr>
          <w:rtl/>
        </w:rPr>
        <w:t xml:space="preserve"> كبيرا</w:t>
      </w:r>
      <w:r w:rsidR="00F73B4D">
        <w:rPr>
          <w:rFonts w:hint="cs"/>
          <w:rtl/>
        </w:rPr>
        <w:t>ً</w:t>
      </w:r>
      <w:r>
        <w:rPr>
          <w:rtl/>
        </w:rPr>
        <w:t xml:space="preserve"> من شروط التأهيل" واحتلاله المرتبة السادسة. وقد شغل الوظائف الأربع الناجحون المحتلون للمراتب الخمس الأولى. وفي </w:t>
      </w:r>
      <w:r w:rsidRPr="0011532C">
        <w:rPr>
          <w:szCs w:val="20"/>
          <w:rtl/>
        </w:rPr>
        <w:t>4</w:t>
      </w:r>
      <w:r>
        <w:rPr>
          <w:rtl/>
        </w:rPr>
        <w:t xml:space="preserve"> نيسان/أبريل </w:t>
      </w:r>
      <w:r w:rsidRPr="0011532C">
        <w:rPr>
          <w:szCs w:val="20"/>
          <w:rtl/>
        </w:rPr>
        <w:t>2017</w:t>
      </w:r>
      <w:r w:rsidRPr="00F73B4D">
        <w:rPr>
          <w:rtl/>
        </w:rPr>
        <w:t>،</w:t>
      </w:r>
      <w:r>
        <w:rPr>
          <w:rFonts w:ascii="Traditional Arabic"/>
          <w:szCs w:val="20"/>
          <w:rtl/>
        </w:rPr>
        <w:t xml:space="preserve"> </w:t>
      </w:r>
      <w:r>
        <w:rPr>
          <w:rtl/>
        </w:rPr>
        <w:t>نُشر قرار التعيين في الوظائف الشاغرة في الغرف الأولى والثالثة والرابعة بمحكمة الاستئناف المدنية والتجارية بروزاريو</w:t>
      </w:r>
      <w:r>
        <w:rPr>
          <w:rFonts w:ascii="Traditional Arabic"/>
          <w:szCs w:val="20"/>
          <w:rtl/>
        </w:rPr>
        <w:t>.</w:t>
      </w:r>
      <w:r>
        <w:rPr>
          <w:rtl/>
        </w:rPr>
        <w:t xml:space="preserve"> </w:t>
      </w:r>
    </w:p>
    <w:p w14:paraId="39CF5AB1" w14:textId="02EFC01F" w:rsidR="001163AC" w:rsidRPr="00D93F2E" w:rsidRDefault="001163AC" w:rsidP="001163AC">
      <w:pPr>
        <w:pStyle w:val="SingleTxtGA"/>
        <w:rPr>
          <w:szCs w:val="20"/>
          <w:lang w:val="ar-SA" w:eastAsia="zh-TW" w:bidi="en-GB"/>
        </w:rPr>
      </w:pPr>
      <w:r w:rsidRPr="0011532C">
        <w:rPr>
          <w:szCs w:val="20"/>
          <w:rtl/>
        </w:rPr>
        <w:t>2</w:t>
      </w:r>
      <w:r w:rsidRPr="004C6FD8">
        <w:rPr>
          <w:rtl/>
        </w:rPr>
        <w:t>-</w:t>
      </w:r>
      <w:r w:rsidRPr="0011532C">
        <w:rPr>
          <w:szCs w:val="20"/>
          <w:rtl/>
        </w:rPr>
        <w:t>3</w:t>
      </w:r>
      <w:r>
        <w:rPr>
          <w:rtl/>
        </w:rPr>
        <w:tab/>
        <w:t xml:space="preserve">والامتحان التنافسي المنظّم صالح لمدة </w:t>
      </w:r>
      <w:r w:rsidRPr="0011532C">
        <w:rPr>
          <w:szCs w:val="20"/>
          <w:rtl/>
        </w:rPr>
        <w:t>18</w:t>
      </w:r>
      <w:r>
        <w:rPr>
          <w:rtl/>
        </w:rPr>
        <w:t xml:space="preserve"> شهراً اعتبارا من تاريخ موافقة السلطة التشريعية على قائمة الناجحين. وفي حال شغور وظيفة جديدة، يجوز للسلطة التنفيذية اقتراح أحد الناجحين في الامتحان لشغلها. وقد شغرت وظيفة جديدة بعد ذلك في الغرفة الثالثة للمحكمة نفسها، وبعث صاحب البلاغ في </w:t>
      </w:r>
      <w:r w:rsidRPr="0011532C">
        <w:rPr>
          <w:szCs w:val="20"/>
          <w:rtl/>
        </w:rPr>
        <w:t>9</w:t>
      </w:r>
      <w:r>
        <w:rPr>
          <w:rtl/>
        </w:rPr>
        <w:t xml:space="preserve"> و</w:t>
      </w:r>
      <w:r w:rsidRPr="0011532C">
        <w:rPr>
          <w:szCs w:val="20"/>
          <w:rtl/>
        </w:rPr>
        <w:t>30</w:t>
      </w:r>
      <w:r>
        <w:rPr>
          <w:rtl/>
        </w:rPr>
        <w:t xml:space="preserve"> أيار/مايو </w:t>
      </w:r>
      <w:r w:rsidRPr="0011532C">
        <w:rPr>
          <w:szCs w:val="20"/>
          <w:rtl/>
        </w:rPr>
        <w:t>2017</w:t>
      </w:r>
      <w:r>
        <w:rPr>
          <w:rtl/>
        </w:rPr>
        <w:t xml:space="preserve">، رسالة إلى وزير العدل وحقوق الإنسان والوالي يبلغهم فيها بأنه بإمكانه، طبقا للمادة </w:t>
      </w:r>
      <w:r w:rsidRPr="0011532C">
        <w:rPr>
          <w:szCs w:val="20"/>
          <w:rtl/>
        </w:rPr>
        <w:t>26</w:t>
      </w:r>
      <w:r>
        <w:rPr>
          <w:rtl/>
        </w:rPr>
        <w:t xml:space="preserve"> من المرسوم </w:t>
      </w:r>
      <w:r w:rsidRPr="0011532C">
        <w:rPr>
          <w:szCs w:val="20"/>
        </w:rPr>
        <w:t>16</w:t>
      </w:r>
      <w:r>
        <w:rPr>
          <w:rFonts w:ascii="Traditional Arabic"/>
          <w:szCs w:val="20"/>
        </w:rPr>
        <w:t>/</w:t>
      </w:r>
      <w:r w:rsidRPr="0011532C">
        <w:rPr>
          <w:szCs w:val="20"/>
        </w:rPr>
        <w:t>854</w:t>
      </w:r>
      <w:r>
        <w:rPr>
          <w:rtl/>
        </w:rPr>
        <w:t>، الترشح للوظيفة الشاغرة كونه احتل المرتبة السادسة، ويطالب باحترام الترتيب الذي وضعته هيئة التحكيم احتراما</w:t>
      </w:r>
      <w:r w:rsidR="00F73B4D">
        <w:rPr>
          <w:rFonts w:hint="cs"/>
          <w:rtl/>
        </w:rPr>
        <w:t>ً</w:t>
      </w:r>
      <w:r>
        <w:rPr>
          <w:rtl/>
        </w:rPr>
        <w:t xml:space="preserve"> تاما</w:t>
      </w:r>
      <w:r w:rsidR="00F73B4D">
        <w:rPr>
          <w:rFonts w:hint="cs"/>
          <w:rtl/>
        </w:rPr>
        <w:t>ً</w:t>
      </w:r>
      <w:r>
        <w:rPr>
          <w:rtl/>
        </w:rPr>
        <w:t xml:space="preserve">. </w:t>
      </w:r>
    </w:p>
    <w:p w14:paraId="62D6FB0F" w14:textId="433CE95E" w:rsidR="001163AC" w:rsidRPr="00454038" w:rsidRDefault="001163AC" w:rsidP="001163AC">
      <w:pPr>
        <w:pStyle w:val="SingleTxtGA"/>
        <w:rPr>
          <w:spacing w:val="-2"/>
          <w:szCs w:val="20"/>
          <w:lang w:eastAsia="zh-TW"/>
        </w:rPr>
      </w:pPr>
      <w:r w:rsidRPr="00454038">
        <w:rPr>
          <w:spacing w:val="-2"/>
          <w:szCs w:val="20"/>
          <w:rtl/>
        </w:rPr>
        <w:t>2</w:t>
      </w:r>
      <w:r w:rsidRPr="00454038">
        <w:rPr>
          <w:spacing w:val="-2"/>
          <w:rtl/>
        </w:rPr>
        <w:t>-</w:t>
      </w:r>
      <w:r w:rsidRPr="00454038">
        <w:rPr>
          <w:spacing w:val="-2"/>
          <w:szCs w:val="20"/>
          <w:rtl/>
        </w:rPr>
        <w:t>4</w:t>
      </w:r>
      <w:r w:rsidRPr="00454038">
        <w:rPr>
          <w:spacing w:val="-2"/>
          <w:rtl/>
        </w:rPr>
        <w:tab/>
        <w:t xml:space="preserve">وفي </w:t>
      </w:r>
      <w:r w:rsidRPr="00454038">
        <w:rPr>
          <w:spacing w:val="-2"/>
          <w:szCs w:val="20"/>
          <w:rtl/>
        </w:rPr>
        <w:t>1</w:t>
      </w:r>
      <w:r w:rsidRPr="00454038">
        <w:rPr>
          <w:spacing w:val="-2"/>
          <w:rtl/>
        </w:rPr>
        <w:t xml:space="preserve"> حزيران/يونيه </w:t>
      </w:r>
      <w:r w:rsidRPr="00454038">
        <w:rPr>
          <w:spacing w:val="-2"/>
          <w:szCs w:val="20"/>
          <w:rtl/>
        </w:rPr>
        <w:t>2017</w:t>
      </w:r>
      <w:r w:rsidRPr="00454038">
        <w:rPr>
          <w:spacing w:val="-2"/>
          <w:rtl/>
        </w:rPr>
        <w:t xml:space="preserve">، علم صاحب البلاغ أن الوالي بعث، دون الرد على طلبه، رسالة إلى السلطة التشريعية لتعيين المرشح المحتل المرتبة التاسعة في وظيفة قاض بمحكمة الاستئناف المدنية والتجارية. ويشير صاحب البلاغ إلى أن السلطة التنفيذية دأبت فيما يتعلق بالتعيينات التسعة الأخيرة على احترام الترتيب لملء وظائف مختلف غرف محاكم الاستئناف المدنية والتجارية بمدن سانتا في وفيرا كروز وروزاريو. </w:t>
      </w:r>
    </w:p>
    <w:p w14:paraId="6C6A6894" w14:textId="014B2F1A" w:rsidR="001163AC" w:rsidRPr="00D93F2E" w:rsidRDefault="001163AC" w:rsidP="001163AC">
      <w:pPr>
        <w:pStyle w:val="SingleTxtGA"/>
        <w:rPr>
          <w:szCs w:val="20"/>
          <w:lang w:val="ar-SA" w:eastAsia="zh-TW" w:bidi="en-GB"/>
        </w:rPr>
      </w:pPr>
      <w:r w:rsidRPr="0011532C">
        <w:rPr>
          <w:szCs w:val="20"/>
          <w:rtl/>
        </w:rPr>
        <w:t>2</w:t>
      </w:r>
      <w:r w:rsidRPr="004C6FD8">
        <w:rPr>
          <w:rtl/>
        </w:rPr>
        <w:t>-</w:t>
      </w:r>
      <w:r w:rsidRPr="0011532C">
        <w:rPr>
          <w:szCs w:val="20"/>
          <w:rtl/>
        </w:rPr>
        <w:t>5</w:t>
      </w:r>
      <w:r>
        <w:rPr>
          <w:rtl/>
        </w:rPr>
        <w:tab/>
        <w:t xml:space="preserve">وفي </w:t>
      </w:r>
      <w:r w:rsidRPr="0011532C">
        <w:rPr>
          <w:szCs w:val="20"/>
          <w:rtl/>
        </w:rPr>
        <w:t>5</w:t>
      </w:r>
      <w:r>
        <w:rPr>
          <w:rtl/>
        </w:rPr>
        <w:t xml:space="preserve"> حزيران/</w:t>
      </w:r>
      <w:proofErr w:type="gramStart"/>
      <w:r>
        <w:rPr>
          <w:rtl/>
        </w:rPr>
        <w:t>يونيه</w:t>
      </w:r>
      <w:proofErr w:type="gramEnd"/>
      <w:r>
        <w:rPr>
          <w:rtl/>
        </w:rPr>
        <w:t xml:space="preserve"> </w:t>
      </w:r>
      <w:r w:rsidRPr="0011532C">
        <w:rPr>
          <w:szCs w:val="20"/>
          <w:rtl/>
        </w:rPr>
        <w:t>2017</w:t>
      </w:r>
      <w:r>
        <w:rPr>
          <w:rtl/>
        </w:rPr>
        <w:t>، قدّم صاحب البلاغ اعتراضا</w:t>
      </w:r>
      <w:r w:rsidR="00F73B4D">
        <w:rPr>
          <w:rFonts w:hint="cs"/>
          <w:rtl/>
        </w:rPr>
        <w:t>ً</w:t>
      </w:r>
      <w:r>
        <w:rPr>
          <w:rtl/>
        </w:rPr>
        <w:t xml:space="preserve"> رسميا</w:t>
      </w:r>
      <w:r w:rsidR="00F73B4D">
        <w:rPr>
          <w:rFonts w:hint="cs"/>
          <w:rtl/>
        </w:rPr>
        <w:t>ً</w:t>
      </w:r>
      <w:r>
        <w:rPr>
          <w:rtl/>
        </w:rPr>
        <w:t xml:space="preserve"> ورفع دعوى قضائية ضد قرار الوالي بتسمية مرشح آخر دون احترام ترتيب الامتحان التنافسي. وقد اشتكى صاحب البلاغ في اعتراضه من الطابع التعسفي وغير الشرعي الواضح للتسمية المقترحة من السلطة التنفيذية، لأنها لم تكن معلّلة وكانت تنطوي على معاملة غير متساوية إزاء تقييم مقترح مجلس القضاء. وأشار أيضاً إلى اتخاذ الوالي قراره دون أن يجري تحليلا</w:t>
      </w:r>
      <w:r w:rsidR="00353519">
        <w:rPr>
          <w:rFonts w:hint="cs"/>
          <w:rtl/>
        </w:rPr>
        <w:t>ً</w:t>
      </w:r>
      <w:r>
        <w:rPr>
          <w:rtl/>
        </w:rPr>
        <w:t xml:space="preserve"> مفصلا</w:t>
      </w:r>
      <w:r w:rsidR="00353519">
        <w:rPr>
          <w:rFonts w:hint="cs"/>
          <w:rtl/>
        </w:rPr>
        <w:t>ً</w:t>
      </w:r>
      <w:r>
        <w:rPr>
          <w:rtl/>
        </w:rPr>
        <w:t xml:space="preserve"> وكاملا</w:t>
      </w:r>
      <w:r w:rsidR="00353519">
        <w:rPr>
          <w:rFonts w:hint="cs"/>
          <w:rtl/>
        </w:rPr>
        <w:t>ً</w:t>
      </w:r>
      <w:r>
        <w:rPr>
          <w:rtl/>
        </w:rPr>
        <w:t xml:space="preserve"> لجميع الملفات، بما فيها ملفه، وهو ما أضر بشفافية وعلنية عملية الاختيار، واستوجب مراجعتها كي تمتثل الدستور والقانون. وطلب صاحب البلاغ أيضاً تعليق تنفيذ القرار على وجه السرعة إلى حين انتهاء إجراءات الاعتراض. </w:t>
      </w:r>
    </w:p>
    <w:p w14:paraId="493AF8D1" w14:textId="17032C4E" w:rsidR="001163AC" w:rsidRPr="00D93F2E" w:rsidRDefault="001163AC" w:rsidP="001163AC">
      <w:pPr>
        <w:pStyle w:val="SingleTxtGA"/>
        <w:rPr>
          <w:szCs w:val="20"/>
          <w:lang w:val="ar-SA" w:eastAsia="zh-TW" w:bidi="en-GB"/>
        </w:rPr>
      </w:pPr>
      <w:r w:rsidRPr="0011532C">
        <w:rPr>
          <w:szCs w:val="20"/>
          <w:rtl/>
        </w:rPr>
        <w:t>2</w:t>
      </w:r>
      <w:r w:rsidRPr="004C6FD8">
        <w:rPr>
          <w:rtl/>
        </w:rPr>
        <w:t>-</w:t>
      </w:r>
      <w:r w:rsidRPr="0011532C">
        <w:rPr>
          <w:szCs w:val="20"/>
          <w:rtl/>
        </w:rPr>
        <w:t>6</w:t>
      </w:r>
      <w:r>
        <w:rPr>
          <w:rtl/>
        </w:rPr>
        <w:tab/>
        <w:t>ويعترف المرسوم المنظِّم للإجراءات الإدارية بمبدأ الحماية الفعالة للإدارة</w:t>
      </w:r>
      <w:r w:rsidR="004C6FD8">
        <w:rPr>
          <w:rStyle w:val="FootnoteReference"/>
          <w:rtl/>
        </w:rPr>
        <w:t>(</w:t>
      </w:r>
      <w:r w:rsidR="004C6FD8" w:rsidRPr="0011532C">
        <w:rPr>
          <w:rStyle w:val="FootnoteReference"/>
          <w:rFonts w:cs="Times New Roman"/>
          <w:b w:val="0"/>
          <w:position w:val="4"/>
          <w:sz w:val="20"/>
        </w:rPr>
        <w:footnoteReference w:id="2"/>
      </w:r>
      <w:r w:rsidR="004C6FD8">
        <w:rPr>
          <w:rStyle w:val="FootnoteReference"/>
          <w:rtl/>
        </w:rPr>
        <w:t>)</w:t>
      </w:r>
      <w:r w:rsidR="00353519">
        <w:rPr>
          <w:rFonts w:hint="cs"/>
          <w:rtl/>
        </w:rPr>
        <w:t>.</w:t>
      </w:r>
      <w:r>
        <w:rPr>
          <w:rtl/>
        </w:rPr>
        <w:t xml:space="preserve"> ومع ذلك، لم يُنظر في أي من حجج صاحب البلاغ ولم يبت فيها. وقد حددت السلطة التشريعية آجالا لكي يعلق </w:t>
      </w:r>
      <w:r>
        <w:rPr>
          <w:rtl/>
        </w:rPr>
        <w:lastRenderedPageBreak/>
        <w:t xml:space="preserve">أصحاب المصلحة على الجوانب الدستورية والقانونية للمقترحات المقدمة، وقد انتهت في </w:t>
      </w:r>
      <w:r w:rsidRPr="0011532C">
        <w:rPr>
          <w:szCs w:val="20"/>
          <w:rtl/>
        </w:rPr>
        <w:t>16</w:t>
      </w:r>
      <w:r>
        <w:rPr>
          <w:rtl/>
        </w:rPr>
        <w:t xml:space="preserve"> حزيران/يونيه </w:t>
      </w:r>
      <w:r w:rsidRPr="0011532C">
        <w:rPr>
          <w:szCs w:val="20"/>
          <w:rtl/>
        </w:rPr>
        <w:t>2017</w:t>
      </w:r>
      <w:r>
        <w:rPr>
          <w:rFonts w:ascii="Traditional Arabic"/>
          <w:szCs w:val="20"/>
          <w:rtl/>
        </w:rPr>
        <w:t>.</w:t>
      </w:r>
      <w:r>
        <w:rPr>
          <w:rtl/>
        </w:rPr>
        <w:t xml:space="preserve"> وقد اعترض صاحب البلاغ على القرار في إطار الآجال. وفي </w:t>
      </w:r>
      <w:r w:rsidRPr="0011532C">
        <w:rPr>
          <w:szCs w:val="20"/>
          <w:rtl/>
        </w:rPr>
        <w:t>21</w:t>
      </w:r>
      <w:r>
        <w:rPr>
          <w:rtl/>
        </w:rPr>
        <w:t xml:space="preserve"> حزيران/</w:t>
      </w:r>
      <w:r w:rsidR="00353519">
        <w:rPr>
          <w:rFonts w:hint="cs"/>
          <w:rtl/>
        </w:rPr>
        <w:t xml:space="preserve"> </w:t>
      </w:r>
      <w:r>
        <w:rPr>
          <w:rtl/>
        </w:rPr>
        <w:t>يونيه</w:t>
      </w:r>
      <w:r w:rsidR="00353519">
        <w:rPr>
          <w:rFonts w:hint="cs"/>
          <w:rtl/>
        </w:rPr>
        <w:t> </w:t>
      </w:r>
      <w:r w:rsidRPr="0011532C">
        <w:rPr>
          <w:szCs w:val="20"/>
          <w:rtl/>
        </w:rPr>
        <w:t>2017</w:t>
      </w:r>
      <w:r>
        <w:rPr>
          <w:rtl/>
        </w:rPr>
        <w:t>، استمعت إليه اللجنة ذات المجلسين وأُبلغ بأن التقييم الذي أجري خلال عملية الاختيار "سياسي بحت، كون الوالي يملك سلطة اختيار من يشاء". ويؤكد صاحب البلاغ أنه حاول دون جدوى إقناع اللجنة بحقه في الحصول على وظيفة عامة على قدم المساواة مع غيره ودون تمييز، وفي تقديم شكاواه، وأنه يتعين على السلطات العامة أن تتصرف بأمانة وبحسن نية، بما يضمن شفافية إجراءات القطاع العام.</w:t>
      </w:r>
      <w:r w:rsidR="004C6FD8">
        <w:rPr>
          <w:rtl/>
        </w:rPr>
        <w:t xml:space="preserve"> </w:t>
      </w:r>
    </w:p>
    <w:p w14:paraId="766837EC" w14:textId="2E450F15" w:rsidR="001163AC" w:rsidRPr="00454038" w:rsidRDefault="001163AC" w:rsidP="001163AC">
      <w:pPr>
        <w:pStyle w:val="SingleTxtGA"/>
        <w:rPr>
          <w:szCs w:val="20"/>
          <w:lang w:eastAsia="zh-TW"/>
        </w:rPr>
      </w:pPr>
      <w:r w:rsidRPr="0011532C">
        <w:rPr>
          <w:szCs w:val="20"/>
          <w:rtl/>
        </w:rPr>
        <w:t>2</w:t>
      </w:r>
      <w:r w:rsidRPr="004C6FD8">
        <w:rPr>
          <w:rtl/>
        </w:rPr>
        <w:t>-</w:t>
      </w:r>
      <w:r w:rsidRPr="0011532C">
        <w:rPr>
          <w:szCs w:val="20"/>
          <w:rtl/>
        </w:rPr>
        <w:t>7</w:t>
      </w:r>
      <w:r>
        <w:rPr>
          <w:rtl/>
        </w:rPr>
        <w:tab/>
        <w:t xml:space="preserve">وفي </w:t>
      </w:r>
      <w:r w:rsidRPr="0011532C">
        <w:rPr>
          <w:szCs w:val="20"/>
          <w:rtl/>
        </w:rPr>
        <w:t>14</w:t>
      </w:r>
      <w:r>
        <w:rPr>
          <w:rtl/>
        </w:rPr>
        <w:t xml:space="preserve"> تموز/يوليه </w:t>
      </w:r>
      <w:r w:rsidRPr="0011532C">
        <w:rPr>
          <w:szCs w:val="20"/>
          <w:rtl/>
        </w:rPr>
        <w:t>2017</w:t>
      </w:r>
      <w:r>
        <w:rPr>
          <w:rtl/>
        </w:rPr>
        <w:t xml:space="preserve">، عيّن الوالي، بموجب المرسوم رقم </w:t>
      </w:r>
      <w:r w:rsidRPr="0011532C">
        <w:rPr>
          <w:szCs w:val="20"/>
          <w:rtl/>
        </w:rPr>
        <w:t>2038</w:t>
      </w:r>
      <w:r>
        <w:rPr>
          <w:rtl/>
        </w:rPr>
        <w:t>، صاحب المرتبة التاسعة على قائمة الناجحين في الامتحان التنافسي، قاضيا</w:t>
      </w:r>
      <w:r w:rsidR="00353519">
        <w:rPr>
          <w:rFonts w:hint="cs"/>
          <w:rtl/>
        </w:rPr>
        <w:t>ً</w:t>
      </w:r>
      <w:r>
        <w:rPr>
          <w:rtl/>
        </w:rPr>
        <w:t xml:space="preserve"> في الغرفة الثالثة لمحكمة الاستئناف المدنية والتجارية في</w:t>
      </w:r>
      <w:r w:rsidR="00353519">
        <w:rPr>
          <w:rFonts w:hint="cs"/>
          <w:rtl/>
        </w:rPr>
        <w:t> </w:t>
      </w:r>
      <w:r>
        <w:rPr>
          <w:rtl/>
        </w:rPr>
        <w:t xml:space="preserve">روزاريو. وفي </w:t>
      </w:r>
      <w:r w:rsidRPr="0011532C">
        <w:rPr>
          <w:szCs w:val="20"/>
          <w:rtl/>
        </w:rPr>
        <w:t>7</w:t>
      </w:r>
      <w:r>
        <w:rPr>
          <w:rFonts w:ascii="Traditional Arabic"/>
          <w:szCs w:val="20"/>
          <w:rtl/>
        </w:rPr>
        <w:t xml:space="preserve"> </w:t>
      </w:r>
      <w:r w:rsidRPr="00353519">
        <w:rPr>
          <w:rtl/>
        </w:rPr>
        <w:t>آب/أغسطس</w:t>
      </w:r>
      <w:r>
        <w:rPr>
          <w:rtl/>
        </w:rPr>
        <w:t xml:space="preserve"> </w:t>
      </w:r>
      <w:r w:rsidRPr="0011532C">
        <w:rPr>
          <w:szCs w:val="20"/>
          <w:rtl/>
        </w:rPr>
        <w:t>2017</w:t>
      </w:r>
      <w:r>
        <w:rPr>
          <w:rtl/>
        </w:rPr>
        <w:t>، أدّى هذا الشخص اليمين أمام محكمة العدل العليا بمحافظة سانتا</w:t>
      </w:r>
      <w:r w:rsidR="00353519">
        <w:rPr>
          <w:rFonts w:hint="cs"/>
          <w:rtl/>
        </w:rPr>
        <w:t> </w:t>
      </w:r>
      <w:r>
        <w:rPr>
          <w:rtl/>
        </w:rPr>
        <w:t xml:space="preserve">في. </w:t>
      </w:r>
    </w:p>
    <w:p w14:paraId="17365C50" w14:textId="77777777" w:rsidR="001163AC" w:rsidRPr="00D93F2E" w:rsidRDefault="001163AC" w:rsidP="001163AC">
      <w:pPr>
        <w:pStyle w:val="SingleTxtGA"/>
        <w:rPr>
          <w:szCs w:val="20"/>
          <w:lang w:val="ar-SA" w:eastAsia="zh-TW" w:bidi="en-GB"/>
        </w:rPr>
      </w:pPr>
      <w:r w:rsidRPr="0011532C">
        <w:rPr>
          <w:szCs w:val="20"/>
          <w:rtl/>
        </w:rPr>
        <w:t>2</w:t>
      </w:r>
      <w:r w:rsidRPr="004C6FD8">
        <w:rPr>
          <w:rtl/>
        </w:rPr>
        <w:t>-</w:t>
      </w:r>
      <w:r w:rsidRPr="0011532C">
        <w:rPr>
          <w:szCs w:val="20"/>
          <w:rtl/>
        </w:rPr>
        <w:t>8</w:t>
      </w:r>
      <w:r>
        <w:rPr>
          <w:rtl/>
        </w:rPr>
        <w:tab/>
        <w:t xml:space="preserve">وفي رسالة مؤرخة </w:t>
      </w:r>
      <w:r w:rsidRPr="0011532C">
        <w:rPr>
          <w:szCs w:val="20"/>
          <w:rtl/>
        </w:rPr>
        <w:t>13</w:t>
      </w:r>
      <w:r>
        <w:rPr>
          <w:rtl/>
        </w:rPr>
        <w:t xml:space="preserve"> تشرين الثاني/نوفمبر </w:t>
      </w:r>
      <w:r w:rsidRPr="0011532C">
        <w:rPr>
          <w:szCs w:val="20"/>
          <w:rtl/>
        </w:rPr>
        <w:t>2018</w:t>
      </w:r>
      <w:r>
        <w:rPr>
          <w:rtl/>
        </w:rPr>
        <w:t xml:space="preserve">، قدم صاحب البلاغ المعلومات المطلوبة بشأن استنفاد سبل الانتصاف المحلية. وأشار إلى أنه لم يلجأ إلى إجراء الأمبارو أو أي طعن إداري آخر، لأن هذه الإجراءات كانت ستكون غير فعالة بشكل واضح. </w:t>
      </w:r>
    </w:p>
    <w:p w14:paraId="1B801B0B" w14:textId="4E1A7989" w:rsidR="001163AC" w:rsidRPr="00D93F2E" w:rsidRDefault="001163AC" w:rsidP="001163AC">
      <w:pPr>
        <w:pStyle w:val="SingleTxtGA"/>
        <w:rPr>
          <w:szCs w:val="20"/>
          <w:lang w:val="ar-SA" w:eastAsia="zh-TW" w:bidi="en-GB"/>
        </w:rPr>
      </w:pPr>
      <w:r w:rsidRPr="0011532C">
        <w:rPr>
          <w:szCs w:val="20"/>
          <w:rtl/>
        </w:rPr>
        <w:t>2</w:t>
      </w:r>
      <w:r w:rsidRPr="004C6FD8">
        <w:rPr>
          <w:rtl/>
        </w:rPr>
        <w:t>-</w:t>
      </w:r>
      <w:r w:rsidRPr="0011532C">
        <w:rPr>
          <w:szCs w:val="20"/>
          <w:rtl/>
        </w:rPr>
        <w:t>9</w:t>
      </w:r>
      <w:r>
        <w:rPr>
          <w:rtl/>
        </w:rPr>
        <w:tab/>
        <w:t>ويدفع صاحب البلاغ بأن أي إجراء أمبارو أو طعن إداري كان سيُرفض لا محالة في بداية الإجراءات أو عند صدور الحكم. والسوابق القضائية للدولة الطرف تتفق في اعتبار تعيين قاضٍ مسألة سياسية لا يمكن إثارتها أمام القضاء</w:t>
      </w:r>
      <w:r w:rsidR="004C6FD8">
        <w:rPr>
          <w:rStyle w:val="FootnoteReference"/>
          <w:rtl/>
        </w:rPr>
        <w:t>(</w:t>
      </w:r>
      <w:r w:rsidR="004C6FD8" w:rsidRPr="0011532C">
        <w:rPr>
          <w:rStyle w:val="FootnoteReference"/>
          <w:rFonts w:cs="Times New Roman"/>
          <w:b w:val="0"/>
          <w:position w:val="4"/>
          <w:sz w:val="20"/>
        </w:rPr>
        <w:footnoteReference w:id="3"/>
      </w:r>
      <w:r w:rsidR="004C6FD8">
        <w:rPr>
          <w:rStyle w:val="FootnoteReference"/>
          <w:rtl/>
        </w:rPr>
        <w:t>)</w:t>
      </w:r>
      <w:r w:rsidR="00353519">
        <w:rPr>
          <w:rFonts w:hint="cs"/>
          <w:rtl/>
        </w:rPr>
        <w:t>.</w:t>
      </w:r>
      <w:r>
        <w:rPr>
          <w:rtl/>
        </w:rPr>
        <w:t xml:space="preserve"> وبالإضافة إلى ذلك، يذكر صاحب البلاغ أن السلطة التشريعية هي الوحيدة المخولة، وفقاً للمحاكم الأرجنتينية، البت في تعيين ما. وبهذا المعنى، يرى صاحب البلاغ أنه استنفد سبل الانتصاف المحلية المتاحة له. </w:t>
      </w:r>
    </w:p>
    <w:p w14:paraId="1C9A2E65" w14:textId="77777777" w:rsidR="001163AC" w:rsidRPr="00D93F2E" w:rsidRDefault="001163AC" w:rsidP="001163AC">
      <w:pPr>
        <w:pStyle w:val="SingleTxtGA"/>
        <w:rPr>
          <w:szCs w:val="20"/>
          <w:lang w:val="ar-SA" w:eastAsia="zh-TW" w:bidi="en-GB"/>
        </w:rPr>
      </w:pPr>
      <w:r w:rsidRPr="0011532C">
        <w:rPr>
          <w:szCs w:val="20"/>
          <w:rtl/>
        </w:rPr>
        <w:t>2</w:t>
      </w:r>
      <w:r w:rsidRPr="004C6FD8">
        <w:rPr>
          <w:rtl/>
        </w:rPr>
        <w:t>-</w:t>
      </w:r>
      <w:r w:rsidRPr="0011532C">
        <w:rPr>
          <w:szCs w:val="20"/>
          <w:rtl/>
        </w:rPr>
        <w:t>10</w:t>
      </w:r>
      <w:r>
        <w:rPr>
          <w:rtl/>
        </w:rPr>
        <w:tab/>
        <w:t xml:space="preserve">ويذكر صاحب البلاغ أنه على الرغم من اعتراضه على اقتراح السلطة التنفيذية، لم يُنظر في طلبه رسمياً، ووافقت الجمعية التشريعية على قرار التعيين في </w:t>
      </w:r>
      <w:r w:rsidRPr="0011532C">
        <w:rPr>
          <w:szCs w:val="20"/>
          <w:rtl/>
        </w:rPr>
        <w:t>29</w:t>
      </w:r>
      <w:r>
        <w:rPr>
          <w:rtl/>
        </w:rPr>
        <w:t xml:space="preserve"> حزيران/يونيه </w:t>
      </w:r>
      <w:r w:rsidRPr="0011532C">
        <w:rPr>
          <w:szCs w:val="20"/>
          <w:rtl/>
        </w:rPr>
        <w:t>2017</w:t>
      </w:r>
      <w:r>
        <w:rPr>
          <w:rFonts w:ascii="Traditional Arabic"/>
          <w:szCs w:val="20"/>
          <w:rtl/>
        </w:rPr>
        <w:t>.</w:t>
      </w:r>
      <w:r>
        <w:rPr>
          <w:rtl/>
        </w:rPr>
        <w:t xml:space="preserve"> وفي أعقاب ذلك، صدر مرسوم التعيين وأدى الشخص المقترح اليمين. ولعدم إمكانية العزل من وظيفة القاضي، فإنه لم يكن ممكنا المضي في الطعن إلى حد بلوغ محكمة العدل العليا للأمة. </w:t>
      </w:r>
    </w:p>
    <w:p w14:paraId="61F29169" w14:textId="77777777" w:rsidR="001163AC" w:rsidRPr="00D93F2E" w:rsidRDefault="001163AC" w:rsidP="001163AC">
      <w:pPr>
        <w:pStyle w:val="SingleTxtGA"/>
        <w:rPr>
          <w:szCs w:val="20"/>
          <w:lang w:val="ar-SA" w:eastAsia="zh-TW" w:bidi="en-GB"/>
        </w:rPr>
      </w:pPr>
      <w:r w:rsidRPr="0011532C">
        <w:rPr>
          <w:szCs w:val="20"/>
          <w:rtl/>
        </w:rPr>
        <w:t>2</w:t>
      </w:r>
      <w:r w:rsidRPr="004C6FD8">
        <w:rPr>
          <w:rtl/>
        </w:rPr>
        <w:t>-</w:t>
      </w:r>
      <w:r w:rsidRPr="0011532C">
        <w:rPr>
          <w:szCs w:val="20"/>
          <w:rtl/>
        </w:rPr>
        <w:t>11</w:t>
      </w:r>
      <w:r>
        <w:rPr>
          <w:rtl/>
        </w:rPr>
        <w:tab/>
        <w:t xml:space="preserve">ويضيف صاحب البلاغ أن القضية كانت ستمتد لفترة زمنية طويلة غير معقولة لو أنه مضى في طعنه إلى أعلى محكمة، وأنه كان سيواجه خطر تحمل تكاليف الإجراءات القضائية. </w:t>
      </w:r>
    </w:p>
    <w:p w14:paraId="31C1563E" w14:textId="77777777" w:rsidR="001163AC" w:rsidRPr="00D93F2E" w:rsidRDefault="001163AC" w:rsidP="001163AC">
      <w:pPr>
        <w:pStyle w:val="H23GA"/>
        <w:rPr>
          <w:szCs w:val="20"/>
          <w:lang w:val="ar-SA" w:eastAsia="zh-TW" w:bidi="en-GB"/>
        </w:rPr>
      </w:pPr>
      <w:r>
        <w:rPr>
          <w:rtl/>
        </w:rPr>
        <w:tab/>
      </w:r>
      <w:r>
        <w:rPr>
          <w:rtl/>
        </w:rPr>
        <w:tab/>
        <w:t>الشكوى</w:t>
      </w:r>
    </w:p>
    <w:p w14:paraId="61164DFB" w14:textId="4F435C44" w:rsidR="001163AC" w:rsidRPr="00D93F2E" w:rsidRDefault="001163AC" w:rsidP="001163AC">
      <w:pPr>
        <w:pStyle w:val="SingleTxtGA"/>
        <w:rPr>
          <w:szCs w:val="20"/>
          <w:lang w:val="ar-SA" w:eastAsia="zh-TW" w:bidi="en-GB"/>
        </w:rPr>
      </w:pPr>
      <w:r w:rsidRPr="0011532C">
        <w:rPr>
          <w:szCs w:val="20"/>
          <w:rtl/>
        </w:rPr>
        <w:t>3</w:t>
      </w:r>
      <w:r w:rsidRPr="004C6FD8">
        <w:rPr>
          <w:rtl/>
        </w:rPr>
        <w:t>-</w:t>
      </w:r>
      <w:r w:rsidRPr="0011532C">
        <w:rPr>
          <w:szCs w:val="20"/>
          <w:rtl/>
        </w:rPr>
        <w:t>1</w:t>
      </w:r>
      <w:r>
        <w:rPr>
          <w:rtl/>
        </w:rPr>
        <w:tab/>
        <w:t xml:space="preserve">يؤكد صاحب البلاغ أن إجراءات اختيار قاضي الغرفة الثالثة لمحكمة الاستئناف المدنية والتجارية بروزاريو، التي انتهت في </w:t>
      </w:r>
      <w:r w:rsidRPr="0011532C">
        <w:rPr>
          <w:szCs w:val="20"/>
          <w:rtl/>
        </w:rPr>
        <w:t>14</w:t>
      </w:r>
      <w:r>
        <w:rPr>
          <w:rtl/>
        </w:rPr>
        <w:t xml:space="preserve"> تموز/يوليه </w:t>
      </w:r>
      <w:r w:rsidRPr="0011532C">
        <w:rPr>
          <w:szCs w:val="20"/>
          <w:rtl/>
        </w:rPr>
        <w:t>2017</w:t>
      </w:r>
      <w:r>
        <w:rPr>
          <w:rtl/>
        </w:rPr>
        <w:t>، تخللتها مخالفات في أشواطها الأخيرة لأن السلطة التنفيذية لم تحترم الترتيب عند تعيين القاضي ولم تبرّر قرارها. وتعيين شخص في وظيفة عامة يشكل بموجب القانون إجراء إداريا</w:t>
      </w:r>
      <w:r w:rsidR="006A5C1C">
        <w:rPr>
          <w:rFonts w:hint="cs"/>
          <w:rtl/>
        </w:rPr>
        <w:t>ً</w:t>
      </w:r>
      <w:r>
        <w:rPr>
          <w:rtl/>
        </w:rPr>
        <w:t xml:space="preserve"> ويجب من ثم أن يكون مبرراً، مما يعني أنه يجب على السلطة المختصة توضيح أسباب اتخاذها ذلك القرار. وبالمثل، لم تبت السلطة التنفيذية في الاعتراض الرسمي الرامي إلى تصحيح الوضع. </w:t>
      </w:r>
    </w:p>
    <w:p w14:paraId="2FBA7EA3" w14:textId="1F13EB98" w:rsidR="001163AC" w:rsidRPr="00454038" w:rsidRDefault="001163AC" w:rsidP="001163AC">
      <w:pPr>
        <w:pStyle w:val="SingleTxtGA"/>
        <w:rPr>
          <w:spacing w:val="-4"/>
          <w:szCs w:val="20"/>
          <w:lang w:val="ar-SA" w:eastAsia="zh-TW" w:bidi="en-GB"/>
        </w:rPr>
      </w:pPr>
      <w:r w:rsidRPr="00454038">
        <w:rPr>
          <w:spacing w:val="-4"/>
          <w:szCs w:val="20"/>
          <w:rtl/>
        </w:rPr>
        <w:t>3</w:t>
      </w:r>
      <w:r w:rsidRPr="00454038">
        <w:rPr>
          <w:spacing w:val="-4"/>
          <w:rtl/>
        </w:rPr>
        <w:t>-</w:t>
      </w:r>
      <w:r w:rsidRPr="00454038">
        <w:rPr>
          <w:spacing w:val="-4"/>
          <w:szCs w:val="20"/>
          <w:rtl/>
        </w:rPr>
        <w:t>2</w:t>
      </w:r>
      <w:r w:rsidRPr="00454038">
        <w:rPr>
          <w:spacing w:val="-4"/>
          <w:rtl/>
        </w:rPr>
        <w:tab/>
        <w:t xml:space="preserve">وبناء على ذلك، يدّعي صاحب البلاغ حدوث انتهاك للمادة </w:t>
      </w:r>
      <w:r w:rsidRPr="00454038">
        <w:rPr>
          <w:spacing w:val="-4"/>
          <w:szCs w:val="20"/>
          <w:rtl/>
        </w:rPr>
        <w:t>7</w:t>
      </w:r>
      <w:r w:rsidRPr="00454038">
        <w:rPr>
          <w:spacing w:val="-4"/>
          <w:rtl/>
        </w:rPr>
        <w:t xml:space="preserve">(ج) من العهد لأن السلطة التنفيذية لم تحترم ترتيب الامتحان التنافسي عند تعيينها قاضي الغرفة الثالثة لمحكمة الاستئناف المدنية </w:t>
      </w:r>
      <w:r w:rsidRPr="00454038">
        <w:rPr>
          <w:spacing w:val="-4"/>
          <w:rtl/>
        </w:rPr>
        <w:lastRenderedPageBreak/>
        <w:t>والتجارية بروزاريو، على حساب المرشحين المحتلين المراتب من السادسة إلى الثامنة. وهكذا، فإن هذا التعيين لا يتفق مع طبيعة الحق في الترقية المكرس في هذه المادة. ويدفع صاحب البلاغ بأن عدم احترام الترتيب يجب أن يكون مبرّراً لضمان شفافية الإجراءات العامة، والوصول إلى المعلومات العامة، ومبدأ</w:t>
      </w:r>
      <w:r w:rsidR="00343583" w:rsidRPr="00454038">
        <w:rPr>
          <w:rFonts w:hint="cs"/>
          <w:spacing w:val="-4"/>
          <w:rtl/>
        </w:rPr>
        <w:t> </w:t>
      </w:r>
      <w:r w:rsidRPr="00454038">
        <w:rPr>
          <w:spacing w:val="-4"/>
          <w:rtl/>
        </w:rPr>
        <w:t xml:space="preserve">إعلان القرارات الحكومية، واحترام الشرعية، واستقلالية القضاء، ومدى ملاءمة إجراءات اختيار قضاة المحاكم. </w:t>
      </w:r>
    </w:p>
    <w:p w14:paraId="2098EEA3" w14:textId="018853E0" w:rsidR="001163AC" w:rsidRPr="00D93F2E" w:rsidRDefault="001163AC" w:rsidP="001163AC">
      <w:pPr>
        <w:pStyle w:val="SingleTxtGA"/>
        <w:rPr>
          <w:szCs w:val="20"/>
          <w:lang w:val="ar-SA" w:eastAsia="zh-TW" w:bidi="en-GB"/>
        </w:rPr>
      </w:pPr>
      <w:r w:rsidRPr="0011532C">
        <w:rPr>
          <w:szCs w:val="20"/>
          <w:rtl/>
        </w:rPr>
        <w:t>3</w:t>
      </w:r>
      <w:r w:rsidRPr="004C6FD8">
        <w:rPr>
          <w:rtl/>
        </w:rPr>
        <w:t>-</w:t>
      </w:r>
      <w:r w:rsidRPr="0011532C">
        <w:rPr>
          <w:szCs w:val="20"/>
          <w:rtl/>
        </w:rPr>
        <w:t>3</w:t>
      </w:r>
      <w:r>
        <w:rPr>
          <w:rtl/>
        </w:rPr>
        <w:tab/>
        <w:t>ويقول صاحب البلاغ إنه استنفد جميع سبل الانتصاف المحلية الفعالة. ويعتقد أن السلطة التنفيذية</w:t>
      </w:r>
      <w:r w:rsidRPr="00913602">
        <w:rPr>
          <w:rtl/>
        </w:rPr>
        <w:t xml:space="preserve"> </w:t>
      </w:r>
      <w:r>
        <w:rPr>
          <w:rtl/>
        </w:rPr>
        <w:t xml:space="preserve">أعاقت وصوله إلى القضاء من خلال عدم بتّها في اعتراضه الرسمي. كما يدفع بأن هذا الطعن كان سيكون، في كل الأحوال، غير فعال لأن قرار اختيار القضاة لا يمكن أن يخضع لمراجعة قضائية وفقاً لقرار غرفة التقاضي الإداري رقم </w:t>
      </w:r>
      <w:r w:rsidRPr="0011532C">
        <w:rPr>
          <w:szCs w:val="20"/>
          <w:rtl/>
        </w:rPr>
        <w:t>1</w:t>
      </w:r>
      <w:r>
        <w:rPr>
          <w:rtl/>
        </w:rPr>
        <w:t xml:space="preserve"> في سانتا في</w:t>
      </w:r>
      <w:r w:rsidR="004C6FD8">
        <w:rPr>
          <w:rStyle w:val="FootnoteReference"/>
          <w:rtl/>
        </w:rPr>
        <w:t>(</w:t>
      </w:r>
      <w:r w:rsidR="004C6FD8" w:rsidRPr="0011532C">
        <w:rPr>
          <w:rStyle w:val="FootnoteReference"/>
          <w:rFonts w:cs="Times New Roman"/>
          <w:b w:val="0"/>
          <w:position w:val="4"/>
          <w:sz w:val="20"/>
        </w:rPr>
        <w:footnoteReference w:id="4"/>
      </w:r>
      <w:r w:rsidR="004C6FD8">
        <w:rPr>
          <w:rStyle w:val="FootnoteReference"/>
          <w:rtl/>
        </w:rPr>
        <w:t>)</w:t>
      </w:r>
      <w:r w:rsidR="00343583">
        <w:rPr>
          <w:rFonts w:hint="cs"/>
          <w:rtl/>
        </w:rPr>
        <w:t>.</w:t>
      </w:r>
      <w:r>
        <w:rPr>
          <w:rtl/>
        </w:rPr>
        <w:t xml:space="preserve"> وبالمثل، لا يمكن، وفقاً لمحكمة العدل العليا في محافظة سانتا في، الطعن قضائيا</w:t>
      </w:r>
      <w:r w:rsidR="00183FA7">
        <w:rPr>
          <w:rFonts w:hint="cs"/>
          <w:rtl/>
        </w:rPr>
        <w:t>ً</w:t>
      </w:r>
      <w:r>
        <w:rPr>
          <w:rtl/>
        </w:rPr>
        <w:t xml:space="preserve"> في مقترح تعيين مرشح مقدم من السلطة التنفيذية</w:t>
      </w:r>
      <w:r w:rsidR="004C6FD8">
        <w:rPr>
          <w:rStyle w:val="FootnoteReference"/>
          <w:rtl/>
        </w:rPr>
        <w:t>(</w:t>
      </w:r>
      <w:r w:rsidR="004C6FD8" w:rsidRPr="0011532C">
        <w:rPr>
          <w:rStyle w:val="FootnoteReference"/>
          <w:rFonts w:cs="Times New Roman"/>
          <w:b w:val="0"/>
          <w:position w:val="4"/>
          <w:sz w:val="20"/>
        </w:rPr>
        <w:footnoteReference w:id="5"/>
      </w:r>
      <w:r w:rsidR="004C6FD8">
        <w:rPr>
          <w:rStyle w:val="FootnoteReference"/>
          <w:rtl/>
        </w:rPr>
        <w:t>)</w:t>
      </w:r>
      <w:r w:rsidR="00343583">
        <w:rPr>
          <w:rFonts w:hint="cs"/>
          <w:rtl/>
        </w:rPr>
        <w:t>.</w:t>
      </w:r>
      <w:r>
        <w:rPr>
          <w:rtl/>
        </w:rPr>
        <w:t xml:space="preserve"> وبالإضافة إلى ذلك، يدفع صاحب البلاغ بأنه لم يكن ممكنا</w:t>
      </w:r>
      <w:r w:rsidR="00183FA7">
        <w:rPr>
          <w:rFonts w:hint="cs"/>
          <w:rtl/>
        </w:rPr>
        <w:t>ً</w:t>
      </w:r>
      <w:r>
        <w:rPr>
          <w:rtl/>
        </w:rPr>
        <w:t xml:space="preserve"> استنفاد سبل الانتصاف القضائية المحلية لأن المرشح الآخر المعين كان محمياً بعدم إمكانية العزل المنصوص عليها في المادة </w:t>
      </w:r>
      <w:r w:rsidRPr="0011532C">
        <w:rPr>
          <w:szCs w:val="20"/>
          <w:rtl/>
        </w:rPr>
        <w:t>88</w:t>
      </w:r>
      <w:r>
        <w:rPr>
          <w:rtl/>
        </w:rPr>
        <w:t xml:space="preserve"> من دستور سانتا في. </w:t>
      </w:r>
    </w:p>
    <w:p w14:paraId="26079844" w14:textId="77777777" w:rsidR="001163AC" w:rsidRPr="00D93F2E" w:rsidRDefault="001163AC" w:rsidP="001163AC">
      <w:pPr>
        <w:pStyle w:val="H23GA"/>
        <w:rPr>
          <w:szCs w:val="20"/>
          <w:lang w:val="ar-SA" w:eastAsia="zh-TW" w:bidi="en-GB"/>
        </w:rPr>
      </w:pPr>
      <w:r>
        <w:rPr>
          <w:rtl/>
        </w:rPr>
        <w:tab/>
      </w:r>
      <w:r>
        <w:rPr>
          <w:rtl/>
        </w:rPr>
        <w:tab/>
        <w:t xml:space="preserve">ملاحظات الدولة الطرف بشأن المقبولية </w:t>
      </w:r>
    </w:p>
    <w:p w14:paraId="0C693343" w14:textId="77777777" w:rsidR="001163AC" w:rsidRPr="00D93F2E" w:rsidRDefault="001163AC" w:rsidP="001163AC">
      <w:pPr>
        <w:pStyle w:val="SingleTxtGA"/>
        <w:rPr>
          <w:szCs w:val="20"/>
          <w:lang w:val="ar-SA" w:eastAsia="zh-TW" w:bidi="en-GB"/>
        </w:rPr>
      </w:pPr>
      <w:r w:rsidRPr="0011532C">
        <w:rPr>
          <w:szCs w:val="20"/>
          <w:rtl/>
        </w:rPr>
        <w:t>4</w:t>
      </w:r>
      <w:r w:rsidRPr="004C6FD8">
        <w:rPr>
          <w:rtl/>
        </w:rPr>
        <w:t>-</w:t>
      </w:r>
      <w:r w:rsidRPr="0011532C">
        <w:rPr>
          <w:szCs w:val="20"/>
          <w:rtl/>
        </w:rPr>
        <w:t>1</w:t>
      </w:r>
      <w:r>
        <w:rPr>
          <w:rtl/>
        </w:rPr>
        <w:tab/>
        <w:t xml:space="preserve">في </w:t>
      </w:r>
      <w:r w:rsidRPr="0011532C">
        <w:rPr>
          <w:szCs w:val="20"/>
          <w:rtl/>
        </w:rPr>
        <w:t>27</w:t>
      </w:r>
      <w:r>
        <w:rPr>
          <w:rtl/>
        </w:rPr>
        <w:t xml:space="preserve"> آب/أغسطس </w:t>
      </w:r>
      <w:r w:rsidRPr="0011532C">
        <w:rPr>
          <w:szCs w:val="20"/>
          <w:rtl/>
        </w:rPr>
        <w:t>2019</w:t>
      </w:r>
      <w:r>
        <w:rPr>
          <w:rtl/>
        </w:rPr>
        <w:t>، قدمت الدولة الطرف ملاحظاتها بشأن مقبولية البلاغ.</w:t>
      </w:r>
    </w:p>
    <w:p w14:paraId="3AE03A8D" w14:textId="7D9A8E2C" w:rsidR="001163AC" w:rsidRPr="00183FA7" w:rsidRDefault="001163AC" w:rsidP="001163AC">
      <w:pPr>
        <w:pStyle w:val="SingleTxtGA"/>
        <w:rPr>
          <w:szCs w:val="20"/>
          <w:lang w:eastAsia="zh-TW"/>
        </w:rPr>
      </w:pPr>
      <w:r w:rsidRPr="0011532C">
        <w:rPr>
          <w:szCs w:val="20"/>
          <w:rtl/>
        </w:rPr>
        <w:t>4</w:t>
      </w:r>
      <w:r w:rsidRPr="004C6FD8">
        <w:rPr>
          <w:rtl/>
        </w:rPr>
        <w:t>-</w:t>
      </w:r>
      <w:r w:rsidRPr="0011532C">
        <w:rPr>
          <w:szCs w:val="20"/>
          <w:rtl/>
        </w:rPr>
        <w:t>2</w:t>
      </w:r>
      <w:r>
        <w:rPr>
          <w:rtl/>
        </w:rPr>
        <w:tab/>
        <w:t>وتشير الدولة الطرف إلى مبدأ الولاية الاحتياطية للنظام العالمي لحماية حقوق الإنسان، الذي ينطوي، في المقام الأول، على ضمان قدرة الدولة نفسها على اتخاذ التدابير التصحيحية اللازمة. وتشير الدولة الطرف في هذا الصدد إلى الاجتهاد القضائي لمحكمة العدل الدولية</w:t>
      </w:r>
      <w:r w:rsidR="00183FA7">
        <w:rPr>
          <w:rStyle w:val="FootnoteReference"/>
          <w:rtl/>
        </w:rPr>
        <w:t>(</w:t>
      </w:r>
      <w:r w:rsidR="00183FA7" w:rsidRPr="0011532C">
        <w:rPr>
          <w:rStyle w:val="FootnoteReference"/>
          <w:rFonts w:cs="Times New Roman"/>
          <w:b w:val="0"/>
          <w:position w:val="4"/>
          <w:sz w:val="20"/>
        </w:rPr>
        <w:footnoteReference w:id="6"/>
      </w:r>
      <w:r w:rsidR="00183FA7">
        <w:rPr>
          <w:rStyle w:val="FootnoteReference"/>
          <w:rtl/>
        </w:rPr>
        <w:t>)</w:t>
      </w:r>
      <w:r>
        <w:rPr>
          <w:rtl/>
        </w:rPr>
        <w:t xml:space="preserve"> ومحكمة البلدان الأمريكية لحقوق الإنسان</w:t>
      </w:r>
      <w:r w:rsidR="00183FA7">
        <w:rPr>
          <w:rStyle w:val="FootnoteReference"/>
          <w:rtl/>
        </w:rPr>
        <w:t>(</w:t>
      </w:r>
      <w:r w:rsidR="00183FA7" w:rsidRPr="0011532C">
        <w:rPr>
          <w:rStyle w:val="FootnoteReference"/>
          <w:rFonts w:cs="Times New Roman"/>
          <w:b w:val="0"/>
          <w:position w:val="4"/>
          <w:sz w:val="20"/>
        </w:rPr>
        <w:footnoteReference w:id="7"/>
      </w:r>
      <w:r w:rsidR="00183FA7">
        <w:rPr>
          <w:rStyle w:val="FootnoteReference"/>
          <w:rtl/>
        </w:rPr>
        <w:t>)</w:t>
      </w:r>
      <w:r>
        <w:rPr>
          <w:rtl/>
        </w:rPr>
        <w:t xml:space="preserve"> واللجنة المعنية بحقوق الإنسان</w:t>
      </w:r>
      <w:r w:rsidR="00183FA7">
        <w:rPr>
          <w:rStyle w:val="FootnoteReference"/>
          <w:rtl/>
        </w:rPr>
        <w:t>(</w:t>
      </w:r>
      <w:r w:rsidR="00183FA7" w:rsidRPr="0011532C">
        <w:rPr>
          <w:rStyle w:val="FootnoteReference"/>
          <w:rFonts w:cs="Times New Roman"/>
          <w:b w:val="0"/>
          <w:position w:val="4"/>
          <w:sz w:val="20"/>
        </w:rPr>
        <w:footnoteReference w:id="8"/>
      </w:r>
      <w:r w:rsidR="00183FA7">
        <w:rPr>
          <w:rStyle w:val="FootnoteReference"/>
          <w:rtl/>
        </w:rPr>
        <w:t>)</w:t>
      </w:r>
      <w:r>
        <w:rPr>
          <w:rtl/>
        </w:rPr>
        <w:t>.</w:t>
      </w:r>
      <w:r w:rsidR="00183FA7">
        <w:rPr>
          <w:rStyle w:val="FootnoteReference"/>
          <w:rtl/>
        </w:rPr>
        <w:t xml:space="preserve"> </w:t>
      </w:r>
    </w:p>
    <w:p w14:paraId="47330951" w14:textId="77777777" w:rsidR="001163AC" w:rsidRPr="00454038" w:rsidRDefault="001163AC" w:rsidP="001163AC">
      <w:pPr>
        <w:pStyle w:val="SingleTxtGA"/>
        <w:rPr>
          <w:spacing w:val="-4"/>
          <w:szCs w:val="20"/>
          <w:lang w:val="ar-SA" w:eastAsia="zh-TW" w:bidi="en-GB"/>
        </w:rPr>
      </w:pPr>
      <w:r w:rsidRPr="00454038">
        <w:rPr>
          <w:spacing w:val="-4"/>
          <w:szCs w:val="20"/>
          <w:rtl/>
        </w:rPr>
        <w:t>4</w:t>
      </w:r>
      <w:r w:rsidRPr="00454038">
        <w:rPr>
          <w:spacing w:val="-4"/>
          <w:rtl/>
        </w:rPr>
        <w:t>-</w:t>
      </w:r>
      <w:r w:rsidRPr="00454038">
        <w:rPr>
          <w:spacing w:val="-4"/>
          <w:szCs w:val="20"/>
          <w:rtl/>
        </w:rPr>
        <w:t>3</w:t>
      </w:r>
      <w:r w:rsidRPr="00454038">
        <w:rPr>
          <w:spacing w:val="-4"/>
          <w:rtl/>
        </w:rPr>
        <w:tab/>
        <w:t xml:space="preserve">وترى الدولة الطرف أن صاحب البلاغ لم يستنفد سبل الانتصاف المحلية لعدم رفعه دعوى قضائية بحجة أن طلبه كان سيرفض مع احتمال الحكم عليه بدفع تكاليف الإجراءات القضائية. وتدفع الدولة الطرف أيضاً بأن صاحب البلاغ لم يؤيد دفوعاته ولا يقدم أدلة مقنعة لتبرير عدم رفعه دعوى قضائية. </w:t>
      </w:r>
    </w:p>
    <w:p w14:paraId="0BF936F4" w14:textId="23D2476E" w:rsidR="001163AC" w:rsidRPr="00D93F2E" w:rsidRDefault="001163AC" w:rsidP="001163AC">
      <w:pPr>
        <w:pStyle w:val="SingleTxtGA"/>
        <w:rPr>
          <w:szCs w:val="20"/>
          <w:lang w:val="ar-SA" w:eastAsia="zh-TW" w:bidi="en-GB"/>
        </w:rPr>
      </w:pPr>
      <w:r w:rsidRPr="0011532C">
        <w:rPr>
          <w:szCs w:val="20"/>
          <w:rtl/>
        </w:rPr>
        <w:t>4</w:t>
      </w:r>
      <w:r w:rsidRPr="004C6FD8">
        <w:rPr>
          <w:rtl/>
        </w:rPr>
        <w:t>-</w:t>
      </w:r>
      <w:r w:rsidRPr="0011532C">
        <w:rPr>
          <w:szCs w:val="20"/>
          <w:rtl/>
        </w:rPr>
        <w:t>4</w:t>
      </w:r>
      <w:r>
        <w:rPr>
          <w:rtl/>
        </w:rPr>
        <w:tab/>
        <w:t>وتشير الدولة الطرف إلى وجود سوابق قانونية، على الصعيدين المحلي والوطني على حد سواء، تكفل حماية حقوق المرشحين لشغل وظيفة قاض عندما يتبين انتهاك حقهم أو مصالحهم المشروعة</w:t>
      </w:r>
      <w:r w:rsidR="004C6FD8">
        <w:rPr>
          <w:rStyle w:val="FootnoteReference"/>
          <w:rtl/>
        </w:rPr>
        <w:t>(</w:t>
      </w:r>
      <w:r w:rsidR="004C6FD8" w:rsidRPr="0011532C">
        <w:rPr>
          <w:rStyle w:val="FootnoteReference"/>
          <w:rFonts w:cs="Times New Roman"/>
          <w:b w:val="0"/>
          <w:position w:val="4"/>
          <w:sz w:val="20"/>
        </w:rPr>
        <w:footnoteReference w:id="9"/>
      </w:r>
      <w:r w:rsidR="004C6FD8">
        <w:rPr>
          <w:rStyle w:val="FootnoteReference"/>
          <w:rtl/>
        </w:rPr>
        <w:t>)</w:t>
      </w:r>
      <w:r w:rsidR="001574D4">
        <w:rPr>
          <w:rFonts w:hint="cs"/>
          <w:rtl/>
        </w:rPr>
        <w:t>.</w:t>
      </w:r>
      <w:r>
        <w:rPr>
          <w:rtl/>
        </w:rPr>
        <w:t xml:space="preserve"> وتشير الدولة الطرف إلى أنه كانت تتاح أمام صاحب البلاغ سبل طعن كافية لإثارة ادّعاءاته المعروضة على اللجنة. وبالإضافة إلى ذلك، تدفع الدولة الطرف بأن مراجعة مدى مشروعية الدعوى العامة يكون عن طريق "طعن إداري" و"تدبير حماية مستقل" يخضعان للقانون الإقليمي رقم </w:t>
      </w:r>
      <w:r w:rsidRPr="0011532C">
        <w:rPr>
          <w:szCs w:val="20"/>
          <w:rtl/>
        </w:rPr>
        <w:t>11330</w:t>
      </w:r>
      <w:r>
        <w:rPr>
          <w:rtl/>
        </w:rPr>
        <w:t xml:space="preserve">. </w:t>
      </w:r>
    </w:p>
    <w:p w14:paraId="72BDEFE7" w14:textId="440F7402" w:rsidR="001163AC" w:rsidRPr="00D93F2E" w:rsidRDefault="001163AC" w:rsidP="001163AC">
      <w:pPr>
        <w:pStyle w:val="SingleTxtGA"/>
        <w:rPr>
          <w:szCs w:val="20"/>
          <w:lang w:val="ar-SA" w:eastAsia="zh-TW" w:bidi="en-GB"/>
        </w:rPr>
      </w:pPr>
      <w:r w:rsidRPr="0011532C">
        <w:rPr>
          <w:szCs w:val="20"/>
          <w:rtl/>
        </w:rPr>
        <w:lastRenderedPageBreak/>
        <w:t>4</w:t>
      </w:r>
      <w:r w:rsidRPr="004C6FD8">
        <w:rPr>
          <w:rtl/>
        </w:rPr>
        <w:t>-</w:t>
      </w:r>
      <w:r w:rsidRPr="0011532C">
        <w:rPr>
          <w:szCs w:val="20"/>
          <w:rtl/>
        </w:rPr>
        <w:t>5</w:t>
      </w:r>
      <w:r>
        <w:rPr>
          <w:rtl/>
        </w:rPr>
        <w:tab/>
        <w:t>وتشير الدولة الطرف أيضاً إلى أنه كان بإمكان صاحب البلاغ اللجوء إلى إجراء الأمبارو الذي يرمي إلى حماية الحقوق الدستورية على وجه السرعة من أجل الحصول على مراجعة قضائية لإجراءات هيئات الدولة. ويُعترف بإجراء الأمبارو على الصعيدين الدستوري والقانوني على حد سواء لحماية الحقوق الدستورية على وجه السرعة، على النحو المنصوص عليه في دستور محافظة سانتا في والدستور الوطني الأرجنتيني. وفي هذا الصدد، تدفع الدولة الطرف بأن صاحب البلاغ كان يملك سبل انتصاف ملموسة لإثارة ما اعتبره مناسباً فيما يخص حالته. غير أن القضاء لم يُبلَّغ بالانتهاك، وبالتالي لم</w:t>
      </w:r>
      <w:r w:rsidR="00E32CB2">
        <w:rPr>
          <w:rFonts w:hint="cs"/>
          <w:rtl/>
        </w:rPr>
        <w:t> </w:t>
      </w:r>
      <w:r>
        <w:rPr>
          <w:rtl/>
        </w:rPr>
        <w:t xml:space="preserve">تُمنح الدولة فرصة الرد أو تقديم التعويض. </w:t>
      </w:r>
    </w:p>
    <w:p w14:paraId="7BA952C5" w14:textId="77777777" w:rsidR="001163AC" w:rsidRPr="00D93F2E" w:rsidRDefault="001163AC" w:rsidP="001163AC">
      <w:pPr>
        <w:pStyle w:val="SingleTxtGA"/>
        <w:rPr>
          <w:szCs w:val="20"/>
          <w:lang w:val="ar-SA" w:eastAsia="zh-TW" w:bidi="en-GB"/>
        </w:rPr>
      </w:pPr>
      <w:r w:rsidRPr="0011532C">
        <w:rPr>
          <w:szCs w:val="20"/>
          <w:rtl/>
        </w:rPr>
        <w:t>4</w:t>
      </w:r>
      <w:r w:rsidRPr="004C6FD8">
        <w:rPr>
          <w:rtl/>
        </w:rPr>
        <w:t>-</w:t>
      </w:r>
      <w:r w:rsidRPr="0011532C">
        <w:rPr>
          <w:szCs w:val="20"/>
          <w:rtl/>
        </w:rPr>
        <w:t>6</w:t>
      </w:r>
      <w:r>
        <w:rPr>
          <w:rtl/>
        </w:rPr>
        <w:tab/>
        <w:t xml:space="preserve">وفي ضوء ما تقدم، ترى الدولة الطرف أن البلاغ غير مقبول بموجب الفقرة </w:t>
      </w:r>
      <w:r w:rsidRPr="0011532C">
        <w:rPr>
          <w:szCs w:val="20"/>
          <w:rtl/>
        </w:rPr>
        <w:t>1</w:t>
      </w:r>
      <w:r>
        <w:rPr>
          <w:rtl/>
        </w:rPr>
        <w:t xml:space="preserve"> من المادة </w:t>
      </w:r>
      <w:r w:rsidRPr="0011532C">
        <w:rPr>
          <w:szCs w:val="20"/>
          <w:rtl/>
        </w:rPr>
        <w:t>3</w:t>
      </w:r>
      <w:r>
        <w:rPr>
          <w:rtl/>
        </w:rPr>
        <w:t xml:space="preserve"> من البروتوكول الاختياري.</w:t>
      </w:r>
    </w:p>
    <w:p w14:paraId="29D95876" w14:textId="77777777" w:rsidR="001163AC" w:rsidRPr="00D93F2E" w:rsidRDefault="001163AC" w:rsidP="001163AC">
      <w:pPr>
        <w:pStyle w:val="H23GA"/>
        <w:rPr>
          <w:szCs w:val="20"/>
          <w:lang w:val="ar-SA" w:eastAsia="zh-TW" w:bidi="en-GB"/>
        </w:rPr>
      </w:pPr>
      <w:r>
        <w:rPr>
          <w:rtl/>
        </w:rPr>
        <w:tab/>
      </w:r>
      <w:r>
        <w:rPr>
          <w:rtl/>
        </w:rPr>
        <w:tab/>
        <w:t xml:space="preserve">تعليقات صاحب البلاغ على ملاحظات الدولة الطرف </w:t>
      </w:r>
    </w:p>
    <w:p w14:paraId="12237B51" w14:textId="77777777" w:rsidR="001163AC" w:rsidRPr="00D93F2E" w:rsidRDefault="001163AC" w:rsidP="001163AC">
      <w:pPr>
        <w:pStyle w:val="SingleTxtGA"/>
        <w:rPr>
          <w:szCs w:val="20"/>
          <w:lang w:val="ar-SA" w:eastAsia="zh-TW" w:bidi="en-GB"/>
        </w:rPr>
      </w:pPr>
      <w:r w:rsidRPr="0011532C">
        <w:rPr>
          <w:szCs w:val="20"/>
          <w:rtl/>
        </w:rPr>
        <w:t>5</w:t>
      </w:r>
      <w:r w:rsidRPr="004C6FD8">
        <w:rPr>
          <w:rtl/>
        </w:rPr>
        <w:t>-</w:t>
      </w:r>
      <w:r w:rsidRPr="0011532C">
        <w:rPr>
          <w:szCs w:val="20"/>
          <w:rtl/>
        </w:rPr>
        <w:t>1</w:t>
      </w:r>
      <w:r>
        <w:rPr>
          <w:rtl/>
        </w:rPr>
        <w:tab/>
        <w:t xml:space="preserve">ردّ صاحب البلاغ على ملاحظات الدولة الطرف في </w:t>
      </w:r>
      <w:r w:rsidRPr="0011532C">
        <w:rPr>
          <w:szCs w:val="20"/>
          <w:rtl/>
        </w:rPr>
        <w:t>29</w:t>
      </w:r>
      <w:r>
        <w:rPr>
          <w:rtl/>
        </w:rPr>
        <w:t xml:space="preserve"> كانون الأول/ديسمبر </w:t>
      </w:r>
      <w:r w:rsidRPr="0011532C">
        <w:rPr>
          <w:szCs w:val="20"/>
          <w:rtl/>
        </w:rPr>
        <w:t>2019</w:t>
      </w:r>
      <w:r>
        <w:rPr>
          <w:rFonts w:ascii="Traditional Arabic"/>
          <w:szCs w:val="20"/>
          <w:rtl/>
        </w:rPr>
        <w:t>.</w:t>
      </w:r>
      <w:r>
        <w:rPr>
          <w:rtl/>
        </w:rPr>
        <w:t xml:space="preserve"> ويؤكّد أن الدولة الطرف نفسها حالت دون استنفاد سبل الانتصاف المحلية. </w:t>
      </w:r>
    </w:p>
    <w:p w14:paraId="763E7ABC" w14:textId="1E2D21C7" w:rsidR="001163AC" w:rsidRPr="00F367AA" w:rsidRDefault="001163AC" w:rsidP="001163AC">
      <w:pPr>
        <w:pStyle w:val="SingleTxtGA"/>
        <w:rPr>
          <w:szCs w:val="20"/>
          <w:lang w:eastAsia="zh-TW"/>
        </w:rPr>
      </w:pPr>
      <w:r w:rsidRPr="0011532C">
        <w:rPr>
          <w:szCs w:val="20"/>
          <w:rtl/>
        </w:rPr>
        <w:t>5</w:t>
      </w:r>
      <w:r w:rsidRPr="004C6FD8">
        <w:rPr>
          <w:rtl/>
        </w:rPr>
        <w:t>-</w:t>
      </w:r>
      <w:r w:rsidRPr="0011532C">
        <w:rPr>
          <w:szCs w:val="20"/>
          <w:rtl/>
        </w:rPr>
        <w:t>2</w:t>
      </w:r>
      <w:r>
        <w:rPr>
          <w:rtl/>
        </w:rPr>
        <w:tab/>
        <w:t xml:space="preserve">ويقول صاحب البلاغ إنه قام في </w:t>
      </w:r>
      <w:r w:rsidRPr="0011532C">
        <w:rPr>
          <w:szCs w:val="20"/>
          <w:rtl/>
        </w:rPr>
        <w:t>5</w:t>
      </w:r>
      <w:r>
        <w:rPr>
          <w:rtl/>
        </w:rPr>
        <w:t xml:space="preserve"> حزيران</w:t>
      </w:r>
      <w:r w:rsidR="00E32CB2">
        <w:rPr>
          <w:rFonts w:hint="cs"/>
          <w:rtl/>
        </w:rPr>
        <w:t>/يونيه</w:t>
      </w:r>
      <w:r>
        <w:rPr>
          <w:rtl/>
        </w:rPr>
        <w:t xml:space="preserve"> </w:t>
      </w:r>
      <w:r w:rsidRPr="0011532C">
        <w:rPr>
          <w:szCs w:val="20"/>
          <w:rtl/>
        </w:rPr>
        <w:t>2017</w:t>
      </w:r>
      <w:r>
        <w:rPr>
          <w:rtl/>
        </w:rPr>
        <w:t xml:space="preserve">، في غضون الآجال المحددة، بالطعن في قرار السلطة التنفيذية تعيين القاضي. بيد أن طعنه لم يؤخذ في الاعتبار رسمياً، ووافقت الجمعية التشريعية على القرار في </w:t>
      </w:r>
      <w:r w:rsidRPr="0011532C">
        <w:rPr>
          <w:szCs w:val="20"/>
          <w:rtl/>
        </w:rPr>
        <w:t>29</w:t>
      </w:r>
      <w:r>
        <w:rPr>
          <w:rtl/>
        </w:rPr>
        <w:t xml:space="preserve"> حزيران/يونيه </w:t>
      </w:r>
      <w:r w:rsidRPr="0011532C">
        <w:rPr>
          <w:szCs w:val="20"/>
          <w:rtl/>
        </w:rPr>
        <w:t>2017</w:t>
      </w:r>
      <w:r>
        <w:rPr>
          <w:rFonts w:ascii="Traditional Arabic"/>
          <w:szCs w:val="20"/>
          <w:rtl/>
        </w:rPr>
        <w:t>.</w:t>
      </w:r>
      <w:r>
        <w:rPr>
          <w:rtl/>
        </w:rPr>
        <w:t xml:space="preserve"> ويذكر صاحب البلاغ أن ثمانية وعشرين يوم عمل انقضت بين تاريخ الاعتراض الرسمي وتاريخ صدور مرسوم التعيين. وفي </w:t>
      </w:r>
      <w:r w:rsidRPr="0011532C">
        <w:rPr>
          <w:szCs w:val="20"/>
          <w:rtl/>
        </w:rPr>
        <w:t>7</w:t>
      </w:r>
      <w:r>
        <w:rPr>
          <w:rtl/>
        </w:rPr>
        <w:t xml:space="preserve"> </w:t>
      </w:r>
      <w:r w:rsidR="00E32CB2">
        <w:rPr>
          <w:rFonts w:hint="cs"/>
          <w:rtl/>
        </w:rPr>
        <w:t>آب/أغسطس</w:t>
      </w:r>
      <w:r>
        <w:rPr>
          <w:rtl/>
        </w:rPr>
        <w:t xml:space="preserve"> </w:t>
      </w:r>
      <w:r w:rsidRPr="0011532C">
        <w:rPr>
          <w:szCs w:val="20"/>
          <w:rtl/>
        </w:rPr>
        <w:t>2017</w:t>
      </w:r>
      <w:r>
        <w:rPr>
          <w:rtl/>
        </w:rPr>
        <w:t>، أدّى القاضي الجديد اليمين وبات من تم مستحيلا</w:t>
      </w:r>
      <w:r w:rsidR="00F367AA">
        <w:rPr>
          <w:rFonts w:hint="cs"/>
          <w:rtl/>
        </w:rPr>
        <w:t>ً</w:t>
      </w:r>
      <w:r>
        <w:rPr>
          <w:rtl/>
        </w:rPr>
        <w:t xml:space="preserve"> المضي في الطعن إلى حد بلوغ محكمة العدل العليا للأمة. ويدفع صاحب البلاغ بأنه لم يكن ممكنا</w:t>
      </w:r>
      <w:r w:rsidR="00F367AA">
        <w:rPr>
          <w:rFonts w:hint="cs"/>
          <w:rtl/>
        </w:rPr>
        <w:t>ً</w:t>
      </w:r>
      <w:r>
        <w:rPr>
          <w:rtl/>
        </w:rPr>
        <w:t xml:space="preserve"> اللجوء إلى الإجراءات القضائية لإثارة مسألة حُلّت حتى قبل انقضاء الآجال لاعتبار الطعن الإداري مستنفدا</w:t>
      </w:r>
      <w:r w:rsidR="00F367AA">
        <w:rPr>
          <w:rFonts w:hint="cs"/>
          <w:rtl/>
        </w:rPr>
        <w:t>ً</w:t>
      </w:r>
      <w:r>
        <w:rPr>
          <w:rtl/>
        </w:rPr>
        <w:t xml:space="preserve"> على أساس "رفض ضمني". ويشير صاحب البلاغ إلى أن السلطة التنفيذية لم ترد على اعتراضه الرسمي، وتعذّر عليه من ثم اللجوء إلى الطعن الإداري المنصوص عليه في المادة </w:t>
      </w:r>
      <w:r w:rsidRPr="0011532C">
        <w:rPr>
          <w:szCs w:val="20"/>
          <w:rtl/>
        </w:rPr>
        <w:t>7</w:t>
      </w:r>
      <w:r>
        <w:rPr>
          <w:rtl/>
        </w:rPr>
        <w:t xml:space="preserve"> من القانون الإقليمي رقم </w:t>
      </w:r>
      <w:r w:rsidRPr="0011532C">
        <w:rPr>
          <w:szCs w:val="20"/>
          <w:rtl/>
        </w:rPr>
        <w:t>11330</w:t>
      </w:r>
      <w:r w:rsidR="004C6FD8">
        <w:rPr>
          <w:rStyle w:val="FootnoteReference"/>
          <w:rtl/>
        </w:rPr>
        <w:t>(</w:t>
      </w:r>
      <w:r w:rsidR="004C6FD8" w:rsidRPr="0011532C">
        <w:rPr>
          <w:rStyle w:val="FootnoteReference"/>
          <w:rFonts w:cs="Times New Roman"/>
          <w:b w:val="0"/>
          <w:position w:val="4"/>
          <w:sz w:val="20"/>
        </w:rPr>
        <w:footnoteReference w:id="10"/>
      </w:r>
      <w:r w:rsidR="004C6FD8">
        <w:rPr>
          <w:rStyle w:val="FootnoteReference"/>
          <w:rtl/>
        </w:rPr>
        <w:t>)</w:t>
      </w:r>
      <w:r w:rsidR="00F367AA">
        <w:rPr>
          <w:rtl/>
        </w:rPr>
        <w:t>.</w:t>
      </w:r>
    </w:p>
    <w:p w14:paraId="55F773DC" w14:textId="0E0910C0" w:rsidR="001163AC" w:rsidRPr="00005B44" w:rsidRDefault="001163AC" w:rsidP="001163AC">
      <w:pPr>
        <w:pStyle w:val="SingleTxtGA"/>
        <w:rPr>
          <w:szCs w:val="20"/>
          <w:lang w:eastAsia="zh-TW" w:bidi="en-GB"/>
        </w:rPr>
      </w:pPr>
      <w:r w:rsidRPr="0011532C">
        <w:rPr>
          <w:szCs w:val="20"/>
          <w:rtl/>
        </w:rPr>
        <w:t>5</w:t>
      </w:r>
      <w:r w:rsidRPr="004C6FD8">
        <w:rPr>
          <w:rtl/>
        </w:rPr>
        <w:t>-</w:t>
      </w:r>
      <w:r w:rsidRPr="0011532C">
        <w:rPr>
          <w:szCs w:val="20"/>
          <w:rtl/>
        </w:rPr>
        <w:t>3</w:t>
      </w:r>
      <w:r>
        <w:rPr>
          <w:rtl/>
        </w:rPr>
        <w:tab/>
        <w:t>ويشير صاحب البلاغ إلى أن إجراء التقاضي الإداري لم يكن ممكناً، لا من خلال الطعن الإداري ولا من خلال تدبير حماية مستقل. وقد بات الطعن الإداري غير مقبول بشكل واضح عند موافقة السلطة التشريعية على رسالة التعيين. ولأن السلطة التنفيذية لم تبت في الطعن الإداري وآجال القيام بذلك لم تكن قد انتهت بعدُ، فإنه قد تعذر اللجوء إلى القضاء جراء موافقة السلطة التشريعية على التعيين، ونشر المرسوم ذي الصلة لاحقاً، وأداء الشخص المعين اليمين. وقد كان محميا</w:t>
      </w:r>
      <w:r w:rsidR="00FB02C2">
        <w:rPr>
          <w:rFonts w:hint="cs"/>
          <w:rtl/>
        </w:rPr>
        <w:t>ً</w:t>
      </w:r>
      <w:r>
        <w:rPr>
          <w:rtl/>
        </w:rPr>
        <w:t xml:space="preserve"> بعدم إمكانية العزل من الوظيفة وباتت المسألة من ثم ذات طابع نظري صرف. ويرى صاحب البلاغ أن هذه الحالة حالت دون المضي في طعنه إلى حد بلوغ محكمة العدل العليا للأمة، وهي آخر درجة قبل استنفاد سبل الانتصاف المحلية.</w:t>
      </w:r>
    </w:p>
    <w:p w14:paraId="1124989D" w14:textId="77777777" w:rsidR="001163AC" w:rsidRPr="00D93F2E" w:rsidRDefault="001163AC" w:rsidP="001163AC">
      <w:pPr>
        <w:pStyle w:val="SingleTxtGA"/>
        <w:rPr>
          <w:szCs w:val="20"/>
          <w:lang w:val="ar-SA" w:eastAsia="zh-TW" w:bidi="en-GB"/>
        </w:rPr>
      </w:pPr>
      <w:r w:rsidRPr="0011532C">
        <w:rPr>
          <w:szCs w:val="20"/>
          <w:rtl/>
        </w:rPr>
        <w:t>5</w:t>
      </w:r>
      <w:r w:rsidRPr="004C6FD8">
        <w:rPr>
          <w:rtl/>
        </w:rPr>
        <w:t>-</w:t>
      </w:r>
      <w:r w:rsidRPr="0011532C">
        <w:rPr>
          <w:szCs w:val="20"/>
          <w:rtl/>
        </w:rPr>
        <w:t>4</w:t>
      </w:r>
      <w:r>
        <w:rPr>
          <w:rtl/>
        </w:rPr>
        <w:tab/>
        <w:t>ويؤكد صاحب البلاغ من جديد أن إجراء الأمبارو غير ممكن وأن تعيين قاضٍ يعتبر، وفقاً للاجتهادات القضائية الموحدة للمحاكم الأرجنتينية، مسألة سياسية لا يمكن إثارتها أمام القضاء.</w:t>
      </w:r>
    </w:p>
    <w:p w14:paraId="43FF82C5" w14:textId="4629E8D5" w:rsidR="001163AC" w:rsidRPr="00D93F2E" w:rsidRDefault="001163AC" w:rsidP="001163AC">
      <w:pPr>
        <w:pStyle w:val="SingleTxtGA"/>
        <w:rPr>
          <w:szCs w:val="20"/>
          <w:lang w:val="ar-SA" w:eastAsia="zh-TW" w:bidi="en-GB"/>
        </w:rPr>
      </w:pPr>
      <w:r w:rsidRPr="0011532C">
        <w:rPr>
          <w:szCs w:val="20"/>
          <w:rtl/>
        </w:rPr>
        <w:t>5</w:t>
      </w:r>
      <w:r w:rsidRPr="004C6FD8">
        <w:rPr>
          <w:rtl/>
        </w:rPr>
        <w:t>-</w:t>
      </w:r>
      <w:r w:rsidRPr="0011532C">
        <w:rPr>
          <w:szCs w:val="20"/>
          <w:rtl/>
        </w:rPr>
        <w:t>5</w:t>
      </w:r>
      <w:r>
        <w:rPr>
          <w:rtl/>
        </w:rPr>
        <w:tab/>
        <w:t>ويشير صاحب البلاغ إلى أن الدولة الطرف لم توضح الطريقة والكيفية التي كان بإمكان السبل الإجرائية المتاحة لإثارة ادعاءاته أن توفر له سبيل انتصاف فعالا</w:t>
      </w:r>
      <w:r w:rsidR="00FB02C2">
        <w:rPr>
          <w:rFonts w:hint="cs"/>
          <w:rtl/>
        </w:rPr>
        <w:t>ً</w:t>
      </w:r>
      <w:r>
        <w:rPr>
          <w:rtl/>
        </w:rPr>
        <w:t>.</w:t>
      </w:r>
    </w:p>
    <w:p w14:paraId="3C48A133" w14:textId="77777777" w:rsidR="001163AC" w:rsidRPr="00005B44" w:rsidRDefault="001163AC" w:rsidP="001163AC">
      <w:pPr>
        <w:pStyle w:val="H23GA"/>
        <w:rPr>
          <w:szCs w:val="20"/>
          <w:lang w:eastAsia="zh-TW" w:bidi="en-GB"/>
        </w:rPr>
      </w:pPr>
      <w:r>
        <w:rPr>
          <w:rtl/>
        </w:rPr>
        <w:lastRenderedPageBreak/>
        <w:tab/>
      </w:r>
      <w:r>
        <w:rPr>
          <w:rtl/>
        </w:rPr>
        <w:tab/>
        <w:t xml:space="preserve">ملاحظات إضافية مقدمة من الدولة الطرف </w:t>
      </w:r>
    </w:p>
    <w:p w14:paraId="495CEF01" w14:textId="77777777" w:rsidR="001163AC" w:rsidRPr="00D93F2E" w:rsidRDefault="001163AC" w:rsidP="001163AC">
      <w:pPr>
        <w:pStyle w:val="SingleTxtGA"/>
        <w:rPr>
          <w:szCs w:val="20"/>
          <w:lang w:val="ar-SA" w:eastAsia="zh-TW" w:bidi="en-GB"/>
        </w:rPr>
      </w:pPr>
      <w:r w:rsidRPr="0011532C">
        <w:rPr>
          <w:szCs w:val="20"/>
          <w:rtl/>
        </w:rPr>
        <w:t>6</w:t>
      </w:r>
      <w:r w:rsidRPr="004C6FD8">
        <w:rPr>
          <w:rtl/>
        </w:rPr>
        <w:t>-</w:t>
      </w:r>
      <w:r>
        <w:rPr>
          <w:rtl/>
        </w:rPr>
        <w:tab/>
        <w:t xml:space="preserve">في </w:t>
      </w:r>
      <w:r w:rsidRPr="0011532C">
        <w:rPr>
          <w:szCs w:val="20"/>
          <w:rtl/>
        </w:rPr>
        <w:t>11</w:t>
      </w:r>
      <w:r>
        <w:rPr>
          <w:rtl/>
        </w:rPr>
        <w:t xml:space="preserve"> أيار/مايو </w:t>
      </w:r>
      <w:r w:rsidRPr="0011532C">
        <w:rPr>
          <w:szCs w:val="20"/>
          <w:rtl/>
        </w:rPr>
        <w:t>2020</w:t>
      </w:r>
      <w:r>
        <w:rPr>
          <w:rtl/>
        </w:rPr>
        <w:t xml:space="preserve">، تلاحظ الدولة الطرف أن ملاحظات صاحب البلاغ لم تقدم أي أدلة جديدة ذات صلة، وتعيد تأكيد الدفوعات المقدمة في ردها المؤرخ </w:t>
      </w:r>
      <w:r w:rsidRPr="0011532C">
        <w:rPr>
          <w:szCs w:val="20"/>
          <w:rtl/>
        </w:rPr>
        <w:t>27</w:t>
      </w:r>
      <w:r>
        <w:rPr>
          <w:rtl/>
        </w:rPr>
        <w:t xml:space="preserve"> آب/أغسطس </w:t>
      </w:r>
      <w:r w:rsidRPr="0011532C">
        <w:rPr>
          <w:szCs w:val="20"/>
          <w:rtl/>
        </w:rPr>
        <w:t>2019</w:t>
      </w:r>
      <w:r>
        <w:rPr>
          <w:rtl/>
        </w:rPr>
        <w:t>، وتدعو إلى إعلان عدم مقبولية البلاغ.</w:t>
      </w:r>
    </w:p>
    <w:p w14:paraId="0D49CC2A" w14:textId="32B5CE77" w:rsidR="001163AC" w:rsidRPr="00005B44" w:rsidRDefault="001163AC" w:rsidP="001163AC">
      <w:pPr>
        <w:pStyle w:val="H1GA"/>
        <w:rPr>
          <w:szCs w:val="20"/>
          <w:lang w:eastAsia="zh-TW" w:bidi="en-GB"/>
        </w:rPr>
      </w:pPr>
      <w:r>
        <w:rPr>
          <w:rtl/>
        </w:rPr>
        <w:tab/>
        <w:t>باء</w:t>
      </w:r>
      <w:r w:rsidRPr="004C6FD8">
        <w:rPr>
          <w:rtl/>
        </w:rPr>
        <w:t>-</w:t>
      </w:r>
      <w:r>
        <w:rPr>
          <w:rtl/>
        </w:rPr>
        <w:tab/>
        <w:t>النظر في المقبولية</w:t>
      </w:r>
    </w:p>
    <w:p w14:paraId="632A0FB8" w14:textId="77777777" w:rsidR="001163AC" w:rsidRPr="00005B44" w:rsidRDefault="001163AC" w:rsidP="001163AC">
      <w:pPr>
        <w:pStyle w:val="SingleTxtGA"/>
        <w:rPr>
          <w:szCs w:val="20"/>
          <w:lang w:eastAsia="zh-TW" w:bidi="en-GB"/>
        </w:rPr>
      </w:pPr>
      <w:r w:rsidRPr="0011532C">
        <w:rPr>
          <w:szCs w:val="20"/>
          <w:rtl/>
        </w:rPr>
        <w:t>7</w:t>
      </w:r>
      <w:r w:rsidRPr="004C6FD8">
        <w:rPr>
          <w:rtl/>
        </w:rPr>
        <w:t>-</w:t>
      </w:r>
      <w:r w:rsidRPr="0011532C">
        <w:rPr>
          <w:szCs w:val="20"/>
          <w:rtl/>
        </w:rPr>
        <w:t>1</w:t>
      </w:r>
      <w:r>
        <w:rPr>
          <w:rtl/>
        </w:rPr>
        <w:tab/>
        <w:t>قبل النظر في أي ادعاء يرد في بلاغ ما، يجب على اللجنة أن تقرر ما إذا كان البلاغ مقبولاً بموجب البروتوكول الاختياري للعهد أم لا.</w:t>
      </w:r>
      <w:r>
        <w:rPr>
          <w:rFonts w:cs="Times New Roman" w:hint="cs"/>
          <w:rtl/>
        </w:rPr>
        <w:t>‬</w:t>
      </w:r>
      <w:r>
        <w:rPr>
          <w:rtl/>
        </w:rPr>
        <w:t xml:space="preserve"> </w:t>
      </w:r>
      <w:r>
        <w:rPr>
          <w:rFonts w:cs="Times New Roman" w:hint="cs"/>
          <w:rtl/>
        </w:rPr>
        <w:t>‬</w:t>
      </w:r>
    </w:p>
    <w:p w14:paraId="5FA9E2FA" w14:textId="7D7EFF23" w:rsidR="001163AC" w:rsidRPr="00D93F2E" w:rsidRDefault="001163AC" w:rsidP="001163AC">
      <w:pPr>
        <w:pStyle w:val="SingleTxtGA"/>
        <w:rPr>
          <w:szCs w:val="20"/>
          <w:lang w:val="ar-SA" w:eastAsia="zh-TW" w:bidi="en-GB"/>
        </w:rPr>
      </w:pPr>
      <w:r w:rsidRPr="0011532C">
        <w:rPr>
          <w:szCs w:val="20"/>
          <w:rtl/>
        </w:rPr>
        <w:t>7</w:t>
      </w:r>
      <w:r w:rsidRPr="004C6FD8">
        <w:rPr>
          <w:rtl/>
        </w:rPr>
        <w:t>-</w:t>
      </w:r>
      <w:r w:rsidRPr="0011532C">
        <w:rPr>
          <w:szCs w:val="20"/>
          <w:rtl/>
        </w:rPr>
        <w:t>2</w:t>
      </w:r>
      <w:r>
        <w:rPr>
          <w:rtl/>
        </w:rPr>
        <w:tab/>
        <w:t xml:space="preserve">وترى اللجنة أن البلاغ يتفق مع أحكام العهد والوقائع والأدلة التي قدّمها صاحب البلاغ، والتي تخولها النظر في احتمال انتهاك حقه في الترقية إلى رتبة عليا، وفقاً للمادة </w:t>
      </w:r>
      <w:r w:rsidRPr="0011532C">
        <w:rPr>
          <w:szCs w:val="20"/>
          <w:rtl/>
        </w:rPr>
        <w:t>7</w:t>
      </w:r>
      <w:r w:rsidRPr="004C6FD8">
        <w:rPr>
          <w:rtl/>
        </w:rPr>
        <w:t>(</w:t>
      </w:r>
      <w:r>
        <w:rPr>
          <w:rtl/>
        </w:rPr>
        <w:t>ج</w:t>
      </w:r>
      <w:r w:rsidRPr="004C6FD8">
        <w:rPr>
          <w:rtl/>
        </w:rPr>
        <w:t>)</w:t>
      </w:r>
      <w:r>
        <w:rPr>
          <w:rtl/>
        </w:rPr>
        <w:t xml:space="preserve"> من العهد. وفي مجال القضاء، يقتضي هذا الحق وجود آلية مستقلة وشفافة لتعيين القضاة وترقيتهم وتوقيفهم مؤقتا</w:t>
      </w:r>
      <w:r w:rsidR="00DC06D0">
        <w:rPr>
          <w:rFonts w:hint="cs"/>
          <w:rtl/>
        </w:rPr>
        <w:t>ً</w:t>
      </w:r>
      <w:r>
        <w:rPr>
          <w:rtl/>
        </w:rPr>
        <w:t xml:space="preserve"> وعزلهم، وذلك من أجل ضمان استقلال القضاء. ولذلك فإن البلاغ يثير مسألة موضوعية مهمة.</w:t>
      </w:r>
    </w:p>
    <w:p w14:paraId="1375888F" w14:textId="52092372" w:rsidR="001163AC" w:rsidRPr="00D93F2E" w:rsidRDefault="001163AC" w:rsidP="001163AC">
      <w:pPr>
        <w:pStyle w:val="SingleTxtGA"/>
        <w:rPr>
          <w:szCs w:val="20"/>
          <w:lang w:val="ar-SA" w:eastAsia="zh-TW" w:bidi="en-GB"/>
        </w:rPr>
      </w:pPr>
      <w:r w:rsidRPr="0011532C">
        <w:rPr>
          <w:szCs w:val="20"/>
          <w:rtl/>
        </w:rPr>
        <w:t>7</w:t>
      </w:r>
      <w:r w:rsidRPr="004C6FD8">
        <w:rPr>
          <w:rtl/>
        </w:rPr>
        <w:t>-</w:t>
      </w:r>
      <w:r w:rsidRPr="0011532C">
        <w:rPr>
          <w:szCs w:val="20"/>
          <w:rtl/>
        </w:rPr>
        <w:t>3</w:t>
      </w:r>
      <w:r>
        <w:rPr>
          <w:rtl/>
        </w:rPr>
        <w:tab/>
        <w:t>غير أن اللجنة تحيط علماً بحجة الدولة الطرف التي تفيد بأن البلاغ غير مقبول بموجب الفقرة</w:t>
      </w:r>
      <w:r w:rsidR="00B00EDE">
        <w:rPr>
          <w:rFonts w:hint="cs"/>
          <w:rtl/>
        </w:rPr>
        <w:t> </w:t>
      </w:r>
      <w:r w:rsidRPr="0011532C">
        <w:rPr>
          <w:szCs w:val="20"/>
          <w:rtl/>
        </w:rPr>
        <w:t>1</w:t>
      </w:r>
      <w:r>
        <w:rPr>
          <w:rtl/>
        </w:rPr>
        <w:t xml:space="preserve"> من المادة </w:t>
      </w:r>
      <w:r w:rsidRPr="0011532C">
        <w:rPr>
          <w:szCs w:val="20"/>
          <w:rtl/>
        </w:rPr>
        <w:t>3</w:t>
      </w:r>
      <w:r>
        <w:rPr>
          <w:rtl/>
        </w:rPr>
        <w:t xml:space="preserve"> من البروتوكول الاختياري لأن صاحب البلاغ لم يستنفد سبل الانتصاف المحلية بعدم محاولته حتى إقامة دعوى أو طلب انتصاف قضائي، ولا سيما "طعن إداري" يخضع للقانون الإقليمي رقم </w:t>
      </w:r>
      <w:r w:rsidRPr="0011532C">
        <w:rPr>
          <w:szCs w:val="20"/>
          <w:rtl/>
        </w:rPr>
        <w:t>11330</w:t>
      </w:r>
      <w:r>
        <w:rPr>
          <w:rtl/>
        </w:rPr>
        <w:t xml:space="preserve"> أو إجراء أمبارو باعتباره إجراء يحمي الحقوق الدستورية. كما تلاحظ اللجنة حجج صاحب البلاغ التي تفيد بأن اللجوء إلى المحاكم بات مستحيلا</w:t>
      </w:r>
      <w:r w:rsidR="00005B44">
        <w:rPr>
          <w:rFonts w:hint="cs"/>
          <w:rtl/>
        </w:rPr>
        <w:t>ً</w:t>
      </w:r>
      <w:r>
        <w:rPr>
          <w:rtl/>
        </w:rPr>
        <w:t xml:space="preserve"> بشكل نهائي بسبب :</w:t>
      </w:r>
      <w:r w:rsidR="00B00EDE">
        <w:rPr>
          <w:rFonts w:hint="cs"/>
          <w:rtl/>
        </w:rPr>
        <w:t xml:space="preserve"> (</w:t>
      </w:r>
      <w:r>
        <w:rPr>
          <w:rtl/>
        </w:rPr>
        <w:t>أ</w:t>
      </w:r>
      <w:r w:rsidRPr="004C6FD8">
        <w:rPr>
          <w:rtl/>
        </w:rPr>
        <w:t>)</w:t>
      </w:r>
      <w:r>
        <w:rPr>
          <w:rtl/>
        </w:rPr>
        <w:t xml:space="preserve"> عدم النظر في اعتراضه الرسمي على قرار السلطة التنفيذية، و</w:t>
      </w:r>
      <w:r w:rsidRPr="004C6FD8">
        <w:rPr>
          <w:rtl/>
        </w:rPr>
        <w:t>(</w:t>
      </w:r>
      <w:r>
        <w:rPr>
          <w:rtl/>
        </w:rPr>
        <w:t>ب</w:t>
      </w:r>
      <w:r w:rsidRPr="004C6FD8">
        <w:rPr>
          <w:rtl/>
        </w:rPr>
        <w:t>)</w:t>
      </w:r>
      <w:r>
        <w:rPr>
          <w:rtl/>
        </w:rPr>
        <w:t xml:space="preserve"> عدم إمكانية عزل القاضي المعين بمجرد أدائه اليمين، و</w:t>
      </w:r>
      <w:r w:rsidRPr="004C6FD8">
        <w:rPr>
          <w:rtl/>
        </w:rPr>
        <w:t>(</w:t>
      </w:r>
      <w:r>
        <w:rPr>
          <w:rtl/>
        </w:rPr>
        <w:t>ج</w:t>
      </w:r>
      <w:r w:rsidRPr="004C6FD8">
        <w:rPr>
          <w:rtl/>
        </w:rPr>
        <w:t>)</w:t>
      </w:r>
      <w:r>
        <w:rPr>
          <w:rtl/>
        </w:rPr>
        <w:t xml:space="preserve"> الاجتهادات القضائية الثابتة التي تنص على أن الاعتراض على تعيين مرشح من قبل السلطة التنفيذية هو مسألة سياسية لا يمكن إثارتها أمام القضاء. </w:t>
      </w:r>
    </w:p>
    <w:p w14:paraId="1F049378" w14:textId="579D8BCD" w:rsidR="001163AC" w:rsidRPr="00D93F2E" w:rsidRDefault="001163AC" w:rsidP="001163AC">
      <w:pPr>
        <w:pStyle w:val="SingleTxtGA"/>
        <w:rPr>
          <w:szCs w:val="20"/>
          <w:lang w:val="ar-SA" w:eastAsia="zh-TW" w:bidi="en-GB"/>
        </w:rPr>
      </w:pPr>
      <w:r w:rsidRPr="0011532C">
        <w:rPr>
          <w:szCs w:val="20"/>
          <w:rtl/>
        </w:rPr>
        <w:t>7</w:t>
      </w:r>
      <w:r w:rsidRPr="004C6FD8">
        <w:rPr>
          <w:rtl/>
        </w:rPr>
        <w:t>-</w:t>
      </w:r>
      <w:r w:rsidRPr="0011532C">
        <w:rPr>
          <w:szCs w:val="20"/>
          <w:rtl/>
        </w:rPr>
        <w:t>4</w:t>
      </w:r>
      <w:r>
        <w:rPr>
          <w:rtl/>
        </w:rPr>
        <w:tab/>
        <w:t>وتلاحظ اللجنة أن صاحب البلاغ يرى أن عدم نظر السلطة التنفيذية في اعتراضه الرسمي وانتهاء إجراءات التعيين حالا</w:t>
      </w:r>
      <w:r w:rsidR="00005B44">
        <w:rPr>
          <w:rFonts w:hint="cs"/>
          <w:rtl/>
        </w:rPr>
        <w:t>ً</w:t>
      </w:r>
      <w:r>
        <w:rPr>
          <w:rtl/>
        </w:rPr>
        <w:t xml:space="preserve"> دون تقديمه طعناً إدارياً. وترى اللجنة أن عدم نظر السلطة التنفيذية في الاعتراض الرسمي والبت فيه قد يعتبر رفضا</w:t>
      </w:r>
      <w:r w:rsidR="00005B44">
        <w:rPr>
          <w:rFonts w:hint="cs"/>
          <w:rtl/>
        </w:rPr>
        <w:t>ً</w:t>
      </w:r>
      <w:r>
        <w:rPr>
          <w:rtl/>
        </w:rPr>
        <w:t xml:space="preserve"> ضمنيا</w:t>
      </w:r>
      <w:r w:rsidR="00005B44">
        <w:rPr>
          <w:rFonts w:hint="cs"/>
          <w:rtl/>
        </w:rPr>
        <w:t>ً</w:t>
      </w:r>
      <w:r>
        <w:rPr>
          <w:rtl/>
        </w:rPr>
        <w:t xml:space="preserve"> للطعن، على النحو المنصوص عليه في المادة </w:t>
      </w:r>
      <w:r w:rsidRPr="0011532C">
        <w:rPr>
          <w:szCs w:val="20"/>
          <w:rtl/>
        </w:rPr>
        <w:t>9</w:t>
      </w:r>
      <w:r>
        <w:rPr>
          <w:rtl/>
        </w:rPr>
        <w:t xml:space="preserve"> من قانون محافظة سانتا في رقم </w:t>
      </w:r>
      <w:r w:rsidRPr="0011532C">
        <w:rPr>
          <w:szCs w:val="20"/>
          <w:rtl/>
        </w:rPr>
        <w:t>11330</w:t>
      </w:r>
      <w:r>
        <w:rPr>
          <w:rtl/>
        </w:rPr>
        <w:t xml:space="preserve"> الذي ينظم الطعون الإدارية. وتنص هذه المادة على أنه حصل رفض ضمني ما لم تصدر السلطة الإدارية حكما في غضون ستين يوما مع أنها قادرة على اتخاذ قرار نهائي، أو أخّرت الإجراءات دون مبرر لأكثر من ثلاثين يوما، والحال أن سبل الطعن في هذا التأخير قد استنفدت بينما تظل سبل الانتصاف القضائي مفتوحة في الحالتين. وترى اللجنة أنه حتى وإن كان القاضي المعين محمياً بعدم إمكانية عزله من منصبه بعد أدائه اليمين، فإن ذلك لم يكن يمنع صاحب البلاغ من إقامة دعوى قضائية لتكريس حقوقه، لأنه لا شيء كان سيمنع السلطة القضائية من حماية حقه في حال اعتقدت أنه انتُهك، مع مراعاتها في الوقت ذاته حق الشخص المعيّن بالفعل في هذا المنصب، وذلك، مثلاً، من خلال الأمر بتعيين صاحب البلاغ عند شغور وظيفة جديدة.</w:t>
      </w:r>
    </w:p>
    <w:p w14:paraId="0D9A1AF1" w14:textId="63099419" w:rsidR="001163AC" w:rsidRPr="00D93F2E" w:rsidRDefault="001163AC" w:rsidP="001163AC">
      <w:pPr>
        <w:pStyle w:val="SingleTxtGA"/>
        <w:rPr>
          <w:szCs w:val="20"/>
          <w:lang w:val="ar-SA" w:eastAsia="zh-TW" w:bidi="en-GB"/>
        </w:rPr>
      </w:pPr>
      <w:r w:rsidRPr="0011532C">
        <w:rPr>
          <w:szCs w:val="20"/>
          <w:rtl/>
        </w:rPr>
        <w:t>7</w:t>
      </w:r>
      <w:r w:rsidRPr="004C6FD8">
        <w:rPr>
          <w:rtl/>
        </w:rPr>
        <w:t>-</w:t>
      </w:r>
      <w:r w:rsidRPr="0011532C">
        <w:rPr>
          <w:szCs w:val="20"/>
          <w:rtl/>
        </w:rPr>
        <w:t>5</w:t>
      </w:r>
      <w:r>
        <w:rPr>
          <w:rtl/>
        </w:rPr>
        <w:tab/>
        <w:t>وبالمثل، تحيط اللجنة علماً بقرار محكمة العدل العليا للأمة الذي استشهد به صاحب البلاغ، وذكرت فيه أن مسألة الاعتراض على الترتيب المقترح من لجنة الاختيار التابعة لمجلس القضاء باتت ذات طابع نظري صرف في ظل تدخل كل سلطة من السلطات ومباشرة القاضي المعين عمله</w:t>
      </w:r>
      <w:r w:rsidR="004C6FD8">
        <w:rPr>
          <w:rStyle w:val="FootnoteReference"/>
          <w:rtl/>
        </w:rPr>
        <w:t>(</w:t>
      </w:r>
      <w:r w:rsidR="004C6FD8" w:rsidRPr="0011532C">
        <w:rPr>
          <w:rStyle w:val="FootnoteReference"/>
          <w:rFonts w:cs="Times New Roman"/>
          <w:b w:val="0"/>
          <w:position w:val="4"/>
          <w:sz w:val="20"/>
        </w:rPr>
        <w:footnoteReference w:id="11"/>
      </w:r>
      <w:r w:rsidR="004C6FD8">
        <w:rPr>
          <w:rStyle w:val="FootnoteReference"/>
          <w:rtl/>
        </w:rPr>
        <w:t>)</w:t>
      </w:r>
      <w:r w:rsidR="008C5EF2">
        <w:rPr>
          <w:rFonts w:hint="cs"/>
          <w:rtl/>
        </w:rPr>
        <w:t>.</w:t>
      </w:r>
      <w:r>
        <w:rPr>
          <w:rtl/>
        </w:rPr>
        <w:t xml:space="preserve"> وتلاحظ اللجنة أن المدعي طلب في هذه القضية، وفقا</w:t>
      </w:r>
      <w:r w:rsidR="00670CBA">
        <w:rPr>
          <w:rFonts w:hint="cs"/>
          <w:rtl/>
        </w:rPr>
        <w:t>ً</w:t>
      </w:r>
      <w:r>
        <w:rPr>
          <w:rtl/>
        </w:rPr>
        <w:t xml:space="preserve"> لإفادة صاحب البلاغ، اعتماد </w:t>
      </w:r>
      <w:r>
        <w:rPr>
          <w:rtl/>
        </w:rPr>
        <w:lastRenderedPageBreak/>
        <w:t xml:space="preserve">إجراء الأمبارو لإلغاء قرار لجنة الاختيار التابعة لمجلس القضاء التي وضعته في المرتبة الأخيرة، وبالتالي منعته من المشاركة في المراحل التالية من عملية الاختيار. ولا يسمح تصريح صاحب البلاغ بمعرفة الحقوق التي انتُهكت حسب ما ادّعاه في إجراء الأمبارو المذكور أعلاه. غير أنه وفقاً للمادة </w:t>
      </w:r>
      <w:r w:rsidRPr="0011532C">
        <w:rPr>
          <w:szCs w:val="20"/>
          <w:rtl/>
        </w:rPr>
        <w:t>43</w:t>
      </w:r>
      <w:r>
        <w:rPr>
          <w:rtl/>
        </w:rPr>
        <w:t xml:space="preserve"> من دستور الأرجنتين والمادة </w:t>
      </w:r>
      <w:r w:rsidRPr="0011532C">
        <w:rPr>
          <w:szCs w:val="20"/>
          <w:rtl/>
        </w:rPr>
        <w:t>17</w:t>
      </w:r>
      <w:r>
        <w:rPr>
          <w:rtl/>
        </w:rPr>
        <w:t xml:space="preserve"> من دستور محافظة سانتا في، يشكّل إجراء الأمبارو طعنا قضائيا يسمح للدولة الطرف بحماية الحقوق والضمانات المعترف بها في الدستور، بل حتى تلك المعترف بها في معاهدة أو قانون وفقاً لما ينص عليه دستور البلد. وفي هذا الصدد، ترى اللجنة أن إجراء الأمبارو أتاح لصاحب البلاغ، على الصعيدين الإقليمي والوطني على حد سواء، فرصة الاحتجاج بانتهاك الحق المستشهد به في هذا البلاغ.</w:t>
      </w:r>
      <w:r w:rsidR="004C6FD8">
        <w:rPr>
          <w:rtl/>
        </w:rPr>
        <w:t xml:space="preserve"> </w:t>
      </w:r>
    </w:p>
    <w:p w14:paraId="6C0859CD" w14:textId="15F6B4FD" w:rsidR="001163AC" w:rsidRPr="00D93F2E" w:rsidRDefault="001163AC" w:rsidP="001163AC">
      <w:pPr>
        <w:pStyle w:val="SingleTxtGA"/>
        <w:rPr>
          <w:szCs w:val="20"/>
          <w:lang w:val="ar-SA" w:eastAsia="zh-TW" w:bidi="en-GB"/>
        </w:rPr>
      </w:pPr>
      <w:r w:rsidRPr="0011532C">
        <w:rPr>
          <w:szCs w:val="20"/>
          <w:rtl/>
        </w:rPr>
        <w:t>7</w:t>
      </w:r>
      <w:r w:rsidRPr="004C6FD8">
        <w:rPr>
          <w:rtl/>
        </w:rPr>
        <w:t>-</w:t>
      </w:r>
      <w:r w:rsidRPr="0011532C">
        <w:rPr>
          <w:szCs w:val="20"/>
          <w:rtl/>
        </w:rPr>
        <w:t>6</w:t>
      </w:r>
      <w:r>
        <w:rPr>
          <w:rtl/>
        </w:rPr>
        <w:tab/>
        <w:t>وتحيط اللجنة علما</w:t>
      </w:r>
      <w:r w:rsidR="008C5EF2">
        <w:rPr>
          <w:rFonts w:hint="cs"/>
          <w:rtl/>
        </w:rPr>
        <w:t>ً</w:t>
      </w:r>
      <w:r>
        <w:rPr>
          <w:rtl/>
        </w:rPr>
        <w:t xml:space="preserve"> أيضاً بالقرارات القضائية الأخرى التي أشار إليها صاحب البلاغ، والتي تؤكّد على أساسها عدم فعالية نظام القضاء لعدم سماحه بإجراء مراجعة قضائية لقرار تعيين قاض. وترى اللجنة أن هذه القرارات تتعلق برفض تدخل السلطة القضائية في السلطة التنفيذية التي تملك السلطة التقديرية لاقتراح مرشح لمنصب موضع امتحان تنافسي، وأنه بناء على ذلك رُفض إعلان القرار الإداري لاغياً وباطلاً، بما أدى إلى رفض الطلبات من بداية الإجراءات. غير أن الدولة الطرف تشير في</w:t>
      </w:r>
      <w:r w:rsidR="008C5EF2">
        <w:rPr>
          <w:rFonts w:hint="cs"/>
          <w:rtl/>
        </w:rPr>
        <w:t> </w:t>
      </w:r>
      <w:r>
        <w:rPr>
          <w:rtl/>
        </w:rPr>
        <w:t xml:space="preserve">رسالتها إلى قضية </w:t>
      </w:r>
      <w:r w:rsidRPr="00454038">
        <w:rPr>
          <w:i/>
          <w:iCs/>
          <w:rtl/>
        </w:rPr>
        <w:t>غالينديث، نيكولس إيمانويل ضد مكتب المدعي العام للأمة بشأن قانون الأمبارو</w:t>
      </w:r>
      <w:r w:rsidR="008C5EF2" w:rsidRPr="00454038">
        <w:rPr>
          <w:rFonts w:hint="cs"/>
          <w:i/>
          <w:iCs/>
          <w:rtl/>
        </w:rPr>
        <w:t> </w:t>
      </w:r>
      <w:r w:rsidRPr="00454038">
        <w:rPr>
          <w:i/>
          <w:iCs/>
          <w:szCs w:val="20"/>
          <w:rtl/>
        </w:rPr>
        <w:t>16986</w:t>
      </w:r>
      <w:r>
        <w:rPr>
          <w:rtl/>
        </w:rPr>
        <w:t>، حيث خلصت محكمة العدل العليا للأمة، في سياق إجراء أمبارو، إلى عدم دستورية عدة مواد من لوائح المساواة في الوصول إلى مكتب المدعي العام على أساس ديمقراطي. ورغم أن القرار لم يكن في صالح المدّعي، فإن المحكمة نظرت في الأسس الموضوعية للقضية. ولهذا السبب، ترى اللجنة أن حجة صاحب البلاغ لا تؤيد بما يكفي تأكيده عدم فعالية سبل الانتصاف القضائية المتاحة له، مثل الطعون الإدارية وإجراء الأمبارو، لإثبات انتهاك الحق المستشهد به. وترى اللجنة أن عدم تحقيق أي نتيجة إيجابية في الحالات المذكورة لا يكفي لإثبات عدم فعالية الطعن الإداري أو إجراء الأمبارو</w:t>
      </w:r>
      <w:r w:rsidR="004C6FD8">
        <w:rPr>
          <w:rStyle w:val="FootnoteReference"/>
          <w:rtl/>
        </w:rPr>
        <w:t>(</w:t>
      </w:r>
      <w:r w:rsidR="004C6FD8" w:rsidRPr="0011532C">
        <w:rPr>
          <w:rStyle w:val="FootnoteReference"/>
          <w:rFonts w:cs="Times New Roman"/>
          <w:b w:val="0"/>
          <w:position w:val="4"/>
          <w:sz w:val="20"/>
        </w:rPr>
        <w:footnoteReference w:id="12"/>
      </w:r>
      <w:r w:rsidR="004C6FD8">
        <w:rPr>
          <w:rStyle w:val="FootnoteReference"/>
          <w:rtl/>
        </w:rPr>
        <w:t>)</w:t>
      </w:r>
      <w:r w:rsidR="008C5EF2">
        <w:rPr>
          <w:rFonts w:hint="cs"/>
          <w:rtl/>
        </w:rPr>
        <w:t>.</w:t>
      </w:r>
      <w:r>
        <w:rPr>
          <w:rtl/>
        </w:rPr>
        <w:t xml:space="preserve"> ولا يبدو، بأي حال من الأحوال، أن صاحب البلاغ احتج أمام المحاكم المحلية، حتى من حيث الجوهر، بالحقوق التي يدّعي أنها مكفولة له بموجب المادة </w:t>
      </w:r>
      <w:r w:rsidRPr="0011532C">
        <w:rPr>
          <w:szCs w:val="20"/>
          <w:rtl/>
        </w:rPr>
        <w:t>7</w:t>
      </w:r>
      <w:r w:rsidRPr="004C6FD8">
        <w:rPr>
          <w:rtl/>
        </w:rPr>
        <w:t>(</w:t>
      </w:r>
      <w:r>
        <w:rPr>
          <w:rtl/>
        </w:rPr>
        <w:t>ج</w:t>
      </w:r>
      <w:r w:rsidRPr="004C6FD8">
        <w:rPr>
          <w:rtl/>
        </w:rPr>
        <w:t>)</w:t>
      </w:r>
      <w:r>
        <w:rPr>
          <w:rtl/>
        </w:rPr>
        <w:t xml:space="preserve"> من العهد ويحتج بها في هذا البلاغ. وفي هذا الصدد، ترى اللجنة أن تصور صاحب البلاغ الذاتي لضعف فرص الحصول على قرار مناسب عن طريق سبل الانتصاف المتاحة لا يشكل حجة موضوعية على عدم فعاليتها، وبالتالي لا</w:t>
      </w:r>
      <w:r w:rsidR="008C5EF2">
        <w:rPr>
          <w:rFonts w:hint="cs"/>
          <w:rtl/>
        </w:rPr>
        <w:t> </w:t>
      </w:r>
      <w:r>
        <w:rPr>
          <w:rtl/>
        </w:rPr>
        <w:t>يبرر عدم استنفادها. ولا ينطبق شرط استنفاد سبل الانتصاف المحلية عندما تكون فرص نجاحها منعدمة. غير أن شكوك صاحب البلاغ حيال فعالية سبيل انتصاف أو فرص نجاحه غير كافية لكي ينطبق هذا الاستثناء. وأخيراً، تشير اللجنة إلى أنه بموجب معايير القانون الدولي التي وضعتها الهيئات المنشأة بموجب صكوك دولية متعلقة بحقوق الإنسان، لا يكفي التشكيك في احتمال نجاح سبيل انتصاف معين لإعفاء صاحب البلاغ من اللجوء إليه</w:t>
      </w:r>
      <w:r w:rsidR="004C6FD8">
        <w:rPr>
          <w:rStyle w:val="FootnoteReference"/>
          <w:rtl/>
        </w:rPr>
        <w:t>(</w:t>
      </w:r>
      <w:r w:rsidR="004C6FD8" w:rsidRPr="0011532C">
        <w:rPr>
          <w:rStyle w:val="FootnoteReference"/>
          <w:rFonts w:cs="Times New Roman"/>
          <w:b w:val="0"/>
          <w:position w:val="4"/>
          <w:sz w:val="20"/>
        </w:rPr>
        <w:footnoteReference w:id="13"/>
      </w:r>
      <w:r w:rsidR="004C6FD8">
        <w:rPr>
          <w:rStyle w:val="FootnoteReference"/>
          <w:rtl/>
        </w:rPr>
        <w:t>)</w:t>
      </w:r>
      <w:r w:rsidR="008C5EF2">
        <w:rPr>
          <w:rFonts w:hint="cs"/>
          <w:rtl/>
        </w:rPr>
        <w:t>.</w:t>
      </w:r>
      <w:r>
        <w:rPr>
          <w:rtl/>
        </w:rPr>
        <w:t xml:space="preserve"> وتخلص اللجنة إلى أن هذا البلاغ غير مقبول بموجب الفقرة </w:t>
      </w:r>
      <w:r w:rsidRPr="0011532C">
        <w:rPr>
          <w:szCs w:val="20"/>
          <w:rtl/>
        </w:rPr>
        <w:t>1</w:t>
      </w:r>
      <w:r>
        <w:rPr>
          <w:rtl/>
        </w:rPr>
        <w:t xml:space="preserve"> من المادة </w:t>
      </w:r>
      <w:r w:rsidRPr="0011532C">
        <w:rPr>
          <w:szCs w:val="20"/>
          <w:rtl/>
        </w:rPr>
        <w:t>3</w:t>
      </w:r>
      <w:r>
        <w:rPr>
          <w:rtl/>
        </w:rPr>
        <w:t xml:space="preserve"> من البروتوكول الاختياري.</w:t>
      </w:r>
    </w:p>
    <w:p w14:paraId="176A0DE7" w14:textId="3BDEC142" w:rsidR="001163AC" w:rsidRPr="001163AC" w:rsidRDefault="001163AC" w:rsidP="001163AC">
      <w:pPr>
        <w:pStyle w:val="H1GA"/>
        <w:rPr>
          <w:szCs w:val="20"/>
          <w:lang w:eastAsia="zh-TW" w:bidi="en-GB"/>
        </w:rPr>
      </w:pPr>
      <w:r>
        <w:rPr>
          <w:rtl/>
        </w:rPr>
        <w:lastRenderedPageBreak/>
        <w:tab/>
        <w:t>جيم</w:t>
      </w:r>
      <w:r w:rsidRPr="004C6FD8">
        <w:rPr>
          <w:rtl/>
        </w:rPr>
        <w:t>-</w:t>
      </w:r>
      <w:r>
        <w:rPr>
          <w:rtl/>
        </w:rPr>
        <w:tab/>
        <w:t>خاتمة</w:t>
      </w:r>
    </w:p>
    <w:p w14:paraId="5AA41748" w14:textId="77777777" w:rsidR="001163AC" w:rsidRPr="00D93F2E" w:rsidRDefault="001163AC" w:rsidP="001163AC">
      <w:pPr>
        <w:pStyle w:val="SingleTxtGA"/>
        <w:rPr>
          <w:szCs w:val="20"/>
          <w:lang w:val="ar-SA" w:eastAsia="zh-TW" w:bidi="en-GB"/>
        </w:rPr>
      </w:pPr>
      <w:r w:rsidRPr="0011532C">
        <w:rPr>
          <w:szCs w:val="20"/>
          <w:rtl/>
        </w:rPr>
        <w:t>8</w:t>
      </w:r>
      <w:r w:rsidRPr="004C6FD8">
        <w:rPr>
          <w:rtl/>
        </w:rPr>
        <w:t>-</w:t>
      </w:r>
      <w:r w:rsidRPr="0011532C">
        <w:rPr>
          <w:szCs w:val="20"/>
          <w:rtl/>
        </w:rPr>
        <w:t>1</w:t>
      </w:r>
      <w:r>
        <w:rPr>
          <w:rtl/>
        </w:rPr>
        <w:tab/>
        <w:t xml:space="preserve">على ضوء جميع المعلومات المقدمة، إن اللجنة، إذ تتصرف بموجب البروتوكول الاختياري، ترى أن البلاغ غير مقبول بمقتضى الفقرة </w:t>
      </w:r>
      <w:r w:rsidRPr="0011532C">
        <w:rPr>
          <w:szCs w:val="20"/>
          <w:rtl/>
        </w:rPr>
        <w:t>1</w:t>
      </w:r>
      <w:r>
        <w:rPr>
          <w:rtl/>
        </w:rPr>
        <w:t xml:space="preserve"> من مادته </w:t>
      </w:r>
      <w:r w:rsidRPr="0011532C">
        <w:rPr>
          <w:szCs w:val="20"/>
          <w:rtl/>
        </w:rPr>
        <w:t>3</w:t>
      </w:r>
      <w:r>
        <w:rPr>
          <w:rtl/>
        </w:rPr>
        <w:t>.</w:t>
      </w:r>
    </w:p>
    <w:p w14:paraId="641E001E" w14:textId="114EFFA3" w:rsidR="001163AC" w:rsidRPr="00D93F2E" w:rsidRDefault="001163AC" w:rsidP="001163AC">
      <w:pPr>
        <w:pStyle w:val="SingleTxtGA"/>
        <w:rPr>
          <w:szCs w:val="20"/>
          <w:lang w:val="ar-SA" w:eastAsia="zh-TW" w:bidi="en-GB"/>
        </w:rPr>
      </w:pPr>
      <w:r w:rsidRPr="0011532C">
        <w:rPr>
          <w:szCs w:val="20"/>
          <w:rtl/>
        </w:rPr>
        <w:t>8</w:t>
      </w:r>
      <w:r w:rsidRPr="004C6FD8">
        <w:rPr>
          <w:rtl/>
        </w:rPr>
        <w:t>-</w:t>
      </w:r>
      <w:r w:rsidRPr="0011532C">
        <w:rPr>
          <w:szCs w:val="20"/>
          <w:rtl/>
        </w:rPr>
        <w:t>2</w:t>
      </w:r>
      <w:r>
        <w:rPr>
          <w:rtl/>
        </w:rPr>
        <w:tab/>
        <w:t xml:space="preserve">ويبلَّغ هذا القرار إلى صاحب البلاغ وإلى الدولة الطرف بموجب الفقرة </w:t>
      </w:r>
      <w:r w:rsidRPr="0011532C">
        <w:rPr>
          <w:szCs w:val="20"/>
          <w:rtl/>
        </w:rPr>
        <w:t>1</w:t>
      </w:r>
      <w:r>
        <w:rPr>
          <w:rtl/>
        </w:rPr>
        <w:t xml:space="preserve"> من المادة </w:t>
      </w:r>
      <w:r w:rsidRPr="0011532C">
        <w:rPr>
          <w:szCs w:val="20"/>
          <w:rtl/>
        </w:rPr>
        <w:t>9</w:t>
      </w:r>
      <w:r>
        <w:rPr>
          <w:rtl/>
        </w:rPr>
        <w:t xml:space="preserve"> من البروتوكول الاختياري.</w:t>
      </w:r>
    </w:p>
    <w:p w14:paraId="43388D75" w14:textId="3DDEF37B" w:rsidR="00B54045" w:rsidRPr="001163AC" w:rsidRDefault="001163AC" w:rsidP="00454038">
      <w:pPr>
        <w:pStyle w:val="SingleTxtG"/>
        <w:bidi/>
        <w:spacing w:before="240" w:after="0"/>
        <w:jc w:val="center"/>
        <w:rPr>
          <w:u w:val="single"/>
          <w:rtl/>
          <w:lang w:val="en-US"/>
        </w:rPr>
      </w:pPr>
      <w:r>
        <w:rPr>
          <w:u w:val="single"/>
          <w:lang w:val="fr-FR"/>
        </w:rPr>
        <w:tab/>
      </w:r>
      <w:r>
        <w:rPr>
          <w:u w:val="single"/>
          <w:lang w:val="fr-FR"/>
        </w:rPr>
        <w:tab/>
      </w:r>
      <w:r>
        <w:rPr>
          <w:u w:val="single"/>
          <w:lang w:val="fr-FR"/>
        </w:rPr>
        <w:tab/>
      </w:r>
    </w:p>
    <w:sectPr w:rsidR="00B54045" w:rsidRPr="001163AC" w:rsidSect="005719A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97637" w14:textId="77777777" w:rsidR="00CF1D9E" w:rsidRPr="002901D9" w:rsidRDefault="00CF1D9E" w:rsidP="002901D9">
      <w:pPr>
        <w:spacing w:after="60" w:line="240" w:lineRule="auto"/>
        <w:rPr>
          <w:i/>
          <w:iCs/>
        </w:rPr>
      </w:pPr>
      <w:r>
        <w:rPr>
          <w:rFonts w:hint="cs"/>
          <w:i/>
          <w:iCs/>
          <w:rtl/>
        </w:rPr>
        <w:t>الحواشي</w:t>
      </w:r>
    </w:p>
  </w:endnote>
  <w:endnote w:type="continuationSeparator" w:id="0">
    <w:p w14:paraId="7C23681D" w14:textId="77777777" w:rsidR="00CF1D9E" w:rsidRDefault="00CF1D9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973A" w14:textId="77777777" w:rsidR="005719A2" w:rsidRPr="00193EB1" w:rsidRDefault="00193EB1" w:rsidP="00193EB1">
    <w:pPr>
      <w:pStyle w:val="Footer"/>
      <w:tabs>
        <w:tab w:val="right" w:pos="9598"/>
      </w:tabs>
      <w:rPr>
        <w:sz w:val="17"/>
      </w:rPr>
    </w:pPr>
    <w:r>
      <w:rPr>
        <w:sz w:val="17"/>
      </w:rPr>
      <w:t>GE.20-15045</w:t>
    </w:r>
    <w:r>
      <w:rPr>
        <w:sz w:val="17"/>
      </w:rPr>
      <w:tab/>
    </w:r>
    <w:r w:rsidRPr="00193EB1">
      <w:rPr>
        <w:b/>
        <w:sz w:val="18"/>
      </w:rPr>
      <w:fldChar w:fldCharType="begin"/>
    </w:r>
    <w:r w:rsidRPr="00193EB1">
      <w:rPr>
        <w:b/>
        <w:sz w:val="18"/>
      </w:rPr>
      <w:instrText xml:space="preserve"> PAGE  \* MERGEFORMAT </w:instrText>
    </w:r>
    <w:r w:rsidRPr="00193EB1">
      <w:rPr>
        <w:b/>
        <w:sz w:val="18"/>
      </w:rPr>
      <w:fldChar w:fldCharType="separate"/>
    </w:r>
    <w:r>
      <w:rPr>
        <w:b/>
        <w:sz w:val="18"/>
      </w:rPr>
      <w:t>2</w:t>
    </w:r>
    <w:r w:rsidRPr="00193EB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DD5A" w14:textId="77777777" w:rsidR="006959B0" w:rsidRPr="00193EB1" w:rsidRDefault="00193EB1" w:rsidP="006959B0">
    <w:pPr>
      <w:pStyle w:val="Footer"/>
      <w:tabs>
        <w:tab w:val="right" w:pos="9599"/>
      </w:tabs>
      <w:jc w:val="left"/>
      <w:rPr>
        <w:b/>
        <w:sz w:val="18"/>
        <w:lang w:val="en-US"/>
      </w:rPr>
    </w:pPr>
    <w:r w:rsidRPr="00193EB1">
      <w:rPr>
        <w:b/>
        <w:sz w:val="18"/>
        <w:lang w:val="en-US"/>
      </w:rPr>
      <w:fldChar w:fldCharType="begin"/>
    </w:r>
    <w:r w:rsidRPr="00193EB1">
      <w:rPr>
        <w:b/>
        <w:sz w:val="18"/>
        <w:lang w:val="en-US"/>
      </w:rPr>
      <w:instrText xml:space="preserve"> PAGE  \* MERGEFORMAT </w:instrText>
    </w:r>
    <w:r w:rsidRPr="00193EB1">
      <w:rPr>
        <w:b/>
        <w:sz w:val="18"/>
        <w:lang w:val="en-US"/>
      </w:rPr>
      <w:fldChar w:fldCharType="separate"/>
    </w:r>
    <w:r w:rsidRPr="00193EB1">
      <w:rPr>
        <w:b/>
        <w:noProof/>
        <w:sz w:val="18"/>
        <w:lang w:val="en-US"/>
      </w:rPr>
      <w:t>3</w:t>
    </w:r>
    <w:r w:rsidRPr="00193EB1">
      <w:rPr>
        <w:b/>
        <w:sz w:val="18"/>
        <w:lang w:val="en-US"/>
      </w:rPr>
      <w:fldChar w:fldCharType="end"/>
    </w:r>
    <w:r>
      <w:rPr>
        <w:b/>
        <w:sz w:val="18"/>
        <w:lang w:val="en-US"/>
      </w:rPr>
      <w:tab/>
    </w:r>
    <w:r>
      <w:rPr>
        <w:sz w:val="17"/>
        <w:lang w:val="en-US"/>
      </w:rPr>
      <w:t>GE.20-15045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430" w14:textId="77777777" w:rsidR="00FD4BC9" w:rsidRDefault="005719A2" w:rsidP="00EE2AFF">
    <w:pPr>
      <w:pStyle w:val="Footer"/>
      <w:spacing w:before="360"/>
      <w:jc w:val="right"/>
      <w:rPr>
        <w:sz w:val="20"/>
        <w:szCs w:val="20"/>
      </w:rPr>
    </w:pPr>
    <w:r>
      <w:rPr>
        <w:sz w:val="20"/>
        <w:szCs w:val="20"/>
      </w:rPr>
      <w:t>GE.20-15045</w:t>
    </w:r>
    <w:r w:rsidR="00FD4BC9">
      <w:rPr>
        <w:noProof/>
        <w:lang w:val="en-US"/>
      </w:rPr>
      <w:drawing>
        <wp:anchor distT="0" distB="0" distL="114300" distR="114300" simplePos="0" relativeHeight="251664384" behindDoc="1" locked="1" layoutInCell="0" allowOverlap="1" wp14:anchorId="169D57F7" wp14:editId="2D44639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043FE2E2" w14:textId="77777777" w:rsidR="005719A2" w:rsidRPr="005719A2" w:rsidRDefault="005719A2" w:rsidP="005719A2">
    <w:pPr>
      <w:pStyle w:val="Footer"/>
      <w:jc w:val="right"/>
      <w:rPr>
        <w:rFonts w:ascii="C39T30Lfz" w:hAnsi="C39T30Lfz"/>
        <w:sz w:val="56"/>
        <w:szCs w:val="20"/>
      </w:rPr>
    </w:pPr>
    <w:r>
      <w:rPr>
        <w:rFonts w:ascii="C39T30Lfz" w:hAnsi="C39T30Lfz"/>
        <w:sz w:val="56"/>
        <w:szCs w:val="20"/>
      </w:rPr>
      <w:t>*2015045*</w:t>
    </w:r>
    <w:r>
      <w:rPr>
        <w:rFonts w:ascii="C39T30Lfz" w:hAnsi="C39T30Lfz"/>
        <w:noProof/>
        <w:sz w:val="56"/>
        <w:szCs w:val="20"/>
      </w:rPr>
      <w:drawing>
        <wp:anchor distT="0" distB="0" distL="114300" distR="114300" simplePos="0" relativeHeight="251660288" behindDoc="0" locked="0" layoutInCell="1" allowOverlap="1" wp14:anchorId="1F61834D" wp14:editId="7AF6D9D7">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449BC" w14:textId="77777777" w:rsidR="00CF1D9E" w:rsidRPr="0054762C" w:rsidRDefault="00CF1D9E" w:rsidP="000E524A">
      <w:pPr>
        <w:pStyle w:val="Footer"/>
        <w:bidi/>
        <w:spacing w:after="80" w:line="200" w:lineRule="exact"/>
        <w:ind w:left="680"/>
      </w:pPr>
      <w:r>
        <w:rPr>
          <w:rtl/>
        </w:rPr>
        <w:t>__________</w:t>
      </w:r>
    </w:p>
  </w:footnote>
  <w:footnote w:type="continuationSeparator" w:id="0">
    <w:p w14:paraId="0327B2A0" w14:textId="77777777" w:rsidR="00CF1D9E" w:rsidRDefault="00CF1D9E" w:rsidP="00656392">
      <w:pPr>
        <w:spacing w:line="240" w:lineRule="auto"/>
      </w:pPr>
      <w:r>
        <w:continuationSeparator/>
      </w:r>
    </w:p>
  </w:footnote>
  <w:footnote w:id="1">
    <w:p w14:paraId="48053A73" w14:textId="7FF40C31" w:rsidR="001163AC" w:rsidRPr="00241EC7" w:rsidRDefault="001163AC" w:rsidP="0011532C">
      <w:pPr>
        <w:pStyle w:val="FootnoteText1"/>
        <w:rPr>
          <w:lang w:val="ar-SA" w:eastAsia="zh-TW" w:bidi="en-GB"/>
        </w:rPr>
      </w:pPr>
      <w:r w:rsidRPr="0011532C">
        <w:rPr>
          <w:rFonts w:ascii="Traditional Arabic" w:hAnsi="Traditional Arabic"/>
          <w:sz w:val="24"/>
          <w:szCs w:val="24"/>
        </w:rPr>
        <w:t>*</w:t>
      </w:r>
      <w:r w:rsidRPr="00241EC7">
        <w:rPr>
          <w:rtl/>
        </w:rPr>
        <w:tab/>
        <w:t>اعتمدته اللجنة في دورتها الثام</w:t>
      </w:r>
      <w:bookmarkStart w:id="0" w:name="_GoBack"/>
      <w:bookmarkEnd w:id="0"/>
      <w:r w:rsidRPr="00241EC7">
        <w:rPr>
          <w:rtl/>
        </w:rPr>
        <w:t>نة والستين (</w:t>
      </w:r>
      <w:r w:rsidRPr="0011532C">
        <w:rPr>
          <w:szCs w:val="18"/>
          <w:rtl/>
        </w:rPr>
        <w:t>28</w:t>
      </w:r>
      <w:r w:rsidRPr="00241EC7">
        <w:rPr>
          <w:rtl/>
        </w:rPr>
        <w:t xml:space="preserve"> أيلول/سبتمبر - </w:t>
      </w:r>
      <w:r w:rsidRPr="0011532C">
        <w:rPr>
          <w:szCs w:val="18"/>
          <w:rtl/>
        </w:rPr>
        <w:t>16</w:t>
      </w:r>
      <w:r w:rsidRPr="00241EC7">
        <w:rPr>
          <w:rtl/>
        </w:rPr>
        <w:t xml:space="preserve"> تشرين الأول/أكتوبر </w:t>
      </w:r>
      <w:r w:rsidRPr="0011532C">
        <w:rPr>
          <w:szCs w:val="18"/>
          <w:rtl/>
        </w:rPr>
        <w:t>2020</w:t>
      </w:r>
      <w:r w:rsidRPr="00241EC7">
        <w:rPr>
          <w:rtl/>
        </w:rPr>
        <w:t>).</w:t>
      </w:r>
    </w:p>
  </w:footnote>
  <w:footnote w:id="2">
    <w:p w14:paraId="3606F965" w14:textId="68B56811" w:rsidR="004C6FD8" w:rsidRPr="00241EC7" w:rsidRDefault="004C6FD8" w:rsidP="0011532C">
      <w:pPr>
        <w:pStyle w:val="FootnoteText1"/>
        <w:rPr>
          <w:lang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sidRPr="00241EC7">
        <w:rPr>
          <w:rtl/>
        </w:rPr>
        <w:tab/>
        <w:t xml:space="preserve">تنص المادة </w:t>
      </w:r>
      <w:r w:rsidRPr="0011532C">
        <w:rPr>
          <w:szCs w:val="18"/>
          <w:rtl/>
        </w:rPr>
        <w:t>1</w:t>
      </w:r>
      <w:r w:rsidRPr="00241EC7">
        <w:rPr>
          <w:rtl/>
        </w:rPr>
        <w:t>-</w:t>
      </w:r>
      <w:r w:rsidRPr="0011532C">
        <w:rPr>
          <w:szCs w:val="18"/>
          <w:rtl/>
        </w:rPr>
        <w:t>1</w:t>
      </w:r>
      <w:r w:rsidRPr="00241EC7">
        <w:rPr>
          <w:rtl/>
        </w:rPr>
        <w:t xml:space="preserve"> من المرسوم رقم </w:t>
      </w:r>
      <w:r w:rsidRPr="0011532C">
        <w:rPr>
          <w:szCs w:val="18"/>
          <w:rtl/>
        </w:rPr>
        <w:t>4174</w:t>
      </w:r>
      <w:r w:rsidRPr="00241EC7">
        <w:rPr>
          <w:rtl/>
        </w:rPr>
        <w:t>/</w:t>
      </w:r>
      <w:r w:rsidRPr="0011532C">
        <w:rPr>
          <w:szCs w:val="18"/>
          <w:rtl/>
        </w:rPr>
        <w:t>15</w:t>
      </w:r>
      <w:r w:rsidRPr="00241EC7">
        <w:rPr>
          <w:rtl/>
        </w:rPr>
        <w:t xml:space="preserve"> على أن الإجراء الإداري يجب أن يكون قانونيا</w:t>
      </w:r>
      <w:r w:rsidR="00353519">
        <w:rPr>
          <w:rFonts w:hint="cs"/>
          <w:rtl/>
        </w:rPr>
        <w:t>ً</w:t>
      </w:r>
      <w:r w:rsidRPr="00241EC7">
        <w:rPr>
          <w:rtl/>
        </w:rPr>
        <w:t xml:space="preserve"> وأن يضمن إمكانية الطعن، في إطار الشروط التي يحددها القانون أو لوائحه، أمام السلطات العامة المختصة والحصول منها على قرار معلل ومفيد ومناسب من حيث التوقيت.</w:t>
      </w:r>
    </w:p>
  </w:footnote>
  <w:footnote w:id="3">
    <w:p w14:paraId="38EE304A" w14:textId="051B1F7E" w:rsidR="004C6FD8" w:rsidRPr="00241EC7" w:rsidRDefault="004C6FD8" w:rsidP="0011532C">
      <w:pPr>
        <w:pStyle w:val="FootnoteText1"/>
        <w:rPr>
          <w:lang w:val="ar-SA"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sidRPr="00241EC7">
        <w:rPr>
          <w:rtl/>
        </w:rPr>
        <w:tab/>
        <w:t xml:space="preserve">يشير صاحب البلاغ إلى الحكم الصادر في </w:t>
      </w:r>
      <w:r w:rsidRPr="0011532C">
        <w:rPr>
          <w:szCs w:val="18"/>
          <w:rtl/>
        </w:rPr>
        <w:t>28</w:t>
      </w:r>
      <w:r w:rsidRPr="00241EC7">
        <w:rPr>
          <w:rtl/>
        </w:rPr>
        <w:t xml:space="preserve"> حزيران/يونيه </w:t>
      </w:r>
      <w:r w:rsidRPr="0011532C">
        <w:rPr>
          <w:szCs w:val="18"/>
          <w:rtl/>
        </w:rPr>
        <w:t>2012</w:t>
      </w:r>
      <w:r w:rsidRPr="00241EC7">
        <w:rPr>
          <w:rtl/>
        </w:rPr>
        <w:t xml:space="preserve"> عن محكمة العدل العليا بمحافظة توكومون في قضية </w:t>
      </w:r>
      <w:r w:rsidRPr="00DD14F4">
        <w:rPr>
          <w:i/>
          <w:iCs/>
          <w:rtl/>
        </w:rPr>
        <w:t>لوبيز، كارلوس إ</w:t>
      </w:r>
      <w:r w:rsidR="006A5C1C">
        <w:rPr>
          <w:rFonts w:hint="cs"/>
          <w:i/>
          <w:iCs/>
          <w:rtl/>
        </w:rPr>
        <w:t>.</w:t>
      </w:r>
      <w:r w:rsidRPr="00DD14F4">
        <w:rPr>
          <w:i/>
          <w:iCs/>
          <w:rtl/>
        </w:rPr>
        <w:t xml:space="preserve"> ضد محافظة توكومون</w:t>
      </w:r>
      <w:r w:rsidRPr="00241EC7">
        <w:rPr>
          <w:rtl/>
        </w:rPr>
        <w:t>.</w:t>
      </w:r>
    </w:p>
  </w:footnote>
  <w:footnote w:id="4">
    <w:p w14:paraId="5D61E29D" w14:textId="7C93DAF1" w:rsidR="004C6FD8" w:rsidRPr="00241EC7" w:rsidRDefault="004C6FD8" w:rsidP="0011532C">
      <w:pPr>
        <w:pStyle w:val="FootnoteText1"/>
        <w:rPr>
          <w:lang w:val="ar-SA"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sidRPr="00241EC7">
        <w:rPr>
          <w:rtl/>
        </w:rPr>
        <w:tab/>
        <w:t xml:space="preserve">يحيل صاحب البلاغ إلى قرار غرفة التقاضي الإداري رقم </w:t>
      </w:r>
      <w:r w:rsidRPr="0011532C">
        <w:rPr>
          <w:szCs w:val="18"/>
          <w:rtl/>
        </w:rPr>
        <w:t>1</w:t>
      </w:r>
      <w:r w:rsidRPr="00241EC7">
        <w:rPr>
          <w:rtl/>
        </w:rPr>
        <w:t xml:space="preserve"> بسانتا في المؤرخ </w:t>
      </w:r>
      <w:r w:rsidRPr="0011532C">
        <w:rPr>
          <w:szCs w:val="18"/>
          <w:rtl/>
        </w:rPr>
        <w:t>31</w:t>
      </w:r>
      <w:r w:rsidRPr="00241EC7">
        <w:rPr>
          <w:rtl/>
        </w:rPr>
        <w:t xml:space="preserve"> آب/أغسطس </w:t>
      </w:r>
      <w:r w:rsidRPr="0011532C">
        <w:rPr>
          <w:szCs w:val="18"/>
          <w:rtl/>
        </w:rPr>
        <w:t>2009</w:t>
      </w:r>
      <w:r w:rsidRPr="00241EC7">
        <w:rPr>
          <w:rtl/>
        </w:rPr>
        <w:t xml:space="preserve">، قضية </w:t>
      </w:r>
      <w:r w:rsidRPr="00241EC7">
        <w:rPr>
          <w:i/>
          <w:iCs/>
          <w:lang w:val="fr-FR"/>
        </w:rPr>
        <w:t>Ruiz, Mario Silvio c. Provincia de Santa Fe, R. C. A. s/Medida cautelar</w:t>
      </w:r>
      <w:r w:rsidRPr="00241EC7">
        <w:rPr>
          <w:i/>
          <w:iCs/>
          <w:rtl/>
          <w:lang w:val="fr-FR"/>
        </w:rPr>
        <w:t>.</w:t>
      </w:r>
      <w:r w:rsidRPr="00241EC7">
        <w:rPr>
          <w:rtl/>
        </w:rPr>
        <w:t xml:space="preserve"> </w:t>
      </w:r>
    </w:p>
  </w:footnote>
  <w:footnote w:id="5">
    <w:p w14:paraId="014748FF" w14:textId="5C136C8F" w:rsidR="004C6FD8" w:rsidRPr="00241EC7" w:rsidRDefault="004C6FD8" w:rsidP="0011532C">
      <w:pPr>
        <w:pStyle w:val="FootnoteText1"/>
        <w:rPr>
          <w:lang w:val="ar-SA"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sidRPr="00241EC7">
        <w:rPr>
          <w:rtl/>
        </w:rPr>
        <w:tab/>
        <w:t xml:space="preserve">يحيل صاحب البلاغ إلى حكم محكمة العدل العليا بسانتا في المؤرخ </w:t>
      </w:r>
      <w:r w:rsidRPr="0011532C">
        <w:rPr>
          <w:szCs w:val="18"/>
          <w:rtl/>
        </w:rPr>
        <w:t>17</w:t>
      </w:r>
      <w:r w:rsidRPr="00241EC7">
        <w:rPr>
          <w:rtl/>
        </w:rPr>
        <w:t xml:space="preserve"> تشرين الثاني/نوفمبر </w:t>
      </w:r>
      <w:r w:rsidRPr="0011532C">
        <w:rPr>
          <w:szCs w:val="18"/>
          <w:rtl/>
        </w:rPr>
        <w:t>2010</w:t>
      </w:r>
      <w:r w:rsidRPr="00241EC7">
        <w:rPr>
          <w:rtl/>
        </w:rPr>
        <w:t xml:space="preserve">، قضية </w:t>
      </w:r>
      <w:r w:rsidRPr="00241EC7">
        <w:rPr>
          <w:i/>
          <w:iCs/>
          <w:lang w:val="fr-FR"/>
        </w:rPr>
        <w:t>Ferrer, Fernando Ignacio c. Provincia de Santa Fe Amparo s/ Recurso de Inconstitucionalidad</w:t>
      </w:r>
    </w:p>
  </w:footnote>
  <w:footnote w:id="6">
    <w:p w14:paraId="4B91610F" w14:textId="77777777" w:rsidR="00183FA7" w:rsidRPr="00241EC7" w:rsidRDefault="00183FA7" w:rsidP="00183FA7">
      <w:pPr>
        <w:pStyle w:val="FootnoteText1"/>
        <w:rPr>
          <w:lang w:val="ar-SA"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sidRPr="00241EC7">
        <w:rPr>
          <w:rtl/>
        </w:rPr>
        <w:tab/>
        <w:t xml:space="preserve">قضية إنترهانديل </w:t>
      </w:r>
      <w:r w:rsidRPr="00AC7E2F">
        <w:rPr>
          <w:i/>
          <w:iCs/>
          <w:rtl/>
        </w:rPr>
        <w:t>(سويسرا ضد الولايات المتحدة)</w:t>
      </w:r>
      <w:r w:rsidRPr="00241EC7">
        <w:rPr>
          <w:rtl/>
        </w:rPr>
        <w:t xml:space="preserve">، استثناءات أولية، الحكم الصادر في </w:t>
      </w:r>
      <w:r w:rsidRPr="0011532C">
        <w:rPr>
          <w:szCs w:val="18"/>
          <w:rtl/>
        </w:rPr>
        <w:t>21</w:t>
      </w:r>
      <w:r w:rsidRPr="00241EC7">
        <w:rPr>
          <w:rtl/>
        </w:rPr>
        <w:t xml:space="preserve"> آذار/مارس </w:t>
      </w:r>
      <w:r w:rsidRPr="0011532C">
        <w:rPr>
          <w:szCs w:val="18"/>
          <w:rtl/>
        </w:rPr>
        <w:t>1959</w:t>
      </w:r>
      <w:r w:rsidRPr="00241EC7">
        <w:rPr>
          <w:rtl/>
        </w:rPr>
        <w:t xml:space="preserve">، مجموعات الأحكام الصادرة عن محكمة العدل الدولية في عام </w:t>
      </w:r>
      <w:r w:rsidRPr="0011532C">
        <w:rPr>
          <w:szCs w:val="18"/>
          <w:rtl/>
        </w:rPr>
        <w:t>1959</w:t>
      </w:r>
      <w:r w:rsidRPr="00241EC7">
        <w:rPr>
          <w:rtl/>
        </w:rPr>
        <w:t xml:space="preserve">، ص </w:t>
      </w:r>
      <w:r w:rsidRPr="0011532C">
        <w:rPr>
          <w:szCs w:val="18"/>
          <w:rtl/>
        </w:rPr>
        <w:t>6</w:t>
      </w:r>
      <w:r w:rsidRPr="00241EC7">
        <w:rPr>
          <w:rtl/>
        </w:rPr>
        <w:t xml:space="preserve">. </w:t>
      </w:r>
    </w:p>
  </w:footnote>
  <w:footnote w:id="7">
    <w:p w14:paraId="00D30EFC" w14:textId="77777777" w:rsidR="00183FA7" w:rsidRPr="00241EC7" w:rsidRDefault="00183FA7" w:rsidP="00183FA7">
      <w:pPr>
        <w:pStyle w:val="FootnoteText1"/>
        <w:rPr>
          <w:lang w:val="ar-SA"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Pr>
          <w:rtl/>
        </w:rPr>
        <w:tab/>
      </w:r>
      <w:r w:rsidRPr="00241EC7">
        <w:rPr>
          <w:rtl/>
        </w:rPr>
        <w:t xml:space="preserve">قضية </w:t>
      </w:r>
      <w:r w:rsidRPr="00AC7E2F">
        <w:rPr>
          <w:i/>
          <w:iCs/>
          <w:rtl/>
        </w:rPr>
        <w:t>فيلاسكيز رودريغيز ضد. هندوراس</w:t>
      </w:r>
      <w:r w:rsidRPr="00241EC7">
        <w:rPr>
          <w:rtl/>
        </w:rPr>
        <w:t xml:space="preserve"> (الأساس الموضوعي)، الحكم الصادر في </w:t>
      </w:r>
      <w:r w:rsidRPr="0011532C">
        <w:rPr>
          <w:szCs w:val="18"/>
          <w:rtl/>
        </w:rPr>
        <w:t>29</w:t>
      </w:r>
      <w:r w:rsidRPr="00241EC7">
        <w:rPr>
          <w:rtl/>
        </w:rPr>
        <w:t xml:space="preserve"> تموز/يوليه </w:t>
      </w:r>
      <w:r w:rsidRPr="0011532C">
        <w:rPr>
          <w:szCs w:val="18"/>
          <w:rtl/>
        </w:rPr>
        <w:t>1988</w:t>
      </w:r>
      <w:r w:rsidRPr="00241EC7">
        <w:rPr>
          <w:rtl/>
        </w:rPr>
        <w:t xml:space="preserve">، الفقرة </w:t>
      </w:r>
      <w:r w:rsidRPr="0011532C">
        <w:rPr>
          <w:szCs w:val="18"/>
          <w:rtl/>
        </w:rPr>
        <w:t>61</w:t>
      </w:r>
      <w:r w:rsidRPr="00241EC7">
        <w:rPr>
          <w:rtl/>
        </w:rPr>
        <w:t xml:space="preserve">، السلسلة جيم رقم </w:t>
      </w:r>
      <w:r w:rsidRPr="0011532C">
        <w:rPr>
          <w:szCs w:val="18"/>
          <w:rtl/>
        </w:rPr>
        <w:t>4</w:t>
      </w:r>
      <w:r w:rsidRPr="00241EC7">
        <w:rPr>
          <w:rtl/>
        </w:rPr>
        <w:t xml:space="preserve">. </w:t>
      </w:r>
    </w:p>
  </w:footnote>
  <w:footnote w:id="8">
    <w:p w14:paraId="2D4D2B0B" w14:textId="77777777" w:rsidR="00183FA7" w:rsidRPr="00241EC7" w:rsidRDefault="00183FA7" w:rsidP="00183FA7">
      <w:pPr>
        <w:pStyle w:val="FootnoteText1"/>
        <w:rPr>
          <w:lang w:val="ar-SA"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Pr>
          <w:rtl/>
        </w:rPr>
        <w:tab/>
      </w:r>
      <w:r w:rsidRPr="00241EC7">
        <w:rPr>
          <w:rtl/>
        </w:rPr>
        <w:t xml:space="preserve">قضية </w:t>
      </w:r>
      <w:r w:rsidRPr="00AC7E2F">
        <w:rPr>
          <w:i/>
          <w:iCs/>
          <w:rtl/>
        </w:rPr>
        <w:t>ت. ك. ضد فرنسا</w:t>
      </w:r>
      <w:r w:rsidRPr="00241EC7">
        <w:rPr>
          <w:rtl/>
        </w:rPr>
        <w:t xml:space="preserve"> (</w:t>
      </w:r>
      <w:r w:rsidRPr="00241EC7">
        <w:rPr>
          <w:lang w:val="fr-FR"/>
        </w:rPr>
        <w:t>CCPR/C/</w:t>
      </w:r>
      <w:r w:rsidRPr="0011532C">
        <w:rPr>
          <w:szCs w:val="18"/>
          <w:lang w:val="fr-FR"/>
        </w:rPr>
        <w:t>37</w:t>
      </w:r>
      <w:r w:rsidRPr="00241EC7">
        <w:rPr>
          <w:lang w:val="fr-FR"/>
        </w:rPr>
        <w:t>/D/</w:t>
      </w:r>
      <w:r w:rsidRPr="0011532C">
        <w:rPr>
          <w:szCs w:val="18"/>
          <w:lang w:val="fr-FR"/>
        </w:rPr>
        <w:t>220</w:t>
      </w:r>
      <w:r w:rsidRPr="00241EC7">
        <w:rPr>
          <w:lang w:val="fr-FR"/>
        </w:rPr>
        <w:t>/</w:t>
      </w:r>
      <w:r w:rsidRPr="0011532C">
        <w:rPr>
          <w:szCs w:val="18"/>
          <w:lang w:val="fr-FR"/>
        </w:rPr>
        <w:t>1987</w:t>
      </w:r>
      <w:r w:rsidRPr="00241EC7">
        <w:rPr>
          <w:rtl/>
        </w:rPr>
        <w:t xml:space="preserve">)، الفقرة </w:t>
      </w:r>
      <w:r w:rsidRPr="0011532C">
        <w:rPr>
          <w:szCs w:val="18"/>
          <w:rtl/>
        </w:rPr>
        <w:t>8</w:t>
      </w:r>
      <w:r w:rsidRPr="00241EC7">
        <w:rPr>
          <w:rtl/>
        </w:rPr>
        <w:t>-</w:t>
      </w:r>
      <w:r w:rsidRPr="0011532C">
        <w:rPr>
          <w:szCs w:val="18"/>
          <w:rtl/>
        </w:rPr>
        <w:t>3</w:t>
      </w:r>
      <w:r w:rsidRPr="00241EC7">
        <w:rPr>
          <w:rtl/>
        </w:rPr>
        <w:t xml:space="preserve">. </w:t>
      </w:r>
    </w:p>
  </w:footnote>
  <w:footnote w:id="9">
    <w:p w14:paraId="08B4D133" w14:textId="43C56F8F" w:rsidR="004C6FD8" w:rsidRPr="00454038" w:rsidRDefault="004C6FD8" w:rsidP="0011532C">
      <w:pPr>
        <w:pStyle w:val="FootnoteText1"/>
        <w:rPr>
          <w:spacing w:val="-2"/>
          <w:lang w:eastAsia="zh-TW" w:bidi="en-GB"/>
        </w:rPr>
      </w:pPr>
      <w:r w:rsidRPr="00454038">
        <w:rPr>
          <w:rStyle w:val="FootnoteReference"/>
          <w:spacing w:val="-2"/>
          <w:szCs w:val="26"/>
          <w:vertAlign w:val="baseline"/>
          <w:rtl/>
        </w:rPr>
        <w:t>(</w:t>
      </w:r>
      <w:r w:rsidRPr="00454038">
        <w:rPr>
          <w:rStyle w:val="FootnoteReference"/>
          <w:rFonts w:cs="Times New Roman"/>
          <w:b w:val="0"/>
          <w:spacing w:val="-2"/>
          <w:szCs w:val="26"/>
          <w:vertAlign w:val="baseline"/>
        </w:rPr>
        <w:footnoteRef/>
      </w:r>
      <w:r w:rsidRPr="00454038">
        <w:rPr>
          <w:rStyle w:val="FootnoteReference"/>
          <w:spacing w:val="-2"/>
          <w:szCs w:val="26"/>
          <w:vertAlign w:val="baseline"/>
          <w:rtl/>
        </w:rPr>
        <w:t>)</w:t>
      </w:r>
      <w:r w:rsidRPr="00454038">
        <w:rPr>
          <w:spacing w:val="-2"/>
          <w:rtl/>
        </w:rPr>
        <w:tab/>
        <w:t xml:space="preserve">تحيل الدولة الطرف إلى الحكم الصادر عن محكمة العدل العليا للأمة في قضية </w:t>
      </w:r>
      <w:r w:rsidRPr="00454038">
        <w:rPr>
          <w:i/>
          <w:iCs/>
          <w:spacing w:val="-2"/>
          <w:lang w:val="fr-FR"/>
        </w:rPr>
        <w:t xml:space="preserve">Galindez, Nicolás Emmanuel c. Ministerio Público Fiscal de la Nación s/amparo ley </w:t>
      </w:r>
      <w:r w:rsidRPr="00454038">
        <w:rPr>
          <w:i/>
          <w:iCs/>
          <w:spacing w:val="-2"/>
          <w:szCs w:val="18"/>
          <w:lang w:val="fr-FR"/>
        </w:rPr>
        <w:t>16986</w:t>
      </w:r>
      <w:r w:rsidRPr="00454038">
        <w:rPr>
          <w:spacing w:val="-2"/>
          <w:rtl/>
        </w:rPr>
        <w:t xml:space="preserve">، والمؤرخ </w:t>
      </w:r>
      <w:r w:rsidRPr="00454038">
        <w:rPr>
          <w:spacing w:val="-2"/>
          <w:szCs w:val="18"/>
          <w:rtl/>
        </w:rPr>
        <w:t>9</w:t>
      </w:r>
      <w:r w:rsidRPr="00454038">
        <w:rPr>
          <w:spacing w:val="-2"/>
          <w:rtl/>
        </w:rPr>
        <w:t xml:space="preserve"> تشرين الثاني/نوفمبر </w:t>
      </w:r>
      <w:r w:rsidRPr="00454038">
        <w:rPr>
          <w:spacing w:val="-2"/>
          <w:szCs w:val="18"/>
          <w:rtl/>
        </w:rPr>
        <w:t>2017</w:t>
      </w:r>
      <w:r w:rsidRPr="00454038">
        <w:rPr>
          <w:spacing w:val="-2"/>
          <w:rtl/>
        </w:rPr>
        <w:t xml:space="preserve">. </w:t>
      </w:r>
    </w:p>
  </w:footnote>
  <w:footnote w:id="10">
    <w:p w14:paraId="7D919066" w14:textId="78CF56D1" w:rsidR="004C6FD8" w:rsidRPr="00005B44" w:rsidRDefault="004C6FD8" w:rsidP="0011532C">
      <w:pPr>
        <w:pStyle w:val="FootnoteText1"/>
        <w:rPr>
          <w:lang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sidRPr="00241EC7">
        <w:rPr>
          <w:rtl/>
        </w:rPr>
        <w:tab/>
        <w:t xml:space="preserve">تنص المادة </w:t>
      </w:r>
      <w:r w:rsidRPr="0011532C">
        <w:rPr>
          <w:szCs w:val="18"/>
          <w:rtl/>
        </w:rPr>
        <w:t>7</w:t>
      </w:r>
      <w:r w:rsidRPr="00241EC7">
        <w:rPr>
          <w:rtl/>
        </w:rPr>
        <w:t xml:space="preserve"> من قانون المحافظة رقم </w:t>
      </w:r>
      <w:r w:rsidRPr="0011532C">
        <w:rPr>
          <w:szCs w:val="18"/>
          <w:rtl/>
        </w:rPr>
        <w:t>11330</w:t>
      </w:r>
      <w:r w:rsidRPr="00241EC7">
        <w:rPr>
          <w:rtl/>
        </w:rPr>
        <w:t xml:space="preserve"> على ما يلي: "الطعن الإداري. لا يمكن اللجوء إلى الطعن دون استنفاد الإجراءات الإدارية عن طريق سبل الانتصاف المقررة؛ ولا يمكن النظر سوى في التظلمات التي عرضت وحلت مسبقا بطريقة صريحة أو ضمنية في الطعن الإداري". </w:t>
      </w:r>
    </w:p>
  </w:footnote>
  <w:footnote w:id="11">
    <w:p w14:paraId="1D0D3C04" w14:textId="15FD6378" w:rsidR="004C6FD8" w:rsidRPr="00454038" w:rsidRDefault="004C6FD8" w:rsidP="0011532C">
      <w:pPr>
        <w:pStyle w:val="FootnoteText1"/>
        <w:rPr>
          <w:lang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sidRPr="00241EC7">
        <w:rPr>
          <w:rtl/>
        </w:rPr>
        <w:tab/>
        <w:t xml:space="preserve">قضية </w:t>
      </w:r>
      <w:r w:rsidRPr="008C5EF2">
        <w:rPr>
          <w:i/>
          <w:iCs/>
        </w:rPr>
        <w:t xml:space="preserve">Marinelli, Ernesto Luis, c. Estado Nacional </w:t>
      </w:r>
      <w:r w:rsidRPr="008C5EF2">
        <w:rPr>
          <w:rFonts w:cs="Times New Roman" w:hint="cs"/>
          <w:i/>
          <w:iCs/>
        </w:rPr>
        <w:t>−</w:t>
      </w:r>
      <w:r w:rsidRPr="008C5EF2">
        <w:rPr>
          <w:i/>
          <w:iCs/>
        </w:rPr>
        <w:t xml:space="preserve"> Consejo de la Magistratura </w:t>
      </w:r>
      <w:r w:rsidRPr="008C5EF2">
        <w:rPr>
          <w:rFonts w:cs="Times New Roman" w:hint="cs"/>
          <w:i/>
          <w:iCs/>
        </w:rPr>
        <w:t>−</w:t>
      </w:r>
      <w:r w:rsidRPr="008C5EF2">
        <w:rPr>
          <w:i/>
          <w:iCs/>
        </w:rPr>
        <w:t xml:space="preserve"> resoluci</w:t>
      </w:r>
      <w:r w:rsidRPr="008C5EF2">
        <w:rPr>
          <w:rFonts w:ascii="Traditional Arabic" w:hAnsi="Traditional Arabic" w:hint="cs"/>
          <w:i/>
          <w:iCs/>
        </w:rPr>
        <w:t>ó</w:t>
      </w:r>
      <w:r w:rsidRPr="008C5EF2">
        <w:rPr>
          <w:i/>
          <w:iCs/>
        </w:rPr>
        <w:t xml:space="preserve">n </w:t>
      </w:r>
      <w:r w:rsidRPr="008C5EF2">
        <w:rPr>
          <w:i/>
          <w:iCs/>
          <w:szCs w:val="18"/>
        </w:rPr>
        <w:t>495</w:t>
      </w:r>
      <w:r w:rsidRPr="008C5EF2">
        <w:rPr>
          <w:i/>
          <w:iCs/>
        </w:rPr>
        <w:t xml:space="preserve"> (concurso </w:t>
      </w:r>
      <w:r w:rsidRPr="008C5EF2">
        <w:rPr>
          <w:i/>
          <w:iCs/>
          <w:szCs w:val="18"/>
        </w:rPr>
        <w:t>164</w:t>
      </w:r>
      <w:r w:rsidRPr="008C5EF2">
        <w:rPr>
          <w:i/>
          <w:iCs/>
        </w:rPr>
        <w:t xml:space="preserve">) s/amparo ley </w:t>
      </w:r>
      <w:r w:rsidRPr="008C5EF2">
        <w:rPr>
          <w:i/>
          <w:iCs/>
          <w:szCs w:val="18"/>
        </w:rPr>
        <w:t>16</w:t>
      </w:r>
      <w:r w:rsidRPr="008C5EF2">
        <w:rPr>
          <w:i/>
          <w:iCs/>
        </w:rPr>
        <w:t>.</w:t>
      </w:r>
      <w:r w:rsidRPr="008C5EF2">
        <w:rPr>
          <w:i/>
          <w:iCs/>
          <w:szCs w:val="18"/>
        </w:rPr>
        <w:t>986</w:t>
      </w:r>
      <w:r w:rsidRPr="00241EC7">
        <w:rPr>
          <w:rtl/>
        </w:rPr>
        <w:t xml:space="preserve">، محكمة العدل العليا للأمة، </w:t>
      </w:r>
      <w:r w:rsidRPr="0011532C">
        <w:rPr>
          <w:szCs w:val="18"/>
          <w:rtl/>
        </w:rPr>
        <w:t>8</w:t>
      </w:r>
      <w:r w:rsidRPr="00241EC7">
        <w:rPr>
          <w:rtl/>
        </w:rPr>
        <w:t xml:space="preserve"> شباط/فبراير </w:t>
      </w:r>
      <w:r w:rsidRPr="0011532C">
        <w:rPr>
          <w:szCs w:val="18"/>
          <w:rtl/>
        </w:rPr>
        <w:t>2011</w:t>
      </w:r>
      <w:r w:rsidRPr="00241EC7">
        <w:rPr>
          <w:rtl/>
        </w:rPr>
        <w:t>.</w:t>
      </w:r>
    </w:p>
  </w:footnote>
  <w:footnote w:id="12">
    <w:p w14:paraId="532D4E87" w14:textId="008B65E1" w:rsidR="004C6FD8" w:rsidRPr="00241EC7" w:rsidRDefault="004C6FD8" w:rsidP="0011532C">
      <w:pPr>
        <w:pStyle w:val="FootnoteText1"/>
        <w:rPr>
          <w:lang w:val="ar-SA"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sidRPr="00241EC7">
        <w:rPr>
          <w:rtl/>
        </w:rPr>
        <w:tab/>
        <w:t xml:space="preserve">محكمة البلدان الأمريكية لحقوق الإنسان، قضية </w:t>
      </w:r>
      <w:r w:rsidRPr="00591D95">
        <w:rPr>
          <w:i/>
          <w:iCs/>
          <w:rtl/>
        </w:rPr>
        <w:t>فيلاسكيز رودريغيس ضد هندوراس</w:t>
      </w:r>
      <w:r w:rsidRPr="00241EC7">
        <w:rPr>
          <w:rtl/>
        </w:rPr>
        <w:t xml:space="preserve">، الفقرة </w:t>
      </w:r>
      <w:r w:rsidRPr="0011532C">
        <w:rPr>
          <w:szCs w:val="18"/>
          <w:rtl/>
        </w:rPr>
        <w:t>67</w:t>
      </w:r>
      <w:r w:rsidRPr="00241EC7">
        <w:t>:</w:t>
      </w:r>
      <w:r w:rsidRPr="00241EC7">
        <w:rPr>
          <w:rtl/>
        </w:rPr>
        <w:t xml:space="preserve"> </w:t>
      </w:r>
      <w:proofErr w:type="gramStart"/>
      <w:r w:rsidRPr="00241EC7">
        <w:rPr>
          <w:rtl/>
        </w:rPr>
        <w:t>أن لا</w:t>
      </w:r>
      <w:proofErr w:type="gramEnd"/>
      <w:r w:rsidRPr="00241EC7">
        <w:rPr>
          <w:rtl/>
        </w:rPr>
        <w:t xml:space="preserve"> يفضي سبيل انتصاف محلي إلى نتيجة إيجابية بالنسبة إلى المدعي لا يثبت في حد ذاته عدم وجود أو استنفاد جميع سبل الانتصاف المحلية الفعالة، لأنه يمكن ألا يكون المدعي قد لجأ، على سبيل المثال، إلى الإجراء المناسب في الوقت المناسب. </w:t>
      </w:r>
    </w:p>
  </w:footnote>
  <w:footnote w:id="13">
    <w:p w14:paraId="333E7E78" w14:textId="7F1BA29B" w:rsidR="004C6FD8" w:rsidRPr="00241EC7" w:rsidRDefault="004C6FD8" w:rsidP="0011532C">
      <w:pPr>
        <w:pStyle w:val="FootnoteText1"/>
        <w:rPr>
          <w:lang w:val="ar-SA" w:eastAsia="zh-TW" w:bidi="en-GB"/>
        </w:rPr>
      </w:pPr>
      <w:r w:rsidRPr="00DD14F4">
        <w:rPr>
          <w:rStyle w:val="FootnoteReference"/>
          <w:szCs w:val="26"/>
          <w:vertAlign w:val="baseline"/>
          <w:rtl/>
        </w:rPr>
        <w:t>(</w:t>
      </w:r>
      <w:r w:rsidRPr="00DD14F4">
        <w:rPr>
          <w:rStyle w:val="FootnoteReference"/>
          <w:rFonts w:cs="Times New Roman"/>
          <w:b w:val="0"/>
          <w:szCs w:val="26"/>
          <w:vertAlign w:val="baseline"/>
        </w:rPr>
        <w:footnoteRef/>
      </w:r>
      <w:r w:rsidRPr="00DD14F4">
        <w:rPr>
          <w:rStyle w:val="FootnoteReference"/>
          <w:szCs w:val="26"/>
          <w:vertAlign w:val="baseline"/>
          <w:rtl/>
        </w:rPr>
        <w:t>)</w:t>
      </w:r>
      <w:r w:rsidRPr="00241EC7">
        <w:rPr>
          <w:rtl/>
        </w:rPr>
        <w:tab/>
        <w:t xml:space="preserve">قرارات اللجنة بشأن عدم المقبولية، قضية </w:t>
      </w:r>
      <w:r w:rsidRPr="00241EC7">
        <w:rPr>
          <w:i/>
          <w:iCs/>
          <w:rtl/>
        </w:rPr>
        <w:t>أ. ب. م. ضد إكوادور</w:t>
      </w:r>
      <w:r w:rsidRPr="00241EC7">
        <w:rPr>
          <w:rtl/>
        </w:rPr>
        <w:t xml:space="preserve"> (</w:t>
      </w:r>
      <w:r w:rsidRPr="00241EC7">
        <w:t>E/C.</w:t>
      </w:r>
      <w:r w:rsidRPr="0011532C">
        <w:rPr>
          <w:szCs w:val="18"/>
        </w:rPr>
        <w:t>12</w:t>
      </w:r>
      <w:r w:rsidRPr="00241EC7">
        <w:t>/</w:t>
      </w:r>
      <w:r w:rsidRPr="0011532C">
        <w:rPr>
          <w:szCs w:val="18"/>
        </w:rPr>
        <w:t>58</w:t>
      </w:r>
      <w:r w:rsidRPr="00241EC7">
        <w:t>/D/</w:t>
      </w:r>
      <w:r w:rsidRPr="0011532C">
        <w:rPr>
          <w:szCs w:val="18"/>
        </w:rPr>
        <w:t>3</w:t>
      </w:r>
      <w:r w:rsidRPr="00241EC7">
        <w:t>/</w:t>
      </w:r>
      <w:r w:rsidRPr="0011532C">
        <w:rPr>
          <w:szCs w:val="18"/>
        </w:rPr>
        <w:t>2014</w:t>
      </w:r>
      <w:r w:rsidRPr="00241EC7">
        <w:rPr>
          <w:rtl/>
        </w:rPr>
        <w:t xml:space="preserve">)، الفقرة </w:t>
      </w:r>
      <w:r w:rsidRPr="0011532C">
        <w:rPr>
          <w:szCs w:val="18"/>
          <w:rtl/>
        </w:rPr>
        <w:t>7</w:t>
      </w:r>
      <w:r w:rsidRPr="00241EC7">
        <w:rPr>
          <w:rtl/>
        </w:rPr>
        <w:t>-</w:t>
      </w:r>
      <w:r w:rsidRPr="0011532C">
        <w:rPr>
          <w:szCs w:val="18"/>
          <w:rtl/>
        </w:rPr>
        <w:t>6</w:t>
      </w:r>
      <w:r w:rsidRPr="00241EC7">
        <w:rPr>
          <w:rtl/>
        </w:rPr>
        <w:t>،</w:t>
      </w:r>
      <w:r>
        <w:rPr>
          <w:rtl/>
        </w:rPr>
        <w:t xml:space="preserve"> </w:t>
      </w:r>
      <w:r w:rsidRPr="00241EC7">
        <w:rPr>
          <w:rtl/>
        </w:rPr>
        <w:t xml:space="preserve">وقضية </w:t>
      </w:r>
      <w:r w:rsidRPr="00241EC7">
        <w:rPr>
          <w:i/>
          <w:iCs/>
          <w:rtl/>
        </w:rPr>
        <w:t>م. ل. وب. ضد لكسمبرغ</w:t>
      </w:r>
      <w:r w:rsidRPr="00241EC7">
        <w:rPr>
          <w:rtl/>
        </w:rPr>
        <w:t xml:space="preserve"> (</w:t>
      </w:r>
      <w:r w:rsidRPr="00241EC7">
        <w:t>E/C.</w:t>
      </w:r>
      <w:r w:rsidRPr="0011532C">
        <w:rPr>
          <w:szCs w:val="18"/>
        </w:rPr>
        <w:t>12</w:t>
      </w:r>
      <w:r w:rsidRPr="00241EC7">
        <w:t>/</w:t>
      </w:r>
      <w:r w:rsidRPr="0011532C">
        <w:rPr>
          <w:szCs w:val="18"/>
        </w:rPr>
        <w:t>66</w:t>
      </w:r>
      <w:r w:rsidRPr="00241EC7">
        <w:t>/D/</w:t>
      </w:r>
      <w:r w:rsidRPr="0011532C">
        <w:rPr>
          <w:szCs w:val="18"/>
        </w:rPr>
        <w:t>20</w:t>
      </w:r>
      <w:r w:rsidRPr="00241EC7">
        <w:t>/</w:t>
      </w:r>
      <w:r w:rsidRPr="0011532C">
        <w:rPr>
          <w:szCs w:val="18"/>
        </w:rPr>
        <w:t>2017</w:t>
      </w:r>
      <w:r w:rsidRPr="00241EC7">
        <w:rPr>
          <w:rtl/>
        </w:rPr>
        <w:t xml:space="preserve">)، الفقرة </w:t>
      </w:r>
      <w:r w:rsidRPr="0011532C">
        <w:rPr>
          <w:szCs w:val="18"/>
          <w:rtl/>
        </w:rPr>
        <w:t>7</w:t>
      </w:r>
      <w:r w:rsidRPr="00241EC7">
        <w:rPr>
          <w:rtl/>
        </w:rPr>
        <w:t>-</w:t>
      </w:r>
      <w:r w:rsidRPr="0011532C">
        <w:rPr>
          <w:szCs w:val="18"/>
          <w:rtl/>
        </w:rPr>
        <w:t>4</w:t>
      </w:r>
      <w:r w:rsidRPr="00241EC7">
        <w:rPr>
          <w:rtl/>
        </w:rPr>
        <w:t xml:space="preserve">؛ وقرارات اللجنة المعنية بحقوق الإنسان بشأن قضية </w:t>
      </w:r>
      <w:r w:rsidRPr="00241EC7">
        <w:rPr>
          <w:i/>
          <w:iCs/>
          <w:rtl/>
        </w:rPr>
        <w:t>كانديم فومبي ضد الكاميرون</w:t>
      </w:r>
      <w:r w:rsidRPr="00241EC7">
        <w:rPr>
          <w:rtl/>
        </w:rPr>
        <w:t xml:space="preserve"> (</w:t>
      </w:r>
      <w:r w:rsidRPr="00241EC7">
        <w:rPr>
          <w:lang w:val="fr-FR"/>
        </w:rPr>
        <w:t>CCPR/C/</w:t>
      </w:r>
      <w:r w:rsidRPr="0011532C">
        <w:rPr>
          <w:szCs w:val="18"/>
          <w:lang w:val="fr-FR"/>
        </w:rPr>
        <w:t>112</w:t>
      </w:r>
      <w:r w:rsidRPr="00241EC7">
        <w:rPr>
          <w:lang w:val="fr-FR"/>
        </w:rPr>
        <w:t>/D/</w:t>
      </w:r>
      <w:r w:rsidRPr="0011532C">
        <w:rPr>
          <w:szCs w:val="18"/>
          <w:lang w:val="fr-FR"/>
        </w:rPr>
        <w:t>2325</w:t>
      </w:r>
      <w:r w:rsidRPr="00241EC7">
        <w:rPr>
          <w:lang w:val="fr-FR"/>
        </w:rPr>
        <w:t>/</w:t>
      </w:r>
      <w:r w:rsidRPr="0011532C">
        <w:rPr>
          <w:szCs w:val="18"/>
          <w:lang w:val="fr-FR"/>
        </w:rPr>
        <w:t>2013</w:t>
      </w:r>
      <w:r w:rsidRPr="00241EC7">
        <w:rPr>
          <w:rtl/>
        </w:rPr>
        <w:t xml:space="preserve">)، الفقرة </w:t>
      </w:r>
      <w:r w:rsidRPr="0011532C">
        <w:rPr>
          <w:szCs w:val="18"/>
          <w:rtl/>
        </w:rPr>
        <w:t>8</w:t>
      </w:r>
      <w:r w:rsidRPr="00241EC7">
        <w:rPr>
          <w:rtl/>
        </w:rPr>
        <w:t>-</w:t>
      </w:r>
      <w:r w:rsidRPr="0011532C">
        <w:rPr>
          <w:szCs w:val="18"/>
          <w:rtl/>
        </w:rPr>
        <w:t>4</w:t>
      </w:r>
      <w:r w:rsidRPr="00241EC7">
        <w:rPr>
          <w:rtl/>
        </w:rPr>
        <w:t xml:space="preserve">؛ وقضية </w:t>
      </w:r>
      <w:r w:rsidRPr="00241EC7">
        <w:rPr>
          <w:i/>
          <w:iCs/>
          <w:rtl/>
        </w:rPr>
        <w:t>غارسيا بيريا وآخرون ضد النمسا</w:t>
      </w:r>
      <w:r w:rsidRPr="00241EC7">
        <w:rPr>
          <w:rtl/>
        </w:rPr>
        <w:t xml:space="preserve"> (</w:t>
      </w:r>
      <w:r w:rsidRPr="00241EC7">
        <w:rPr>
          <w:lang w:val="fr-FR"/>
        </w:rPr>
        <w:t>CCPR/C/</w:t>
      </w:r>
      <w:r w:rsidRPr="0011532C">
        <w:rPr>
          <w:szCs w:val="18"/>
          <w:lang w:val="fr-FR"/>
        </w:rPr>
        <w:t>95</w:t>
      </w:r>
      <w:r w:rsidRPr="00241EC7">
        <w:rPr>
          <w:lang w:val="fr-FR"/>
        </w:rPr>
        <w:t>/D/</w:t>
      </w:r>
      <w:r w:rsidRPr="0011532C">
        <w:rPr>
          <w:szCs w:val="18"/>
          <w:lang w:val="fr-FR"/>
        </w:rPr>
        <w:t>1511</w:t>
      </w:r>
      <w:r w:rsidRPr="00241EC7">
        <w:rPr>
          <w:lang w:val="fr-FR"/>
        </w:rPr>
        <w:t>/</w:t>
      </w:r>
      <w:r w:rsidRPr="0011532C">
        <w:rPr>
          <w:szCs w:val="18"/>
          <w:lang w:val="fr-FR"/>
        </w:rPr>
        <w:t>2006</w:t>
      </w:r>
      <w:r w:rsidRPr="00241EC7">
        <w:rPr>
          <w:rtl/>
        </w:rPr>
        <w:t xml:space="preserve">)، الفقرة </w:t>
      </w:r>
      <w:r w:rsidRPr="0011532C">
        <w:rPr>
          <w:szCs w:val="18"/>
          <w:rtl/>
        </w:rPr>
        <w:t>6</w:t>
      </w:r>
      <w:r w:rsidRPr="00241EC7">
        <w:rPr>
          <w:rtl/>
        </w:rPr>
        <w:t>-</w:t>
      </w:r>
      <w:r w:rsidRPr="0011532C">
        <w:rPr>
          <w:szCs w:val="18"/>
          <w:rtl/>
        </w:rPr>
        <w:t>2</w:t>
      </w:r>
      <w:r w:rsidRPr="00241EC7">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1957" w14:textId="77777777" w:rsidR="005719A2" w:rsidRPr="00193EB1" w:rsidRDefault="00193EB1" w:rsidP="00193EB1">
    <w:pPr>
      <w:pStyle w:val="Header"/>
      <w:jc w:val="right"/>
    </w:pPr>
    <w:r w:rsidRPr="00193EB1">
      <w:t>E/C.12/68/D/149/2019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0866" w14:textId="77777777" w:rsidR="005719A2" w:rsidRPr="00193EB1" w:rsidRDefault="00193EB1" w:rsidP="00193EB1">
    <w:pPr>
      <w:pStyle w:val="Header"/>
      <w:jc w:val="left"/>
    </w:pPr>
    <w:r w:rsidRPr="00193EB1">
      <w:t>E/C.12/68/D/149/2019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CF1D9E"/>
    <w:rsid w:val="00005B44"/>
    <w:rsid w:val="000076D5"/>
    <w:rsid w:val="00043663"/>
    <w:rsid w:val="000505CF"/>
    <w:rsid w:val="000D701C"/>
    <w:rsid w:val="000E2A71"/>
    <w:rsid w:val="000E524A"/>
    <w:rsid w:val="0011532C"/>
    <w:rsid w:val="001163AC"/>
    <w:rsid w:val="001574D4"/>
    <w:rsid w:val="00160263"/>
    <w:rsid w:val="00160931"/>
    <w:rsid w:val="00181F96"/>
    <w:rsid w:val="00183FA7"/>
    <w:rsid w:val="00193EB1"/>
    <w:rsid w:val="001A1371"/>
    <w:rsid w:val="001B346A"/>
    <w:rsid w:val="001E1CAD"/>
    <w:rsid w:val="001E290D"/>
    <w:rsid w:val="002144FA"/>
    <w:rsid w:val="0023469A"/>
    <w:rsid w:val="00241EC7"/>
    <w:rsid w:val="00243C8A"/>
    <w:rsid w:val="00267A0E"/>
    <w:rsid w:val="002901D9"/>
    <w:rsid w:val="002976C2"/>
    <w:rsid w:val="002B6985"/>
    <w:rsid w:val="00325CC1"/>
    <w:rsid w:val="003260FF"/>
    <w:rsid w:val="00343583"/>
    <w:rsid w:val="00343D95"/>
    <w:rsid w:val="00353519"/>
    <w:rsid w:val="00374341"/>
    <w:rsid w:val="00393491"/>
    <w:rsid w:val="003D1062"/>
    <w:rsid w:val="003E159A"/>
    <w:rsid w:val="004205C7"/>
    <w:rsid w:val="00420D7B"/>
    <w:rsid w:val="00450B21"/>
    <w:rsid w:val="00453B63"/>
    <w:rsid w:val="00454038"/>
    <w:rsid w:val="00455780"/>
    <w:rsid w:val="004B0A1C"/>
    <w:rsid w:val="004C6FD8"/>
    <w:rsid w:val="004D298E"/>
    <w:rsid w:val="004E32F4"/>
    <w:rsid w:val="00502720"/>
    <w:rsid w:val="00517BC9"/>
    <w:rsid w:val="00527E4C"/>
    <w:rsid w:val="0054472E"/>
    <w:rsid w:val="0054762C"/>
    <w:rsid w:val="005662A9"/>
    <w:rsid w:val="005719A2"/>
    <w:rsid w:val="005817D9"/>
    <w:rsid w:val="005827D4"/>
    <w:rsid w:val="00591D95"/>
    <w:rsid w:val="0059622A"/>
    <w:rsid w:val="005C5878"/>
    <w:rsid w:val="005C7CEA"/>
    <w:rsid w:val="005D3C0B"/>
    <w:rsid w:val="005E5217"/>
    <w:rsid w:val="005F0FA4"/>
    <w:rsid w:val="005F30EE"/>
    <w:rsid w:val="0060473A"/>
    <w:rsid w:val="00606EDF"/>
    <w:rsid w:val="00640478"/>
    <w:rsid w:val="00656392"/>
    <w:rsid w:val="00670CBA"/>
    <w:rsid w:val="0068781D"/>
    <w:rsid w:val="006959B0"/>
    <w:rsid w:val="006A5C1C"/>
    <w:rsid w:val="006B3E27"/>
    <w:rsid w:val="006B6507"/>
    <w:rsid w:val="006C104C"/>
    <w:rsid w:val="006F1FE5"/>
    <w:rsid w:val="00733704"/>
    <w:rsid w:val="00740188"/>
    <w:rsid w:val="0078071A"/>
    <w:rsid w:val="007A70BB"/>
    <w:rsid w:val="008224F4"/>
    <w:rsid w:val="00852A9A"/>
    <w:rsid w:val="00871544"/>
    <w:rsid w:val="008930DB"/>
    <w:rsid w:val="00895D16"/>
    <w:rsid w:val="008C5EF2"/>
    <w:rsid w:val="008F49E1"/>
    <w:rsid w:val="0090370F"/>
    <w:rsid w:val="009269D2"/>
    <w:rsid w:val="00942135"/>
    <w:rsid w:val="009521B0"/>
    <w:rsid w:val="009A7E9F"/>
    <w:rsid w:val="009E5018"/>
    <w:rsid w:val="00A12B37"/>
    <w:rsid w:val="00A15059"/>
    <w:rsid w:val="00A50EC0"/>
    <w:rsid w:val="00A74331"/>
    <w:rsid w:val="00AB6758"/>
    <w:rsid w:val="00AC7E2F"/>
    <w:rsid w:val="00B00EDE"/>
    <w:rsid w:val="00B13763"/>
    <w:rsid w:val="00B202C0"/>
    <w:rsid w:val="00B26D00"/>
    <w:rsid w:val="00B477A4"/>
    <w:rsid w:val="00B54045"/>
    <w:rsid w:val="00BA45B4"/>
    <w:rsid w:val="00C022F5"/>
    <w:rsid w:val="00C200DB"/>
    <w:rsid w:val="00C438D7"/>
    <w:rsid w:val="00C53FE8"/>
    <w:rsid w:val="00C81B50"/>
    <w:rsid w:val="00CA655B"/>
    <w:rsid w:val="00CB3C3C"/>
    <w:rsid w:val="00CD1801"/>
    <w:rsid w:val="00CF1D9E"/>
    <w:rsid w:val="00D10EF1"/>
    <w:rsid w:val="00D42810"/>
    <w:rsid w:val="00D768FD"/>
    <w:rsid w:val="00D914A7"/>
    <w:rsid w:val="00DC06D0"/>
    <w:rsid w:val="00DD13C3"/>
    <w:rsid w:val="00DD14F4"/>
    <w:rsid w:val="00DD596E"/>
    <w:rsid w:val="00DD621E"/>
    <w:rsid w:val="00DF0575"/>
    <w:rsid w:val="00E32CB2"/>
    <w:rsid w:val="00E70E04"/>
    <w:rsid w:val="00E90E48"/>
    <w:rsid w:val="00EC05A7"/>
    <w:rsid w:val="00EC4B6B"/>
    <w:rsid w:val="00ED7442"/>
    <w:rsid w:val="00EE0B18"/>
    <w:rsid w:val="00EE2AFF"/>
    <w:rsid w:val="00EF1EE5"/>
    <w:rsid w:val="00F367AA"/>
    <w:rsid w:val="00F455BD"/>
    <w:rsid w:val="00F73B4D"/>
    <w:rsid w:val="00F763B4"/>
    <w:rsid w:val="00F900C3"/>
    <w:rsid w:val="00F92FA5"/>
    <w:rsid w:val="00FB02C2"/>
    <w:rsid w:val="00FC75D1"/>
    <w:rsid w:val="00FD4BC9"/>
    <w:rsid w:val="00FF157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AD6EEC"/>
  <w15:docId w15:val="{709965C2-9A53-4168-827B-FD59DB06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1163AC"/>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1163AC"/>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hAnsiTheme="minorHAnsi"/>
      <w:b/>
      <w:sz w:val="28"/>
      <w:lang w:val="fr-CH" w:eastAsia="zh-CN"/>
    </w:rPr>
  </w:style>
  <w:style w:type="paragraph" w:customStyle="1" w:styleId="H1G">
    <w:name w:val="_ H_1_G"/>
    <w:basedOn w:val="Normal"/>
    <w:next w:val="Normal"/>
    <w:link w:val="H1GChar"/>
    <w:qFormat/>
    <w:rsid w:val="001163AC"/>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hAnsiTheme="minorHAnsi"/>
      <w:b/>
      <w:sz w:val="24"/>
      <w:lang w:val="fr-CH" w:eastAsia="zh-CN"/>
    </w:rPr>
  </w:style>
  <w:style w:type="paragraph" w:customStyle="1" w:styleId="H23G">
    <w:name w:val="_ H_2/3_G"/>
    <w:basedOn w:val="Normal"/>
    <w:next w:val="Normal"/>
    <w:qFormat/>
    <w:rsid w:val="001163AC"/>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Theme="minorHAnsi" w:hint="cs"/>
      <w:b/>
      <w:lang w:val="fr-CH" w:eastAsia="zh-CN"/>
    </w:rPr>
  </w:style>
  <w:style w:type="paragraph" w:customStyle="1" w:styleId="SingleTxtG">
    <w:name w:val="_ Single Txt_G"/>
    <w:basedOn w:val="Normal"/>
    <w:link w:val="SingleTxtGChar"/>
    <w:qFormat/>
    <w:rsid w:val="001163AC"/>
    <w:pPr>
      <w:suppressAutoHyphens/>
      <w:kinsoku w:val="0"/>
      <w:overflowPunct w:val="0"/>
      <w:autoSpaceDE w:val="0"/>
      <w:autoSpaceDN w:val="0"/>
      <w:bidi w:val="0"/>
      <w:adjustRightInd w:val="0"/>
      <w:snapToGrid w:val="0"/>
      <w:spacing w:after="120"/>
      <w:ind w:left="1134" w:right="1134"/>
      <w:jc w:val="both"/>
    </w:pPr>
    <w:rPr>
      <w:rFonts w:hAnsiTheme="minorHAnsi"/>
      <w:lang w:val="fr-CH" w:eastAsia="zh-CN"/>
    </w:rPr>
  </w:style>
  <w:style w:type="character" w:customStyle="1" w:styleId="HChGChar">
    <w:name w:val="_ H _Ch_G Char"/>
    <w:link w:val="HChG"/>
    <w:locked/>
    <w:rsid w:val="001163AC"/>
    <w:rPr>
      <w:rFonts w:ascii="Times New Roman" w:cs="Traditional Arabic"/>
      <w:b/>
      <w:sz w:val="28"/>
      <w:szCs w:val="30"/>
      <w:lang w:val="fr-CH" w:eastAsia="zh-CN"/>
    </w:rPr>
  </w:style>
  <w:style w:type="character" w:customStyle="1" w:styleId="H1GChar">
    <w:name w:val="_ H_1_G Char"/>
    <w:link w:val="H1G"/>
    <w:locked/>
    <w:rsid w:val="001163AC"/>
    <w:rPr>
      <w:rFonts w:ascii="Times New Roman" w:cs="Traditional Arabic"/>
      <w:b/>
      <w:sz w:val="24"/>
      <w:szCs w:val="30"/>
      <w:lang w:val="fr-CH" w:eastAsia="zh-CN"/>
    </w:rPr>
  </w:style>
  <w:style w:type="character" w:customStyle="1" w:styleId="SingleTxtGChar">
    <w:name w:val="_ Single Txt_G Char"/>
    <w:link w:val="SingleTxtG"/>
    <w:rsid w:val="001163AC"/>
    <w:rPr>
      <w:rFonts w:ascii="Times New Roman" w:cs="Traditional Arabic"/>
      <w:sz w:val="20"/>
      <w:szCs w:val="3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33EB-22BF-4768-BE75-21B46C2A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4</TotalTime>
  <Pages>8</Pages>
  <Words>2858</Words>
  <Characters>14178</Characters>
  <Application>Microsoft Office Word</Application>
  <DocSecurity>0</DocSecurity>
  <Lines>236</Lines>
  <Paragraphs>88</Paragraphs>
  <ScaleCrop>false</ScaleCrop>
  <HeadingPairs>
    <vt:vector size="2" baseType="variant">
      <vt:variant>
        <vt:lpstr>Title</vt:lpstr>
      </vt:variant>
      <vt:variant>
        <vt:i4>1</vt:i4>
      </vt:variant>
    </vt:vector>
  </HeadingPairs>
  <TitlesOfParts>
    <vt:vector size="1" baseType="lpstr">
      <vt:lpstr>E/C.12/68/D/149/2019</vt:lpstr>
    </vt:vector>
  </TitlesOfParts>
  <Company>DCM</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E/C.12/68/D/149/2019</dc:title>
  <dc:subject>GE.2015045A</dc:subject>
  <dc:creator>IHRZ</dc:creator>
  <cp:keywords>ODS No.2030539</cp:keywords>
  <dc:description>Original: English _x000d_
Distribution: General_x000d_
Date:</dc:description>
  <cp:lastModifiedBy>Ibrahim Balan</cp:lastModifiedBy>
  <cp:revision>4</cp:revision>
  <dcterms:created xsi:type="dcterms:W3CDTF">2020-11-24T08:02:00Z</dcterms:created>
  <dcterms:modified xsi:type="dcterms:W3CDTF">2020-11-24T08:36:00Z</dcterms:modified>
  <cp:category>Final</cp:category>
</cp:coreProperties>
</file>