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0B3CCC59" w14:textId="77777777" w:rsidTr="009A5790">
        <w:trPr>
          <w:trHeight w:hRule="exact" w:val="851"/>
        </w:trPr>
        <w:tc>
          <w:tcPr>
            <w:tcW w:w="1280" w:type="dxa"/>
            <w:tcBorders>
              <w:bottom w:val="single" w:sz="4" w:space="0" w:color="auto"/>
            </w:tcBorders>
          </w:tcPr>
          <w:p w14:paraId="3E856C34" w14:textId="77777777" w:rsidR="002D5AAC" w:rsidRDefault="002D5AAC" w:rsidP="001B4E3F"/>
        </w:tc>
        <w:tc>
          <w:tcPr>
            <w:tcW w:w="2273" w:type="dxa"/>
            <w:tcBorders>
              <w:bottom w:val="single" w:sz="4" w:space="0" w:color="auto"/>
            </w:tcBorders>
            <w:vAlign w:val="bottom"/>
          </w:tcPr>
          <w:p w14:paraId="1F94E933" w14:textId="77777777" w:rsidR="002D5AAC" w:rsidRPr="00BD33EE" w:rsidRDefault="00BD33EE" w:rsidP="001B4E3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EC308FE" w14:textId="77777777" w:rsidR="002D5AAC" w:rsidRDefault="002E05FC" w:rsidP="00CE03D3">
            <w:pPr>
              <w:jc w:val="right"/>
            </w:pPr>
            <w:r w:rsidRPr="002E05FC">
              <w:rPr>
                <w:sz w:val="40"/>
              </w:rPr>
              <w:t>E</w:t>
            </w:r>
            <w:r>
              <w:t>/C.12/66/</w:t>
            </w:r>
            <w:r w:rsidR="00CE03D3">
              <w:t>3</w:t>
            </w:r>
          </w:p>
        </w:tc>
      </w:tr>
      <w:tr w:rsidR="002D5AAC" w14:paraId="0BB7424F" w14:textId="77777777" w:rsidTr="009A5790">
        <w:trPr>
          <w:trHeight w:hRule="exact" w:val="2835"/>
        </w:trPr>
        <w:tc>
          <w:tcPr>
            <w:tcW w:w="1280" w:type="dxa"/>
            <w:tcBorders>
              <w:top w:val="single" w:sz="4" w:space="0" w:color="auto"/>
              <w:bottom w:val="single" w:sz="12" w:space="0" w:color="auto"/>
            </w:tcBorders>
          </w:tcPr>
          <w:p w14:paraId="36781E2A" w14:textId="77777777" w:rsidR="002D5AAC" w:rsidRDefault="00100922" w:rsidP="001B4E3F">
            <w:pPr>
              <w:spacing w:before="120"/>
              <w:jc w:val="center"/>
            </w:pPr>
            <w:r>
              <w:rPr>
                <w:noProof/>
                <w:lang w:val="en-GB" w:eastAsia="en-GB"/>
              </w:rPr>
              <w:drawing>
                <wp:inline distT="0" distB="0" distL="0" distR="0" wp14:anchorId="60BA4606" wp14:editId="651D3450">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92A1510" w14:textId="77777777" w:rsidR="002D5AAC" w:rsidRPr="009A5790" w:rsidRDefault="009A5790" w:rsidP="001B4E3F">
            <w:pPr>
              <w:spacing w:before="120" w:line="440" w:lineRule="exact"/>
              <w:rPr>
                <w:b/>
                <w:sz w:val="40"/>
                <w:szCs w:val="40"/>
                <w:lang w:val="es-419"/>
              </w:rPr>
            </w:pPr>
            <w:r>
              <w:rPr>
                <w:b/>
                <w:sz w:val="40"/>
                <w:szCs w:val="40"/>
              </w:rPr>
              <w:t>Consejo Econ</w:t>
            </w:r>
            <w:r>
              <w:rPr>
                <w:b/>
                <w:sz w:val="40"/>
                <w:szCs w:val="40"/>
                <w:lang w:val="es-419"/>
              </w:rPr>
              <w:t>ómico y Social</w:t>
            </w:r>
          </w:p>
        </w:tc>
        <w:tc>
          <w:tcPr>
            <w:tcW w:w="2819" w:type="dxa"/>
            <w:tcBorders>
              <w:top w:val="single" w:sz="4" w:space="0" w:color="auto"/>
              <w:bottom w:val="single" w:sz="12" w:space="0" w:color="auto"/>
            </w:tcBorders>
          </w:tcPr>
          <w:p w14:paraId="1E76DE8E" w14:textId="77777777" w:rsidR="002D5AAC" w:rsidRPr="0084145B" w:rsidRDefault="002E05FC" w:rsidP="002E05FC">
            <w:pPr>
              <w:spacing w:before="240" w:line="240" w:lineRule="exact"/>
            </w:pPr>
            <w:r w:rsidRPr="0084145B">
              <w:t xml:space="preserve">Distr. </w:t>
            </w:r>
            <w:r w:rsidR="00BC157F">
              <w:t>general</w:t>
            </w:r>
          </w:p>
          <w:p w14:paraId="5144BBF6" w14:textId="77777777" w:rsidR="002E05FC" w:rsidRPr="0084145B" w:rsidRDefault="00997F2E" w:rsidP="009A3146">
            <w:pPr>
              <w:spacing w:line="240" w:lineRule="exact"/>
            </w:pPr>
            <w:r>
              <w:t xml:space="preserve">29 </w:t>
            </w:r>
            <w:r w:rsidR="00BC157F">
              <w:t xml:space="preserve">de </w:t>
            </w:r>
            <w:r w:rsidR="008D1B6A">
              <w:t>noviembre</w:t>
            </w:r>
            <w:r w:rsidR="0084145B" w:rsidRPr="0084145B">
              <w:t xml:space="preserve"> </w:t>
            </w:r>
            <w:r w:rsidR="002E05FC" w:rsidRPr="0084145B">
              <w:t>de 2019</w:t>
            </w:r>
          </w:p>
          <w:p w14:paraId="54EBA60E" w14:textId="77777777" w:rsidR="002E05FC" w:rsidRPr="0084145B" w:rsidRDefault="002E05FC" w:rsidP="002E05FC">
            <w:pPr>
              <w:spacing w:line="240" w:lineRule="exact"/>
            </w:pPr>
          </w:p>
          <w:p w14:paraId="6F4E512F" w14:textId="77777777" w:rsidR="002E05FC" w:rsidRPr="0084145B" w:rsidRDefault="002E05FC" w:rsidP="002E05FC">
            <w:pPr>
              <w:spacing w:line="240" w:lineRule="exact"/>
            </w:pPr>
            <w:r w:rsidRPr="0084145B">
              <w:t>Original: español</w:t>
            </w:r>
          </w:p>
          <w:p w14:paraId="2A8D59B5" w14:textId="77777777" w:rsidR="009A5790" w:rsidRDefault="009A5790" w:rsidP="009A5790">
            <w:pPr>
              <w:spacing w:line="240" w:lineRule="exact"/>
            </w:pPr>
          </w:p>
        </w:tc>
      </w:tr>
    </w:tbl>
    <w:p w14:paraId="1077841A" w14:textId="77777777" w:rsidR="009A5790" w:rsidRPr="0084145B" w:rsidRDefault="009A5790" w:rsidP="009A5790">
      <w:pPr>
        <w:spacing w:before="120"/>
      </w:pPr>
      <w:r w:rsidRPr="0084145B">
        <w:rPr>
          <w:b/>
          <w:sz w:val="24"/>
        </w:rPr>
        <w:t>Comité de Derechos Económicos, Sociales y Culturales</w:t>
      </w:r>
    </w:p>
    <w:p w14:paraId="5413A426" w14:textId="77777777" w:rsidR="009A5790" w:rsidRDefault="009A5790">
      <w:pPr>
        <w:pStyle w:val="HChG"/>
        <w:rPr>
          <w:sz w:val="20"/>
        </w:rPr>
      </w:pPr>
      <w:r w:rsidRPr="0084145B">
        <w:tab/>
      </w:r>
      <w:r w:rsidRPr="0084145B">
        <w:tab/>
      </w:r>
      <w:r w:rsidR="00BC157F">
        <w:t>Informe</w:t>
      </w:r>
      <w:r w:rsidRPr="0084145B">
        <w:t xml:space="preserve"> sobre el segu</w:t>
      </w:r>
      <w:r w:rsidR="00F237D1" w:rsidRPr="0084145B">
        <w:t xml:space="preserve">imiento de las comunicaciones </w:t>
      </w:r>
      <w:r w:rsidR="008032AA" w:rsidRPr="0084145B">
        <w:t>núms.</w:t>
      </w:r>
      <w:r w:rsidR="00617028">
        <w:t> </w:t>
      </w:r>
      <w:r w:rsidRPr="0084145B">
        <w:t>2/2014 y 5/2015 contra España</w:t>
      </w:r>
      <w:r w:rsidR="00BC157F" w:rsidRPr="00CA36B1">
        <w:rPr>
          <w:rStyle w:val="Refdenotaalpie"/>
          <w:b w:val="0"/>
          <w:sz w:val="20"/>
          <w:vertAlign w:val="baseline"/>
        </w:rPr>
        <w:footnoteReference w:customMarkFollows="1" w:id="1"/>
        <w:t>*</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620E43" w:rsidRPr="00620E43" w14:paraId="75947B10" w14:textId="77777777" w:rsidTr="003E567F">
        <w:tc>
          <w:tcPr>
            <w:tcW w:w="4814" w:type="dxa"/>
            <w:tcBorders>
              <w:top w:val="single" w:sz="4" w:space="0" w:color="auto"/>
              <w:bottom w:val="single" w:sz="12" w:space="0" w:color="auto"/>
            </w:tcBorders>
            <w:shd w:val="clear" w:color="auto" w:fill="auto"/>
            <w:vAlign w:val="bottom"/>
          </w:tcPr>
          <w:p w14:paraId="108D2352" w14:textId="77777777" w:rsidR="00620E43" w:rsidRPr="0094053D" w:rsidRDefault="00620E43">
            <w:pPr>
              <w:suppressAutoHyphens w:val="0"/>
              <w:spacing w:before="80" w:after="80" w:line="200" w:lineRule="exact"/>
              <w:rPr>
                <w:bCs/>
                <w:i/>
                <w:spacing w:val="4"/>
                <w:w w:val="103"/>
                <w:kern w:val="14"/>
                <w:sz w:val="16"/>
              </w:rPr>
            </w:pPr>
            <w:r w:rsidRPr="000E3A06">
              <w:rPr>
                <w:rFonts w:eastAsia="SimSun"/>
                <w:bCs/>
                <w:i/>
                <w:iCs/>
                <w:spacing w:val="4"/>
                <w:w w:val="103"/>
                <w:kern w:val="14"/>
                <w:sz w:val="16"/>
                <w:lang w:eastAsia="en-US"/>
              </w:rPr>
              <w:t xml:space="preserve">Comunicación </w:t>
            </w:r>
            <w:r w:rsidR="008032AA" w:rsidRPr="000E3A06">
              <w:rPr>
                <w:rFonts w:eastAsia="SimSun"/>
                <w:bCs/>
                <w:i/>
                <w:iCs/>
                <w:spacing w:val="4"/>
                <w:w w:val="103"/>
                <w:kern w:val="14"/>
                <w:sz w:val="16"/>
                <w:lang w:eastAsia="en-US"/>
              </w:rPr>
              <w:t>núm</w:t>
            </w:r>
            <w:r w:rsidRPr="000E3A06">
              <w:rPr>
                <w:rFonts w:eastAsia="SimSun"/>
                <w:bCs/>
                <w:i/>
                <w:iCs/>
                <w:spacing w:val="4"/>
                <w:w w:val="103"/>
                <w:kern w:val="14"/>
                <w:sz w:val="16"/>
                <w:lang w:eastAsia="en-US"/>
              </w:rPr>
              <w:t>. 2/2014, I</w:t>
            </w:r>
            <w:r w:rsidR="008032AA" w:rsidRPr="000E3A06">
              <w:rPr>
                <w:rFonts w:eastAsia="SimSun"/>
                <w:bCs/>
                <w:i/>
                <w:iCs/>
                <w:spacing w:val="4"/>
                <w:w w:val="103"/>
                <w:kern w:val="14"/>
                <w:sz w:val="16"/>
                <w:lang w:eastAsia="en-US"/>
              </w:rPr>
              <w:t xml:space="preserve">. </w:t>
            </w:r>
            <w:r w:rsidRPr="000E3A06">
              <w:rPr>
                <w:rFonts w:eastAsia="SimSun"/>
                <w:bCs/>
                <w:i/>
                <w:iCs/>
                <w:spacing w:val="4"/>
                <w:w w:val="103"/>
                <w:kern w:val="14"/>
                <w:sz w:val="16"/>
                <w:lang w:eastAsia="en-US"/>
              </w:rPr>
              <w:t>D</w:t>
            </w:r>
            <w:r w:rsidR="008032AA" w:rsidRPr="000E3A06">
              <w:rPr>
                <w:rFonts w:eastAsia="SimSun"/>
                <w:bCs/>
                <w:i/>
                <w:iCs/>
                <w:spacing w:val="4"/>
                <w:w w:val="103"/>
                <w:kern w:val="14"/>
                <w:sz w:val="16"/>
                <w:lang w:eastAsia="en-US"/>
              </w:rPr>
              <w:t xml:space="preserve">. </w:t>
            </w:r>
            <w:r w:rsidRPr="000E3A06">
              <w:rPr>
                <w:rFonts w:eastAsia="SimSun"/>
                <w:bCs/>
                <w:i/>
                <w:iCs/>
                <w:spacing w:val="4"/>
                <w:w w:val="103"/>
                <w:kern w:val="14"/>
                <w:sz w:val="16"/>
                <w:lang w:eastAsia="en-US"/>
              </w:rPr>
              <w:t>G</w:t>
            </w:r>
            <w:r w:rsidR="008032AA" w:rsidRPr="000E3A06">
              <w:rPr>
                <w:rFonts w:eastAsia="SimSun"/>
                <w:bCs/>
                <w:i/>
                <w:iCs/>
                <w:spacing w:val="4"/>
                <w:w w:val="103"/>
                <w:kern w:val="14"/>
                <w:sz w:val="16"/>
                <w:lang w:eastAsia="en-US"/>
              </w:rPr>
              <w:t>.</w:t>
            </w:r>
            <w:r w:rsidRPr="000E3A06">
              <w:rPr>
                <w:rFonts w:eastAsia="SimSun"/>
                <w:bCs/>
                <w:i/>
                <w:iCs/>
                <w:spacing w:val="4"/>
                <w:w w:val="103"/>
                <w:kern w:val="14"/>
                <w:sz w:val="16"/>
                <w:lang w:eastAsia="en-US"/>
              </w:rPr>
              <w:t xml:space="preserve"> c. España</w:t>
            </w:r>
          </w:p>
        </w:tc>
        <w:tc>
          <w:tcPr>
            <w:tcW w:w="4814" w:type="dxa"/>
            <w:tcBorders>
              <w:top w:val="single" w:sz="4" w:space="0" w:color="auto"/>
              <w:bottom w:val="single" w:sz="12" w:space="0" w:color="auto"/>
            </w:tcBorders>
            <w:shd w:val="clear" w:color="auto" w:fill="auto"/>
            <w:vAlign w:val="bottom"/>
          </w:tcPr>
          <w:p w14:paraId="1190A848" w14:textId="77777777" w:rsidR="00620E43" w:rsidRPr="00620E43" w:rsidRDefault="00620E43" w:rsidP="00620E43">
            <w:pPr>
              <w:suppressAutoHyphens w:val="0"/>
              <w:spacing w:before="80" w:after="80" w:line="200" w:lineRule="exact"/>
              <w:rPr>
                <w:i/>
                <w:spacing w:val="4"/>
                <w:w w:val="103"/>
                <w:kern w:val="14"/>
                <w:sz w:val="16"/>
              </w:rPr>
            </w:pPr>
          </w:p>
        </w:tc>
      </w:tr>
      <w:tr w:rsidR="00620E43" w:rsidRPr="00620E43" w14:paraId="15FB1B0C" w14:textId="77777777" w:rsidTr="003E567F">
        <w:trPr>
          <w:trHeight w:hRule="exact" w:val="113"/>
        </w:trPr>
        <w:tc>
          <w:tcPr>
            <w:tcW w:w="4814" w:type="dxa"/>
            <w:tcBorders>
              <w:top w:val="single" w:sz="12" w:space="0" w:color="auto"/>
            </w:tcBorders>
            <w:shd w:val="clear" w:color="auto" w:fill="auto"/>
            <w:vAlign w:val="bottom"/>
          </w:tcPr>
          <w:p w14:paraId="5C421BC2" w14:textId="77777777" w:rsidR="00620E43" w:rsidRPr="0094053D" w:rsidRDefault="00620E43" w:rsidP="00620E43">
            <w:pPr>
              <w:spacing w:before="80" w:after="80" w:line="200" w:lineRule="exact"/>
              <w:ind w:right="113"/>
              <w:rPr>
                <w:b/>
                <w:i/>
                <w:sz w:val="16"/>
              </w:rPr>
            </w:pPr>
          </w:p>
        </w:tc>
        <w:tc>
          <w:tcPr>
            <w:tcW w:w="4814" w:type="dxa"/>
            <w:tcBorders>
              <w:top w:val="single" w:sz="12" w:space="0" w:color="auto"/>
            </w:tcBorders>
            <w:shd w:val="clear" w:color="auto" w:fill="auto"/>
            <w:vAlign w:val="bottom"/>
          </w:tcPr>
          <w:p w14:paraId="6F2FC08F" w14:textId="77777777" w:rsidR="00620E43" w:rsidRPr="00620E43" w:rsidRDefault="00620E43" w:rsidP="00620E43">
            <w:pPr>
              <w:spacing w:before="80" w:after="80" w:line="200" w:lineRule="exact"/>
              <w:ind w:right="113"/>
              <w:rPr>
                <w:i/>
                <w:sz w:val="16"/>
              </w:rPr>
            </w:pPr>
          </w:p>
        </w:tc>
      </w:tr>
      <w:tr w:rsidR="00620E43" w:rsidRPr="00620E43" w14:paraId="1544B6A9" w14:textId="77777777" w:rsidTr="003E567F">
        <w:tc>
          <w:tcPr>
            <w:tcW w:w="4814" w:type="dxa"/>
            <w:shd w:val="clear" w:color="auto" w:fill="auto"/>
          </w:tcPr>
          <w:p w14:paraId="5D4960D1" w14:textId="77777777" w:rsidR="00620E43" w:rsidRPr="0094053D" w:rsidRDefault="00620E43" w:rsidP="00620E43">
            <w:pPr>
              <w:spacing w:before="40" w:after="120"/>
              <w:ind w:right="113"/>
              <w:rPr>
                <w:b/>
              </w:rPr>
            </w:pPr>
            <w:r w:rsidRPr="0094053D">
              <w:rPr>
                <w:rFonts w:eastAsia="SimSun"/>
                <w:b/>
                <w:lang w:eastAsia="en-US"/>
              </w:rPr>
              <w:t>Dictamen aprobado:</w:t>
            </w:r>
          </w:p>
        </w:tc>
        <w:tc>
          <w:tcPr>
            <w:tcW w:w="4814" w:type="dxa"/>
            <w:shd w:val="clear" w:color="auto" w:fill="auto"/>
          </w:tcPr>
          <w:p w14:paraId="63141A60" w14:textId="77777777" w:rsidR="00620E43" w:rsidRPr="00620E43" w:rsidRDefault="00620E43" w:rsidP="00620E43">
            <w:pPr>
              <w:spacing w:before="40" w:after="120"/>
              <w:ind w:right="113"/>
            </w:pPr>
            <w:r w:rsidRPr="0094053D">
              <w:rPr>
                <w:rFonts w:eastAsia="SimSun"/>
                <w:lang w:eastAsia="en-US"/>
              </w:rPr>
              <w:t>17 de junio de 2015</w:t>
            </w:r>
          </w:p>
        </w:tc>
      </w:tr>
      <w:tr w:rsidR="00620E43" w:rsidRPr="00620E43" w14:paraId="5B71D2AB" w14:textId="77777777" w:rsidTr="003E567F">
        <w:tc>
          <w:tcPr>
            <w:tcW w:w="4814" w:type="dxa"/>
            <w:shd w:val="clear" w:color="auto" w:fill="auto"/>
          </w:tcPr>
          <w:p w14:paraId="08202673" w14:textId="77777777" w:rsidR="00620E43" w:rsidRPr="0094053D" w:rsidRDefault="00620E43" w:rsidP="00620E43">
            <w:pPr>
              <w:spacing w:before="40" w:after="120"/>
              <w:ind w:right="113"/>
              <w:rPr>
                <w:b/>
              </w:rPr>
            </w:pPr>
            <w:r w:rsidRPr="0094053D">
              <w:rPr>
                <w:rFonts w:eastAsia="SimSun"/>
                <w:b/>
                <w:lang w:eastAsia="en-US"/>
              </w:rPr>
              <w:t>Contenido de la comunicación inicial:</w:t>
            </w:r>
          </w:p>
        </w:tc>
        <w:tc>
          <w:tcPr>
            <w:tcW w:w="4814" w:type="dxa"/>
            <w:shd w:val="clear" w:color="auto" w:fill="auto"/>
          </w:tcPr>
          <w:p w14:paraId="546FADF7" w14:textId="77777777" w:rsidR="00620E43" w:rsidRPr="00620E43" w:rsidRDefault="00620E43">
            <w:pPr>
              <w:spacing w:before="40" w:after="120"/>
              <w:ind w:right="113"/>
              <w:jc w:val="both"/>
            </w:pPr>
            <w:r>
              <w:rPr>
                <w:rFonts w:eastAsia="SimSun"/>
                <w:lang w:eastAsia="en-US"/>
              </w:rPr>
              <w:t>La vivienda de la</w:t>
            </w:r>
            <w:r w:rsidRPr="00DA51A5">
              <w:rPr>
                <w:rFonts w:eastAsia="SimSun"/>
                <w:lang w:eastAsia="en-US"/>
              </w:rPr>
              <w:t xml:space="preserve"> autora de la comunicación fue objeto de un procedimiento de ejecución hipotecaria</w:t>
            </w:r>
            <w:r>
              <w:rPr>
                <w:rFonts w:eastAsia="SimSun"/>
                <w:lang w:eastAsia="en-US"/>
              </w:rPr>
              <w:t>. S</w:t>
            </w:r>
            <w:r w:rsidRPr="00DA51A5">
              <w:rPr>
                <w:rFonts w:eastAsia="SimSun"/>
                <w:lang w:eastAsia="en-US"/>
              </w:rPr>
              <w:t xml:space="preserve">in embargo, </w:t>
            </w:r>
            <w:r>
              <w:rPr>
                <w:rFonts w:eastAsia="SimSun"/>
                <w:lang w:eastAsia="en-US"/>
              </w:rPr>
              <w:t xml:space="preserve">la autora </w:t>
            </w:r>
            <w:r w:rsidRPr="00DA51A5">
              <w:rPr>
                <w:rFonts w:eastAsia="SimSun"/>
                <w:lang w:eastAsia="en-US"/>
              </w:rPr>
              <w:t>no fue notificada</w:t>
            </w:r>
            <w:r>
              <w:rPr>
                <w:rFonts w:eastAsia="SimSun"/>
                <w:lang w:eastAsia="en-US"/>
              </w:rPr>
              <w:t xml:space="preserve"> personalmente</w:t>
            </w:r>
            <w:r w:rsidRPr="00DA51A5">
              <w:rPr>
                <w:rFonts w:eastAsia="SimSun"/>
                <w:lang w:eastAsia="en-US"/>
              </w:rPr>
              <w:t xml:space="preserve"> del inicio del procedimiento de ejecución, </w:t>
            </w:r>
            <w:r>
              <w:rPr>
                <w:rFonts w:eastAsia="SimSun"/>
                <w:lang w:eastAsia="en-US"/>
              </w:rPr>
              <w:t xml:space="preserve">sino que se utilizó una notificación por edicto en su lugar. La autora alega que no tuvo conocimiento de la notificación y </w:t>
            </w:r>
            <w:r w:rsidRPr="00DA51A5">
              <w:rPr>
                <w:rFonts w:eastAsia="SimSun"/>
                <w:lang w:eastAsia="en-US"/>
              </w:rPr>
              <w:t xml:space="preserve">no </w:t>
            </w:r>
            <w:r>
              <w:rPr>
                <w:rFonts w:eastAsia="SimSun"/>
                <w:lang w:eastAsia="en-US"/>
              </w:rPr>
              <w:t>pudo</w:t>
            </w:r>
            <w:r w:rsidRPr="00DA51A5">
              <w:rPr>
                <w:rFonts w:eastAsia="SimSun"/>
                <w:lang w:eastAsia="en-US"/>
              </w:rPr>
              <w:t xml:space="preserve"> personarse y efectuar una defensa respecto a la demanda de ejecución inmobiliaria.</w:t>
            </w:r>
            <w:r>
              <w:rPr>
                <w:rFonts w:eastAsia="SimSun"/>
                <w:lang w:eastAsia="en-US"/>
              </w:rPr>
              <w:t xml:space="preserve"> La autora considera que el uso de notificación por edicto supuso, en su caso, una violación de sus derechos contenidos en el artículo 11 del Pacto</w:t>
            </w:r>
            <w:r w:rsidRPr="00DA51A5">
              <w:rPr>
                <w:rFonts w:eastAsia="SimSun"/>
                <w:lang w:eastAsia="en-US"/>
              </w:rPr>
              <w:t xml:space="preserve"> (E/C.12/55/D/2/2014)</w:t>
            </w:r>
            <w:r>
              <w:rPr>
                <w:rFonts w:eastAsia="SimSun"/>
                <w:lang w:eastAsia="en-US"/>
              </w:rPr>
              <w:t>.</w:t>
            </w:r>
          </w:p>
        </w:tc>
      </w:tr>
      <w:tr w:rsidR="00620E43" w:rsidRPr="00620E43" w14:paraId="1D27587E" w14:textId="77777777" w:rsidTr="003E567F">
        <w:tc>
          <w:tcPr>
            <w:tcW w:w="4814" w:type="dxa"/>
            <w:shd w:val="clear" w:color="auto" w:fill="auto"/>
          </w:tcPr>
          <w:p w14:paraId="38ABC037" w14:textId="77777777" w:rsidR="00620E43" w:rsidRPr="0094053D" w:rsidRDefault="00620E43" w:rsidP="00620E43">
            <w:pPr>
              <w:spacing w:before="40" w:after="120"/>
              <w:ind w:right="113"/>
              <w:rPr>
                <w:b/>
              </w:rPr>
            </w:pPr>
            <w:r w:rsidRPr="0094053D">
              <w:rPr>
                <w:rFonts w:eastAsia="SimSun"/>
                <w:b/>
                <w:lang w:eastAsia="en-US"/>
              </w:rPr>
              <w:t>Artículo violado:</w:t>
            </w:r>
          </w:p>
        </w:tc>
        <w:tc>
          <w:tcPr>
            <w:tcW w:w="4814" w:type="dxa"/>
            <w:shd w:val="clear" w:color="auto" w:fill="auto"/>
          </w:tcPr>
          <w:p w14:paraId="2FF9CC82" w14:textId="77777777" w:rsidR="00620E43" w:rsidRPr="00620E43" w:rsidRDefault="00620E43" w:rsidP="00620E43">
            <w:pPr>
              <w:spacing w:before="40" w:after="120"/>
              <w:ind w:right="113"/>
            </w:pPr>
            <w:r>
              <w:rPr>
                <w:rFonts w:eastAsia="SimSun"/>
                <w:lang w:eastAsia="en-US"/>
              </w:rPr>
              <w:t>Artículo 11 del Pacto</w:t>
            </w:r>
          </w:p>
        </w:tc>
      </w:tr>
      <w:tr w:rsidR="00620E43" w:rsidRPr="00620E43" w14:paraId="1091838D" w14:textId="77777777" w:rsidTr="003E567F">
        <w:tc>
          <w:tcPr>
            <w:tcW w:w="4814" w:type="dxa"/>
            <w:shd w:val="clear" w:color="auto" w:fill="auto"/>
          </w:tcPr>
          <w:p w14:paraId="097A9545" w14:textId="77777777" w:rsidR="00620E43" w:rsidRPr="0094053D" w:rsidRDefault="00620E43" w:rsidP="00620E43">
            <w:pPr>
              <w:spacing w:before="40" w:after="120"/>
              <w:ind w:right="113"/>
              <w:rPr>
                <w:b/>
              </w:rPr>
            </w:pPr>
            <w:r w:rsidRPr="0094053D">
              <w:rPr>
                <w:rFonts w:eastAsia="SimSun"/>
                <w:b/>
                <w:lang w:eastAsia="en-US"/>
              </w:rPr>
              <w:t xml:space="preserve">Recomendaciones del Comité en relación </w:t>
            </w:r>
            <w:r w:rsidR="000E3A06">
              <w:rPr>
                <w:rFonts w:eastAsia="SimSun"/>
                <w:b/>
                <w:lang w:eastAsia="en-US"/>
              </w:rPr>
              <w:br/>
            </w:r>
            <w:r w:rsidRPr="0094053D">
              <w:rPr>
                <w:rFonts w:eastAsia="SimSun"/>
                <w:b/>
                <w:lang w:eastAsia="en-US"/>
              </w:rPr>
              <w:t>con la autora:</w:t>
            </w:r>
          </w:p>
        </w:tc>
        <w:tc>
          <w:tcPr>
            <w:tcW w:w="4814" w:type="dxa"/>
            <w:shd w:val="clear" w:color="auto" w:fill="auto"/>
          </w:tcPr>
          <w:p w14:paraId="3EBD3416" w14:textId="77777777" w:rsidR="006B6DF6" w:rsidRPr="00254AB0" w:rsidRDefault="00254AB0">
            <w:pPr>
              <w:spacing w:before="40" w:after="120"/>
              <w:ind w:right="113"/>
              <w:jc w:val="both"/>
              <w:rPr>
                <w:rFonts w:eastAsia="SimSun"/>
                <w:lang w:eastAsia="en-US"/>
              </w:rPr>
            </w:pPr>
            <w:r>
              <w:rPr>
                <w:rFonts w:eastAsia="SimSun"/>
                <w:lang w:eastAsia="en-US"/>
              </w:rPr>
              <w:t>a)</w:t>
            </w:r>
            <w:r>
              <w:rPr>
                <w:rFonts w:eastAsia="SimSun"/>
                <w:lang w:eastAsia="en-US"/>
              </w:rPr>
              <w:tab/>
            </w:r>
            <w:r w:rsidR="006B6DF6" w:rsidRPr="00254AB0">
              <w:rPr>
                <w:rFonts w:eastAsia="SimSun"/>
                <w:lang w:eastAsia="en-US"/>
              </w:rPr>
              <w:t>Asegurar que la subasta de la vivienda de la autora no se ejecute sin que ella cuente con la debida protección procesal y un proceso con las debidas garantías, conforme a las disposiciones del Pacto y tomando en cuenta las observaciones generales del Comité núm.</w:t>
            </w:r>
            <w:r w:rsidR="000E3A06">
              <w:rPr>
                <w:rFonts w:eastAsia="SimSun"/>
                <w:lang w:eastAsia="en-US"/>
              </w:rPr>
              <w:t xml:space="preserve"> </w:t>
            </w:r>
            <w:r w:rsidR="006B6DF6" w:rsidRPr="00254AB0">
              <w:rPr>
                <w:rFonts w:eastAsia="SimSun"/>
                <w:lang w:eastAsia="en-US"/>
              </w:rPr>
              <w:t xml:space="preserve">4 </w:t>
            </w:r>
            <w:r w:rsidR="00552716">
              <w:rPr>
                <w:rFonts w:eastAsia="SimSun"/>
                <w:lang w:eastAsia="en-US"/>
              </w:rPr>
              <w:t xml:space="preserve">(1991) sobre el derecho a una vivienda adecuada, </w:t>
            </w:r>
            <w:r w:rsidR="006B6DF6" w:rsidRPr="00254AB0">
              <w:rPr>
                <w:rFonts w:eastAsia="SimSun"/>
                <w:lang w:eastAsia="en-US"/>
              </w:rPr>
              <w:t xml:space="preserve">y </w:t>
            </w:r>
            <w:r w:rsidR="00552716">
              <w:rPr>
                <w:rFonts w:eastAsia="SimSun"/>
                <w:lang w:eastAsia="en-US"/>
              </w:rPr>
              <w:t xml:space="preserve">núm. </w:t>
            </w:r>
            <w:r w:rsidR="006B6DF6" w:rsidRPr="00254AB0">
              <w:rPr>
                <w:rFonts w:eastAsia="SimSun"/>
                <w:lang w:eastAsia="en-US"/>
              </w:rPr>
              <w:t>7</w:t>
            </w:r>
            <w:r w:rsidR="00552716">
              <w:rPr>
                <w:rFonts w:eastAsia="SimSun"/>
                <w:lang w:eastAsia="en-US"/>
              </w:rPr>
              <w:t xml:space="preserve"> (1997) sobre el derecho a una vivienda adecuada: los desalojos forzosos</w:t>
            </w:r>
            <w:r w:rsidR="006B6DF6" w:rsidRPr="00254AB0">
              <w:rPr>
                <w:rFonts w:eastAsia="SimSun"/>
                <w:lang w:eastAsia="en-US"/>
              </w:rPr>
              <w:t xml:space="preserve">;  </w:t>
            </w:r>
          </w:p>
          <w:p w14:paraId="7B83F66C" w14:textId="77777777" w:rsidR="00620E43" w:rsidRPr="00620E43" w:rsidRDefault="00254AB0" w:rsidP="00254AB0">
            <w:pPr>
              <w:spacing w:before="40" w:after="120"/>
              <w:ind w:right="113"/>
              <w:jc w:val="both"/>
            </w:pPr>
            <w:r>
              <w:rPr>
                <w:rFonts w:eastAsia="SimSun"/>
                <w:lang w:eastAsia="en-US"/>
              </w:rPr>
              <w:t>b)</w:t>
            </w:r>
            <w:r>
              <w:rPr>
                <w:rFonts w:eastAsia="SimSun"/>
                <w:lang w:eastAsia="en-US"/>
              </w:rPr>
              <w:tab/>
            </w:r>
            <w:r w:rsidR="006B6DF6" w:rsidRPr="00254AB0">
              <w:rPr>
                <w:rFonts w:eastAsia="SimSun"/>
                <w:lang w:eastAsia="en-US"/>
              </w:rPr>
              <w:t>Reembolsar a la autora los costes legales incurridos en la tramitación de esta comunicación.</w:t>
            </w:r>
          </w:p>
        </w:tc>
      </w:tr>
      <w:tr w:rsidR="00620E43" w:rsidRPr="00620E43" w14:paraId="5C007D69" w14:textId="77777777" w:rsidTr="003E567F">
        <w:tc>
          <w:tcPr>
            <w:tcW w:w="4814" w:type="dxa"/>
            <w:shd w:val="clear" w:color="auto" w:fill="auto"/>
          </w:tcPr>
          <w:p w14:paraId="39706482" w14:textId="77777777" w:rsidR="00620E43" w:rsidRPr="0094053D" w:rsidRDefault="006B6DF6" w:rsidP="0094053D">
            <w:pPr>
              <w:keepNext/>
              <w:spacing w:before="40" w:after="120"/>
              <w:ind w:right="113"/>
              <w:rPr>
                <w:b/>
              </w:rPr>
            </w:pPr>
            <w:r w:rsidRPr="0094053D">
              <w:rPr>
                <w:rFonts w:eastAsia="SimSun"/>
                <w:b/>
                <w:lang w:eastAsia="en-US"/>
              </w:rPr>
              <w:lastRenderedPageBreak/>
              <w:t>Recomendaciones generales del Comité</w:t>
            </w:r>
            <w:r w:rsidR="001E5A30" w:rsidRPr="0094053D">
              <w:rPr>
                <w:rFonts w:eastAsia="SimSun"/>
                <w:b/>
                <w:lang w:eastAsia="en-US"/>
              </w:rPr>
              <w:t>:</w:t>
            </w:r>
          </w:p>
        </w:tc>
        <w:tc>
          <w:tcPr>
            <w:tcW w:w="4814" w:type="dxa"/>
            <w:shd w:val="clear" w:color="auto" w:fill="auto"/>
          </w:tcPr>
          <w:p w14:paraId="27CC901E" w14:textId="77777777" w:rsidR="006B6DF6" w:rsidRPr="00DA51A5" w:rsidRDefault="006B6DF6" w:rsidP="0094053D">
            <w:pPr>
              <w:keepNext/>
              <w:spacing w:before="40" w:after="120"/>
              <w:ind w:right="113"/>
              <w:jc w:val="both"/>
              <w:rPr>
                <w:rFonts w:eastAsia="SimSun"/>
                <w:lang w:eastAsia="en-US"/>
              </w:rPr>
            </w:pPr>
            <w:r w:rsidRPr="00DA51A5">
              <w:rPr>
                <w:rFonts w:eastAsia="SimSun"/>
                <w:lang w:eastAsia="en-US"/>
              </w:rPr>
              <w:t>a)</w:t>
            </w:r>
            <w:r w:rsidRPr="00DA51A5">
              <w:rPr>
                <w:rFonts w:eastAsia="SimSun"/>
                <w:lang w:eastAsia="en-US"/>
              </w:rPr>
              <w:tab/>
              <w:t xml:space="preserve">Asegurar la accesibilidad a recursos jurídicos para las personas que se enfrentan a procedimientos de ejecución hipotecaria por falta de pago de préstamos; </w:t>
            </w:r>
          </w:p>
          <w:p w14:paraId="6DC18DE9" w14:textId="77777777" w:rsidR="006B6DF6" w:rsidRPr="00DA51A5" w:rsidRDefault="006B6DF6" w:rsidP="0094053D">
            <w:pPr>
              <w:keepNext/>
              <w:spacing w:before="40" w:after="120"/>
              <w:ind w:right="113"/>
              <w:jc w:val="both"/>
              <w:rPr>
                <w:rFonts w:eastAsia="SimSun"/>
                <w:lang w:eastAsia="en-US"/>
              </w:rPr>
            </w:pPr>
            <w:r w:rsidRPr="00DA51A5">
              <w:rPr>
                <w:rFonts w:eastAsia="SimSun"/>
                <w:lang w:eastAsia="en-US"/>
              </w:rPr>
              <w:t>b)</w:t>
            </w:r>
            <w:r w:rsidRPr="00DA51A5">
              <w:rPr>
                <w:rFonts w:eastAsia="SimSun"/>
                <w:lang w:eastAsia="en-US"/>
              </w:rPr>
              <w:tab/>
              <w:t>Adoptar medidas legislativas y/o administrativas pertinentes para garantizar que</w:t>
            </w:r>
            <w:r w:rsidR="00552716">
              <w:rPr>
                <w:rFonts w:eastAsia="SimSun"/>
                <w:lang w:eastAsia="en-US"/>
              </w:rPr>
              <w:t>,</w:t>
            </w:r>
            <w:r w:rsidRPr="00DA51A5">
              <w:rPr>
                <w:rFonts w:eastAsia="SimSun"/>
                <w:lang w:eastAsia="en-US"/>
              </w:rPr>
              <w:t xml:space="preserve"> en los procedimientos de ejecución hipotecaria, la notificación por edicto esté estrictamente limitada a situaciones en que se han agotado todos los medios para practicar una notificación personal y asegurándose la suficiente publicidad y plazo, de manera que la persona afectada pueda tener oportunidad de tomar real conocimiento del inicio del procedimiento y apersonarse al mismo;</w:t>
            </w:r>
          </w:p>
          <w:p w14:paraId="356E1AA2" w14:textId="77777777" w:rsidR="00620E43" w:rsidRPr="00620E43" w:rsidRDefault="006B6DF6" w:rsidP="0094053D">
            <w:pPr>
              <w:keepNext/>
              <w:spacing w:before="40" w:after="120"/>
              <w:ind w:right="113"/>
              <w:jc w:val="both"/>
            </w:pPr>
            <w:r w:rsidRPr="00DA51A5">
              <w:rPr>
                <w:rFonts w:eastAsia="SimSun"/>
                <w:lang w:eastAsia="en-US"/>
              </w:rPr>
              <w:t>c)</w:t>
            </w:r>
            <w:r w:rsidRPr="00DA51A5">
              <w:rPr>
                <w:rFonts w:eastAsia="SimSun"/>
                <w:lang w:eastAsia="en-US"/>
              </w:rPr>
              <w:tab/>
              <w:t xml:space="preserve">Adoptar medidas legislativas pertinentes para garantizar que el procedimiento de ejecución hipotecaria y las normas procesales establezcan requisitos </w:t>
            </w:r>
            <w:r w:rsidR="00553240">
              <w:rPr>
                <w:rFonts w:eastAsia="SimSun"/>
                <w:lang w:eastAsia="en-US"/>
              </w:rPr>
              <w:t>[</w:t>
            </w:r>
            <w:r w:rsidRPr="00DA51A5">
              <w:rPr>
                <w:rFonts w:eastAsia="SimSun"/>
                <w:lang w:eastAsia="en-US"/>
              </w:rPr>
              <w:t>…</w:t>
            </w:r>
            <w:r w:rsidR="00553240">
              <w:rPr>
                <w:rFonts w:eastAsia="SimSun"/>
                <w:lang w:eastAsia="en-US"/>
              </w:rPr>
              <w:t>]</w:t>
            </w:r>
            <w:r w:rsidRPr="00DA51A5">
              <w:rPr>
                <w:rFonts w:eastAsia="SimSun"/>
                <w:lang w:eastAsia="en-US"/>
              </w:rPr>
              <w:t xml:space="preserve"> y procedimientos adecuados a seguir antes de que se proceda a una subasta de una vivienda o a un desalojo, en observancia del Pacto y tomando en cuenta la observación general núm. 7 del Comité.</w:t>
            </w:r>
          </w:p>
        </w:tc>
      </w:tr>
      <w:tr w:rsidR="00620E43" w:rsidRPr="00620E43" w14:paraId="49798570" w14:textId="77777777" w:rsidTr="003E567F">
        <w:tc>
          <w:tcPr>
            <w:tcW w:w="4814" w:type="dxa"/>
            <w:shd w:val="clear" w:color="auto" w:fill="auto"/>
          </w:tcPr>
          <w:p w14:paraId="19D806B4" w14:textId="77777777" w:rsidR="00620E43" w:rsidRPr="0094053D" w:rsidRDefault="006B6DF6" w:rsidP="00620E43">
            <w:pPr>
              <w:spacing w:before="40" w:after="120"/>
              <w:ind w:right="113"/>
              <w:rPr>
                <w:b/>
              </w:rPr>
            </w:pPr>
            <w:r w:rsidRPr="0094053D">
              <w:rPr>
                <w:rFonts w:eastAsia="SimSun"/>
                <w:b/>
                <w:lang w:eastAsia="en-US"/>
              </w:rPr>
              <w:t>Respuesta del Estado parte:</w:t>
            </w:r>
          </w:p>
        </w:tc>
        <w:tc>
          <w:tcPr>
            <w:tcW w:w="4814" w:type="dxa"/>
            <w:shd w:val="clear" w:color="auto" w:fill="auto"/>
          </w:tcPr>
          <w:p w14:paraId="0F85EDE7" w14:textId="77777777" w:rsidR="006B6DF6" w:rsidRPr="00DA51A5" w:rsidRDefault="006B6DF6" w:rsidP="001E5A30">
            <w:pPr>
              <w:spacing w:before="40" w:after="120"/>
              <w:ind w:right="113"/>
              <w:jc w:val="both"/>
              <w:rPr>
                <w:rFonts w:eastAsia="SimSun"/>
                <w:lang w:eastAsia="en-US"/>
              </w:rPr>
            </w:pPr>
            <w:r w:rsidRPr="00DA51A5">
              <w:rPr>
                <w:rFonts w:eastAsia="SimSun"/>
                <w:lang w:eastAsia="en-US"/>
              </w:rPr>
              <w:t>Mediante notas verbales de 11 de marzo de 2016 y de 8 de febrero de 2018, el Estado parte aportó su respuesta a las recomendaciones del Comité.</w:t>
            </w:r>
          </w:p>
          <w:p w14:paraId="20046779" w14:textId="77777777" w:rsidR="006B6DF6" w:rsidRPr="00DA51A5" w:rsidRDefault="006B6DF6" w:rsidP="001E5A30">
            <w:pPr>
              <w:spacing w:before="40" w:after="120"/>
              <w:ind w:right="113"/>
              <w:jc w:val="both"/>
              <w:rPr>
                <w:rFonts w:eastAsia="SimSun"/>
                <w:lang w:eastAsia="en-US"/>
              </w:rPr>
            </w:pPr>
            <w:r w:rsidRPr="00DA51A5">
              <w:rPr>
                <w:rFonts w:eastAsia="SimSun"/>
                <w:lang w:eastAsia="en-US"/>
              </w:rPr>
              <w:t>Respecto a las recomendaciones en relación con la autora, el Estado parte informa que, con anterioridad al dictamen del Comité, la autora presentó al Juzgado núm. 31 una solicitud de suspensión del procedimiento de subasta invocando la nulidad de determinadas cláusulas del contrato de préstamo con garantía hipotecaria</w:t>
            </w:r>
            <w:r w:rsidR="00553240">
              <w:rPr>
                <w:rFonts w:eastAsia="SimSun"/>
                <w:lang w:eastAsia="en-US"/>
              </w:rPr>
              <w:t>,</w:t>
            </w:r>
            <w:r w:rsidRPr="00DA51A5">
              <w:rPr>
                <w:rFonts w:eastAsia="SimSun"/>
                <w:lang w:eastAsia="en-US"/>
              </w:rPr>
              <w:t xml:space="preserve"> y </w:t>
            </w:r>
            <w:r w:rsidR="00553240">
              <w:rPr>
                <w:rFonts w:eastAsia="SimSun"/>
                <w:lang w:eastAsia="en-US"/>
              </w:rPr>
              <w:t xml:space="preserve">que </w:t>
            </w:r>
            <w:r w:rsidRPr="00DA51A5">
              <w:rPr>
                <w:rFonts w:eastAsia="SimSun"/>
                <w:lang w:eastAsia="en-US"/>
              </w:rPr>
              <w:t>el 4 de octubre de 2013 el Juzgado acordó la estimación parcial de este incidente, teniendo por no puesta la cláusula sexta del contrato (“intereses de demora”). As</w:t>
            </w:r>
            <w:r>
              <w:rPr>
                <w:rFonts w:eastAsia="SimSun"/>
                <w:lang w:eastAsia="en-US"/>
              </w:rPr>
              <w:t>i</w:t>
            </w:r>
            <w:r w:rsidRPr="00DA51A5">
              <w:rPr>
                <w:rFonts w:eastAsia="SimSun"/>
                <w:lang w:eastAsia="en-US"/>
              </w:rPr>
              <w:t xml:space="preserve">mismo, en las notificaciones siguientes que se </w:t>
            </w:r>
            <w:r>
              <w:rPr>
                <w:rFonts w:eastAsia="SimSun"/>
                <w:lang w:eastAsia="en-US"/>
              </w:rPr>
              <w:t>han practica</w:t>
            </w:r>
            <w:r w:rsidRPr="00DA51A5">
              <w:rPr>
                <w:rFonts w:eastAsia="SimSun"/>
                <w:lang w:eastAsia="en-US"/>
              </w:rPr>
              <w:t>do en el proceso</w:t>
            </w:r>
            <w:r>
              <w:rPr>
                <w:rFonts w:eastAsia="SimSun"/>
                <w:lang w:eastAsia="en-US"/>
              </w:rPr>
              <w:t>,</w:t>
            </w:r>
            <w:r w:rsidRPr="00DA51A5">
              <w:rPr>
                <w:rFonts w:eastAsia="SimSun"/>
                <w:lang w:eastAsia="en-US"/>
              </w:rPr>
              <w:t xml:space="preserve"> se </w:t>
            </w:r>
            <w:r>
              <w:rPr>
                <w:rFonts w:eastAsia="SimSun"/>
                <w:lang w:eastAsia="en-US"/>
              </w:rPr>
              <w:t>han</w:t>
            </w:r>
            <w:r w:rsidRPr="00DA51A5">
              <w:rPr>
                <w:rFonts w:eastAsia="SimSun"/>
                <w:lang w:eastAsia="en-US"/>
              </w:rPr>
              <w:t xml:space="preserve"> </w:t>
            </w:r>
            <w:r w:rsidR="00AA025E" w:rsidRPr="00DA51A5">
              <w:rPr>
                <w:rFonts w:eastAsia="SimSun"/>
                <w:lang w:eastAsia="en-US"/>
              </w:rPr>
              <w:t>agotado</w:t>
            </w:r>
            <w:r w:rsidRPr="00DA51A5">
              <w:rPr>
                <w:rFonts w:eastAsia="SimSun"/>
                <w:lang w:eastAsia="en-US"/>
              </w:rPr>
              <w:t xml:space="preserve"> todos los medios previos a la notificación </w:t>
            </w:r>
            <w:r>
              <w:rPr>
                <w:rFonts w:eastAsia="SimSun"/>
                <w:lang w:eastAsia="en-US"/>
              </w:rPr>
              <w:t xml:space="preserve">por </w:t>
            </w:r>
            <w:r w:rsidRPr="00DA51A5">
              <w:rPr>
                <w:rFonts w:eastAsia="SimSun"/>
                <w:lang w:eastAsia="en-US"/>
              </w:rPr>
              <w:t>edict</w:t>
            </w:r>
            <w:r>
              <w:rPr>
                <w:rFonts w:eastAsia="SimSun"/>
                <w:lang w:eastAsia="en-US"/>
              </w:rPr>
              <w:t>o</w:t>
            </w:r>
            <w:r w:rsidRPr="00DA51A5">
              <w:rPr>
                <w:rFonts w:eastAsia="SimSun"/>
                <w:lang w:eastAsia="en-US"/>
              </w:rPr>
              <w:t>, incluyendo el uso de otras direcciones aportadas por la autora. El 21 de octubre de 2016, se requirió al ejecutante</w:t>
            </w:r>
            <w:r>
              <w:rPr>
                <w:rFonts w:eastAsia="SimSun"/>
                <w:lang w:eastAsia="en-US"/>
              </w:rPr>
              <w:t xml:space="preserve"> de la hipoteca</w:t>
            </w:r>
            <w:r w:rsidRPr="00DA51A5">
              <w:rPr>
                <w:rFonts w:eastAsia="SimSun"/>
                <w:lang w:eastAsia="en-US"/>
              </w:rPr>
              <w:t>, bajo apercibimiento de archivo provisional, requerimiento que no ha sido atendido, por lo que</w:t>
            </w:r>
            <w:r>
              <w:rPr>
                <w:rFonts w:eastAsia="SimSun"/>
                <w:lang w:eastAsia="en-US"/>
              </w:rPr>
              <w:t>, según informa el Estado parte,</w:t>
            </w:r>
            <w:r w:rsidRPr="00DA51A5">
              <w:rPr>
                <w:rFonts w:eastAsia="SimSun"/>
                <w:lang w:eastAsia="en-US"/>
              </w:rPr>
              <w:t xml:space="preserve"> procede</w:t>
            </w:r>
            <w:r>
              <w:rPr>
                <w:rFonts w:eastAsia="SimSun"/>
                <w:lang w:eastAsia="en-US"/>
              </w:rPr>
              <w:t xml:space="preserve"> a</w:t>
            </w:r>
            <w:r w:rsidRPr="00DA51A5">
              <w:rPr>
                <w:rFonts w:eastAsia="SimSun"/>
                <w:lang w:eastAsia="en-US"/>
              </w:rPr>
              <w:t xml:space="preserve"> dictarse archivo provisional del procedimiento.</w:t>
            </w:r>
          </w:p>
          <w:p w14:paraId="64025B68" w14:textId="77777777" w:rsidR="00620E43" w:rsidRPr="00620E43" w:rsidRDefault="006B6DF6">
            <w:pPr>
              <w:spacing w:before="40" w:after="120"/>
              <w:ind w:right="113"/>
              <w:jc w:val="both"/>
            </w:pPr>
            <w:r w:rsidRPr="00DA51A5">
              <w:rPr>
                <w:rFonts w:eastAsia="SimSun"/>
                <w:lang w:eastAsia="en-US"/>
              </w:rPr>
              <w:t xml:space="preserve">Respecto a las recomendaciones generales relacionadas con la necesidad de asegurar la limitación de la utilización de la notificación </w:t>
            </w:r>
            <w:r>
              <w:rPr>
                <w:rFonts w:eastAsia="SimSun"/>
                <w:lang w:eastAsia="en-US"/>
              </w:rPr>
              <w:t xml:space="preserve">por </w:t>
            </w:r>
            <w:r w:rsidRPr="00DA51A5">
              <w:rPr>
                <w:rFonts w:eastAsia="SimSun"/>
                <w:lang w:eastAsia="en-US"/>
              </w:rPr>
              <w:t>edict</w:t>
            </w:r>
            <w:r>
              <w:rPr>
                <w:rFonts w:eastAsia="SimSun"/>
                <w:lang w:eastAsia="en-US"/>
              </w:rPr>
              <w:t>o</w:t>
            </w:r>
            <w:r w:rsidRPr="00DA51A5">
              <w:rPr>
                <w:rFonts w:eastAsia="SimSun"/>
                <w:lang w:eastAsia="en-US"/>
              </w:rPr>
              <w:t>, el Estado parte hace notar que la Ley de Enjuiciamiento Civil, en sus artículos 164 y siguientes, tal y c</w:t>
            </w:r>
            <w:r w:rsidR="00F66E67">
              <w:rPr>
                <w:rFonts w:eastAsia="SimSun"/>
                <w:lang w:eastAsia="en-US"/>
              </w:rPr>
              <w:t>o</w:t>
            </w:r>
            <w:r w:rsidRPr="00DA51A5">
              <w:rPr>
                <w:rFonts w:eastAsia="SimSun"/>
                <w:lang w:eastAsia="en-US"/>
              </w:rPr>
              <w:t>mo ha</w:t>
            </w:r>
            <w:r w:rsidR="00552716">
              <w:rPr>
                <w:rFonts w:eastAsia="SimSun"/>
                <w:lang w:eastAsia="en-US"/>
              </w:rPr>
              <w:t>n</w:t>
            </w:r>
            <w:r w:rsidRPr="00DA51A5">
              <w:rPr>
                <w:rFonts w:eastAsia="SimSun"/>
                <w:lang w:eastAsia="en-US"/>
              </w:rPr>
              <w:t xml:space="preserve"> quedado modificado</w:t>
            </w:r>
            <w:r w:rsidR="00552716">
              <w:rPr>
                <w:rFonts w:eastAsia="SimSun"/>
                <w:lang w:eastAsia="en-US"/>
              </w:rPr>
              <w:t>s</w:t>
            </w:r>
            <w:r w:rsidRPr="00DA51A5">
              <w:rPr>
                <w:rFonts w:eastAsia="SimSun"/>
                <w:lang w:eastAsia="en-US"/>
              </w:rPr>
              <w:t xml:space="preserve"> en fecha </w:t>
            </w:r>
            <w:r w:rsidR="00F66E67">
              <w:rPr>
                <w:rFonts w:eastAsia="SimSun"/>
                <w:lang w:eastAsia="en-US"/>
              </w:rPr>
              <w:t xml:space="preserve">de </w:t>
            </w:r>
            <w:r w:rsidRPr="00DA51A5">
              <w:rPr>
                <w:rFonts w:eastAsia="SimSun"/>
                <w:lang w:eastAsia="en-US"/>
              </w:rPr>
              <w:t xml:space="preserve">5 de octubre de 2015, establece un procedimiento de notificación personal exhaustiva que debe ser agotado de forma obligatoria con carácter previo a la notificación </w:t>
            </w:r>
            <w:r>
              <w:rPr>
                <w:rFonts w:eastAsia="SimSun"/>
                <w:lang w:eastAsia="en-US"/>
              </w:rPr>
              <w:t xml:space="preserve">por </w:t>
            </w:r>
            <w:r w:rsidRPr="00DA51A5">
              <w:rPr>
                <w:rFonts w:eastAsia="SimSun"/>
                <w:lang w:eastAsia="en-US"/>
              </w:rPr>
              <w:t>edict</w:t>
            </w:r>
            <w:r>
              <w:rPr>
                <w:rFonts w:eastAsia="SimSun"/>
                <w:lang w:eastAsia="en-US"/>
              </w:rPr>
              <w:t>o</w:t>
            </w:r>
            <w:r w:rsidRPr="00DA51A5">
              <w:rPr>
                <w:rFonts w:eastAsia="SimSun"/>
                <w:lang w:eastAsia="en-US"/>
              </w:rPr>
              <w:t>. El procedimiento incluye la posibilidad de dirigirse al lugar de trabajo de</w:t>
            </w:r>
            <w:r>
              <w:rPr>
                <w:rFonts w:eastAsia="SimSun"/>
                <w:lang w:eastAsia="en-US"/>
              </w:rPr>
              <w:t>l</w:t>
            </w:r>
            <w:r w:rsidRPr="00DA51A5">
              <w:rPr>
                <w:rFonts w:eastAsia="SimSun"/>
                <w:lang w:eastAsia="en-US"/>
              </w:rPr>
              <w:t xml:space="preserve"> destinatari</w:t>
            </w:r>
            <w:r>
              <w:rPr>
                <w:rFonts w:eastAsia="SimSun"/>
                <w:lang w:eastAsia="en-US"/>
              </w:rPr>
              <w:t>o de la notificación</w:t>
            </w:r>
            <w:r w:rsidRPr="00DA51A5">
              <w:rPr>
                <w:rFonts w:eastAsia="SimSun"/>
                <w:lang w:eastAsia="en-US"/>
              </w:rPr>
              <w:t xml:space="preserve">, </w:t>
            </w:r>
            <w:r w:rsidRPr="00DA51A5">
              <w:rPr>
                <w:rFonts w:eastAsia="SimSun"/>
                <w:lang w:eastAsia="en-US"/>
              </w:rPr>
              <w:lastRenderedPageBreak/>
              <w:t>indagar sobre</w:t>
            </w:r>
            <w:r>
              <w:rPr>
                <w:rFonts w:eastAsia="SimSun"/>
                <w:lang w:eastAsia="en-US"/>
              </w:rPr>
              <w:t xml:space="preserve"> su domicilio </w:t>
            </w:r>
            <w:r w:rsidRPr="00DA51A5">
              <w:rPr>
                <w:rFonts w:eastAsia="SimSun"/>
                <w:lang w:eastAsia="en-US"/>
              </w:rPr>
              <w:t xml:space="preserve">si </w:t>
            </w:r>
            <w:r w:rsidR="00F66E67">
              <w:rPr>
                <w:rFonts w:eastAsia="SimSun"/>
                <w:lang w:eastAsia="en-US"/>
              </w:rPr>
              <w:t>e</w:t>
            </w:r>
            <w:r w:rsidRPr="00DA51A5">
              <w:rPr>
                <w:rFonts w:eastAsia="SimSun"/>
                <w:lang w:eastAsia="en-US"/>
              </w:rPr>
              <w:t>ste hubiera sido modificado y notificar en tal caso al nuevo domicilio</w:t>
            </w:r>
            <w:r>
              <w:rPr>
                <w:rFonts w:eastAsia="SimSun"/>
                <w:lang w:eastAsia="en-US"/>
              </w:rPr>
              <w:t xml:space="preserve"> y</w:t>
            </w:r>
            <w:r w:rsidRPr="00DA51A5">
              <w:rPr>
                <w:rFonts w:eastAsia="SimSun"/>
                <w:lang w:eastAsia="en-US"/>
              </w:rPr>
              <w:t xml:space="preserve"> entregar la notificación a empleados, familiares o personas con quienes </w:t>
            </w:r>
            <w:r>
              <w:rPr>
                <w:rFonts w:eastAsia="SimSun"/>
                <w:lang w:eastAsia="en-US"/>
              </w:rPr>
              <w:t>el destinatario</w:t>
            </w:r>
            <w:r w:rsidRPr="00DA51A5">
              <w:rPr>
                <w:rFonts w:eastAsia="SimSun"/>
                <w:lang w:eastAsia="en-US"/>
              </w:rPr>
              <w:t xml:space="preserve"> de la notificación conviva, o al conserje del edificio, si lo hubiere, advirtiendo al receptor de la obligatoriedad de ent</w:t>
            </w:r>
            <w:r>
              <w:rPr>
                <w:rFonts w:eastAsia="SimSun"/>
                <w:lang w:eastAsia="en-US"/>
              </w:rPr>
              <w:t>regar la copia a su destinatario</w:t>
            </w:r>
            <w:r w:rsidRPr="00DA51A5">
              <w:rPr>
                <w:rFonts w:eastAsia="SimSun"/>
                <w:lang w:eastAsia="en-US"/>
              </w:rPr>
              <w:t>.</w:t>
            </w:r>
          </w:p>
        </w:tc>
      </w:tr>
      <w:tr w:rsidR="00620E43" w:rsidRPr="00620E43" w14:paraId="3AD34DB8" w14:textId="77777777" w:rsidTr="009E5F8A">
        <w:tc>
          <w:tcPr>
            <w:tcW w:w="4814" w:type="dxa"/>
            <w:shd w:val="clear" w:color="auto" w:fill="auto"/>
          </w:tcPr>
          <w:p w14:paraId="5600FFAA" w14:textId="77777777" w:rsidR="00620E43" w:rsidRPr="0094053D" w:rsidRDefault="006B6DF6" w:rsidP="00620E43">
            <w:pPr>
              <w:spacing w:before="40" w:after="120"/>
              <w:ind w:right="113"/>
              <w:rPr>
                <w:b/>
              </w:rPr>
            </w:pPr>
            <w:r w:rsidRPr="0094053D">
              <w:rPr>
                <w:rFonts w:eastAsia="SimSun"/>
                <w:b/>
                <w:lang w:eastAsia="en-US"/>
              </w:rPr>
              <w:lastRenderedPageBreak/>
              <w:t>Comentarios de la autora:</w:t>
            </w:r>
          </w:p>
        </w:tc>
        <w:tc>
          <w:tcPr>
            <w:tcW w:w="4814" w:type="dxa"/>
            <w:shd w:val="clear" w:color="auto" w:fill="auto"/>
          </w:tcPr>
          <w:p w14:paraId="7F5CFEC3" w14:textId="77777777" w:rsidR="006B6DF6" w:rsidRPr="00DA51A5" w:rsidRDefault="006B6DF6" w:rsidP="001E5A30">
            <w:pPr>
              <w:spacing w:before="40" w:after="120"/>
              <w:ind w:right="113"/>
              <w:jc w:val="both"/>
              <w:rPr>
                <w:rFonts w:eastAsia="SimSun"/>
                <w:lang w:eastAsia="en-US"/>
              </w:rPr>
            </w:pPr>
            <w:r w:rsidRPr="00DA51A5">
              <w:rPr>
                <w:rFonts w:eastAsia="SimSun"/>
                <w:lang w:eastAsia="en-US"/>
              </w:rPr>
              <w:t xml:space="preserve">El 26 de marzo de 2018, la autora presentó sus comentarios a </w:t>
            </w:r>
            <w:r>
              <w:rPr>
                <w:rFonts w:eastAsia="SimSun"/>
                <w:lang w:eastAsia="en-US"/>
              </w:rPr>
              <w:t>las observaciones</w:t>
            </w:r>
            <w:r w:rsidRPr="00DA51A5">
              <w:rPr>
                <w:rFonts w:eastAsia="SimSun"/>
                <w:lang w:eastAsia="en-US"/>
              </w:rPr>
              <w:t xml:space="preserve"> del Estado parte. La autora considera que el Estado parte no ha cumplido con ninguna de las recomendaciones del Comité.</w:t>
            </w:r>
          </w:p>
          <w:p w14:paraId="2DA66F29" w14:textId="77777777" w:rsidR="006B6DF6" w:rsidRPr="00DA51A5" w:rsidRDefault="006B6DF6">
            <w:pPr>
              <w:spacing w:before="40" w:after="120"/>
              <w:ind w:right="113"/>
              <w:jc w:val="both"/>
              <w:rPr>
                <w:rFonts w:eastAsia="SimSun"/>
                <w:lang w:eastAsia="en-US"/>
              </w:rPr>
            </w:pPr>
            <w:r>
              <w:rPr>
                <w:rFonts w:eastAsia="SimSun"/>
                <w:lang w:eastAsia="en-US"/>
              </w:rPr>
              <w:t>H</w:t>
            </w:r>
            <w:r w:rsidRPr="00DA51A5">
              <w:rPr>
                <w:rFonts w:eastAsia="SimSun"/>
                <w:lang w:eastAsia="en-US"/>
              </w:rPr>
              <w:t xml:space="preserve">ace notar que, aún en la fecha actual, no se le ha notificado la demanda ni se le ha permitido conocer </w:t>
            </w:r>
            <w:r>
              <w:rPr>
                <w:rFonts w:eastAsia="SimSun"/>
                <w:lang w:eastAsia="en-US"/>
              </w:rPr>
              <w:t>d</w:t>
            </w:r>
            <w:r w:rsidRPr="00DA51A5">
              <w:rPr>
                <w:rFonts w:eastAsia="SimSun"/>
                <w:lang w:eastAsia="en-US"/>
              </w:rPr>
              <w:t xml:space="preserve">el procedimiento desde el </w:t>
            </w:r>
            <w:r>
              <w:rPr>
                <w:rFonts w:eastAsia="SimSun"/>
                <w:lang w:eastAsia="en-US"/>
              </w:rPr>
              <w:t>inicio</w:t>
            </w:r>
            <w:r w:rsidRPr="00DA51A5">
              <w:rPr>
                <w:rFonts w:eastAsia="SimSun"/>
                <w:lang w:eastAsia="en-US"/>
              </w:rPr>
              <w:t xml:space="preserve">. Además, </w:t>
            </w:r>
            <w:r>
              <w:rPr>
                <w:rFonts w:eastAsia="SimSun"/>
                <w:lang w:eastAsia="en-US"/>
              </w:rPr>
              <w:t>en el recurso que precedió</w:t>
            </w:r>
            <w:r w:rsidRPr="00DA51A5">
              <w:rPr>
                <w:rFonts w:eastAsia="SimSun"/>
                <w:lang w:eastAsia="en-US"/>
              </w:rPr>
              <w:t xml:space="preserve"> a la decisión de 4 de octubre de 2013, s</w:t>
            </w:r>
            <w:r w:rsidR="00AA0A08">
              <w:rPr>
                <w:rFonts w:eastAsia="SimSun"/>
                <w:lang w:eastAsia="en-US"/>
              </w:rPr>
              <w:t>o</w:t>
            </w:r>
            <w:r w:rsidRPr="00DA51A5">
              <w:rPr>
                <w:rFonts w:eastAsia="SimSun"/>
                <w:lang w:eastAsia="en-US"/>
              </w:rPr>
              <w:t>lo se le permitió presentar alegaciones sobre el carácter abusivo de las cláusulas de la hipoteca, y no se le permitió evocar todos sus argumentos de defensa.</w:t>
            </w:r>
          </w:p>
          <w:p w14:paraId="65033628" w14:textId="77777777" w:rsidR="006B6DF6" w:rsidRPr="00DA51A5" w:rsidRDefault="006B6DF6">
            <w:pPr>
              <w:spacing w:before="40" w:after="120"/>
              <w:ind w:right="113"/>
              <w:jc w:val="both"/>
              <w:rPr>
                <w:rFonts w:eastAsia="SimSun"/>
                <w:lang w:eastAsia="en-US"/>
              </w:rPr>
            </w:pPr>
            <w:r w:rsidRPr="00DA51A5">
              <w:rPr>
                <w:rFonts w:eastAsia="SimSun"/>
                <w:lang w:eastAsia="en-US"/>
              </w:rPr>
              <w:t>La autora señala que</w:t>
            </w:r>
            <w:r w:rsidR="00AA0A08">
              <w:rPr>
                <w:rFonts w:eastAsia="SimSun"/>
                <w:lang w:eastAsia="en-US"/>
              </w:rPr>
              <w:t>,</w:t>
            </w:r>
            <w:r w:rsidRPr="00DA51A5">
              <w:rPr>
                <w:rFonts w:eastAsia="SimSun"/>
                <w:lang w:eastAsia="en-US"/>
              </w:rPr>
              <w:t xml:space="preserve"> en abril de 2016</w:t>
            </w:r>
            <w:r>
              <w:rPr>
                <w:rFonts w:eastAsia="SimSun"/>
                <w:lang w:eastAsia="en-US"/>
              </w:rPr>
              <w:t xml:space="preserve">, </w:t>
            </w:r>
            <w:r w:rsidRPr="00DA51A5">
              <w:rPr>
                <w:rFonts w:eastAsia="SimSun"/>
                <w:lang w:eastAsia="en-US"/>
              </w:rPr>
              <w:t>su</w:t>
            </w:r>
            <w:r>
              <w:rPr>
                <w:rFonts w:eastAsia="SimSun"/>
                <w:lang w:eastAsia="en-US"/>
              </w:rPr>
              <w:t>s</w:t>
            </w:r>
            <w:r w:rsidRPr="00DA51A5">
              <w:rPr>
                <w:rFonts w:eastAsia="SimSun"/>
                <w:lang w:eastAsia="en-US"/>
              </w:rPr>
              <w:t xml:space="preserve"> representante</w:t>
            </w:r>
            <w:r>
              <w:rPr>
                <w:rFonts w:eastAsia="SimSun"/>
                <w:lang w:eastAsia="en-US"/>
              </w:rPr>
              <w:t>s</w:t>
            </w:r>
            <w:r w:rsidRPr="00DA51A5">
              <w:rPr>
                <w:rFonts w:eastAsia="SimSun"/>
                <w:lang w:eastAsia="en-US"/>
              </w:rPr>
              <w:t xml:space="preserve"> formul</w:t>
            </w:r>
            <w:r>
              <w:rPr>
                <w:rFonts w:eastAsia="SimSun"/>
                <w:lang w:eastAsia="en-US"/>
              </w:rPr>
              <w:t>aron</w:t>
            </w:r>
            <w:r w:rsidRPr="00DA51A5">
              <w:rPr>
                <w:rFonts w:eastAsia="SimSun"/>
                <w:lang w:eastAsia="en-US"/>
              </w:rPr>
              <w:t xml:space="preserve"> una reclamación de honorarios por un monto de 49.600 euros ante el Ministerio de Justicia</w:t>
            </w:r>
            <w:r w:rsidR="008D1E24">
              <w:rPr>
                <w:rFonts w:eastAsia="SimSun"/>
                <w:lang w:eastAsia="en-US"/>
              </w:rPr>
              <w:t>,</w:t>
            </w:r>
            <w:r>
              <w:rPr>
                <w:rFonts w:eastAsia="SimSun"/>
                <w:lang w:eastAsia="en-US"/>
              </w:rPr>
              <w:t xml:space="preserve"> que no recibió respuesta. E</w:t>
            </w:r>
            <w:r w:rsidRPr="00DA51A5">
              <w:rPr>
                <w:rFonts w:eastAsia="SimSun"/>
                <w:lang w:eastAsia="en-US"/>
              </w:rPr>
              <w:t xml:space="preserve">l 6 de julio de 2016, </w:t>
            </w:r>
            <w:r>
              <w:rPr>
                <w:rFonts w:eastAsia="SimSun"/>
                <w:lang w:eastAsia="en-US"/>
              </w:rPr>
              <w:t xml:space="preserve">presentaron </w:t>
            </w:r>
            <w:r w:rsidRPr="00DA51A5">
              <w:rPr>
                <w:rFonts w:eastAsia="SimSun"/>
                <w:lang w:eastAsia="en-US"/>
              </w:rPr>
              <w:t xml:space="preserve">una demanda contra el Ministerio de Justicia en recurso contencioso administrativo por inactividad de la Administración. </w:t>
            </w:r>
            <w:r>
              <w:rPr>
                <w:rFonts w:eastAsia="SimSun"/>
                <w:lang w:eastAsia="en-US"/>
              </w:rPr>
              <w:t xml:space="preserve">La autora adjunta las alegaciones de la </w:t>
            </w:r>
            <w:r w:rsidR="00AA0A08">
              <w:rPr>
                <w:rFonts w:eastAsia="SimSun"/>
                <w:lang w:eastAsia="en-US"/>
              </w:rPr>
              <w:t>A</w:t>
            </w:r>
            <w:r>
              <w:rPr>
                <w:rFonts w:eastAsia="SimSun"/>
                <w:lang w:eastAsia="en-US"/>
              </w:rPr>
              <w:t>bogacía del Estado haciendo oposición a su demanda, en las que sostiene que: sería la autora</w:t>
            </w:r>
            <w:r w:rsidR="00AA0A08">
              <w:rPr>
                <w:rFonts w:eastAsia="SimSun"/>
                <w:lang w:eastAsia="en-US"/>
              </w:rPr>
              <w:t>,</w:t>
            </w:r>
            <w:r>
              <w:rPr>
                <w:rFonts w:eastAsia="SimSun"/>
                <w:lang w:eastAsia="en-US"/>
              </w:rPr>
              <w:t xml:space="preserve"> y no los representantes</w:t>
            </w:r>
            <w:r w:rsidR="00AA0A08">
              <w:rPr>
                <w:rFonts w:eastAsia="SimSun"/>
                <w:lang w:eastAsia="en-US"/>
              </w:rPr>
              <w:t>,</w:t>
            </w:r>
            <w:r>
              <w:rPr>
                <w:rFonts w:eastAsia="SimSun"/>
                <w:lang w:eastAsia="en-US"/>
              </w:rPr>
              <w:t xml:space="preserve"> quien estaría legitimada para solicitar el reembolso; las decisiones del Comité no son directamente ejecutables; no existe actividad probatoria de los costes legales, pues no se ha probado que la autora haya abonado tales costes</w:t>
            </w:r>
            <w:r w:rsidRPr="00DA51A5">
              <w:rPr>
                <w:rFonts w:eastAsia="SimSun"/>
                <w:lang w:eastAsia="en-US"/>
              </w:rPr>
              <w:t>.</w:t>
            </w:r>
          </w:p>
          <w:p w14:paraId="47419A8F" w14:textId="77777777" w:rsidR="00620E43" w:rsidRPr="00620E43" w:rsidRDefault="006B6DF6">
            <w:pPr>
              <w:spacing w:before="40" w:after="120"/>
              <w:ind w:right="113"/>
              <w:jc w:val="both"/>
            </w:pPr>
            <w:r w:rsidRPr="00DA51A5">
              <w:rPr>
                <w:rFonts w:eastAsia="SimSun"/>
                <w:lang w:eastAsia="en-US"/>
              </w:rPr>
              <w:t>Respecto a las recomendaciones generales, la autora considera que no se ha tomado ninguna medida para asegurar la accesibilidad a los recursos jurídicos para limitar la utilización de la notificación por edicto pues, pese a la modificación del artículo 164 de la Ley de Enjuiciamiento Civil, no se ha modificado el artículo 686, que fue aplicado</w:t>
            </w:r>
            <w:r>
              <w:rPr>
                <w:rFonts w:eastAsia="SimSun"/>
                <w:lang w:eastAsia="en-US"/>
              </w:rPr>
              <w:t xml:space="preserve"> en su caso</w:t>
            </w:r>
            <w:r w:rsidRPr="00DA51A5">
              <w:rPr>
                <w:rFonts w:eastAsia="SimSun"/>
                <w:lang w:eastAsia="en-US"/>
              </w:rPr>
              <w:t xml:space="preserve">. La autora considera que existe una deficiente redacción de la legislación que </w:t>
            </w:r>
            <w:r>
              <w:rPr>
                <w:rFonts w:eastAsia="SimSun"/>
                <w:lang w:eastAsia="en-US"/>
              </w:rPr>
              <w:t>da lugar a</w:t>
            </w:r>
            <w:r w:rsidRPr="00DA51A5">
              <w:rPr>
                <w:rFonts w:eastAsia="SimSun"/>
                <w:lang w:eastAsia="en-US"/>
              </w:rPr>
              <w:t xml:space="preserve"> un sistema deficien</w:t>
            </w:r>
            <w:r>
              <w:rPr>
                <w:rFonts w:eastAsia="SimSun"/>
                <w:lang w:eastAsia="en-US"/>
              </w:rPr>
              <w:t>te</w:t>
            </w:r>
            <w:r w:rsidRPr="00DA51A5">
              <w:rPr>
                <w:rFonts w:eastAsia="SimSun"/>
                <w:lang w:eastAsia="en-US"/>
              </w:rPr>
              <w:t xml:space="preserve"> de notificaciones. </w:t>
            </w:r>
            <w:r>
              <w:rPr>
                <w:rFonts w:eastAsia="SimSun"/>
                <w:lang w:eastAsia="en-US"/>
              </w:rPr>
              <w:t xml:space="preserve">Considera que </w:t>
            </w:r>
            <w:r w:rsidRPr="00DA51A5">
              <w:rPr>
                <w:rFonts w:eastAsia="SimSun"/>
                <w:lang w:eastAsia="en-US"/>
              </w:rPr>
              <w:t>el acceso al derecho a una vivienda digna en España sigue siendo preocupante.</w:t>
            </w:r>
          </w:p>
        </w:tc>
      </w:tr>
      <w:tr w:rsidR="006B6DF6" w:rsidRPr="00620E43" w14:paraId="6AE9760E" w14:textId="77777777" w:rsidTr="009E5F8A">
        <w:tc>
          <w:tcPr>
            <w:tcW w:w="4814" w:type="dxa"/>
            <w:shd w:val="clear" w:color="auto" w:fill="auto"/>
          </w:tcPr>
          <w:p w14:paraId="575969A7" w14:textId="77777777" w:rsidR="006B6DF6" w:rsidRPr="0094053D" w:rsidRDefault="006B6DF6" w:rsidP="00620E43">
            <w:pPr>
              <w:spacing w:before="40" w:after="120"/>
              <w:ind w:right="113"/>
              <w:rPr>
                <w:rFonts w:eastAsia="SimSun"/>
                <w:b/>
                <w:lang w:eastAsia="en-US"/>
              </w:rPr>
            </w:pPr>
            <w:r w:rsidRPr="0094053D">
              <w:rPr>
                <w:rFonts w:eastAsia="SimSun"/>
                <w:b/>
                <w:lang w:eastAsia="en-US"/>
              </w:rPr>
              <w:t>Decisión del Comité:</w:t>
            </w:r>
          </w:p>
        </w:tc>
        <w:tc>
          <w:tcPr>
            <w:tcW w:w="4814" w:type="dxa"/>
            <w:shd w:val="clear" w:color="auto" w:fill="auto"/>
          </w:tcPr>
          <w:p w14:paraId="1C371565" w14:textId="77777777" w:rsidR="006B6DF6" w:rsidRPr="00DA51A5" w:rsidRDefault="006B6DF6" w:rsidP="001E5A30">
            <w:pPr>
              <w:spacing w:before="40" w:after="120"/>
              <w:ind w:right="113"/>
              <w:jc w:val="both"/>
              <w:rPr>
                <w:rFonts w:eastAsia="SimSun"/>
                <w:lang w:eastAsia="en-US"/>
              </w:rPr>
            </w:pPr>
            <w:r w:rsidRPr="00DA51A5">
              <w:rPr>
                <w:rFonts w:eastAsia="SimSun"/>
                <w:lang w:eastAsia="en-US"/>
              </w:rPr>
              <w:t>El Comité toma nota de que, según la autora, aún no se le ha notificado la demanda</w:t>
            </w:r>
            <w:r w:rsidR="005F7590">
              <w:rPr>
                <w:rFonts w:eastAsia="SimSun"/>
                <w:lang w:eastAsia="en-US"/>
              </w:rPr>
              <w:t>,</w:t>
            </w:r>
            <w:r w:rsidRPr="00DA51A5">
              <w:rPr>
                <w:rFonts w:eastAsia="SimSun"/>
                <w:lang w:eastAsia="en-US"/>
              </w:rPr>
              <w:t xml:space="preserve"> por lo que la recomendación del Comité no ha sido implementada. El Comité recuerda que recomendó al Estado parte asegurar que la subasta de la vivienda de la autora no se ejecutara sin que ella contara con la debida protección procesal y un proceso con las debidas garantías. En este sentido, el Comité toma nota de que, según la información recibida, hasta la fecha no ha existido subasta alguna </w:t>
            </w:r>
            <w:r w:rsidRPr="00DA51A5">
              <w:rPr>
                <w:rFonts w:eastAsia="SimSun"/>
                <w:lang w:eastAsia="en-US"/>
              </w:rPr>
              <w:lastRenderedPageBreak/>
              <w:t>ni desahucio de la autora, y</w:t>
            </w:r>
            <w:r>
              <w:rPr>
                <w:rFonts w:eastAsia="SimSun"/>
                <w:lang w:eastAsia="en-US"/>
              </w:rPr>
              <w:t xml:space="preserve"> que</w:t>
            </w:r>
            <w:r w:rsidRPr="00DA51A5">
              <w:rPr>
                <w:rFonts w:eastAsia="SimSun"/>
                <w:lang w:eastAsia="en-US"/>
              </w:rPr>
              <w:t xml:space="preserve"> según las alegaciones del Estado parte, </w:t>
            </w:r>
            <w:r>
              <w:rPr>
                <w:rFonts w:eastAsia="SimSun"/>
                <w:lang w:eastAsia="en-US"/>
              </w:rPr>
              <w:t>se ha dictado o se va a dictar próximamente el archivo provisional de la ejecución hipotecaria</w:t>
            </w:r>
            <w:r w:rsidRPr="00DA51A5">
              <w:rPr>
                <w:rFonts w:eastAsia="SimSun"/>
                <w:lang w:eastAsia="en-US"/>
              </w:rPr>
              <w:t xml:space="preserve">. </w:t>
            </w:r>
          </w:p>
          <w:p w14:paraId="083C827C" w14:textId="77777777" w:rsidR="006B6DF6" w:rsidRPr="00DA51A5" w:rsidRDefault="006B6DF6">
            <w:pPr>
              <w:spacing w:before="40" w:after="120"/>
              <w:ind w:right="113"/>
              <w:jc w:val="both"/>
              <w:rPr>
                <w:rFonts w:eastAsia="SimSun"/>
                <w:lang w:eastAsia="en-US"/>
              </w:rPr>
            </w:pPr>
            <w:r w:rsidRPr="00DA51A5">
              <w:rPr>
                <w:rFonts w:eastAsia="SimSun"/>
                <w:lang w:eastAsia="en-US"/>
              </w:rPr>
              <w:t xml:space="preserve">El Comité toma nota de que el Estado parte ha llevado a cabo una modificación legislativa destinada a limitar la utilización de la notificación </w:t>
            </w:r>
            <w:r>
              <w:rPr>
                <w:rFonts w:eastAsia="SimSun"/>
                <w:lang w:eastAsia="en-US"/>
              </w:rPr>
              <w:t xml:space="preserve">por </w:t>
            </w:r>
            <w:r w:rsidRPr="00DA51A5">
              <w:rPr>
                <w:rFonts w:eastAsia="SimSun"/>
                <w:lang w:eastAsia="en-US"/>
              </w:rPr>
              <w:t>edict</w:t>
            </w:r>
            <w:r>
              <w:rPr>
                <w:rFonts w:eastAsia="SimSun"/>
                <w:lang w:eastAsia="en-US"/>
              </w:rPr>
              <w:t xml:space="preserve">o </w:t>
            </w:r>
            <w:r w:rsidRPr="00DA51A5">
              <w:rPr>
                <w:rFonts w:eastAsia="SimSun"/>
                <w:lang w:eastAsia="en-US"/>
              </w:rPr>
              <w:t xml:space="preserve">en el marco de las notificaciones de las resoluciones procesales a las partes. </w:t>
            </w:r>
            <w:r>
              <w:rPr>
                <w:rFonts w:eastAsia="SimSun"/>
                <w:lang w:eastAsia="en-US"/>
              </w:rPr>
              <w:t>También</w:t>
            </w:r>
            <w:r w:rsidRPr="00DA51A5">
              <w:rPr>
                <w:rFonts w:eastAsia="SimSun"/>
                <w:lang w:eastAsia="en-US"/>
              </w:rPr>
              <w:t xml:space="preserve"> toma nota de que, en el caso de la autora, la notificación </w:t>
            </w:r>
            <w:r>
              <w:rPr>
                <w:rFonts w:eastAsia="SimSun"/>
                <w:lang w:eastAsia="en-US"/>
              </w:rPr>
              <w:t xml:space="preserve">por </w:t>
            </w:r>
            <w:r w:rsidRPr="00DA51A5">
              <w:rPr>
                <w:rFonts w:eastAsia="SimSun"/>
                <w:lang w:eastAsia="en-US"/>
              </w:rPr>
              <w:t>edict</w:t>
            </w:r>
            <w:r>
              <w:rPr>
                <w:rFonts w:eastAsia="SimSun"/>
                <w:lang w:eastAsia="en-US"/>
              </w:rPr>
              <w:t xml:space="preserve">o </w:t>
            </w:r>
            <w:r w:rsidRPr="00DA51A5">
              <w:rPr>
                <w:rFonts w:eastAsia="SimSun"/>
                <w:lang w:eastAsia="en-US"/>
              </w:rPr>
              <w:t>no ha vuelto a ser utilizada. Si bien, según apunta la autora, s</w:t>
            </w:r>
            <w:r w:rsidR="005F7590">
              <w:rPr>
                <w:rFonts w:eastAsia="SimSun"/>
                <w:lang w:eastAsia="en-US"/>
              </w:rPr>
              <w:t>o</w:t>
            </w:r>
            <w:r w:rsidRPr="00DA51A5">
              <w:rPr>
                <w:rFonts w:eastAsia="SimSun"/>
                <w:lang w:eastAsia="en-US"/>
              </w:rPr>
              <w:t xml:space="preserve">lo el artículo 164 de la </w:t>
            </w:r>
            <w:r>
              <w:rPr>
                <w:rFonts w:eastAsia="SimSun"/>
                <w:lang w:eastAsia="en-US"/>
              </w:rPr>
              <w:t>L</w:t>
            </w:r>
            <w:r w:rsidRPr="00DA51A5">
              <w:rPr>
                <w:rFonts w:eastAsia="SimSun"/>
                <w:lang w:eastAsia="en-US"/>
              </w:rPr>
              <w:t xml:space="preserve">ey de </w:t>
            </w:r>
            <w:r>
              <w:rPr>
                <w:rFonts w:eastAsia="SimSun"/>
                <w:lang w:eastAsia="en-US"/>
              </w:rPr>
              <w:t>E</w:t>
            </w:r>
            <w:r w:rsidRPr="00DA51A5">
              <w:rPr>
                <w:rFonts w:eastAsia="SimSun"/>
                <w:lang w:eastAsia="en-US"/>
              </w:rPr>
              <w:t xml:space="preserve">njuiciamiento </w:t>
            </w:r>
            <w:r>
              <w:rPr>
                <w:rFonts w:eastAsia="SimSun"/>
                <w:lang w:eastAsia="en-US"/>
              </w:rPr>
              <w:t>C</w:t>
            </w:r>
            <w:r w:rsidRPr="00DA51A5">
              <w:rPr>
                <w:rFonts w:eastAsia="SimSun"/>
                <w:lang w:eastAsia="en-US"/>
              </w:rPr>
              <w:t>ivil ha sido modificado, y no el artículo 686, el Comité recuerda que no fue un defecto de la redacción del artículo 686</w:t>
            </w:r>
            <w:r w:rsidR="005F7590">
              <w:rPr>
                <w:rFonts w:eastAsia="SimSun"/>
                <w:lang w:eastAsia="en-US"/>
              </w:rPr>
              <w:t>,</w:t>
            </w:r>
            <w:r w:rsidRPr="00DA51A5">
              <w:rPr>
                <w:rFonts w:eastAsia="SimSun"/>
                <w:lang w:eastAsia="en-US"/>
              </w:rPr>
              <w:t xml:space="preserve"> sino de su aplicación, el que provocó la violación del derecho a una vivienda adecuada de la autora (E/C.12/55/D/2/2014</w:t>
            </w:r>
            <w:r w:rsidR="005F7590">
              <w:rPr>
                <w:rFonts w:eastAsia="SimSun"/>
                <w:lang w:eastAsia="en-US"/>
              </w:rPr>
              <w:t>,</w:t>
            </w:r>
            <w:r w:rsidRPr="00DA51A5">
              <w:rPr>
                <w:rFonts w:eastAsia="SimSun"/>
                <w:lang w:eastAsia="en-US"/>
              </w:rPr>
              <w:t xml:space="preserve"> párr. 13.3).</w:t>
            </w:r>
          </w:p>
          <w:p w14:paraId="14668AC5" w14:textId="77777777" w:rsidR="006B6DF6" w:rsidRPr="00DA51A5" w:rsidRDefault="006B6DF6" w:rsidP="001E5A30">
            <w:pPr>
              <w:spacing w:before="40" w:after="120"/>
              <w:ind w:right="113"/>
              <w:jc w:val="both"/>
              <w:rPr>
                <w:rFonts w:eastAsia="SimSun"/>
                <w:lang w:eastAsia="en-US"/>
              </w:rPr>
            </w:pPr>
            <w:r w:rsidRPr="00DA51A5">
              <w:rPr>
                <w:rFonts w:eastAsia="SimSun"/>
                <w:lang w:eastAsia="en-US"/>
              </w:rPr>
              <w:t>El Comité toma nota de que los representantes de la autora ha</w:t>
            </w:r>
            <w:r>
              <w:rPr>
                <w:rFonts w:eastAsia="SimSun"/>
                <w:lang w:eastAsia="en-US"/>
              </w:rPr>
              <w:t>n reclamado el monto de 49.600 euros</w:t>
            </w:r>
            <w:r w:rsidRPr="00DA51A5">
              <w:rPr>
                <w:rFonts w:eastAsia="SimSun"/>
                <w:lang w:eastAsia="en-US"/>
              </w:rPr>
              <w:t xml:space="preserve"> al Estado parte y que, según la información recibida por el Comité, la demanda de los representantes sigue pendiente de resolverse.</w:t>
            </w:r>
            <w:r>
              <w:rPr>
                <w:rFonts w:eastAsia="SimSun"/>
                <w:lang w:eastAsia="en-US"/>
              </w:rPr>
              <w:t xml:space="preserve"> El Comité toma nota de que, según la documentación aportada, los representantes han solicitado el pago de una factura, de monto elevado, sin que haya quedado probado que la autora incurrió en tales gastos. </w:t>
            </w:r>
            <w:r w:rsidRPr="00DA51A5">
              <w:rPr>
                <w:rFonts w:eastAsia="SimSun"/>
                <w:lang w:eastAsia="en-US"/>
              </w:rPr>
              <w:t xml:space="preserve">En este sentido, el Comité subraya la legitimidad de las partes para procurar la implementación de las recomendaciones del Comité, en todo momento de buena fe y de forma razonable. </w:t>
            </w:r>
            <w:r w:rsidR="005855A9">
              <w:rPr>
                <w:rFonts w:eastAsia="SimSun"/>
                <w:lang w:eastAsia="en-US"/>
              </w:rPr>
              <w:t xml:space="preserve">El Comité, por tanto, solicita a las partes que proporcionen información adicional sobre la resolución de este proceso, y solicita a la autora que participe </w:t>
            </w:r>
            <w:r w:rsidR="00BC157F">
              <w:rPr>
                <w:rFonts w:eastAsia="SimSun"/>
                <w:lang w:eastAsia="en-US"/>
              </w:rPr>
              <w:t>en el</w:t>
            </w:r>
            <w:r w:rsidR="005855A9">
              <w:rPr>
                <w:rFonts w:eastAsia="SimSun"/>
                <w:lang w:eastAsia="en-US"/>
              </w:rPr>
              <w:t xml:space="preserve"> proceso de</w:t>
            </w:r>
            <w:r w:rsidR="0090527A">
              <w:rPr>
                <w:rFonts w:eastAsia="SimSun"/>
                <w:lang w:eastAsia="en-US"/>
              </w:rPr>
              <w:t> </w:t>
            </w:r>
            <w:r w:rsidR="005855A9">
              <w:rPr>
                <w:rFonts w:eastAsia="SimSun"/>
                <w:lang w:eastAsia="en-US"/>
              </w:rPr>
              <w:t>forma razonable y respetando el principio de buena fe.</w:t>
            </w:r>
          </w:p>
          <w:p w14:paraId="3CE65220" w14:textId="77777777" w:rsidR="006B6DF6" w:rsidRPr="00DA51A5" w:rsidRDefault="006B6DF6" w:rsidP="005855A9">
            <w:pPr>
              <w:spacing w:before="40" w:after="120"/>
              <w:ind w:right="113"/>
              <w:jc w:val="both"/>
              <w:rPr>
                <w:rFonts w:eastAsia="SimSun"/>
                <w:lang w:eastAsia="en-US"/>
              </w:rPr>
            </w:pPr>
            <w:r w:rsidRPr="00DA51A5">
              <w:rPr>
                <w:rFonts w:eastAsia="SimSun"/>
                <w:lang w:eastAsia="en-US"/>
              </w:rPr>
              <w:t xml:space="preserve">Teniendo en cuenta todas las informaciones recibidas, el Comité considera que las recomendaciones respecto a la autora han sido parcialmente implementadas y las recomendaciones generales han sido satisfactoriamente implementadas. </w:t>
            </w:r>
            <w:r w:rsidR="005855A9">
              <w:rPr>
                <w:rFonts w:eastAsia="SimSun"/>
                <w:lang w:eastAsia="en-US"/>
              </w:rPr>
              <w:t>El Comité decide continuar el seguimiento de este dictamen e invita al Estado parte a proporcionar información sobre las medidas tomadas a la luz de la recomendación b) en relación con la autora</w:t>
            </w:r>
            <w:r w:rsidR="00BC157F">
              <w:rPr>
                <w:rFonts w:eastAsia="SimSun"/>
                <w:lang w:eastAsia="en-US"/>
              </w:rPr>
              <w:t xml:space="preserve"> </w:t>
            </w:r>
            <w:r w:rsidR="00BC157F" w:rsidRPr="00C057C5">
              <w:rPr>
                <w:rFonts w:eastAsia="SimSun"/>
                <w:lang w:eastAsia="en-US"/>
              </w:rPr>
              <w:t>en un plazo de 90 días desde la publicación de este documento</w:t>
            </w:r>
            <w:r w:rsidR="005855A9">
              <w:rPr>
                <w:rFonts w:eastAsia="SimSun"/>
                <w:lang w:eastAsia="en-US"/>
              </w:rPr>
              <w:t>.</w:t>
            </w:r>
          </w:p>
        </w:tc>
      </w:tr>
    </w:tbl>
    <w:p w14:paraId="1962EE86" w14:textId="77777777" w:rsidR="00620E43" w:rsidRDefault="00620E43" w:rsidP="00620E43">
      <w:pPr>
        <w:pStyle w:val="SingleTxtG"/>
      </w:pP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AA75A3" w:rsidRPr="00AA025E" w14:paraId="6127B282" w14:textId="77777777" w:rsidTr="00774A5F">
        <w:tc>
          <w:tcPr>
            <w:tcW w:w="8504" w:type="dxa"/>
            <w:gridSpan w:val="2"/>
            <w:tcBorders>
              <w:top w:val="single" w:sz="4" w:space="0" w:color="auto"/>
              <w:bottom w:val="single" w:sz="12" w:space="0" w:color="auto"/>
            </w:tcBorders>
            <w:shd w:val="clear" w:color="auto" w:fill="auto"/>
            <w:vAlign w:val="bottom"/>
          </w:tcPr>
          <w:p w14:paraId="036552D7" w14:textId="77777777" w:rsidR="00AA75A3" w:rsidRPr="00AA025E" w:rsidRDefault="00AA75A3" w:rsidP="006A0D1B">
            <w:pPr>
              <w:keepNext/>
              <w:suppressAutoHyphens w:val="0"/>
              <w:spacing w:before="80" w:after="80" w:line="200" w:lineRule="exact"/>
              <w:rPr>
                <w:i/>
                <w:spacing w:val="4"/>
                <w:w w:val="103"/>
                <w:kern w:val="14"/>
                <w:sz w:val="16"/>
              </w:rPr>
            </w:pPr>
            <w:r w:rsidRPr="00AA025E">
              <w:rPr>
                <w:rFonts w:eastAsia="SimSun"/>
                <w:bCs/>
                <w:i/>
                <w:iCs/>
                <w:spacing w:val="4"/>
                <w:w w:val="103"/>
                <w:kern w:val="14"/>
                <w:sz w:val="16"/>
                <w:lang w:eastAsia="en-US"/>
              </w:rPr>
              <w:t xml:space="preserve">Comunicación </w:t>
            </w:r>
            <w:r w:rsidR="005F7590">
              <w:rPr>
                <w:rFonts w:eastAsia="SimSun"/>
                <w:bCs/>
                <w:i/>
                <w:iCs/>
                <w:spacing w:val="4"/>
                <w:w w:val="103"/>
                <w:kern w:val="14"/>
                <w:sz w:val="16"/>
                <w:lang w:eastAsia="en-US"/>
              </w:rPr>
              <w:t>núm</w:t>
            </w:r>
            <w:r w:rsidRPr="00AA025E">
              <w:rPr>
                <w:rFonts w:eastAsia="SimSun"/>
                <w:bCs/>
                <w:i/>
                <w:iCs/>
                <w:spacing w:val="4"/>
                <w:w w:val="103"/>
                <w:kern w:val="14"/>
                <w:sz w:val="16"/>
                <w:lang w:eastAsia="en-US"/>
              </w:rPr>
              <w:t xml:space="preserve">. 5/2015, </w:t>
            </w:r>
            <w:r w:rsidR="005F7590">
              <w:rPr>
                <w:rFonts w:eastAsia="SimSun"/>
                <w:bCs/>
                <w:i/>
                <w:iCs/>
                <w:spacing w:val="4"/>
                <w:w w:val="103"/>
                <w:kern w:val="14"/>
                <w:sz w:val="16"/>
                <w:lang w:eastAsia="en-US"/>
              </w:rPr>
              <w:t xml:space="preserve">Mohamed </w:t>
            </w:r>
            <w:r w:rsidRPr="00AA025E">
              <w:rPr>
                <w:rFonts w:eastAsia="SimSun"/>
                <w:bCs/>
                <w:i/>
                <w:iCs/>
                <w:spacing w:val="4"/>
                <w:w w:val="103"/>
                <w:kern w:val="14"/>
                <w:sz w:val="16"/>
                <w:lang w:eastAsia="en-US"/>
              </w:rPr>
              <w:t xml:space="preserve">Ben Djazia </w:t>
            </w:r>
            <w:r w:rsidR="005F7590">
              <w:rPr>
                <w:rFonts w:eastAsia="SimSun"/>
                <w:bCs/>
                <w:i/>
                <w:iCs/>
                <w:spacing w:val="4"/>
                <w:w w:val="103"/>
                <w:kern w:val="14"/>
                <w:sz w:val="16"/>
                <w:lang w:eastAsia="en-US"/>
              </w:rPr>
              <w:t>y Naouel Bellili</w:t>
            </w:r>
            <w:r w:rsidRPr="00AA025E">
              <w:rPr>
                <w:rFonts w:eastAsia="SimSun"/>
                <w:bCs/>
                <w:i/>
                <w:iCs/>
                <w:spacing w:val="4"/>
                <w:w w:val="103"/>
                <w:kern w:val="14"/>
                <w:sz w:val="16"/>
                <w:lang w:eastAsia="en-US"/>
              </w:rPr>
              <w:t xml:space="preserve"> c. España</w:t>
            </w:r>
          </w:p>
        </w:tc>
      </w:tr>
      <w:tr w:rsidR="00154C26" w:rsidRPr="00154C26" w14:paraId="60665732" w14:textId="77777777" w:rsidTr="00AA75A3">
        <w:trPr>
          <w:trHeight w:hRule="exact" w:val="113"/>
        </w:trPr>
        <w:tc>
          <w:tcPr>
            <w:tcW w:w="4252" w:type="dxa"/>
            <w:tcBorders>
              <w:top w:val="single" w:sz="12" w:space="0" w:color="auto"/>
            </w:tcBorders>
            <w:shd w:val="clear" w:color="auto" w:fill="auto"/>
            <w:vAlign w:val="bottom"/>
          </w:tcPr>
          <w:p w14:paraId="4AF80C1A" w14:textId="77777777" w:rsidR="00154C26" w:rsidRPr="00154C26" w:rsidRDefault="00154C26" w:rsidP="006A0D1B">
            <w:pPr>
              <w:keepNext/>
              <w:spacing w:before="80" w:after="80" w:line="200" w:lineRule="exact"/>
              <w:ind w:right="113"/>
              <w:rPr>
                <w:i/>
                <w:sz w:val="16"/>
              </w:rPr>
            </w:pPr>
          </w:p>
        </w:tc>
        <w:tc>
          <w:tcPr>
            <w:tcW w:w="4252" w:type="dxa"/>
            <w:tcBorders>
              <w:top w:val="single" w:sz="12" w:space="0" w:color="auto"/>
            </w:tcBorders>
            <w:shd w:val="clear" w:color="auto" w:fill="auto"/>
            <w:vAlign w:val="bottom"/>
          </w:tcPr>
          <w:p w14:paraId="28F52A59" w14:textId="77777777" w:rsidR="00154C26" w:rsidRPr="00154C26" w:rsidRDefault="00154C26" w:rsidP="006A0D1B">
            <w:pPr>
              <w:keepNext/>
              <w:spacing w:before="80" w:after="80" w:line="200" w:lineRule="exact"/>
              <w:ind w:right="113"/>
              <w:rPr>
                <w:i/>
                <w:sz w:val="16"/>
              </w:rPr>
            </w:pPr>
          </w:p>
        </w:tc>
      </w:tr>
      <w:tr w:rsidR="00154C26" w:rsidRPr="00154C26" w14:paraId="48530D77" w14:textId="77777777" w:rsidTr="00AA75A3">
        <w:tc>
          <w:tcPr>
            <w:tcW w:w="4252" w:type="dxa"/>
            <w:shd w:val="clear" w:color="auto" w:fill="auto"/>
          </w:tcPr>
          <w:p w14:paraId="512C0236" w14:textId="77777777" w:rsidR="00154C26" w:rsidRPr="0094053D" w:rsidRDefault="00154C26" w:rsidP="006A0D1B">
            <w:pPr>
              <w:keepNext/>
              <w:spacing w:before="40" w:after="120"/>
              <w:ind w:right="113"/>
              <w:rPr>
                <w:b/>
                <w:bCs/>
              </w:rPr>
            </w:pPr>
            <w:r w:rsidRPr="0094053D">
              <w:rPr>
                <w:rFonts w:eastAsia="SimSun"/>
                <w:b/>
                <w:bCs/>
                <w:lang w:eastAsia="en-US"/>
              </w:rPr>
              <w:t>Dictamen aprobado:</w:t>
            </w:r>
          </w:p>
        </w:tc>
        <w:tc>
          <w:tcPr>
            <w:tcW w:w="4252" w:type="dxa"/>
            <w:shd w:val="clear" w:color="auto" w:fill="auto"/>
          </w:tcPr>
          <w:p w14:paraId="205DC4C9" w14:textId="77777777" w:rsidR="00154C26" w:rsidRPr="00DB20AA" w:rsidRDefault="00154C26" w:rsidP="006A0D1B">
            <w:pPr>
              <w:keepNext/>
              <w:spacing w:before="40" w:after="120"/>
              <w:ind w:right="113"/>
            </w:pPr>
            <w:r w:rsidRPr="00DB20AA">
              <w:rPr>
                <w:rFonts w:eastAsia="SimSun"/>
                <w:lang w:eastAsia="en-US"/>
              </w:rPr>
              <w:t>20 de junio de 2017</w:t>
            </w:r>
          </w:p>
        </w:tc>
      </w:tr>
      <w:tr w:rsidR="00154C26" w:rsidRPr="00154C26" w14:paraId="1E45B6F1" w14:textId="77777777" w:rsidTr="00AA75A3">
        <w:tc>
          <w:tcPr>
            <w:tcW w:w="4252" w:type="dxa"/>
            <w:shd w:val="clear" w:color="auto" w:fill="auto"/>
          </w:tcPr>
          <w:p w14:paraId="35385BC8" w14:textId="77777777" w:rsidR="00154C26" w:rsidRPr="0094053D" w:rsidRDefault="00154C26" w:rsidP="006A0D1B">
            <w:pPr>
              <w:keepNext/>
              <w:spacing w:before="40" w:after="120"/>
              <w:ind w:right="113"/>
              <w:rPr>
                <w:b/>
                <w:bCs/>
              </w:rPr>
            </w:pPr>
            <w:r w:rsidRPr="0094053D">
              <w:rPr>
                <w:rFonts w:eastAsia="SimSun"/>
                <w:b/>
                <w:bCs/>
                <w:lang w:eastAsia="en-US"/>
              </w:rPr>
              <w:t>Contenido de la comunicación inicial:</w:t>
            </w:r>
          </w:p>
        </w:tc>
        <w:tc>
          <w:tcPr>
            <w:tcW w:w="4252" w:type="dxa"/>
            <w:shd w:val="clear" w:color="auto" w:fill="auto"/>
          </w:tcPr>
          <w:p w14:paraId="4E25E16B" w14:textId="77777777" w:rsidR="00154C26" w:rsidRPr="00154C26" w:rsidRDefault="00154C26" w:rsidP="006A0D1B">
            <w:pPr>
              <w:keepNext/>
              <w:spacing w:before="40" w:after="120"/>
              <w:ind w:right="113"/>
              <w:jc w:val="both"/>
            </w:pPr>
            <w:r>
              <w:rPr>
                <w:rFonts w:eastAsia="SimSun"/>
                <w:lang w:eastAsia="en-US"/>
              </w:rPr>
              <w:t>Los autores fueron desalojados por impago del alquiler de su vivienda, una habitación alquilada en un apartamento de Madrid. Los autores consideraban que el desalojo había supuesto una violación del artículo 11, párr</w:t>
            </w:r>
            <w:r w:rsidR="00DB20AA">
              <w:rPr>
                <w:rFonts w:eastAsia="SimSun"/>
                <w:lang w:eastAsia="en-US"/>
              </w:rPr>
              <w:t>afo</w:t>
            </w:r>
            <w:r>
              <w:rPr>
                <w:rFonts w:eastAsia="SimSun"/>
                <w:lang w:eastAsia="en-US"/>
              </w:rPr>
              <w:t xml:space="preserve"> 1, del Pacto. </w:t>
            </w:r>
            <w:r>
              <w:rPr>
                <w:rFonts w:eastAsia="SimSun"/>
                <w:lang w:eastAsia="en-US"/>
              </w:rPr>
              <w:lastRenderedPageBreak/>
              <w:t>También consideraban que en el proceso judicial no se habían observado todas las garantías</w:t>
            </w:r>
            <w:r w:rsidR="00DB20AA">
              <w:rPr>
                <w:rFonts w:eastAsia="SimSun"/>
                <w:lang w:eastAsia="en-US"/>
              </w:rPr>
              <w:t>,</w:t>
            </w:r>
            <w:r>
              <w:rPr>
                <w:rFonts w:eastAsia="SimSun"/>
                <w:lang w:eastAsia="en-US"/>
              </w:rPr>
              <w:t xml:space="preserve"> pues los tribunales no habían evaluado las consecuencias del desalojo (E/C.12/61/D/5/2015</w:t>
            </w:r>
            <w:r w:rsidRPr="00DA51A5">
              <w:rPr>
                <w:rFonts w:eastAsia="SimSun"/>
                <w:lang w:eastAsia="en-US"/>
              </w:rPr>
              <w:t>)</w:t>
            </w:r>
            <w:r>
              <w:rPr>
                <w:rFonts w:eastAsia="SimSun"/>
                <w:lang w:eastAsia="en-US"/>
              </w:rPr>
              <w:t>.</w:t>
            </w:r>
          </w:p>
        </w:tc>
      </w:tr>
      <w:tr w:rsidR="00154C26" w:rsidRPr="00154C26" w14:paraId="7BBAA916" w14:textId="77777777" w:rsidTr="00AA75A3">
        <w:tc>
          <w:tcPr>
            <w:tcW w:w="4252" w:type="dxa"/>
            <w:shd w:val="clear" w:color="auto" w:fill="auto"/>
          </w:tcPr>
          <w:p w14:paraId="7387F2B2" w14:textId="77777777" w:rsidR="00154C26" w:rsidRPr="0094053D" w:rsidRDefault="00154C26" w:rsidP="006A0D1B">
            <w:pPr>
              <w:keepNext/>
              <w:spacing w:before="40" w:after="120"/>
              <w:ind w:right="113"/>
              <w:rPr>
                <w:b/>
                <w:bCs/>
              </w:rPr>
            </w:pPr>
            <w:r w:rsidRPr="0094053D">
              <w:rPr>
                <w:rFonts w:eastAsia="SimSun"/>
                <w:b/>
                <w:bCs/>
                <w:lang w:eastAsia="en-US"/>
              </w:rPr>
              <w:lastRenderedPageBreak/>
              <w:t>Artículos violados:</w:t>
            </w:r>
          </w:p>
        </w:tc>
        <w:tc>
          <w:tcPr>
            <w:tcW w:w="4252" w:type="dxa"/>
            <w:shd w:val="clear" w:color="auto" w:fill="auto"/>
          </w:tcPr>
          <w:p w14:paraId="41768AE1" w14:textId="77777777" w:rsidR="00154C26" w:rsidRPr="00154C26" w:rsidRDefault="00154C26" w:rsidP="006A0D1B">
            <w:pPr>
              <w:keepNext/>
              <w:spacing w:before="40" w:after="120"/>
              <w:ind w:right="113"/>
              <w:jc w:val="both"/>
            </w:pPr>
            <w:r>
              <w:rPr>
                <w:rFonts w:eastAsia="SimSun"/>
                <w:lang w:eastAsia="en-US"/>
              </w:rPr>
              <w:t>Artículo 11, párr</w:t>
            </w:r>
            <w:r w:rsidR="00DB20AA">
              <w:rPr>
                <w:rFonts w:eastAsia="SimSun"/>
                <w:lang w:eastAsia="en-US"/>
              </w:rPr>
              <w:t xml:space="preserve">afo </w:t>
            </w:r>
            <w:r>
              <w:rPr>
                <w:rFonts w:eastAsia="SimSun"/>
                <w:lang w:eastAsia="en-US"/>
              </w:rPr>
              <w:t>1</w:t>
            </w:r>
            <w:r w:rsidR="00DB20AA">
              <w:rPr>
                <w:rFonts w:eastAsia="SimSun"/>
                <w:lang w:eastAsia="en-US"/>
              </w:rPr>
              <w:t>,</w:t>
            </w:r>
            <w:r>
              <w:rPr>
                <w:rFonts w:eastAsia="SimSun"/>
                <w:lang w:eastAsia="en-US"/>
              </w:rPr>
              <w:t xml:space="preserve"> leído individual y conjuntamente con los artículos 2, párr</w:t>
            </w:r>
            <w:r w:rsidR="00DB20AA">
              <w:rPr>
                <w:rFonts w:eastAsia="SimSun"/>
                <w:lang w:eastAsia="en-US"/>
              </w:rPr>
              <w:t xml:space="preserve">afo </w:t>
            </w:r>
            <w:r>
              <w:rPr>
                <w:rFonts w:eastAsia="SimSun"/>
                <w:lang w:eastAsia="en-US"/>
              </w:rPr>
              <w:t>1</w:t>
            </w:r>
            <w:r w:rsidR="00DB20AA">
              <w:rPr>
                <w:rFonts w:eastAsia="SimSun"/>
                <w:lang w:eastAsia="en-US"/>
              </w:rPr>
              <w:t>,</w:t>
            </w:r>
            <w:r>
              <w:rPr>
                <w:rFonts w:eastAsia="SimSun"/>
                <w:lang w:eastAsia="en-US"/>
              </w:rPr>
              <w:t xml:space="preserve"> y 10, párr</w:t>
            </w:r>
            <w:r w:rsidR="00DB20AA">
              <w:rPr>
                <w:rFonts w:eastAsia="SimSun"/>
                <w:lang w:eastAsia="en-US"/>
              </w:rPr>
              <w:t>afo</w:t>
            </w:r>
            <w:r>
              <w:rPr>
                <w:rFonts w:eastAsia="SimSun"/>
                <w:lang w:eastAsia="en-US"/>
              </w:rPr>
              <w:t xml:space="preserve"> 1</w:t>
            </w:r>
            <w:r w:rsidR="00DB20AA">
              <w:rPr>
                <w:rFonts w:eastAsia="SimSun"/>
                <w:lang w:eastAsia="en-US"/>
              </w:rPr>
              <w:t>,</w:t>
            </w:r>
            <w:r>
              <w:rPr>
                <w:rFonts w:eastAsia="SimSun"/>
                <w:lang w:eastAsia="en-US"/>
              </w:rPr>
              <w:t xml:space="preserve"> del Pacto.</w:t>
            </w:r>
          </w:p>
        </w:tc>
      </w:tr>
      <w:tr w:rsidR="00154C26" w:rsidRPr="00154C26" w14:paraId="1658EE87" w14:textId="77777777" w:rsidTr="00AA75A3">
        <w:tc>
          <w:tcPr>
            <w:tcW w:w="4252" w:type="dxa"/>
            <w:shd w:val="clear" w:color="auto" w:fill="auto"/>
          </w:tcPr>
          <w:p w14:paraId="42F5988B" w14:textId="77777777" w:rsidR="00154C26" w:rsidRPr="0094053D" w:rsidRDefault="00154C26" w:rsidP="006A0D1B">
            <w:pPr>
              <w:keepNext/>
              <w:spacing w:before="40" w:after="120"/>
              <w:ind w:right="113"/>
              <w:rPr>
                <w:b/>
                <w:bCs/>
              </w:rPr>
            </w:pPr>
            <w:r w:rsidRPr="0094053D">
              <w:rPr>
                <w:rFonts w:eastAsia="SimSun"/>
                <w:b/>
                <w:bCs/>
                <w:lang w:eastAsia="en-US"/>
              </w:rPr>
              <w:t xml:space="preserve">Recomendaciones del Comité en relación </w:t>
            </w:r>
            <w:r w:rsidR="000E3A06">
              <w:rPr>
                <w:rFonts w:eastAsia="SimSun"/>
                <w:b/>
                <w:bCs/>
                <w:lang w:eastAsia="en-US"/>
              </w:rPr>
              <w:br/>
            </w:r>
            <w:r w:rsidRPr="0094053D">
              <w:rPr>
                <w:rFonts w:eastAsia="SimSun"/>
                <w:b/>
                <w:bCs/>
                <w:lang w:eastAsia="en-US"/>
              </w:rPr>
              <w:t>con los autores:</w:t>
            </w:r>
          </w:p>
        </w:tc>
        <w:tc>
          <w:tcPr>
            <w:tcW w:w="4252" w:type="dxa"/>
            <w:shd w:val="clear" w:color="auto" w:fill="auto"/>
          </w:tcPr>
          <w:p w14:paraId="62E9E788" w14:textId="77777777" w:rsidR="00154C26" w:rsidRDefault="001E5A30" w:rsidP="006A0D1B">
            <w:pPr>
              <w:keepNext/>
              <w:spacing w:before="40" w:after="120"/>
              <w:ind w:right="113"/>
              <w:jc w:val="both"/>
              <w:rPr>
                <w:rFonts w:eastAsia="SimSun"/>
                <w:lang w:eastAsia="en-US"/>
              </w:rPr>
            </w:pPr>
            <w:r>
              <w:rPr>
                <w:rFonts w:eastAsia="SimSun"/>
                <w:lang w:eastAsia="en-US"/>
              </w:rPr>
              <w:t>a)</w:t>
            </w:r>
            <w:r w:rsidR="00A457C2">
              <w:rPr>
                <w:rFonts w:eastAsia="SimSun"/>
                <w:lang w:eastAsia="en-US"/>
              </w:rPr>
              <w:tab/>
            </w:r>
            <w:r w:rsidR="00A457C2" w:rsidRPr="00F14711">
              <w:rPr>
                <w:rFonts w:eastAsia="SimSun"/>
                <w:lang w:eastAsia="en-US"/>
              </w:rPr>
              <w:t xml:space="preserve">En </w:t>
            </w:r>
            <w:r w:rsidR="00154C26" w:rsidRPr="00F14711">
              <w:rPr>
                <w:rFonts w:eastAsia="SimSun"/>
                <w:lang w:eastAsia="en-US"/>
              </w:rPr>
              <w:t xml:space="preserve">caso de que los autores no cuenten con una vivienda adecuada, evaluar la situación actual de los mismos y, en consulta genuina y efectiva con los autores, otorgarles vivienda pública u otra medida que les permita vivir en una vivienda adecuada, tomando en cuenta los criterios establecidos en el presente dictamen; </w:t>
            </w:r>
          </w:p>
          <w:p w14:paraId="426440D8" w14:textId="77777777" w:rsidR="00154C26" w:rsidRDefault="00154C26" w:rsidP="006A0D1B">
            <w:pPr>
              <w:keepNext/>
              <w:spacing w:before="40" w:after="120"/>
              <w:ind w:right="113"/>
              <w:jc w:val="both"/>
              <w:rPr>
                <w:rFonts w:eastAsia="SimSun"/>
                <w:lang w:eastAsia="en-US"/>
              </w:rPr>
            </w:pPr>
            <w:r w:rsidRPr="00F14711">
              <w:rPr>
                <w:rFonts w:eastAsia="SimSun"/>
                <w:lang w:eastAsia="en-US"/>
              </w:rPr>
              <w:t>b)</w:t>
            </w:r>
            <w:r w:rsidR="00A457C2">
              <w:rPr>
                <w:rFonts w:eastAsia="SimSun"/>
                <w:lang w:eastAsia="en-US"/>
              </w:rPr>
              <w:tab/>
            </w:r>
            <w:r w:rsidR="00A457C2" w:rsidRPr="00F14711">
              <w:rPr>
                <w:rFonts w:eastAsia="SimSun"/>
                <w:lang w:eastAsia="en-US"/>
              </w:rPr>
              <w:t xml:space="preserve">Otorgar </w:t>
            </w:r>
            <w:r w:rsidRPr="00F14711">
              <w:rPr>
                <w:rFonts w:eastAsia="SimSun"/>
                <w:lang w:eastAsia="en-US"/>
              </w:rPr>
              <w:t xml:space="preserve">a los autores una compensación económica por las violaciones sufridas;  </w:t>
            </w:r>
          </w:p>
          <w:p w14:paraId="1B1882A7" w14:textId="77777777" w:rsidR="00154C26" w:rsidRPr="00154C26" w:rsidRDefault="00154C26" w:rsidP="006A0D1B">
            <w:pPr>
              <w:keepNext/>
              <w:spacing w:before="40" w:after="120"/>
              <w:ind w:right="113"/>
              <w:jc w:val="both"/>
            </w:pPr>
            <w:r w:rsidRPr="00F14711">
              <w:rPr>
                <w:rFonts w:eastAsia="SimSun"/>
                <w:lang w:eastAsia="en-US"/>
              </w:rPr>
              <w:t>c)</w:t>
            </w:r>
            <w:r w:rsidR="00A457C2">
              <w:rPr>
                <w:rFonts w:eastAsia="SimSun"/>
                <w:lang w:eastAsia="en-US"/>
              </w:rPr>
              <w:tab/>
            </w:r>
            <w:r w:rsidR="00A457C2" w:rsidRPr="00F14711">
              <w:rPr>
                <w:rFonts w:eastAsia="SimSun"/>
                <w:lang w:eastAsia="en-US"/>
              </w:rPr>
              <w:t xml:space="preserve">Reembolsar </w:t>
            </w:r>
            <w:r w:rsidRPr="00F14711">
              <w:rPr>
                <w:rFonts w:eastAsia="SimSun"/>
                <w:lang w:eastAsia="en-US"/>
              </w:rPr>
              <w:t>a los autores los costes legales en que razonablemente hubieran incurrido en la tramitación de esta comunicación.</w:t>
            </w:r>
          </w:p>
        </w:tc>
      </w:tr>
      <w:tr w:rsidR="00154C26" w:rsidRPr="00154C26" w14:paraId="6B9E44AE" w14:textId="77777777" w:rsidTr="00AA75A3">
        <w:tc>
          <w:tcPr>
            <w:tcW w:w="4252" w:type="dxa"/>
            <w:shd w:val="clear" w:color="auto" w:fill="auto"/>
          </w:tcPr>
          <w:p w14:paraId="6CC36ACF" w14:textId="77777777" w:rsidR="00154C26" w:rsidRPr="0094053D" w:rsidRDefault="00154C26" w:rsidP="006A0D1B">
            <w:pPr>
              <w:keepNext/>
              <w:spacing w:before="40" w:after="120"/>
              <w:ind w:right="113"/>
              <w:rPr>
                <w:b/>
                <w:bCs/>
              </w:rPr>
            </w:pPr>
            <w:r w:rsidRPr="0094053D">
              <w:rPr>
                <w:rFonts w:eastAsia="SimSun"/>
                <w:b/>
                <w:bCs/>
                <w:lang w:eastAsia="en-US"/>
              </w:rPr>
              <w:t>Recomendaciones generales del Comité</w:t>
            </w:r>
            <w:r w:rsidR="001E5A30" w:rsidRPr="0094053D">
              <w:rPr>
                <w:rFonts w:eastAsia="SimSun"/>
                <w:b/>
                <w:bCs/>
                <w:lang w:eastAsia="en-US"/>
              </w:rPr>
              <w:t>:</w:t>
            </w:r>
          </w:p>
        </w:tc>
        <w:tc>
          <w:tcPr>
            <w:tcW w:w="4252" w:type="dxa"/>
            <w:shd w:val="clear" w:color="auto" w:fill="auto"/>
          </w:tcPr>
          <w:p w14:paraId="1FE58921" w14:textId="77777777" w:rsidR="00154C26" w:rsidRPr="00DB20AA" w:rsidRDefault="00154C26" w:rsidP="006A0D1B">
            <w:pPr>
              <w:keepNext/>
              <w:spacing w:before="40" w:after="120"/>
              <w:ind w:right="113"/>
              <w:jc w:val="both"/>
              <w:rPr>
                <w:rFonts w:eastAsia="SimSun"/>
                <w:lang w:eastAsia="en-US"/>
              </w:rPr>
            </w:pPr>
            <w:r w:rsidRPr="00DB20AA">
              <w:rPr>
                <w:rFonts w:eastAsia="SimSun"/>
                <w:lang w:eastAsia="en-US"/>
              </w:rPr>
              <w:t>a)</w:t>
            </w:r>
            <w:r w:rsidR="00A457C2" w:rsidRPr="00DB20AA">
              <w:rPr>
                <w:rFonts w:eastAsia="SimSun"/>
                <w:lang w:eastAsia="en-US"/>
              </w:rPr>
              <w:tab/>
            </w:r>
            <w:r w:rsidRPr="00DB20AA">
              <w:rPr>
                <w:rFonts w:eastAsia="SimSun"/>
                <w:lang w:eastAsia="en-US"/>
              </w:rPr>
              <w:t>Adoptar medidas legislativas y/o administrativas pertinentes para garantizar que, en los procesos judiciales de desalojos de inquilinos, los demandados puedan oponerse o presentar un recurso con el fin de que el juez considere las consecuencias del desalojo y la compatibilidad de esta medida con el Pacto</w:t>
            </w:r>
            <w:r w:rsidR="005C1F5D">
              <w:rPr>
                <w:rFonts w:eastAsia="SimSun"/>
                <w:lang w:eastAsia="en-US"/>
              </w:rPr>
              <w:t>;</w:t>
            </w:r>
          </w:p>
          <w:p w14:paraId="43CA6944" w14:textId="77777777" w:rsidR="00154C26" w:rsidRPr="00DB20AA" w:rsidRDefault="00154C26" w:rsidP="006A0D1B">
            <w:pPr>
              <w:keepNext/>
              <w:spacing w:before="40" w:after="120"/>
              <w:ind w:right="113"/>
              <w:jc w:val="both"/>
              <w:rPr>
                <w:rFonts w:eastAsia="SimSun"/>
                <w:lang w:eastAsia="en-US"/>
              </w:rPr>
            </w:pPr>
            <w:r w:rsidRPr="00DB20AA">
              <w:rPr>
                <w:rFonts w:eastAsia="SimSun"/>
                <w:lang w:eastAsia="en-US"/>
              </w:rPr>
              <w:t>b)</w:t>
            </w:r>
            <w:r w:rsidR="00A457C2" w:rsidRPr="00DB20AA">
              <w:rPr>
                <w:rFonts w:eastAsia="SimSun"/>
                <w:lang w:eastAsia="en-US"/>
              </w:rPr>
              <w:tab/>
            </w:r>
            <w:r w:rsidRPr="00DB20AA">
              <w:rPr>
                <w:rFonts w:eastAsia="SimSun"/>
                <w:lang w:eastAsia="en-US"/>
              </w:rPr>
              <w:t>Adoptar las medidas necesarias para superar los problemas de falta de coordinación entre las decisiones judiciales y las acciones de los servicios sociales que pueden conducir a que una persona desalojada pueda quedar sin vivienda adecuada</w:t>
            </w:r>
            <w:r w:rsidR="005C1F5D">
              <w:rPr>
                <w:rFonts w:eastAsia="SimSun"/>
                <w:lang w:eastAsia="en-US"/>
              </w:rPr>
              <w:t>;</w:t>
            </w:r>
          </w:p>
          <w:p w14:paraId="47352AF9" w14:textId="77777777" w:rsidR="00154C26" w:rsidRPr="00DB20AA" w:rsidRDefault="00154C26" w:rsidP="006A0D1B">
            <w:pPr>
              <w:keepNext/>
              <w:spacing w:before="40" w:after="120"/>
              <w:ind w:right="113"/>
              <w:jc w:val="both"/>
              <w:rPr>
                <w:rFonts w:eastAsia="SimSun"/>
                <w:lang w:eastAsia="en-US"/>
              </w:rPr>
            </w:pPr>
            <w:r w:rsidRPr="00DB20AA">
              <w:rPr>
                <w:rFonts w:eastAsia="SimSun"/>
                <w:lang w:eastAsia="en-US"/>
              </w:rPr>
              <w:t>c)</w:t>
            </w:r>
            <w:r w:rsidR="00A457C2" w:rsidRPr="00DB20AA">
              <w:rPr>
                <w:rFonts w:eastAsia="SimSun"/>
                <w:lang w:eastAsia="en-US"/>
              </w:rPr>
              <w:tab/>
            </w:r>
            <w:r w:rsidRPr="00DB20AA">
              <w:rPr>
                <w:rFonts w:eastAsia="SimSun"/>
                <w:lang w:eastAsia="en-US"/>
              </w:rPr>
              <w:t>Adoptar las medidas necesarias para asegurarse de que los desalojos que afecten a personas sin recursos para procurarse una vivienda alternativa, s</w:t>
            </w:r>
            <w:r w:rsidR="00DB20AA" w:rsidRPr="00DB20AA">
              <w:rPr>
                <w:rFonts w:eastAsia="SimSun"/>
                <w:lang w:eastAsia="en-US"/>
              </w:rPr>
              <w:t>o</w:t>
            </w:r>
            <w:r w:rsidRPr="00DB20AA">
              <w:rPr>
                <w:rFonts w:eastAsia="SimSun"/>
                <w:lang w:eastAsia="en-US"/>
              </w:rPr>
              <w:t>lo se ejecuten después de que haya habido una consulta genuina y efectiva con estas personas y de que el Estado parte haya realizado todos los pasos indispensables, hasta el máximo de sus recursos disponibles, para que las personas desalojadas tengan una vivienda alternativa, en especial en aquellos casos que involucran a familias, personas mayores, niños y/u otras personas en situación de vulnerabilidad</w:t>
            </w:r>
            <w:r w:rsidR="005C1F5D">
              <w:rPr>
                <w:rFonts w:eastAsia="SimSun"/>
                <w:lang w:eastAsia="en-US"/>
              </w:rPr>
              <w:t>;</w:t>
            </w:r>
          </w:p>
          <w:p w14:paraId="5DBE610E" w14:textId="77777777" w:rsidR="00154C26" w:rsidRPr="00DB20AA" w:rsidRDefault="00154C26" w:rsidP="006A0D1B">
            <w:pPr>
              <w:keepNext/>
              <w:spacing w:before="40" w:after="120"/>
              <w:ind w:right="113"/>
              <w:jc w:val="both"/>
            </w:pPr>
            <w:r w:rsidRPr="00DB20AA">
              <w:rPr>
                <w:rFonts w:eastAsia="SimSun"/>
                <w:lang w:eastAsia="en-US"/>
              </w:rPr>
              <w:t>d)</w:t>
            </w:r>
            <w:r w:rsidR="00A457C2" w:rsidRPr="00DB20AA">
              <w:rPr>
                <w:rFonts w:eastAsia="SimSun"/>
                <w:lang w:eastAsia="en-US"/>
              </w:rPr>
              <w:tab/>
            </w:r>
            <w:r w:rsidRPr="00DB20AA">
              <w:rPr>
                <w:rFonts w:eastAsia="SimSun"/>
                <w:lang w:eastAsia="en-US"/>
              </w:rPr>
              <w:t>Formular e implementar, en coordinación con las comunidades autónomas y hasta el máximo de los recursos disponibles, un plan comprehensivo e integral para garantizar el derecho a la vivienda adecuada de personas con bajos ingresos, de conformidad con la observación general núm. 4</w:t>
            </w:r>
            <w:r w:rsidR="008D1E24">
              <w:rPr>
                <w:rFonts w:eastAsia="SimSun"/>
                <w:lang w:eastAsia="en-US"/>
              </w:rPr>
              <w:t xml:space="preserve"> </w:t>
            </w:r>
            <w:r w:rsidR="008D1E24">
              <w:t>(1991) sobre el derecho a una vivienda adecuada</w:t>
            </w:r>
            <w:r w:rsidRPr="00DB20AA">
              <w:rPr>
                <w:rFonts w:eastAsia="SimSun"/>
                <w:lang w:eastAsia="en-US"/>
              </w:rPr>
              <w:t>. Este plan deberá incluir los recursos, las medidas, los plazos y los criterios de evaluación que permitirán en forma razonable y verificable garantizar el derecho a la vivienda de esas personas.</w:t>
            </w:r>
          </w:p>
        </w:tc>
      </w:tr>
      <w:tr w:rsidR="00154C26" w:rsidRPr="00154C26" w14:paraId="2B6C088C" w14:textId="77777777" w:rsidTr="00AA75A3">
        <w:tc>
          <w:tcPr>
            <w:tcW w:w="4252" w:type="dxa"/>
            <w:shd w:val="clear" w:color="auto" w:fill="auto"/>
          </w:tcPr>
          <w:p w14:paraId="31BDA4F3" w14:textId="77777777" w:rsidR="00154C26" w:rsidRPr="0094053D" w:rsidRDefault="00154C26" w:rsidP="006A0D1B">
            <w:pPr>
              <w:keepNext/>
              <w:spacing w:before="40" w:after="120"/>
              <w:ind w:right="113"/>
              <w:rPr>
                <w:b/>
                <w:bCs/>
              </w:rPr>
            </w:pPr>
            <w:r w:rsidRPr="0094053D">
              <w:rPr>
                <w:rFonts w:eastAsia="SimSun"/>
                <w:b/>
                <w:bCs/>
                <w:lang w:eastAsia="en-US"/>
              </w:rPr>
              <w:lastRenderedPageBreak/>
              <w:t>Respuesta del Estado parte:</w:t>
            </w:r>
          </w:p>
        </w:tc>
        <w:tc>
          <w:tcPr>
            <w:tcW w:w="4252" w:type="dxa"/>
            <w:shd w:val="clear" w:color="auto" w:fill="auto"/>
          </w:tcPr>
          <w:p w14:paraId="536DBABE" w14:textId="77777777" w:rsidR="00154C26" w:rsidRPr="008464E1" w:rsidRDefault="00154C26" w:rsidP="006A0D1B">
            <w:pPr>
              <w:keepNext/>
              <w:spacing w:before="40" w:after="120"/>
              <w:ind w:right="113"/>
              <w:jc w:val="both"/>
              <w:rPr>
                <w:rFonts w:eastAsia="SimSun"/>
                <w:lang w:eastAsia="en-US"/>
              </w:rPr>
            </w:pPr>
            <w:r w:rsidRPr="008464E1">
              <w:rPr>
                <w:rFonts w:eastAsia="SimSun"/>
                <w:lang w:eastAsia="en-US"/>
              </w:rPr>
              <w:t>Mediante nota verbal de 11 de enero de 2018, el Estado parte aportó su respuesta a las recomendaciones del Comité.</w:t>
            </w:r>
          </w:p>
          <w:p w14:paraId="33A1FB44" w14:textId="77777777" w:rsidR="00154C26" w:rsidRPr="008464E1" w:rsidRDefault="00154C26" w:rsidP="006A0D1B">
            <w:pPr>
              <w:keepNext/>
              <w:spacing w:before="40" w:after="120"/>
              <w:ind w:right="113"/>
              <w:jc w:val="both"/>
              <w:rPr>
                <w:rFonts w:eastAsia="SimSun"/>
                <w:lang w:eastAsia="en-US"/>
              </w:rPr>
            </w:pPr>
            <w:r w:rsidRPr="008464E1">
              <w:rPr>
                <w:rFonts w:eastAsia="SimSun"/>
                <w:lang w:eastAsia="en-US"/>
              </w:rPr>
              <w:t xml:space="preserve">Respecto a las recomendaciones en relación con los autores, el Estado parte informa que se han iniciado los trámites para que los autores puedan presentarse a los procedimientos abiertos para la adjudicación de vivienda pública, dado que el expediente estaba caducado desde </w:t>
            </w:r>
            <w:r w:rsidR="00555DA8">
              <w:rPr>
                <w:rFonts w:eastAsia="SimSun"/>
                <w:lang w:eastAsia="en-US"/>
              </w:rPr>
              <w:t xml:space="preserve">el </w:t>
            </w:r>
            <w:r w:rsidRPr="008464E1">
              <w:rPr>
                <w:rFonts w:eastAsia="SimSun"/>
                <w:lang w:eastAsia="en-US"/>
              </w:rPr>
              <w:t>26 de septiembre de 2016.</w:t>
            </w:r>
          </w:p>
          <w:p w14:paraId="68313D49" w14:textId="77777777" w:rsidR="00154C26" w:rsidRPr="008464E1" w:rsidRDefault="00154C26" w:rsidP="006A0D1B">
            <w:pPr>
              <w:keepNext/>
              <w:spacing w:before="40" w:after="120"/>
              <w:ind w:right="113"/>
              <w:jc w:val="both"/>
              <w:rPr>
                <w:rFonts w:eastAsia="SimSun"/>
                <w:lang w:eastAsia="en-US"/>
              </w:rPr>
            </w:pPr>
            <w:r w:rsidRPr="008464E1">
              <w:rPr>
                <w:rFonts w:eastAsia="SimSun"/>
                <w:lang w:eastAsia="en-US"/>
              </w:rPr>
              <w:t xml:space="preserve">El Estado </w:t>
            </w:r>
            <w:r w:rsidR="00DB20AA" w:rsidRPr="008464E1">
              <w:rPr>
                <w:rFonts w:eastAsia="SimSun"/>
                <w:lang w:eastAsia="en-US"/>
              </w:rPr>
              <w:t>p</w:t>
            </w:r>
            <w:r w:rsidRPr="008464E1">
              <w:rPr>
                <w:rFonts w:eastAsia="SimSun"/>
                <w:lang w:eastAsia="en-US"/>
              </w:rPr>
              <w:t xml:space="preserve">arte también informa de que el dictamen del Comité ha sido publicado en el </w:t>
            </w:r>
            <w:r w:rsidRPr="0094053D">
              <w:rPr>
                <w:rFonts w:eastAsia="SimSun"/>
                <w:i/>
                <w:iCs/>
                <w:lang w:eastAsia="en-US"/>
              </w:rPr>
              <w:t>Boletín del Ministerio de Justicia</w:t>
            </w:r>
            <w:r w:rsidRPr="008464E1">
              <w:rPr>
                <w:rFonts w:eastAsia="SimSun"/>
                <w:lang w:eastAsia="en-US"/>
              </w:rPr>
              <w:t xml:space="preserve">. </w:t>
            </w:r>
          </w:p>
          <w:p w14:paraId="440914B4" w14:textId="77777777" w:rsidR="00154C26" w:rsidRPr="008464E1" w:rsidRDefault="00154C26" w:rsidP="006A0D1B">
            <w:pPr>
              <w:keepNext/>
              <w:spacing w:before="40" w:after="120"/>
              <w:ind w:right="113"/>
              <w:jc w:val="both"/>
            </w:pPr>
            <w:r w:rsidRPr="008464E1">
              <w:rPr>
                <w:rFonts w:eastAsia="SimSun"/>
                <w:lang w:eastAsia="en-US"/>
              </w:rPr>
              <w:t xml:space="preserve">En lo que respecta a la recomendación de adoptar un plan comprehensivo e integral para garantizar el derecho a la vivienda adecuada de personas con bajos ingresos, el Estado </w:t>
            </w:r>
            <w:r w:rsidR="008464E1" w:rsidRPr="008464E1">
              <w:rPr>
                <w:rFonts w:eastAsia="SimSun"/>
                <w:lang w:eastAsia="en-US"/>
              </w:rPr>
              <w:t>p</w:t>
            </w:r>
            <w:r w:rsidRPr="008464E1">
              <w:rPr>
                <w:rFonts w:eastAsia="SimSun"/>
                <w:lang w:eastAsia="en-US"/>
              </w:rPr>
              <w:t xml:space="preserve">arte se remite a su respuesta a las alegaciones de la Relatora Especial sobre </w:t>
            </w:r>
            <w:r w:rsidR="008464E1">
              <w:rPr>
                <w:rFonts w:eastAsia="SimSun"/>
                <w:lang w:eastAsia="en-US"/>
              </w:rPr>
              <w:t xml:space="preserve">una </w:t>
            </w:r>
            <w:r w:rsidRPr="008464E1">
              <w:rPr>
                <w:rFonts w:eastAsia="SimSun"/>
                <w:lang w:eastAsia="en-US"/>
              </w:rPr>
              <w:t xml:space="preserve">vivienda </w:t>
            </w:r>
            <w:r w:rsidR="008464E1">
              <w:rPr>
                <w:rFonts w:eastAsia="SimSun"/>
                <w:lang w:eastAsia="en-US"/>
              </w:rPr>
              <w:t xml:space="preserve">adecuada </w:t>
            </w:r>
            <w:r w:rsidRPr="008464E1">
              <w:rPr>
                <w:rFonts w:eastAsia="SimSun"/>
                <w:lang w:eastAsia="en-US"/>
              </w:rPr>
              <w:t>recogidas en el párrafo 10 del dictamen.</w:t>
            </w:r>
          </w:p>
        </w:tc>
      </w:tr>
      <w:tr w:rsidR="00154C26" w:rsidRPr="00154C26" w14:paraId="16051EBD" w14:textId="77777777" w:rsidTr="006A0D1B">
        <w:tc>
          <w:tcPr>
            <w:tcW w:w="4252" w:type="dxa"/>
            <w:shd w:val="clear" w:color="auto" w:fill="auto"/>
          </w:tcPr>
          <w:p w14:paraId="6A909D73" w14:textId="77777777" w:rsidR="00154C26" w:rsidRPr="0094053D" w:rsidRDefault="00154C26" w:rsidP="006A0D1B">
            <w:pPr>
              <w:keepNext/>
              <w:spacing w:before="40" w:after="120"/>
              <w:ind w:right="113"/>
              <w:rPr>
                <w:b/>
                <w:bCs/>
              </w:rPr>
            </w:pPr>
            <w:r w:rsidRPr="0094053D">
              <w:rPr>
                <w:rFonts w:eastAsia="SimSun"/>
                <w:b/>
                <w:bCs/>
                <w:lang w:eastAsia="en-US"/>
              </w:rPr>
              <w:t>Comentarios de los autores:</w:t>
            </w:r>
          </w:p>
        </w:tc>
        <w:tc>
          <w:tcPr>
            <w:tcW w:w="4252" w:type="dxa"/>
            <w:shd w:val="clear" w:color="auto" w:fill="auto"/>
          </w:tcPr>
          <w:p w14:paraId="48F546A1" w14:textId="77777777" w:rsidR="005D4C71" w:rsidRPr="00DA51A5" w:rsidRDefault="005D4C71" w:rsidP="006A0D1B">
            <w:pPr>
              <w:keepNext/>
              <w:spacing w:before="40" w:after="120"/>
              <w:ind w:right="113"/>
              <w:jc w:val="both"/>
              <w:rPr>
                <w:rFonts w:eastAsia="SimSun"/>
                <w:lang w:eastAsia="en-US"/>
              </w:rPr>
            </w:pPr>
            <w:r>
              <w:rPr>
                <w:rFonts w:eastAsia="SimSun"/>
                <w:lang w:eastAsia="en-US"/>
              </w:rPr>
              <w:t>El 1 de marzo de 2018, los autores presentaron</w:t>
            </w:r>
            <w:r w:rsidRPr="00DA51A5">
              <w:rPr>
                <w:rFonts w:eastAsia="SimSun"/>
                <w:lang w:eastAsia="en-US"/>
              </w:rPr>
              <w:t xml:space="preserve"> sus comentarios a </w:t>
            </w:r>
            <w:r>
              <w:rPr>
                <w:rFonts w:eastAsia="SimSun"/>
                <w:lang w:eastAsia="en-US"/>
              </w:rPr>
              <w:t>las observaciones del Estado parte</w:t>
            </w:r>
            <w:r w:rsidRPr="00DA51A5">
              <w:rPr>
                <w:rFonts w:eastAsia="SimSun"/>
                <w:lang w:eastAsia="en-US"/>
              </w:rPr>
              <w:t>.</w:t>
            </w:r>
          </w:p>
          <w:p w14:paraId="04A36004" w14:textId="77777777" w:rsidR="005D4C71" w:rsidRDefault="005D4C71" w:rsidP="006A0D1B">
            <w:pPr>
              <w:keepNext/>
              <w:spacing w:before="40" w:after="120"/>
              <w:ind w:right="113"/>
              <w:jc w:val="both"/>
              <w:rPr>
                <w:rFonts w:eastAsia="SimSun"/>
                <w:lang w:eastAsia="en-US"/>
              </w:rPr>
            </w:pPr>
            <w:r>
              <w:rPr>
                <w:rFonts w:eastAsia="SimSun"/>
                <w:lang w:eastAsia="en-US"/>
              </w:rPr>
              <w:t>Los autores informan que se encuentran residiendo en una vivienda social otorgada por el Ayuntamiento de Madrid desde 2016. Los autores afirman que no se les han ofrecido vías de reparación económica ni compensación por los costes procesales, y que no existen mecanismos internos para reclamarl</w:t>
            </w:r>
            <w:r w:rsidR="008464E1">
              <w:rPr>
                <w:rFonts w:eastAsia="SimSun"/>
                <w:lang w:eastAsia="en-US"/>
              </w:rPr>
              <w:t>as</w:t>
            </w:r>
            <w:r w:rsidRPr="00DA51A5">
              <w:rPr>
                <w:rFonts w:eastAsia="SimSun"/>
                <w:lang w:eastAsia="en-US"/>
              </w:rPr>
              <w:t>.</w:t>
            </w:r>
          </w:p>
          <w:p w14:paraId="0AA71E8C" w14:textId="77777777" w:rsidR="005D4C71" w:rsidRDefault="005D4C71" w:rsidP="006A0D1B">
            <w:pPr>
              <w:keepNext/>
              <w:spacing w:before="40" w:after="120"/>
              <w:ind w:right="113"/>
              <w:jc w:val="both"/>
              <w:rPr>
                <w:rFonts w:eastAsia="SimSun"/>
                <w:lang w:eastAsia="en-US"/>
              </w:rPr>
            </w:pPr>
            <w:r>
              <w:rPr>
                <w:rFonts w:eastAsia="SimSun"/>
                <w:lang w:eastAsia="en-US"/>
              </w:rPr>
              <w:t xml:space="preserve">En relación con la publicación del dictamen, los autores consideran que </w:t>
            </w:r>
            <w:r w:rsidR="008464E1">
              <w:rPr>
                <w:rFonts w:eastAsia="SimSun"/>
                <w:lang w:eastAsia="en-US"/>
              </w:rPr>
              <w:t>e</w:t>
            </w:r>
            <w:r>
              <w:rPr>
                <w:rFonts w:eastAsia="SimSun"/>
                <w:lang w:eastAsia="en-US"/>
              </w:rPr>
              <w:t xml:space="preserve">ste debería haber sido publicado en el </w:t>
            </w:r>
            <w:r w:rsidRPr="0094053D">
              <w:rPr>
                <w:rFonts w:eastAsia="SimSun"/>
                <w:i/>
                <w:iCs/>
                <w:lang w:eastAsia="en-US"/>
              </w:rPr>
              <w:t>Boletín Oficial del Estado</w:t>
            </w:r>
            <w:r>
              <w:rPr>
                <w:rFonts w:eastAsia="SimSun"/>
                <w:lang w:eastAsia="en-US"/>
              </w:rPr>
              <w:t xml:space="preserve">, que es el lugar de acceso público y general para las novedades de índole legal en España, y no en el </w:t>
            </w:r>
            <w:r w:rsidRPr="0094053D">
              <w:rPr>
                <w:rFonts w:eastAsia="SimSun"/>
                <w:i/>
                <w:iCs/>
                <w:lang w:eastAsia="en-US"/>
              </w:rPr>
              <w:t>Boletín del Ministerio de Justicia</w:t>
            </w:r>
            <w:r>
              <w:rPr>
                <w:rFonts w:eastAsia="SimSun"/>
                <w:lang w:eastAsia="en-US"/>
              </w:rPr>
              <w:t xml:space="preserve">, de difusión más reducida, para profesionales de esa </w:t>
            </w:r>
            <w:r w:rsidR="008464E1">
              <w:rPr>
                <w:rFonts w:eastAsia="SimSun"/>
                <w:lang w:eastAsia="en-US"/>
              </w:rPr>
              <w:t>A</w:t>
            </w:r>
            <w:r>
              <w:rPr>
                <w:rFonts w:eastAsia="SimSun"/>
                <w:lang w:eastAsia="en-US"/>
              </w:rPr>
              <w:t xml:space="preserve">dministración. </w:t>
            </w:r>
          </w:p>
          <w:p w14:paraId="484B90F7" w14:textId="77777777" w:rsidR="00E55CE5" w:rsidRPr="00154C26" w:rsidRDefault="005D4C71" w:rsidP="006A0D1B">
            <w:pPr>
              <w:keepNext/>
              <w:snapToGrid w:val="0"/>
              <w:spacing w:before="40" w:after="120"/>
              <w:ind w:right="113"/>
              <w:jc w:val="both"/>
            </w:pPr>
            <w:r>
              <w:rPr>
                <w:rFonts w:eastAsia="SimSun"/>
                <w:lang w:eastAsia="en-US"/>
              </w:rPr>
              <w:t>En relación con la recomendación de adoptar medidas para asegurar que los jueces puedan considerar las consecuencias de los desalojos, los autores informan que la legislación actual continúa sin contemplar tal opción. Esta recomendación s</w:t>
            </w:r>
            <w:r w:rsidR="00B12F42">
              <w:rPr>
                <w:rFonts w:eastAsia="SimSun"/>
                <w:lang w:eastAsia="en-US"/>
              </w:rPr>
              <w:t>o</w:t>
            </w:r>
            <w:r>
              <w:rPr>
                <w:rFonts w:eastAsia="SimSun"/>
                <w:lang w:eastAsia="en-US"/>
              </w:rPr>
              <w:t>lo podría ser seguida, a juicio de los autores, mediante una modificación de la Ley de Enjuiciamiento Civil. Además, los autores hacen notar que, en los casos de desalojo por impago de alquiler, el proceso es muy rápido, contando los demandados con s</w:t>
            </w:r>
            <w:r w:rsidR="00B12F42">
              <w:rPr>
                <w:rFonts w:eastAsia="SimSun"/>
                <w:lang w:eastAsia="en-US"/>
              </w:rPr>
              <w:t>o</w:t>
            </w:r>
            <w:r>
              <w:rPr>
                <w:rFonts w:eastAsia="SimSun"/>
                <w:lang w:eastAsia="en-US"/>
              </w:rPr>
              <w:t xml:space="preserve">lo tres días para solicitar asistencia letrada gratuita, y que, en caso de que el demandado no responda en un plazo de diez días, un letrado de la </w:t>
            </w:r>
            <w:r w:rsidR="00B12F42">
              <w:rPr>
                <w:rFonts w:eastAsia="SimSun"/>
                <w:lang w:eastAsia="en-US"/>
              </w:rPr>
              <w:t>A</w:t>
            </w:r>
            <w:r>
              <w:rPr>
                <w:rFonts w:eastAsia="SimSun"/>
                <w:lang w:eastAsia="en-US"/>
              </w:rPr>
              <w:t xml:space="preserve">dministración de </w:t>
            </w:r>
            <w:r w:rsidR="00B12F42">
              <w:rPr>
                <w:rFonts w:eastAsia="SimSun"/>
                <w:lang w:eastAsia="en-US"/>
              </w:rPr>
              <w:t>J</w:t>
            </w:r>
            <w:r>
              <w:rPr>
                <w:rFonts w:eastAsia="SimSun"/>
                <w:lang w:eastAsia="en-US"/>
              </w:rPr>
              <w:t>usticia puede decretar el desalojo.</w:t>
            </w:r>
          </w:p>
        </w:tc>
      </w:tr>
      <w:tr w:rsidR="00261CDC" w:rsidRPr="00154C26" w14:paraId="3ABDADD6" w14:textId="77777777" w:rsidTr="000E3A06">
        <w:trPr>
          <w:trHeight w:val="2977"/>
        </w:trPr>
        <w:tc>
          <w:tcPr>
            <w:tcW w:w="4252" w:type="dxa"/>
            <w:shd w:val="clear" w:color="auto" w:fill="auto"/>
          </w:tcPr>
          <w:p w14:paraId="5D78E551" w14:textId="77777777" w:rsidR="00261CDC" w:rsidRPr="000E3A06" w:rsidRDefault="00261CDC" w:rsidP="006A0D1B">
            <w:pPr>
              <w:keepNext/>
              <w:spacing w:before="40" w:after="120"/>
              <w:ind w:right="113"/>
              <w:rPr>
                <w:rFonts w:eastAsia="SimSun"/>
                <w:b/>
                <w:bCs/>
                <w:lang w:eastAsia="en-US"/>
              </w:rPr>
            </w:pPr>
          </w:p>
        </w:tc>
        <w:tc>
          <w:tcPr>
            <w:tcW w:w="4252" w:type="dxa"/>
            <w:shd w:val="clear" w:color="auto" w:fill="auto"/>
          </w:tcPr>
          <w:p w14:paraId="02023829" w14:textId="77777777" w:rsidR="00261CDC" w:rsidRDefault="00261CDC" w:rsidP="006A0D1B">
            <w:pPr>
              <w:keepNext/>
              <w:spacing w:before="40" w:after="120"/>
              <w:ind w:right="113"/>
              <w:jc w:val="both"/>
              <w:rPr>
                <w:rFonts w:eastAsia="SimSun"/>
                <w:lang w:eastAsia="en-US"/>
              </w:rPr>
            </w:pPr>
            <w:r>
              <w:rPr>
                <w:rFonts w:eastAsia="SimSun"/>
                <w:lang w:eastAsia="en-US"/>
              </w:rPr>
              <w:t xml:space="preserve">Los autores explican que solo en la comunidad autónoma de Cataluña existe un protocolo para coordinar la actuación de las distintas administraciones y para que los servicios sociales sean notificados por los juzgados con antelación a los desalojos con el objetivo de dar una respuesta efectiva. No obstante, en esa comunidad autónoma el protocolo solo dio lugar a la intervención de los servicios sociales en 564 de los 3.024 desalojos por impago de alquiler ejecutados en Barcelona en 2016. En el resto de </w:t>
            </w:r>
            <w:r w:rsidR="00DD7637">
              <w:rPr>
                <w:rFonts w:eastAsia="SimSun"/>
                <w:lang w:eastAsia="en-US"/>
              </w:rPr>
              <w:t xml:space="preserve">las </w:t>
            </w:r>
            <w:r>
              <w:rPr>
                <w:rFonts w:eastAsia="SimSun"/>
                <w:lang w:eastAsia="en-US"/>
              </w:rPr>
              <w:t xml:space="preserve">comunidades autónomas no existe un protocolo similar. </w:t>
            </w:r>
          </w:p>
          <w:p w14:paraId="2A31274E" w14:textId="77777777" w:rsidR="00261CDC" w:rsidRDefault="00261CDC" w:rsidP="006A0D1B">
            <w:pPr>
              <w:keepNext/>
              <w:spacing w:before="40" w:after="120"/>
              <w:ind w:right="113"/>
              <w:jc w:val="both"/>
              <w:rPr>
                <w:rFonts w:eastAsia="SimSun"/>
                <w:lang w:eastAsia="en-US"/>
              </w:rPr>
            </w:pPr>
            <w:r>
              <w:rPr>
                <w:rFonts w:eastAsia="SimSun"/>
                <w:lang w:eastAsia="en-US"/>
              </w:rPr>
              <w:t>Los autores consideran que la recomendación de implementar un plan evaluable para garantizar el derecho a la vivienda se puso en marcha, de forma parcial, mediante las leyes de vivienda aprobadas en algunas comunidades autónomas. No obstante, la aplicación de estas leyes fue suspendida tras la interposición de recursos de inconstitucionalidad por parte del Gobierno central.</w:t>
            </w:r>
          </w:p>
        </w:tc>
      </w:tr>
      <w:tr w:rsidR="00154C26" w:rsidRPr="00154C26" w14:paraId="5D5C651D" w14:textId="77777777" w:rsidTr="00AA75A3">
        <w:tc>
          <w:tcPr>
            <w:tcW w:w="4252" w:type="dxa"/>
            <w:shd w:val="clear" w:color="auto" w:fill="auto"/>
          </w:tcPr>
          <w:p w14:paraId="19C2B4B3" w14:textId="77777777" w:rsidR="00154C26" w:rsidRPr="0094053D" w:rsidRDefault="005D4C71" w:rsidP="006A0D1B">
            <w:pPr>
              <w:keepNext/>
              <w:spacing w:before="40" w:after="120"/>
              <w:ind w:right="113"/>
              <w:rPr>
                <w:b/>
                <w:bCs/>
              </w:rPr>
            </w:pPr>
            <w:r w:rsidRPr="0094053D">
              <w:rPr>
                <w:rFonts w:eastAsia="SimSun"/>
                <w:b/>
                <w:bCs/>
                <w:lang w:eastAsia="en-US"/>
              </w:rPr>
              <w:t>Intervenciones de terceros:</w:t>
            </w:r>
          </w:p>
        </w:tc>
        <w:tc>
          <w:tcPr>
            <w:tcW w:w="4252" w:type="dxa"/>
            <w:shd w:val="clear" w:color="auto" w:fill="auto"/>
          </w:tcPr>
          <w:p w14:paraId="5D9AF537" w14:textId="77777777" w:rsidR="005D4C71" w:rsidRDefault="005D4C71" w:rsidP="006A0D1B">
            <w:pPr>
              <w:keepNext/>
              <w:spacing w:before="40" w:after="120"/>
              <w:ind w:right="113"/>
              <w:jc w:val="both"/>
              <w:rPr>
                <w:rFonts w:eastAsia="SimSun"/>
                <w:lang w:eastAsia="en-US"/>
              </w:rPr>
            </w:pPr>
            <w:r>
              <w:rPr>
                <w:rFonts w:eastAsia="SimSun"/>
                <w:lang w:eastAsia="en-US"/>
              </w:rPr>
              <w:t xml:space="preserve">El 14 de marzo de 2018, </w:t>
            </w:r>
            <w:r w:rsidR="00B12F42">
              <w:rPr>
                <w:rFonts w:eastAsia="SimSun"/>
                <w:lang w:eastAsia="en-US"/>
              </w:rPr>
              <w:t>la Red Internacional para los Derechos Económicos, Sociales y Culturales (</w:t>
            </w:r>
            <w:r>
              <w:rPr>
                <w:rFonts w:eastAsia="SimSun"/>
                <w:lang w:eastAsia="en-US"/>
              </w:rPr>
              <w:t>Red-DESC</w:t>
            </w:r>
            <w:r w:rsidR="00B12F42">
              <w:rPr>
                <w:rFonts w:eastAsia="SimSun"/>
                <w:lang w:eastAsia="en-US"/>
              </w:rPr>
              <w:t>)</w:t>
            </w:r>
            <w:r>
              <w:rPr>
                <w:rFonts w:eastAsia="SimSun"/>
                <w:lang w:eastAsia="en-US"/>
              </w:rPr>
              <w:t xml:space="preserve"> envió una intervención sobre el seguimiento de las recomendaciones generales del dictamen. </w:t>
            </w:r>
            <w:r w:rsidR="00A256A2">
              <w:rPr>
                <w:rFonts w:eastAsia="SimSun"/>
                <w:lang w:eastAsia="en-US"/>
              </w:rPr>
              <w:t xml:space="preserve">La </w:t>
            </w:r>
            <w:r>
              <w:rPr>
                <w:rFonts w:eastAsia="SimSun"/>
                <w:lang w:eastAsia="en-US"/>
              </w:rPr>
              <w:t>Red-DESC considera que en España no existe seguridad en la tenencia de la vivienda</w:t>
            </w:r>
            <w:r w:rsidR="00B12F42">
              <w:rPr>
                <w:rFonts w:eastAsia="SimSun"/>
                <w:lang w:eastAsia="en-US"/>
              </w:rPr>
              <w:t>,</w:t>
            </w:r>
            <w:r>
              <w:rPr>
                <w:rFonts w:eastAsia="SimSun"/>
                <w:lang w:eastAsia="en-US"/>
              </w:rPr>
              <w:t xml:space="preserve"> pues los arrendadores pueden declinar renovar el contrato de alquiler sin motivación expresa. Además, los jueces no pueden examinar las consecuencias de los desalojos de acuerdo con los principios de razonabilidad y proporcionalidad, al contrario de lo que ocurre en otras jurisdicciones. También hace notar que, aunque existan protocolos municipales y regionales para asegurar la coordinación con los servicios sociales en casos de desalojos, </w:t>
            </w:r>
            <w:r w:rsidR="00B12F42">
              <w:rPr>
                <w:rFonts w:eastAsia="SimSun"/>
                <w:lang w:eastAsia="en-US"/>
              </w:rPr>
              <w:t>e</w:t>
            </w:r>
            <w:r>
              <w:rPr>
                <w:rFonts w:eastAsia="SimSun"/>
                <w:lang w:eastAsia="en-US"/>
              </w:rPr>
              <w:t xml:space="preserve">stos no se utilizan de forma sistemática y la </w:t>
            </w:r>
            <w:r w:rsidR="00B12F42">
              <w:rPr>
                <w:rFonts w:eastAsia="SimSun"/>
                <w:lang w:eastAsia="en-US"/>
              </w:rPr>
              <w:t>A</w:t>
            </w:r>
            <w:r>
              <w:rPr>
                <w:rFonts w:eastAsia="SimSun"/>
                <w:lang w:eastAsia="en-US"/>
              </w:rPr>
              <w:t>dministración no tiene obligación legal de proporcionar una alternativa habitacional.</w:t>
            </w:r>
          </w:p>
          <w:p w14:paraId="1CBE360B" w14:textId="77777777" w:rsidR="005D4C71" w:rsidRDefault="005D4C71" w:rsidP="006A0D1B">
            <w:pPr>
              <w:keepNext/>
              <w:spacing w:before="40" w:after="120"/>
              <w:ind w:right="113"/>
              <w:jc w:val="both"/>
              <w:rPr>
                <w:rFonts w:eastAsia="SimSun"/>
                <w:lang w:eastAsia="en-US"/>
              </w:rPr>
            </w:pPr>
            <w:r>
              <w:rPr>
                <w:rFonts w:eastAsia="SimSun"/>
                <w:lang w:eastAsia="en-US"/>
              </w:rPr>
              <w:t>En relación con la recomendación de implementar un plan de vivienda, la organización destaca que en 2013 existían en España 300</w:t>
            </w:r>
            <w:r w:rsidR="00B12F42">
              <w:rPr>
                <w:rFonts w:eastAsia="SimSun"/>
                <w:lang w:eastAsia="en-US"/>
              </w:rPr>
              <w:t>.</w:t>
            </w:r>
            <w:r>
              <w:rPr>
                <w:rFonts w:eastAsia="SimSun"/>
                <w:lang w:eastAsia="en-US"/>
              </w:rPr>
              <w:t>000 solicitantes de vivienda social, mientras que 3</w:t>
            </w:r>
            <w:r w:rsidR="00B12F42">
              <w:rPr>
                <w:rFonts w:eastAsia="SimSun"/>
                <w:lang w:eastAsia="en-US"/>
              </w:rPr>
              <w:t>,</w:t>
            </w:r>
            <w:r>
              <w:rPr>
                <w:rFonts w:eastAsia="SimSun"/>
                <w:lang w:eastAsia="en-US"/>
              </w:rPr>
              <w:t>4 millones de viviendas se encontraban vacías, de las cuales 9</w:t>
            </w:r>
            <w:r w:rsidR="00B12F42">
              <w:rPr>
                <w:rFonts w:eastAsia="SimSun"/>
                <w:lang w:eastAsia="en-US"/>
              </w:rPr>
              <w:t>.</w:t>
            </w:r>
            <w:r>
              <w:rPr>
                <w:rFonts w:eastAsia="SimSun"/>
                <w:lang w:eastAsia="en-US"/>
              </w:rPr>
              <w:t>752 eran viviendas sociales en condiciones de poderse habitar. Las viviendas sociales suponen hoy un 1</w:t>
            </w:r>
            <w:r w:rsidR="00B12F42">
              <w:rPr>
                <w:rFonts w:eastAsia="SimSun"/>
                <w:lang w:eastAsia="en-US"/>
              </w:rPr>
              <w:t xml:space="preserve"> </w:t>
            </w:r>
            <w:r>
              <w:rPr>
                <w:rFonts w:eastAsia="SimSun"/>
                <w:lang w:eastAsia="en-US"/>
              </w:rPr>
              <w:t>% del total de viviendas en España, lo que contrasta con el 32</w:t>
            </w:r>
            <w:r w:rsidR="00B12F42">
              <w:rPr>
                <w:rFonts w:eastAsia="SimSun"/>
                <w:lang w:eastAsia="en-US"/>
              </w:rPr>
              <w:t xml:space="preserve"> </w:t>
            </w:r>
            <w:r>
              <w:rPr>
                <w:rFonts w:eastAsia="SimSun"/>
                <w:lang w:eastAsia="en-US"/>
              </w:rPr>
              <w:t xml:space="preserve">% de los Países Bajos, </w:t>
            </w:r>
            <w:r w:rsidR="00A256A2">
              <w:rPr>
                <w:rFonts w:eastAsia="SimSun"/>
                <w:lang w:eastAsia="en-US"/>
              </w:rPr>
              <w:t xml:space="preserve">el </w:t>
            </w:r>
            <w:r>
              <w:rPr>
                <w:rFonts w:eastAsia="SimSun"/>
                <w:lang w:eastAsia="en-US"/>
              </w:rPr>
              <w:t>23</w:t>
            </w:r>
            <w:r w:rsidR="00A256A2">
              <w:rPr>
                <w:rFonts w:eastAsia="SimSun"/>
                <w:lang w:eastAsia="en-US"/>
              </w:rPr>
              <w:t xml:space="preserve"> </w:t>
            </w:r>
            <w:r>
              <w:rPr>
                <w:rFonts w:eastAsia="SimSun"/>
                <w:lang w:eastAsia="en-US"/>
              </w:rPr>
              <w:t xml:space="preserve">% de Austria o </w:t>
            </w:r>
            <w:r w:rsidR="00A256A2">
              <w:rPr>
                <w:rFonts w:eastAsia="SimSun"/>
                <w:lang w:eastAsia="en-US"/>
              </w:rPr>
              <w:t xml:space="preserve">el </w:t>
            </w:r>
            <w:r>
              <w:rPr>
                <w:rFonts w:eastAsia="SimSun"/>
                <w:lang w:eastAsia="en-US"/>
              </w:rPr>
              <w:t>18</w:t>
            </w:r>
            <w:r w:rsidR="00A256A2">
              <w:rPr>
                <w:rFonts w:eastAsia="SimSun"/>
                <w:lang w:eastAsia="en-US"/>
              </w:rPr>
              <w:t xml:space="preserve"> </w:t>
            </w:r>
            <w:r>
              <w:rPr>
                <w:rFonts w:eastAsia="SimSun"/>
                <w:lang w:eastAsia="en-US"/>
              </w:rPr>
              <w:t>% del Reino Unido. Desde 2009, el gasto en vivienda se ha reducido en un 50</w:t>
            </w:r>
            <w:r w:rsidR="00A256A2">
              <w:rPr>
                <w:rFonts w:eastAsia="SimSun"/>
                <w:lang w:eastAsia="en-US"/>
              </w:rPr>
              <w:t xml:space="preserve"> </w:t>
            </w:r>
            <w:r>
              <w:rPr>
                <w:rFonts w:eastAsia="SimSun"/>
                <w:lang w:eastAsia="en-US"/>
              </w:rPr>
              <w:t>%. Al mismo tiempo, el precio de la vivienda ha aumentado significativamente en la última década. La población que ha de invertir más de un 40</w:t>
            </w:r>
            <w:r w:rsidR="00A256A2">
              <w:rPr>
                <w:rFonts w:eastAsia="SimSun"/>
                <w:lang w:eastAsia="en-US"/>
              </w:rPr>
              <w:t xml:space="preserve"> </w:t>
            </w:r>
            <w:r>
              <w:rPr>
                <w:rFonts w:eastAsia="SimSun"/>
                <w:lang w:eastAsia="en-US"/>
              </w:rPr>
              <w:t>% de sus ingresos en vivienda ha aumentado del 5</w:t>
            </w:r>
            <w:r w:rsidR="00A256A2">
              <w:rPr>
                <w:rFonts w:eastAsia="SimSun"/>
                <w:lang w:eastAsia="en-US"/>
              </w:rPr>
              <w:t xml:space="preserve"> </w:t>
            </w:r>
            <w:r>
              <w:rPr>
                <w:rFonts w:eastAsia="SimSun"/>
                <w:lang w:eastAsia="en-US"/>
              </w:rPr>
              <w:t>% al 10</w:t>
            </w:r>
            <w:r w:rsidR="00A256A2">
              <w:rPr>
                <w:rFonts w:eastAsia="SimSun"/>
                <w:lang w:eastAsia="en-US"/>
              </w:rPr>
              <w:t>,</w:t>
            </w:r>
            <w:r>
              <w:rPr>
                <w:rFonts w:eastAsia="SimSun"/>
                <w:lang w:eastAsia="en-US"/>
              </w:rPr>
              <w:t>3</w:t>
            </w:r>
            <w:r w:rsidR="00261CDC">
              <w:rPr>
                <w:rFonts w:eastAsia="SimSun"/>
                <w:lang w:eastAsia="en-US"/>
              </w:rPr>
              <w:t> </w:t>
            </w:r>
            <w:r>
              <w:rPr>
                <w:rFonts w:eastAsia="SimSun"/>
                <w:lang w:eastAsia="en-US"/>
              </w:rPr>
              <w:t xml:space="preserve">%. El Estado parte ha adoptado un nuevo </w:t>
            </w:r>
            <w:r w:rsidR="00A256A2">
              <w:rPr>
                <w:rFonts w:eastAsia="SimSun"/>
                <w:lang w:eastAsia="en-US"/>
              </w:rPr>
              <w:t>P</w:t>
            </w:r>
            <w:r>
              <w:rPr>
                <w:rFonts w:eastAsia="SimSun"/>
                <w:lang w:eastAsia="en-US"/>
              </w:rPr>
              <w:t xml:space="preserve">lan </w:t>
            </w:r>
            <w:r w:rsidR="00A256A2">
              <w:rPr>
                <w:rFonts w:eastAsia="SimSun"/>
                <w:lang w:eastAsia="en-US"/>
              </w:rPr>
              <w:t xml:space="preserve">Estatal </w:t>
            </w:r>
            <w:r>
              <w:rPr>
                <w:rFonts w:eastAsia="SimSun"/>
                <w:lang w:eastAsia="en-US"/>
              </w:rPr>
              <w:t xml:space="preserve">de </w:t>
            </w:r>
            <w:r w:rsidR="00A256A2">
              <w:rPr>
                <w:rFonts w:eastAsia="SimSun"/>
                <w:lang w:eastAsia="en-US"/>
              </w:rPr>
              <w:t>V</w:t>
            </w:r>
            <w:r>
              <w:rPr>
                <w:rFonts w:eastAsia="SimSun"/>
                <w:lang w:eastAsia="en-US"/>
              </w:rPr>
              <w:t>ivienda 2018-2021</w:t>
            </w:r>
            <w:r w:rsidR="00A256A2">
              <w:rPr>
                <w:rFonts w:eastAsia="SimSun"/>
                <w:lang w:eastAsia="en-US"/>
              </w:rPr>
              <w:t>;</w:t>
            </w:r>
            <w:r>
              <w:rPr>
                <w:rFonts w:eastAsia="SimSun"/>
                <w:lang w:eastAsia="en-US"/>
              </w:rPr>
              <w:t xml:space="preserve"> no obstante, para poder responder a las necesidades actuales, este plan requerirá de mayor inversión y de la expansión de la </w:t>
            </w:r>
            <w:r>
              <w:rPr>
                <w:rFonts w:eastAsia="SimSun"/>
                <w:lang w:eastAsia="en-US"/>
              </w:rPr>
              <w:lastRenderedPageBreak/>
              <w:t>vivienda social. La Red-DESC recomienda que el Estado parte incremente sus ingresos fiscales</w:t>
            </w:r>
            <w:r w:rsidR="00A256A2">
              <w:rPr>
                <w:rFonts w:eastAsia="SimSun"/>
                <w:lang w:eastAsia="en-US"/>
              </w:rPr>
              <w:t>,</w:t>
            </w:r>
            <w:r>
              <w:rPr>
                <w:rFonts w:eastAsia="SimSun"/>
                <w:lang w:eastAsia="en-US"/>
              </w:rPr>
              <w:t xml:space="preserve"> que se recolecten datos des</w:t>
            </w:r>
            <w:r w:rsidR="00167288">
              <w:rPr>
                <w:rFonts w:eastAsia="SimSun"/>
                <w:lang w:eastAsia="en-US"/>
              </w:rPr>
              <w:t xml:space="preserve">glosados </w:t>
            </w:r>
            <w:r>
              <w:rPr>
                <w:rFonts w:eastAsia="SimSun"/>
                <w:lang w:eastAsia="en-US"/>
              </w:rPr>
              <w:t>sobre las necesidades de vivienda de la población y el impacto de las políticas existentes y que se ponga en práctica una estrategia de vivienda que tenga los derechos humanos como principio rector.</w:t>
            </w:r>
          </w:p>
          <w:p w14:paraId="482C0F86" w14:textId="77777777" w:rsidR="00154C26" w:rsidRPr="00154C26" w:rsidRDefault="00A256A2" w:rsidP="006A0D1B">
            <w:pPr>
              <w:keepNext/>
              <w:spacing w:before="40" w:after="120"/>
              <w:ind w:right="113"/>
              <w:jc w:val="both"/>
            </w:pPr>
            <w:r>
              <w:rPr>
                <w:rFonts w:eastAsia="SimSun"/>
                <w:lang w:eastAsia="en-US"/>
              </w:rPr>
              <w:t xml:space="preserve">Los días </w:t>
            </w:r>
            <w:r w:rsidR="005D4C71">
              <w:rPr>
                <w:rFonts w:eastAsia="SimSun"/>
                <w:lang w:eastAsia="en-US"/>
              </w:rPr>
              <w:t xml:space="preserve">17 de abril y 24 de julio de 2018, el Defensor del Pueblo envió escritos sobre la aplicación de las recomendaciones. El Defensor del Pueblo considera la respuesta aportada por el Estado </w:t>
            </w:r>
            <w:r>
              <w:rPr>
                <w:rFonts w:eastAsia="SimSun"/>
                <w:lang w:eastAsia="en-US"/>
              </w:rPr>
              <w:t>p</w:t>
            </w:r>
            <w:r w:rsidR="005D4C71">
              <w:rPr>
                <w:rFonts w:eastAsia="SimSun"/>
                <w:lang w:eastAsia="en-US"/>
              </w:rPr>
              <w:t>arte al Comité insuficiente</w:t>
            </w:r>
            <w:r>
              <w:rPr>
                <w:rFonts w:eastAsia="SimSun"/>
                <w:lang w:eastAsia="en-US"/>
              </w:rPr>
              <w:t>,</w:t>
            </w:r>
            <w:r w:rsidR="005D4C71">
              <w:rPr>
                <w:rFonts w:eastAsia="SimSun"/>
                <w:lang w:eastAsia="en-US"/>
              </w:rPr>
              <w:t xml:space="preserve"> pues no se pronuncia sobre todas las recomendaciones y cuando lo hace es de forma sumaria o refiriéndose a alegaciones aportadas antes del examen del Comité. Además, el Defensor del Pueblo señala que</w:t>
            </w:r>
            <w:r>
              <w:rPr>
                <w:rFonts w:eastAsia="SimSun"/>
                <w:lang w:eastAsia="en-US"/>
              </w:rPr>
              <w:t xml:space="preserve"> ha</w:t>
            </w:r>
            <w:r w:rsidR="005D4C71">
              <w:rPr>
                <w:rFonts w:eastAsia="SimSun"/>
                <w:lang w:eastAsia="en-US"/>
              </w:rPr>
              <w:t xml:space="preserve"> consultado el </w:t>
            </w:r>
            <w:r w:rsidR="005D4C71" w:rsidRPr="0094053D">
              <w:rPr>
                <w:rFonts w:eastAsia="SimSun"/>
                <w:i/>
                <w:iCs/>
                <w:lang w:eastAsia="en-US"/>
              </w:rPr>
              <w:t>Boletín del Ministerio de Justicia</w:t>
            </w:r>
            <w:r w:rsidR="005D4C71">
              <w:rPr>
                <w:rFonts w:eastAsia="SimSun"/>
                <w:lang w:eastAsia="en-US"/>
              </w:rPr>
              <w:t xml:space="preserve">, </w:t>
            </w:r>
            <w:r>
              <w:rPr>
                <w:rFonts w:eastAsia="SimSun"/>
                <w:lang w:eastAsia="en-US"/>
              </w:rPr>
              <w:t xml:space="preserve">pero </w:t>
            </w:r>
            <w:r w:rsidR="005D4C71">
              <w:rPr>
                <w:rFonts w:eastAsia="SimSun"/>
                <w:lang w:eastAsia="en-US"/>
              </w:rPr>
              <w:t xml:space="preserve">no ha podido acceder a la publicación del dictamen, y que, en cualquier modo, el medio adecuado para la difusión del dictamen es el </w:t>
            </w:r>
            <w:r w:rsidR="005D4C71" w:rsidRPr="0094053D">
              <w:rPr>
                <w:rFonts w:eastAsia="SimSun"/>
                <w:i/>
                <w:iCs/>
                <w:lang w:eastAsia="en-US"/>
              </w:rPr>
              <w:t>Boletín Oficial del Estado</w:t>
            </w:r>
            <w:r w:rsidR="005D4C71">
              <w:rPr>
                <w:rFonts w:eastAsia="SimSun"/>
                <w:lang w:eastAsia="en-US"/>
              </w:rPr>
              <w:t xml:space="preserve">. Informa también del fruto del diálogo abierto con los </w:t>
            </w:r>
            <w:r>
              <w:rPr>
                <w:rFonts w:eastAsia="SimSun"/>
                <w:lang w:eastAsia="en-US"/>
              </w:rPr>
              <w:t>m</w:t>
            </w:r>
            <w:r w:rsidR="005D4C71">
              <w:rPr>
                <w:rFonts w:eastAsia="SimSun"/>
                <w:lang w:eastAsia="en-US"/>
              </w:rPr>
              <w:t xml:space="preserve">inisterios pertinentes. Según la Secretaría de Estado de Infraestructuras, Transportes y Vivienda, las competencias en materia de vivienda corresponden de forma exclusiva a las </w:t>
            </w:r>
            <w:r>
              <w:rPr>
                <w:rFonts w:eastAsia="SimSun"/>
                <w:lang w:eastAsia="en-US"/>
              </w:rPr>
              <w:t>c</w:t>
            </w:r>
            <w:r w:rsidR="005D4C71">
              <w:rPr>
                <w:rFonts w:eastAsia="SimSun"/>
                <w:lang w:eastAsia="en-US"/>
              </w:rPr>
              <w:t xml:space="preserve">omunidades </w:t>
            </w:r>
            <w:r>
              <w:rPr>
                <w:rFonts w:eastAsia="SimSun"/>
                <w:lang w:eastAsia="en-US"/>
              </w:rPr>
              <w:t>a</w:t>
            </w:r>
            <w:r w:rsidR="005D4C71">
              <w:rPr>
                <w:rFonts w:eastAsia="SimSun"/>
                <w:lang w:eastAsia="en-US"/>
              </w:rPr>
              <w:t xml:space="preserve">utónomas, a las que </w:t>
            </w:r>
            <w:r>
              <w:rPr>
                <w:rFonts w:eastAsia="SimSun"/>
                <w:lang w:eastAsia="en-US"/>
              </w:rPr>
              <w:t xml:space="preserve">se ha </w:t>
            </w:r>
            <w:r w:rsidR="005D4C71">
              <w:rPr>
                <w:rFonts w:eastAsia="SimSun"/>
                <w:lang w:eastAsia="en-US"/>
              </w:rPr>
              <w:t>dotado de</w:t>
            </w:r>
            <w:r w:rsidR="005D4C71" w:rsidRPr="000B778A">
              <w:rPr>
                <w:rFonts w:eastAsia="SimSun"/>
                <w:lang w:eastAsia="en-US"/>
              </w:rPr>
              <w:t xml:space="preserve"> los recursos económicos necesarios para llevar a cabo el Plan Estatal de Vivienda 2018-2021. </w:t>
            </w:r>
            <w:r w:rsidR="005D4C71">
              <w:rPr>
                <w:rFonts w:eastAsia="SimSun"/>
                <w:lang w:eastAsia="en-US"/>
              </w:rPr>
              <w:t xml:space="preserve">El Defensor del Pueblo considera que procedería que la Secretaría recabara la información necesaria de las </w:t>
            </w:r>
            <w:r>
              <w:rPr>
                <w:rFonts w:eastAsia="SimSun"/>
                <w:lang w:eastAsia="en-US"/>
              </w:rPr>
              <w:t>c</w:t>
            </w:r>
            <w:r w:rsidR="005D4C71">
              <w:rPr>
                <w:rFonts w:eastAsia="SimSun"/>
                <w:lang w:eastAsia="en-US"/>
              </w:rPr>
              <w:t xml:space="preserve">omunidades </w:t>
            </w:r>
            <w:r>
              <w:rPr>
                <w:rFonts w:eastAsia="SimSun"/>
                <w:lang w:eastAsia="en-US"/>
              </w:rPr>
              <w:t>a</w:t>
            </w:r>
            <w:r w:rsidR="005D4C71">
              <w:rPr>
                <w:rFonts w:eastAsia="SimSun"/>
                <w:lang w:eastAsia="en-US"/>
              </w:rPr>
              <w:t>utónomas. Por su lado, el Ministerio de Justicia afirma que, de haber el autor informado que se le había otorgado vivienda social en 2016, podría haber concurrido causa de archivo del examen de la comunicación. También destaca el carácter no vinculante de las recomendaciones del Comité</w:t>
            </w:r>
            <w:r w:rsidR="002141F1">
              <w:rPr>
                <w:rFonts w:eastAsia="SimSun"/>
                <w:lang w:eastAsia="en-US"/>
              </w:rPr>
              <w:t>,</w:t>
            </w:r>
            <w:r w:rsidR="005D4C71">
              <w:rPr>
                <w:rFonts w:eastAsia="SimSun"/>
                <w:lang w:eastAsia="en-US"/>
              </w:rPr>
              <w:t xml:space="preserve"> conforme al artículo 9</w:t>
            </w:r>
            <w:r>
              <w:rPr>
                <w:rFonts w:eastAsia="SimSun"/>
                <w:lang w:eastAsia="en-US"/>
              </w:rPr>
              <w:t xml:space="preserve">, párrafo </w:t>
            </w:r>
            <w:r w:rsidR="005D4C71">
              <w:rPr>
                <w:rFonts w:eastAsia="SimSun"/>
                <w:lang w:eastAsia="en-US"/>
              </w:rPr>
              <w:t>2</w:t>
            </w:r>
            <w:r>
              <w:rPr>
                <w:rFonts w:eastAsia="SimSun"/>
                <w:lang w:eastAsia="en-US"/>
              </w:rPr>
              <w:t>,</w:t>
            </w:r>
            <w:r w:rsidR="005D4C71">
              <w:rPr>
                <w:rFonts w:eastAsia="SimSun"/>
                <w:lang w:eastAsia="en-US"/>
              </w:rPr>
              <w:t xml:space="preserve"> del Protocolo Facultativo, razón por la que no se dio respuesta a las recomendaciones sobre la compensación económica y </w:t>
            </w:r>
            <w:r w:rsidR="002141F1">
              <w:rPr>
                <w:rFonts w:eastAsia="SimSun"/>
                <w:lang w:eastAsia="en-US"/>
              </w:rPr>
              <w:t xml:space="preserve">el </w:t>
            </w:r>
            <w:r w:rsidR="005D4C71">
              <w:rPr>
                <w:rFonts w:eastAsia="SimSun"/>
                <w:lang w:eastAsia="en-US"/>
              </w:rPr>
              <w:t>reembolso de los costes, a las que s</w:t>
            </w:r>
            <w:r>
              <w:rPr>
                <w:rFonts w:eastAsia="SimSun"/>
                <w:lang w:eastAsia="en-US"/>
              </w:rPr>
              <w:t>o</w:t>
            </w:r>
            <w:r w:rsidR="005D4C71">
              <w:rPr>
                <w:rFonts w:eastAsia="SimSun"/>
                <w:lang w:eastAsia="en-US"/>
              </w:rPr>
              <w:t>lo debe el Estado parte prestar “debida consideración”. El Defensor del Pueblo considera, sin entrar en el fondo de la cuestión, que las obligaciones derivadas del Protocolo Facultativo exigen, como mínimo, un análisis de las recomendaciones y una respuesta motivada y argumentada de cada una. El Defensor del Pueblo sugiere que se considere</w:t>
            </w:r>
            <w:r w:rsidR="00167288">
              <w:rPr>
                <w:rFonts w:eastAsia="SimSun"/>
                <w:lang w:eastAsia="en-US"/>
              </w:rPr>
              <w:t>n</w:t>
            </w:r>
            <w:r w:rsidR="005D4C71">
              <w:rPr>
                <w:rFonts w:eastAsia="SimSun"/>
                <w:lang w:eastAsia="en-US"/>
              </w:rPr>
              <w:t xml:space="preserve"> de nuevo las recomendaciones del Comité motivando cada respuesta y que se publique el dictamen en el </w:t>
            </w:r>
            <w:r w:rsidR="005D4C71" w:rsidRPr="0094053D">
              <w:rPr>
                <w:rFonts w:eastAsia="SimSun"/>
                <w:i/>
                <w:iCs/>
                <w:lang w:eastAsia="en-US"/>
              </w:rPr>
              <w:t>Boletín Oficial del Estado</w:t>
            </w:r>
            <w:r w:rsidR="005D4C71">
              <w:rPr>
                <w:rFonts w:eastAsia="SimSun"/>
                <w:lang w:eastAsia="en-US"/>
              </w:rPr>
              <w:t>.</w:t>
            </w:r>
            <w:r w:rsidR="005855A9">
              <w:rPr>
                <w:rFonts w:eastAsia="SimSun"/>
                <w:lang w:eastAsia="en-US"/>
              </w:rPr>
              <w:t xml:space="preserve"> El 23 de septiembre de 2019, el Defensor del Pueblo presentó información adicional informando </w:t>
            </w:r>
            <w:r w:rsidR="00BC157F">
              <w:rPr>
                <w:rFonts w:eastAsia="SimSun"/>
                <w:lang w:eastAsia="en-US"/>
              </w:rPr>
              <w:t>que el 3 de abril de 2019 el P</w:t>
            </w:r>
            <w:r w:rsidR="005855A9">
              <w:rPr>
                <w:rFonts w:eastAsia="SimSun"/>
                <w:lang w:eastAsia="en-US"/>
              </w:rPr>
              <w:t xml:space="preserve">arlamento había adoptado el </w:t>
            </w:r>
            <w:r w:rsidR="0090527A">
              <w:rPr>
                <w:rFonts w:eastAsia="SimSun"/>
                <w:lang w:eastAsia="en-US"/>
              </w:rPr>
              <w:t>D</w:t>
            </w:r>
            <w:r w:rsidR="005855A9">
              <w:rPr>
                <w:rFonts w:eastAsia="SimSun"/>
                <w:lang w:eastAsia="en-US"/>
              </w:rPr>
              <w:t>ecreto 7/2019 creando un nuevo rec</w:t>
            </w:r>
            <w:r w:rsidR="00BC157F">
              <w:rPr>
                <w:rFonts w:eastAsia="SimSun"/>
                <w:lang w:eastAsia="en-US"/>
              </w:rPr>
              <w:t>ur</w:t>
            </w:r>
            <w:r w:rsidR="005855A9">
              <w:rPr>
                <w:rFonts w:eastAsia="SimSun"/>
                <w:lang w:eastAsia="en-US"/>
              </w:rPr>
              <w:t>so para las personas objeto de una orden de desalojo que podrían solicitar a los servic</w:t>
            </w:r>
            <w:r w:rsidR="00167288">
              <w:rPr>
                <w:rFonts w:eastAsia="SimSun"/>
                <w:lang w:eastAsia="en-US"/>
              </w:rPr>
              <w:t>i</w:t>
            </w:r>
            <w:r w:rsidR="005855A9">
              <w:rPr>
                <w:rFonts w:eastAsia="SimSun"/>
                <w:lang w:eastAsia="en-US"/>
              </w:rPr>
              <w:t>os sociales el examen de su situación de vulnerab</w:t>
            </w:r>
            <w:r w:rsidR="00167288">
              <w:rPr>
                <w:rFonts w:eastAsia="SimSun"/>
                <w:lang w:eastAsia="en-US"/>
              </w:rPr>
              <w:t>i</w:t>
            </w:r>
            <w:r w:rsidR="005855A9">
              <w:rPr>
                <w:rFonts w:eastAsia="SimSun"/>
                <w:lang w:eastAsia="en-US"/>
              </w:rPr>
              <w:t xml:space="preserve">lidad. El Defensor del Pueblo añade que el dictamen se encuentra ahora disponible en el </w:t>
            </w:r>
            <w:r w:rsidR="005855A9" w:rsidRPr="00CA36B1">
              <w:rPr>
                <w:rFonts w:eastAsia="SimSun"/>
                <w:i/>
                <w:iCs/>
                <w:lang w:eastAsia="en-US"/>
              </w:rPr>
              <w:t>B</w:t>
            </w:r>
            <w:r w:rsidR="00167288" w:rsidRPr="00CA36B1">
              <w:rPr>
                <w:rFonts w:eastAsia="SimSun"/>
                <w:i/>
                <w:iCs/>
                <w:lang w:eastAsia="en-US"/>
              </w:rPr>
              <w:t>o</w:t>
            </w:r>
            <w:r w:rsidR="005855A9" w:rsidRPr="00CA36B1">
              <w:rPr>
                <w:rFonts w:eastAsia="SimSun"/>
                <w:i/>
                <w:iCs/>
                <w:lang w:eastAsia="en-US"/>
              </w:rPr>
              <w:t xml:space="preserve">letín </w:t>
            </w:r>
            <w:r w:rsidR="005855A9" w:rsidRPr="00CA36B1">
              <w:rPr>
                <w:rFonts w:eastAsia="SimSun"/>
                <w:i/>
                <w:iCs/>
                <w:lang w:eastAsia="en-US"/>
              </w:rPr>
              <w:lastRenderedPageBreak/>
              <w:t>del Ministerio de Justicia</w:t>
            </w:r>
            <w:r w:rsidR="005855A9">
              <w:rPr>
                <w:rFonts w:eastAsia="SimSun"/>
                <w:lang w:eastAsia="en-US"/>
              </w:rPr>
              <w:t>, por lo que considera que la recomendación de publicación del dictamen ha sido plenamente cumplida</w:t>
            </w:r>
            <w:r w:rsidR="005855A9">
              <w:rPr>
                <w:rStyle w:val="Refdenotaalpie"/>
                <w:rFonts w:eastAsia="SimSun"/>
                <w:lang w:eastAsia="en-US"/>
              </w:rPr>
              <w:footnoteReference w:id="2"/>
            </w:r>
            <w:r w:rsidR="005855A9">
              <w:rPr>
                <w:rFonts w:eastAsia="SimSun"/>
                <w:lang w:eastAsia="en-US"/>
              </w:rPr>
              <w:t>.</w:t>
            </w:r>
          </w:p>
        </w:tc>
      </w:tr>
      <w:tr w:rsidR="00154C26" w:rsidRPr="00154C26" w14:paraId="101914EF" w14:textId="77777777" w:rsidTr="00AA75A3">
        <w:tc>
          <w:tcPr>
            <w:tcW w:w="4252" w:type="dxa"/>
            <w:shd w:val="clear" w:color="auto" w:fill="auto"/>
          </w:tcPr>
          <w:p w14:paraId="3C9FF6C8" w14:textId="77777777" w:rsidR="00154C26" w:rsidRPr="0094053D" w:rsidRDefault="005D4C71" w:rsidP="006A0D1B">
            <w:pPr>
              <w:keepNext/>
              <w:spacing w:before="40" w:after="120"/>
              <w:ind w:right="113"/>
              <w:rPr>
                <w:b/>
                <w:bCs/>
              </w:rPr>
            </w:pPr>
            <w:r w:rsidRPr="0094053D">
              <w:rPr>
                <w:rFonts w:eastAsia="SimSun"/>
                <w:b/>
                <w:bCs/>
                <w:lang w:eastAsia="en-US"/>
              </w:rPr>
              <w:lastRenderedPageBreak/>
              <w:t>Segunda respuesta del Estado parte:</w:t>
            </w:r>
          </w:p>
        </w:tc>
        <w:tc>
          <w:tcPr>
            <w:tcW w:w="4252" w:type="dxa"/>
            <w:shd w:val="clear" w:color="auto" w:fill="auto"/>
          </w:tcPr>
          <w:p w14:paraId="5FCB2A0D" w14:textId="77777777" w:rsidR="00154C26" w:rsidRPr="00154C26" w:rsidRDefault="005D4C71" w:rsidP="006A0D1B">
            <w:pPr>
              <w:keepNext/>
              <w:spacing w:before="40" w:after="120"/>
              <w:ind w:right="113"/>
              <w:jc w:val="both"/>
            </w:pPr>
            <w:r>
              <w:rPr>
                <w:rFonts w:eastAsia="SimSun"/>
                <w:lang w:eastAsia="en-US"/>
              </w:rPr>
              <w:t xml:space="preserve">Mediante nota verbal de 26 de febrero de 2019, el Estado parte informa que, tras una reunión entre todas las entidades e instituciones relevantes para dar respuesta a las comunicaciones individuales presentadas ante el Comité en relación con el derecho a la vivienda, se estableció como buena práctica la creación de un mecanismo de comunicación entre los ayuntamientos y los juzgados para que los primeros puedan dar a conocer cuanto antes la existencia de procesos de desahucios. Además, se acordó la puesta en práctica de un protocolo de actuación que agilice el traslado de las medidas cautelares que proponga el Comité. También se ha constituido un </w:t>
            </w:r>
            <w:r w:rsidR="005A77FC">
              <w:rPr>
                <w:rFonts w:eastAsia="SimSun"/>
                <w:lang w:eastAsia="en-US"/>
              </w:rPr>
              <w:t>G</w:t>
            </w:r>
            <w:r>
              <w:rPr>
                <w:rFonts w:eastAsia="SimSun"/>
                <w:lang w:eastAsia="en-US"/>
              </w:rPr>
              <w:t xml:space="preserve">rupo de </w:t>
            </w:r>
            <w:r w:rsidR="005A77FC">
              <w:rPr>
                <w:rFonts w:eastAsia="SimSun"/>
                <w:lang w:eastAsia="en-US"/>
              </w:rPr>
              <w:t>T</w:t>
            </w:r>
            <w:r>
              <w:rPr>
                <w:rFonts w:eastAsia="SimSun"/>
                <w:lang w:eastAsia="en-US"/>
              </w:rPr>
              <w:t xml:space="preserve">rabajo interministerial para el desarrollo de medidas urgentes en materia de vivienda y alquiler y se ha creado una División de </w:t>
            </w:r>
            <w:r w:rsidR="005A77FC">
              <w:rPr>
                <w:rFonts w:eastAsia="SimSun"/>
                <w:lang w:eastAsia="en-US"/>
              </w:rPr>
              <w:t>D</w:t>
            </w:r>
            <w:r>
              <w:rPr>
                <w:rFonts w:eastAsia="SimSun"/>
                <w:lang w:eastAsia="en-US"/>
              </w:rPr>
              <w:t>erechos Humanos en el Ministerio de Asuntos Exteriores</w:t>
            </w:r>
            <w:r w:rsidR="005A77FC">
              <w:rPr>
                <w:rFonts w:eastAsia="SimSun"/>
                <w:lang w:eastAsia="en-US"/>
              </w:rPr>
              <w:t>, Unión Europea y Cooperación</w:t>
            </w:r>
            <w:r>
              <w:rPr>
                <w:rFonts w:eastAsia="SimSun"/>
                <w:lang w:eastAsia="en-US"/>
              </w:rPr>
              <w:t xml:space="preserve"> para mejorar el cumplimiento de las recomendaciones y dictámenes de los distintos foros internacionales.</w:t>
            </w:r>
          </w:p>
        </w:tc>
      </w:tr>
      <w:tr w:rsidR="00154C26" w:rsidRPr="00154C26" w14:paraId="2BB139AF" w14:textId="77777777" w:rsidTr="0094053D">
        <w:tc>
          <w:tcPr>
            <w:tcW w:w="4252" w:type="dxa"/>
            <w:shd w:val="clear" w:color="auto" w:fill="auto"/>
          </w:tcPr>
          <w:p w14:paraId="2D44D0FE" w14:textId="77777777" w:rsidR="00154C26" w:rsidRPr="0094053D" w:rsidRDefault="005D4C71" w:rsidP="006A0D1B">
            <w:pPr>
              <w:keepNext/>
              <w:spacing w:before="40" w:after="120"/>
              <w:ind w:right="113"/>
              <w:rPr>
                <w:b/>
                <w:bCs/>
              </w:rPr>
            </w:pPr>
            <w:r w:rsidRPr="0094053D">
              <w:rPr>
                <w:rFonts w:eastAsia="SimSun"/>
                <w:b/>
                <w:bCs/>
                <w:lang w:eastAsia="en-US"/>
              </w:rPr>
              <w:t>Decisión del Comité:</w:t>
            </w:r>
          </w:p>
        </w:tc>
        <w:tc>
          <w:tcPr>
            <w:tcW w:w="4252" w:type="dxa"/>
            <w:shd w:val="clear" w:color="auto" w:fill="auto"/>
          </w:tcPr>
          <w:p w14:paraId="441274A5" w14:textId="77777777" w:rsidR="005D4C71" w:rsidRPr="00C057C5" w:rsidRDefault="005D4C71" w:rsidP="006A0D1B">
            <w:pPr>
              <w:keepNext/>
              <w:spacing w:before="40" w:after="120"/>
              <w:ind w:right="113"/>
              <w:jc w:val="both"/>
              <w:rPr>
                <w:rFonts w:eastAsia="SimSun"/>
                <w:lang w:eastAsia="en-US"/>
              </w:rPr>
            </w:pPr>
            <w:r w:rsidRPr="00C057C5">
              <w:rPr>
                <w:rFonts w:eastAsia="SimSun"/>
                <w:lang w:eastAsia="en-US"/>
              </w:rPr>
              <w:t xml:space="preserve">El Comité toma nota de que los autores de la comunicación cuentan con una vivienda adecuada en la actualidad. El Comité toma también nota de la afirmación de los autores de que aún no han recibido ninguna compensación económica ni reembolso de los gastos para la tramitación de la comunicación. Esta afirmación no ha sido refutada por el Estado </w:t>
            </w:r>
            <w:r w:rsidR="005A77FC">
              <w:rPr>
                <w:rFonts w:eastAsia="SimSun"/>
                <w:lang w:eastAsia="en-US"/>
              </w:rPr>
              <w:t>p</w:t>
            </w:r>
            <w:r w:rsidRPr="00C057C5">
              <w:rPr>
                <w:rFonts w:eastAsia="SimSun"/>
                <w:lang w:eastAsia="en-US"/>
              </w:rPr>
              <w:t>arte.</w:t>
            </w:r>
          </w:p>
          <w:p w14:paraId="1311A5A7" w14:textId="77777777" w:rsidR="005D4C71" w:rsidRPr="00C057C5" w:rsidRDefault="005D4C71" w:rsidP="006A0D1B">
            <w:pPr>
              <w:keepNext/>
              <w:spacing w:before="40" w:after="120"/>
              <w:ind w:right="113"/>
              <w:jc w:val="both"/>
              <w:rPr>
                <w:rFonts w:eastAsia="SimSun"/>
                <w:lang w:eastAsia="en-US"/>
              </w:rPr>
            </w:pPr>
            <w:r w:rsidRPr="00C057C5">
              <w:rPr>
                <w:rFonts w:eastAsia="SimSun"/>
                <w:lang w:eastAsia="en-US"/>
              </w:rPr>
              <w:t>El Comité considera por tanto que se han tomado medidas satisfactorias con las recomendaciones en relación con los autores</w:t>
            </w:r>
            <w:r w:rsidR="005A77FC">
              <w:rPr>
                <w:rFonts w:eastAsia="SimSun"/>
                <w:lang w:eastAsia="en-US"/>
              </w:rPr>
              <w:t>,</w:t>
            </w:r>
            <w:r w:rsidRPr="00C057C5">
              <w:rPr>
                <w:rFonts w:eastAsia="SimSun"/>
                <w:lang w:eastAsia="en-US"/>
              </w:rPr>
              <w:t xml:space="preserve"> pero que aún no se ha recibido respuesta ni se han tomado medidas satisfactorias en relación con las recomendaciones b</w:t>
            </w:r>
            <w:r w:rsidR="00661C61">
              <w:rPr>
                <w:rFonts w:eastAsia="SimSun"/>
                <w:lang w:eastAsia="en-US"/>
              </w:rPr>
              <w:t>)</w:t>
            </w:r>
            <w:r w:rsidRPr="00C057C5">
              <w:rPr>
                <w:rFonts w:eastAsia="SimSun"/>
                <w:lang w:eastAsia="en-US"/>
              </w:rPr>
              <w:t xml:space="preserve"> y c</w:t>
            </w:r>
            <w:r w:rsidR="00661C61">
              <w:rPr>
                <w:rFonts w:eastAsia="SimSun"/>
                <w:lang w:eastAsia="en-US"/>
              </w:rPr>
              <w:t>)</w:t>
            </w:r>
            <w:r w:rsidRPr="00C057C5">
              <w:rPr>
                <w:rFonts w:eastAsia="SimSun"/>
                <w:lang w:eastAsia="en-US"/>
              </w:rPr>
              <w:t>.</w:t>
            </w:r>
          </w:p>
          <w:p w14:paraId="270CA4A0" w14:textId="77777777" w:rsidR="005D4C71" w:rsidRPr="00C057C5" w:rsidRDefault="005D4C71" w:rsidP="006A0D1B">
            <w:pPr>
              <w:keepNext/>
              <w:spacing w:before="40" w:after="120"/>
              <w:ind w:right="113"/>
              <w:jc w:val="both"/>
              <w:rPr>
                <w:rFonts w:eastAsia="SimSun"/>
                <w:lang w:eastAsia="en-US"/>
              </w:rPr>
            </w:pPr>
            <w:r w:rsidRPr="00C057C5">
              <w:rPr>
                <w:rFonts w:eastAsia="SimSun"/>
                <w:lang w:eastAsia="en-US"/>
              </w:rPr>
              <w:t xml:space="preserve">El Comité toma nota de que, según los autores, el proceso judicial actual continúa sin permitir que los jueces consideren las consecuencias del desalojo. </w:t>
            </w:r>
            <w:r w:rsidR="004B0F5B">
              <w:rPr>
                <w:rFonts w:eastAsia="SimSun"/>
                <w:lang w:eastAsia="en-US"/>
              </w:rPr>
              <w:t>El Comité toma nota de la información aportada por el Defensor del Pueblo en este sentido</w:t>
            </w:r>
            <w:r w:rsidR="00BC157F">
              <w:rPr>
                <w:rFonts w:eastAsia="SimSun"/>
                <w:lang w:eastAsia="en-US"/>
              </w:rPr>
              <w:t>,</w:t>
            </w:r>
            <w:r w:rsidR="004B0F5B">
              <w:rPr>
                <w:rFonts w:eastAsia="SimSun"/>
                <w:lang w:eastAsia="en-US"/>
              </w:rPr>
              <w:t xml:space="preserve"> que aún no ha sido comentada por las partes, y por tanto decide esperar a recibir mayor información del Estado parte y los autores sobre la adopción del </w:t>
            </w:r>
            <w:r w:rsidR="0090527A">
              <w:rPr>
                <w:rFonts w:eastAsia="SimSun"/>
                <w:lang w:eastAsia="en-US"/>
              </w:rPr>
              <w:t>D</w:t>
            </w:r>
            <w:r w:rsidR="004B0F5B">
              <w:rPr>
                <w:rFonts w:eastAsia="SimSun"/>
                <w:lang w:eastAsia="en-US"/>
              </w:rPr>
              <w:t xml:space="preserve">ecreto 7/2019. </w:t>
            </w:r>
          </w:p>
          <w:p w14:paraId="2B14675E" w14:textId="77777777" w:rsidR="005D4C71" w:rsidRPr="00C057C5" w:rsidRDefault="005D4C71" w:rsidP="006A0D1B">
            <w:pPr>
              <w:keepNext/>
              <w:spacing w:before="40" w:after="120"/>
              <w:ind w:right="113"/>
              <w:jc w:val="both"/>
              <w:rPr>
                <w:rFonts w:eastAsia="SimSun"/>
                <w:lang w:eastAsia="en-US"/>
              </w:rPr>
            </w:pPr>
            <w:r w:rsidRPr="00C057C5">
              <w:rPr>
                <w:rFonts w:eastAsia="SimSun"/>
                <w:lang w:eastAsia="en-US"/>
              </w:rPr>
              <w:t xml:space="preserve">El Comité toma nota de que el Estado parte ha establecido como buena práctica la creación de un mecanismo de comunicación entre los ayuntamientos y los juzgados para que los primeros puedan dar a conocer cuanto antes la existencia de procesos de desahucios. En este sentido, los autores e intervenciones de terceros afirman que, por el </w:t>
            </w:r>
            <w:r w:rsidRPr="00C057C5">
              <w:rPr>
                <w:rFonts w:eastAsia="SimSun"/>
                <w:lang w:eastAsia="en-US"/>
              </w:rPr>
              <w:lastRenderedPageBreak/>
              <w:t>momento, este protocolo es insuficiente. El Comité queda a la espera de recibir más información sobre los frutos del establecimiento de esta buena práctica.</w:t>
            </w:r>
          </w:p>
          <w:p w14:paraId="48CE4170" w14:textId="77777777" w:rsidR="00154C26" w:rsidRPr="00154C26" w:rsidRDefault="005D4C71" w:rsidP="006A0D1B">
            <w:pPr>
              <w:keepNext/>
              <w:spacing w:before="40" w:after="120"/>
              <w:ind w:right="113"/>
              <w:jc w:val="both"/>
            </w:pPr>
            <w:r w:rsidRPr="00C057C5">
              <w:rPr>
                <w:rFonts w:eastAsia="SimSun"/>
                <w:lang w:eastAsia="en-US"/>
              </w:rPr>
              <w:t xml:space="preserve">El Comité toma nota de que el Estado parte comunica que el dictamen fue publicado en el </w:t>
            </w:r>
            <w:r w:rsidRPr="0094053D">
              <w:rPr>
                <w:rFonts w:eastAsia="SimSun"/>
                <w:i/>
                <w:iCs/>
                <w:lang w:eastAsia="en-US"/>
              </w:rPr>
              <w:t>Boletín del Ministerio de Justicia</w:t>
            </w:r>
            <w:r w:rsidRPr="00C057C5">
              <w:rPr>
                <w:rFonts w:eastAsia="SimSun"/>
                <w:lang w:eastAsia="en-US"/>
              </w:rPr>
              <w:t xml:space="preserve"> y de que los autores y terceras partes consideran que el </w:t>
            </w:r>
            <w:r w:rsidRPr="0094053D">
              <w:rPr>
                <w:rFonts w:eastAsia="SimSun"/>
                <w:i/>
                <w:iCs/>
                <w:lang w:eastAsia="en-US"/>
              </w:rPr>
              <w:t>Boletín Oficial del Estado</w:t>
            </w:r>
            <w:r w:rsidRPr="00C057C5">
              <w:rPr>
                <w:rFonts w:eastAsia="SimSun"/>
                <w:lang w:eastAsia="en-US"/>
              </w:rPr>
              <w:t xml:space="preserve"> sería el lugar idóneo para tal publicación.</w:t>
            </w:r>
          </w:p>
        </w:tc>
      </w:tr>
      <w:tr w:rsidR="00261CDC" w:rsidRPr="00154C26" w14:paraId="5949816B" w14:textId="77777777" w:rsidTr="00AA75A3">
        <w:tc>
          <w:tcPr>
            <w:tcW w:w="4252" w:type="dxa"/>
            <w:tcBorders>
              <w:bottom w:val="single" w:sz="12" w:space="0" w:color="auto"/>
            </w:tcBorders>
            <w:shd w:val="clear" w:color="auto" w:fill="auto"/>
          </w:tcPr>
          <w:p w14:paraId="48FEB9CD" w14:textId="77777777" w:rsidR="00261CDC" w:rsidRPr="000E3A06" w:rsidRDefault="00261CDC" w:rsidP="006A0D1B">
            <w:pPr>
              <w:keepNext/>
              <w:spacing w:before="40" w:after="120"/>
              <w:ind w:right="113"/>
              <w:rPr>
                <w:rFonts w:eastAsia="SimSun"/>
                <w:b/>
                <w:bCs/>
                <w:lang w:eastAsia="en-US"/>
              </w:rPr>
            </w:pPr>
          </w:p>
        </w:tc>
        <w:tc>
          <w:tcPr>
            <w:tcW w:w="4252" w:type="dxa"/>
            <w:tcBorders>
              <w:bottom w:val="single" w:sz="12" w:space="0" w:color="auto"/>
            </w:tcBorders>
            <w:shd w:val="clear" w:color="auto" w:fill="auto"/>
          </w:tcPr>
          <w:p w14:paraId="6F2AD565" w14:textId="77777777" w:rsidR="00261CDC" w:rsidRPr="00C057C5" w:rsidRDefault="00261CDC" w:rsidP="006A0D1B">
            <w:pPr>
              <w:keepNext/>
              <w:spacing w:before="40" w:after="120"/>
              <w:ind w:right="113"/>
              <w:jc w:val="both"/>
              <w:rPr>
                <w:rFonts w:eastAsia="SimSun"/>
                <w:lang w:eastAsia="en-US"/>
              </w:rPr>
            </w:pPr>
            <w:r w:rsidRPr="00C057C5">
              <w:rPr>
                <w:rFonts w:eastAsia="SimSun"/>
                <w:lang w:eastAsia="en-US"/>
              </w:rPr>
              <w:t>Teniendo en cuenta todas las informaciones recibidas, el Comité considera que se han tomado algunas acciones iniciales, pero aún se necesitan otras acciones e informaciones en relación con las medidas adoptadas. El Comité decide continuar el procedimiento de seguimiento de la comunicación e invita al Estado parte a aportar información sobre las medidas adoptadas ligadas a las recomendaciones b</w:t>
            </w:r>
            <w:r w:rsidR="00E409CA">
              <w:rPr>
                <w:rFonts w:eastAsia="SimSun"/>
                <w:lang w:eastAsia="en-US"/>
              </w:rPr>
              <w:t>)</w:t>
            </w:r>
            <w:r w:rsidRPr="00C057C5">
              <w:rPr>
                <w:rFonts w:eastAsia="SimSun"/>
                <w:lang w:eastAsia="en-US"/>
              </w:rPr>
              <w:t xml:space="preserve"> y c</w:t>
            </w:r>
            <w:r w:rsidR="00E409CA">
              <w:rPr>
                <w:rFonts w:eastAsia="SimSun"/>
                <w:lang w:eastAsia="en-US"/>
              </w:rPr>
              <w:t>)</w:t>
            </w:r>
            <w:r w:rsidRPr="00C057C5">
              <w:rPr>
                <w:rFonts w:eastAsia="SimSun"/>
                <w:lang w:eastAsia="en-US"/>
              </w:rPr>
              <w:t xml:space="preserve"> en relación con los autores y las recomendaciones generales a</w:t>
            </w:r>
            <w:r w:rsidR="00E409CA">
              <w:rPr>
                <w:rFonts w:eastAsia="SimSun"/>
                <w:lang w:eastAsia="en-US"/>
              </w:rPr>
              <w:t>)</w:t>
            </w:r>
            <w:r w:rsidRPr="00C057C5">
              <w:rPr>
                <w:rFonts w:eastAsia="SimSun"/>
                <w:lang w:eastAsia="en-US"/>
              </w:rPr>
              <w:t>, b</w:t>
            </w:r>
            <w:r w:rsidR="00E409CA">
              <w:rPr>
                <w:rFonts w:eastAsia="SimSun"/>
                <w:lang w:eastAsia="en-US"/>
              </w:rPr>
              <w:t>)</w:t>
            </w:r>
            <w:r w:rsidRPr="00C057C5">
              <w:rPr>
                <w:rFonts w:eastAsia="SimSun"/>
                <w:lang w:eastAsia="en-US"/>
              </w:rPr>
              <w:t>, c</w:t>
            </w:r>
            <w:r w:rsidR="00E409CA">
              <w:rPr>
                <w:rFonts w:eastAsia="SimSun"/>
                <w:lang w:eastAsia="en-US"/>
              </w:rPr>
              <w:t>)</w:t>
            </w:r>
            <w:r w:rsidRPr="00C057C5">
              <w:rPr>
                <w:rFonts w:eastAsia="SimSun"/>
                <w:lang w:eastAsia="en-US"/>
              </w:rPr>
              <w:t xml:space="preserve"> y d</w:t>
            </w:r>
            <w:r w:rsidR="00E409CA">
              <w:rPr>
                <w:rFonts w:eastAsia="SimSun"/>
                <w:lang w:eastAsia="en-US"/>
              </w:rPr>
              <w:t>)</w:t>
            </w:r>
            <w:r w:rsidRPr="00C057C5">
              <w:rPr>
                <w:rFonts w:eastAsia="SimSun"/>
                <w:lang w:eastAsia="en-US"/>
              </w:rPr>
              <w:t xml:space="preserve"> en un plazo de 90 días desde la publicación de este documento.</w:t>
            </w:r>
          </w:p>
        </w:tc>
      </w:tr>
    </w:tbl>
    <w:p w14:paraId="73F6DE47" w14:textId="45C3475D" w:rsidR="00154C26" w:rsidRPr="005D4C71" w:rsidRDefault="005D4C71" w:rsidP="005D4C71">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154C26" w:rsidRPr="005D4C71" w:rsidSect="002E05FC">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1E35B" w14:textId="77777777" w:rsidR="00EB5386" w:rsidRDefault="00EB5386">
      <w:r>
        <w:separator/>
      </w:r>
    </w:p>
  </w:endnote>
  <w:endnote w:type="continuationSeparator" w:id="0">
    <w:p w14:paraId="18418B1D" w14:textId="77777777" w:rsidR="00EB5386" w:rsidRDefault="00EB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0635" w14:textId="77777777" w:rsidR="002E05FC" w:rsidRPr="002E05FC" w:rsidRDefault="002E05FC" w:rsidP="002E05FC">
    <w:pPr>
      <w:pStyle w:val="Piedepgina"/>
      <w:tabs>
        <w:tab w:val="right" w:pos="9638"/>
      </w:tabs>
    </w:pPr>
    <w:r w:rsidRPr="002E05FC">
      <w:rPr>
        <w:b/>
        <w:sz w:val="18"/>
      </w:rPr>
      <w:fldChar w:fldCharType="begin"/>
    </w:r>
    <w:r w:rsidRPr="002E05FC">
      <w:rPr>
        <w:b/>
        <w:sz w:val="18"/>
      </w:rPr>
      <w:instrText xml:space="preserve"> PAGE  \* MERGEFORMAT </w:instrText>
    </w:r>
    <w:r w:rsidRPr="002E05FC">
      <w:rPr>
        <w:b/>
        <w:sz w:val="18"/>
      </w:rPr>
      <w:fldChar w:fldCharType="separate"/>
    </w:r>
    <w:r w:rsidR="009579CC">
      <w:rPr>
        <w:b/>
        <w:noProof/>
        <w:sz w:val="18"/>
      </w:rPr>
      <w:t>10</w:t>
    </w:r>
    <w:r w:rsidRPr="002E05F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386C" w14:textId="77777777" w:rsidR="002E05FC" w:rsidRPr="002E05FC" w:rsidRDefault="002E05FC" w:rsidP="002E05FC">
    <w:pPr>
      <w:pStyle w:val="Piedepgina"/>
      <w:tabs>
        <w:tab w:val="right" w:pos="9638"/>
      </w:tabs>
      <w:rPr>
        <w:b/>
        <w:sz w:val="18"/>
      </w:rPr>
    </w:pPr>
    <w:r>
      <w:tab/>
    </w:r>
    <w:r w:rsidRPr="002E05FC">
      <w:rPr>
        <w:b/>
        <w:sz w:val="18"/>
      </w:rPr>
      <w:fldChar w:fldCharType="begin"/>
    </w:r>
    <w:r w:rsidRPr="002E05FC">
      <w:rPr>
        <w:b/>
        <w:sz w:val="18"/>
      </w:rPr>
      <w:instrText xml:space="preserve"> PAGE  \* MERGEFORMAT </w:instrText>
    </w:r>
    <w:r w:rsidRPr="002E05FC">
      <w:rPr>
        <w:b/>
        <w:sz w:val="18"/>
      </w:rPr>
      <w:fldChar w:fldCharType="separate"/>
    </w:r>
    <w:r w:rsidR="009579CC">
      <w:rPr>
        <w:b/>
        <w:noProof/>
        <w:sz w:val="18"/>
      </w:rPr>
      <w:t>9</w:t>
    </w:r>
    <w:r w:rsidRPr="002E05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8F98" w14:textId="77777777" w:rsidR="005A1A5F" w:rsidRPr="005A1A5F" w:rsidRDefault="005A1A5F" w:rsidP="005A1A5F">
    <w:pPr>
      <w:pStyle w:val="Piedepgina"/>
      <w:spacing w:before="120" w:line="240" w:lineRule="auto"/>
      <w:rPr>
        <w:sz w:val="20"/>
      </w:rPr>
    </w:pPr>
    <w:proofErr w:type="spellStart"/>
    <w:r>
      <w:rPr>
        <w:sz w:val="20"/>
      </w:rPr>
      <w:t>GE.19</w:t>
    </w:r>
    <w:proofErr w:type="spellEnd"/>
    <w:r>
      <w:rPr>
        <w:sz w:val="20"/>
      </w:rPr>
      <w:t>-</w:t>
    </w:r>
    <w:proofErr w:type="gramStart"/>
    <w:r>
      <w:rPr>
        <w:sz w:val="20"/>
      </w:rPr>
      <w:t>20580  (</w:t>
    </w:r>
    <w:proofErr w:type="gramEnd"/>
    <w:r>
      <w:rPr>
        <w:sz w:val="20"/>
      </w:rPr>
      <w:t>S)</w:t>
    </w:r>
    <w:r>
      <w:rPr>
        <w:sz w:val="20"/>
      </w:rPr>
      <w:br/>
    </w:r>
    <w:r w:rsidRPr="005A1A5F">
      <w:rPr>
        <w:rFonts w:ascii="C39T30Lfz" w:hAnsi="C39T30Lfz"/>
        <w:sz w:val="56"/>
      </w:rPr>
      <w:t></w:t>
    </w:r>
    <w:r w:rsidRPr="005A1A5F">
      <w:rPr>
        <w:rFonts w:ascii="C39T30Lfz" w:hAnsi="C39T30Lfz"/>
        <w:sz w:val="56"/>
      </w:rPr>
      <w:t></w:t>
    </w:r>
    <w:r w:rsidRPr="005A1A5F">
      <w:rPr>
        <w:rFonts w:ascii="C39T30Lfz" w:hAnsi="C39T30Lfz"/>
        <w:sz w:val="56"/>
      </w:rPr>
      <w:t></w:t>
    </w:r>
    <w:r w:rsidRPr="005A1A5F">
      <w:rPr>
        <w:rFonts w:ascii="C39T30Lfz" w:hAnsi="C39T30Lfz"/>
        <w:sz w:val="56"/>
      </w:rPr>
      <w:t></w:t>
    </w:r>
    <w:r w:rsidRPr="005A1A5F">
      <w:rPr>
        <w:rFonts w:ascii="C39T30Lfz" w:hAnsi="C39T30Lfz"/>
        <w:sz w:val="56"/>
      </w:rPr>
      <w:t></w:t>
    </w:r>
    <w:r w:rsidRPr="005A1A5F">
      <w:rPr>
        <w:rFonts w:ascii="C39T30Lfz" w:hAnsi="C39T30Lfz"/>
        <w:sz w:val="56"/>
      </w:rPr>
      <w:t></w:t>
    </w:r>
    <w:r w:rsidRPr="005A1A5F">
      <w:rPr>
        <w:rFonts w:ascii="C39T30Lfz" w:hAnsi="C39T30Lfz"/>
        <w:sz w:val="56"/>
      </w:rPr>
      <w:t></w:t>
    </w:r>
    <w:r w:rsidRPr="005A1A5F">
      <w:rPr>
        <w:rFonts w:ascii="C39T30Lfz" w:hAnsi="C39T30Lfz"/>
        <w:sz w:val="56"/>
      </w:rPr>
      <w:t></w:t>
    </w:r>
    <w:r w:rsidRPr="005A1A5F">
      <w:rPr>
        <w:rFonts w:ascii="C39T30Lfz" w:hAnsi="C39T30Lfz"/>
        <w:sz w:val="56"/>
      </w:rPr>
      <w:t></w:t>
    </w:r>
    <w:r w:rsidRPr="005A1A5F">
      <w:rPr>
        <w:rFonts w:ascii="C39T30Lfz" w:hAnsi="C39T30Lfz"/>
        <w:noProof/>
        <w:sz w:val="56"/>
        <w:lang w:val="fr-CH" w:eastAsia="zh-CN"/>
      </w:rPr>
      <w:drawing>
        <wp:anchor distT="0" distB="0" distL="114300" distR="114300" simplePos="0" relativeHeight="251660288" behindDoc="0" locked="1" layoutInCell="1" allowOverlap="1" wp14:anchorId="26F8FF0C" wp14:editId="395D3B90">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48C2D2BC" wp14:editId="751B64D0">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E/C.12/66/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A1F58" w14:textId="77777777" w:rsidR="00EB5386" w:rsidRPr="001075E9" w:rsidRDefault="00EB5386" w:rsidP="001075E9">
      <w:pPr>
        <w:tabs>
          <w:tab w:val="right" w:pos="2155"/>
        </w:tabs>
        <w:spacing w:after="80" w:line="240" w:lineRule="auto"/>
        <w:ind w:left="680"/>
        <w:rPr>
          <w:u w:val="single"/>
        </w:rPr>
      </w:pPr>
      <w:r>
        <w:rPr>
          <w:u w:val="single"/>
        </w:rPr>
        <w:tab/>
      </w:r>
    </w:p>
  </w:footnote>
  <w:footnote w:type="continuationSeparator" w:id="0">
    <w:p w14:paraId="60478247" w14:textId="77777777" w:rsidR="00EB5386" w:rsidRDefault="00EB5386">
      <w:r>
        <w:continuationSeparator/>
      </w:r>
    </w:p>
  </w:footnote>
  <w:footnote w:id="1">
    <w:p w14:paraId="36F77CB2" w14:textId="77777777" w:rsidR="00BC157F" w:rsidRPr="00FC252A" w:rsidRDefault="00BC157F" w:rsidP="00BC157F">
      <w:pPr>
        <w:pStyle w:val="Textonotapie"/>
        <w:rPr>
          <w:lang w:val="es-419"/>
        </w:rPr>
      </w:pPr>
      <w:r>
        <w:rPr>
          <w:rStyle w:val="Refdenotaalpie"/>
        </w:rPr>
        <w:tab/>
      </w:r>
      <w:r w:rsidRPr="00FC252A">
        <w:rPr>
          <w:rStyle w:val="Refdenotaalpie"/>
          <w:sz w:val="20"/>
          <w:vertAlign w:val="baseline"/>
        </w:rPr>
        <w:t>*</w:t>
      </w:r>
      <w:r>
        <w:rPr>
          <w:rStyle w:val="Refdenotaalpie"/>
          <w:sz w:val="20"/>
          <w:vertAlign w:val="baseline"/>
        </w:rPr>
        <w:tab/>
      </w:r>
      <w:r>
        <w:rPr>
          <w:lang w:val="es-ES_tradnl"/>
        </w:rPr>
        <w:t xml:space="preserve">Adoptado por el Comité </w:t>
      </w:r>
      <w:r w:rsidR="00C20E19">
        <w:rPr>
          <w:lang w:val="es-ES_tradnl"/>
        </w:rPr>
        <w:t xml:space="preserve">en </w:t>
      </w:r>
      <w:r>
        <w:rPr>
          <w:lang w:val="es-ES_tradnl"/>
        </w:rPr>
        <w:t xml:space="preserve">su </w:t>
      </w:r>
      <w:r w:rsidR="00640AB4">
        <w:rPr>
          <w:lang w:val="es-ES_tradnl"/>
        </w:rPr>
        <w:t xml:space="preserve">66º período de sesiones </w:t>
      </w:r>
      <w:r>
        <w:rPr>
          <w:lang w:val="es-ES_tradnl"/>
        </w:rPr>
        <w:t>(30 de septiembre a 18 de octubre de 2019).</w:t>
      </w:r>
    </w:p>
  </w:footnote>
  <w:footnote w:id="2">
    <w:p w14:paraId="4F777954" w14:textId="77777777" w:rsidR="005855A9" w:rsidRDefault="008D1B6A">
      <w:pPr>
        <w:pStyle w:val="Textonotapie"/>
      </w:pPr>
      <w:r>
        <w:tab/>
      </w:r>
      <w:r w:rsidR="005855A9">
        <w:rPr>
          <w:rStyle w:val="Refdenotaalpie"/>
        </w:rPr>
        <w:footnoteRef/>
      </w:r>
      <w:r>
        <w:tab/>
      </w:r>
      <w:r w:rsidR="004B0F5B">
        <w:t>Este documento aún no ha podido ser comentado por el Estado parte y los autores de la comunicación.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994A" w14:textId="3771D594" w:rsidR="002E05FC" w:rsidRPr="002E05FC" w:rsidRDefault="00C14740">
    <w:pPr>
      <w:pStyle w:val="Encabezado"/>
    </w:pPr>
    <w:r>
      <w:fldChar w:fldCharType="begin"/>
    </w:r>
    <w:r>
      <w:instrText xml:space="preserve"> TITLE  \* MERGEFORMAT </w:instrText>
    </w:r>
    <w:r>
      <w:fldChar w:fldCharType="separate"/>
    </w:r>
    <w:r>
      <w:t>E/</w:t>
    </w:r>
    <w:proofErr w:type="spellStart"/>
    <w:r>
      <w:t>C.12</w:t>
    </w:r>
    <w:proofErr w:type="spellEnd"/>
    <w:r>
      <w:t>/66/3</w:t>
    </w:r>
    <w:r>
      <w:fldChar w:fldCharType="end"/>
    </w:r>
    <w:r w:rsidR="00053676">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AB15" w14:textId="279A1335" w:rsidR="002E05FC" w:rsidRPr="002E05FC" w:rsidRDefault="00C14740" w:rsidP="002E05FC">
    <w:pPr>
      <w:pStyle w:val="Encabezado"/>
      <w:jc w:val="right"/>
    </w:pPr>
    <w:r>
      <w:fldChar w:fldCharType="begin"/>
    </w:r>
    <w:r>
      <w:instrText xml:space="preserve"> TITLE  \* MERGEFORMAT </w:instrText>
    </w:r>
    <w:r>
      <w:fldChar w:fldCharType="separate"/>
    </w:r>
    <w:r>
      <w:t>E/</w:t>
    </w:r>
    <w:proofErr w:type="spellStart"/>
    <w:r>
      <w:t>C.12</w:t>
    </w:r>
    <w:proofErr w:type="spellEnd"/>
    <w:r>
      <w:t>/66/3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B02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C"/>
    <w:rsid w:val="00002131"/>
    <w:rsid w:val="00033EE1"/>
    <w:rsid w:val="00053676"/>
    <w:rsid w:val="00073229"/>
    <w:rsid w:val="000B57E7"/>
    <w:rsid w:val="000E3A06"/>
    <w:rsid w:val="000F09DF"/>
    <w:rsid w:val="000F61B2"/>
    <w:rsid w:val="000F7B4B"/>
    <w:rsid w:val="00100922"/>
    <w:rsid w:val="001075E9"/>
    <w:rsid w:val="0011703D"/>
    <w:rsid w:val="001220F5"/>
    <w:rsid w:val="001256EA"/>
    <w:rsid w:val="00137D15"/>
    <w:rsid w:val="001462A7"/>
    <w:rsid w:val="00154C26"/>
    <w:rsid w:val="00154CCE"/>
    <w:rsid w:val="00161852"/>
    <w:rsid w:val="00167288"/>
    <w:rsid w:val="00180183"/>
    <w:rsid w:val="0018649F"/>
    <w:rsid w:val="00196389"/>
    <w:rsid w:val="001B4E3F"/>
    <w:rsid w:val="001B5FFA"/>
    <w:rsid w:val="001C7A89"/>
    <w:rsid w:val="001E5A30"/>
    <w:rsid w:val="002141F1"/>
    <w:rsid w:val="00220F72"/>
    <w:rsid w:val="00222F9B"/>
    <w:rsid w:val="00240004"/>
    <w:rsid w:val="00254AB0"/>
    <w:rsid w:val="00261CDC"/>
    <w:rsid w:val="002A2EFC"/>
    <w:rsid w:val="002C0E18"/>
    <w:rsid w:val="002C632B"/>
    <w:rsid w:val="002D5AAC"/>
    <w:rsid w:val="002E05FC"/>
    <w:rsid w:val="00301299"/>
    <w:rsid w:val="00306A32"/>
    <w:rsid w:val="00322004"/>
    <w:rsid w:val="003402C2"/>
    <w:rsid w:val="00381C24"/>
    <w:rsid w:val="003958D0"/>
    <w:rsid w:val="003A4EF6"/>
    <w:rsid w:val="003A51D9"/>
    <w:rsid w:val="003B00E5"/>
    <w:rsid w:val="003C329E"/>
    <w:rsid w:val="003E567F"/>
    <w:rsid w:val="003F4277"/>
    <w:rsid w:val="00406414"/>
    <w:rsid w:val="00413B0B"/>
    <w:rsid w:val="00414A16"/>
    <w:rsid w:val="00424BE8"/>
    <w:rsid w:val="00427F10"/>
    <w:rsid w:val="00450C46"/>
    <w:rsid w:val="00454E07"/>
    <w:rsid w:val="004655CB"/>
    <w:rsid w:val="004A04B7"/>
    <w:rsid w:val="004B0F5B"/>
    <w:rsid w:val="004D45DB"/>
    <w:rsid w:val="004F6F35"/>
    <w:rsid w:val="0050108D"/>
    <w:rsid w:val="0053091C"/>
    <w:rsid w:val="00536DF4"/>
    <w:rsid w:val="00552716"/>
    <w:rsid w:val="00553240"/>
    <w:rsid w:val="00555DA8"/>
    <w:rsid w:val="00572E19"/>
    <w:rsid w:val="005855A9"/>
    <w:rsid w:val="00586DBB"/>
    <w:rsid w:val="00593130"/>
    <w:rsid w:val="005A1A5F"/>
    <w:rsid w:val="005A77FC"/>
    <w:rsid w:val="005C1F5D"/>
    <w:rsid w:val="005C43E4"/>
    <w:rsid w:val="005C720A"/>
    <w:rsid w:val="005D19C8"/>
    <w:rsid w:val="005D4C71"/>
    <w:rsid w:val="005D7179"/>
    <w:rsid w:val="005F0B42"/>
    <w:rsid w:val="005F2AD1"/>
    <w:rsid w:val="005F7590"/>
    <w:rsid w:val="006141D2"/>
    <w:rsid w:val="00617028"/>
    <w:rsid w:val="00620E43"/>
    <w:rsid w:val="0063048C"/>
    <w:rsid w:val="00640AB4"/>
    <w:rsid w:val="00646A39"/>
    <w:rsid w:val="00651A30"/>
    <w:rsid w:val="00661C61"/>
    <w:rsid w:val="006A0D1B"/>
    <w:rsid w:val="006B3A76"/>
    <w:rsid w:val="006B6DF6"/>
    <w:rsid w:val="006F35EE"/>
    <w:rsid w:val="007021FF"/>
    <w:rsid w:val="00704E7A"/>
    <w:rsid w:val="00716BBF"/>
    <w:rsid w:val="0072314E"/>
    <w:rsid w:val="00742E1C"/>
    <w:rsid w:val="00754DDC"/>
    <w:rsid w:val="00757357"/>
    <w:rsid w:val="007A059A"/>
    <w:rsid w:val="007E16A7"/>
    <w:rsid w:val="007E4711"/>
    <w:rsid w:val="007F4281"/>
    <w:rsid w:val="008032AA"/>
    <w:rsid w:val="0081114B"/>
    <w:rsid w:val="00834B71"/>
    <w:rsid w:val="0084145B"/>
    <w:rsid w:val="008464E1"/>
    <w:rsid w:val="0086445C"/>
    <w:rsid w:val="008772C8"/>
    <w:rsid w:val="008859DF"/>
    <w:rsid w:val="008A08D7"/>
    <w:rsid w:val="008C2B1A"/>
    <w:rsid w:val="008D1B6A"/>
    <w:rsid w:val="008D1E24"/>
    <w:rsid w:val="008D2214"/>
    <w:rsid w:val="008E1429"/>
    <w:rsid w:val="008F2BCB"/>
    <w:rsid w:val="008F6ED6"/>
    <w:rsid w:val="0090527A"/>
    <w:rsid w:val="00906890"/>
    <w:rsid w:val="0094053D"/>
    <w:rsid w:val="00947D85"/>
    <w:rsid w:val="00951972"/>
    <w:rsid w:val="009579CC"/>
    <w:rsid w:val="00962661"/>
    <w:rsid w:val="00997F2E"/>
    <w:rsid w:val="009A3146"/>
    <w:rsid w:val="009A5790"/>
    <w:rsid w:val="009C646E"/>
    <w:rsid w:val="009E5F8A"/>
    <w:rsid w:val="00A256A2"/>
    <w:rsid w:val="00A43957"/>
    <w:rsid w:val="00A457C2"/>
    <w:rsid w:val="00A56A27"/>
    <w:rsid w:val="00A62E35"/>
    <w:rsid w:val="00A917B3"/>
    <w:rsid w:val="00A97C80"/>
    <w:rsid w:val="00AA025E"/>
    <w:rsid w:val="00AA0A08"/>
    <w:rsid w:val="00AA75A3"/>
    <w:rsid w:val="00AB4B51"/>
    <w:rsid w:val="00AE5117"/>
    <w:rsid w:val="00B10CC7"/>
    <w:rsid w:val="00B12F42"/>
    <w:rsid w:val="00B62458"/>
    <w:rsid w:val="00B8687E"/>
    <w:rsid w:val="00BC157F"/>
    <w:rsid w:val="00BC6D3D"/>
    <w:rsid w:val="00BD33EE"/>
    <w:rsid w:val="00BF00E7"/>
    <w:rsid w:val="00C14740"/>
    <w:rsid w:val="00C208A0"/>
    <w:rsid w:val="00C20E19"/>
    <w:rsid w:val="00C25775"/>
    <w:rsid w:val="00C60F0C"/>
    <w:rsid w:val="00C63BA7"/>
    <w:rsid w:val="00C67843"/>
    <w:rsid w:val="00C805C9"/>
    <w:rsid w:val="00CA1679"/>
    <w:rsid w:val="00CA36B1"/>
    <w:rsid w:val="00CD3A13"/>
    <w:rsid w:val="00CD6A08"/>
    <w:rsid w:val="00CE03D3"/>
    <w:rsid w:val="00CE7038"/>
    <w:rsid w:val="00D15EAE"/>
    <w:rsid w:val="00D23CD7"/>
    <w:rsid w:val="00D33D63"/>
    <w:rsid w:val="00D46239"/>
    <w:rsid w:val="00D72CFD"/>
    <w:rsid w:val="00D90138"/>
    <w:rsid w:val="00DB20AA"/>
    <w:rsid w:val="00DD1FAB"/>
    <w:rsid w:val="00DD6AEE"/>
    <w:rsid w:val="00DD7637"/>
    <w:rsid w:val="00DF63E3"/>
    <w:rsid w:val="00E12DD7"/>
    <w:rsid w:val="00E23796"/>
    <w:rsid w:val="00E409CA"/>
    <w:rsid w:val="00E55CE5"/>
    <w:rsid w:val="00E73F76"/>
    <w:rsid w:val="00EB4E73"/>
    <w:rsid w:val="00EB5386"/>
    <w:rsid w:val="00EF1360"/>
    <w:rsid w:val="00EF3220"/>
    <w:rsid w:val="00F237D1"/>
    <w:rsid w:val="00F23FB6"/>
    <w:rsid w:val="00F24DB7"/>
    <w:rsid w:val="00F43197"/>
    <w:rsid w:val="00F66E67"/>
    <w:rsid w:val="00F80811"/>
    <w:rsid w:val="00F94155"/>
    <w:rsid w:val="00F963D6"/>
    <w:rsid w:val="00FB2D3D"/>
    <w:rsid w:val="00FB4641"/>
    <w:rsid w:val="00FD2EF7"/>
    <w:rsid w:val="00FF12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219BFD"/>
  <w15:docId w15:val="{4C11D39D-39D2-4272-9FFE-F16936DC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0C46"/>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semiHidden/>
    <w:qFormat/>
    <w:rsid w:val="008C2B1A"/>
    <w:pPr>
      <w:keepNext/>
      <w:outlineLvl w:val="1"/>
    </w:pPr>
    <w:rPr>
      <w:rFonts w:cs="Arial"/>
      <w:bCs/>
      <w:iCs/>
      <w:szCs w:val="28"/>
    </w:rPr>
  </w:style>
  <w:style w:type="paragraph" w:styleId="Ttulo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8C2B1A"/>
    <w:pPr>
      <w:keepNext/>
      <w:spacing w:before="240" w:after="60"/>
      <w:outlineLvl w:val="3"/>
    </w:pPr>
    <w:rPr>
      <w:b/>
      <w:bCs/>
      <w:sz w:val="28"/>
      <w:szCs w:val="28"/>
    </w:rPr>
  </w:style>
  <w:style w:type="paragraph" w:styleId="Ttulo5">
    <w:name w:val="heading 5"/>
    <w:basedOn w:val="Normal"/>
    <w:next w:val="Normal"/>
    <w:semiHidden/>
    <w:qFormat/>
    <w:rsid w:val="008C2B1A"/>
    <w:pPr>
      <w:spacing w:before="240" w:after="60"/>
      <w:outlineLvl w:val="4"/>
    </w:pPr>
    <w:rPr>
      <w:b/>
      <w:bCs/>
      <w:i/>
      <w:iCs/>
      <w:sz w:val="26"/>
      <w:szCs w:val="26"/>
    </w:rPr>
  </w:style>
  <w:style w:type="paragraph" w:styleId="Ttulo6">
    <w:name w:val="heading 6"/>
    <w:basedOn w:val="Normal"/>
    <w:next w:val="Normal"/>
    <w:semiHidden/>
    <w:qFormat/>
    <w:rsid w:val="008C2B1A"/>
    <w:pPr>
      <w:spacing w:before="240" w:after="60"/>
      <w:outlineLvl w:val="5"/>
    </w:pPr>
    <w:rPr>
      <w:b/>
      <w:bCs/>
      <w:sz w:val="22"/>
      <w:szCs w:val="22"/>
    </w:rPr>
  </w:style>
  <w:style w:type="paragraph" w:styleId="Ttulo7">
    <w:name w:val="heading 7"/>
    <w:basedOn w:val="Normal"/>
    <w:next w:val="Normal"/>
    <w:semiHidden/>
    <w:qFormat/>
    <w:rsid w:val="008C2B1A"/>
    <w:pPr>
      <w:spacing w:before="240" w:after="60"/>
      <w:outlineLvl w:val="6"/>
    </w:pPr>
    <w:rPr>
      <w:sz w:val="24"/>
      <w:szCs w:val="24"/>
    </w:rPr>
  </w:style>
  <w:style w:type="paragraph" w:styleId="Ttulo8">
    <w:name w:val="heading 8"/>
    <w:basedOn w:val="Normal"/>
    <w:next w:val="Normal"/>
    <w:semiHidden/>
    <w:qFormat/>
    <w:rsid w:val="008C2B1A"/>
    <w:pPr>
      <w:spacing w:before="240" w:after="60"/>
      <w:outlineLvl w:val="7"/>
    </w:pPr>
    <w:rPr>
      <w:i/>
      <w:iCs/>
      <w:sz w:val="24"/>
      <w:szCs w:val="24"/>
    </w:rPr>
  </w:style>
  <w:style w:type="paragraph" w:styleId="Ttulo9">
    <w:name w:val="heading 9"/>
    <w:basedOn w:val="Normal"/>
    <w:next w:val="Normal"/>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450C4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50C46"/>
    <w:rPr>
      <w:rFonts w:ascii="Tahoma" w:hAnsi="Tahoma" w:cs="Tahoma"/>
      <w:sz w:val="16"/>
      <w:szCs w:val="16"/>
      <w:lang w:val="es-ES" w:eastAsia="es-ES"/>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semiHidden/>
    <w:rsid w:val="008C2B1A"/>
    <w:rPr>
      <w:color w:val="0000FF"/>
      <w:u w:val="single"/>
    </w:rPr>
  </w:style>
  <w:style w:type="character" w:styleId="Hipervnculovisitado">
    <w:name w:val="FollowedHyperlink"/>
    <w:basedOn w:val="Fuentedeprrafopredeter"/>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paragraph" w:styleId="Prrafodelista">
    <w:name w:val="List Paragraph"/>
    <w:basedOn w:val="Normal"/>
    <w:uiPriority w:val="34"/>
    <w:semiHidden/>
    <w:qFormat/>
    <w:rsid w:val="001E5A30"/>
    <w:pPr>
      <w:ind w:left="720"/>
      <w:contextualSpacing/>
    </w:p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basedOn w:val="Fuentedeprrafopredeter"/>
    <w:link w:val="Textonotapie"/>
    <w:rsid w:val="00BC157F"/>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7AB3-EFFC-4403-9325-E4F481AF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1</TotalTime>
  <Pages>10</Pages>
  <Words>3642</Words>
  <Characters>20034</Characters>
  <Application>Microsoft Office Word</Application>
  <DocSecurity>0</DocSecurity>
  <Lines>166</Lines>
  <Paragraphs>47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E/C.12/66/R.2</vt:lpstr>
      <vt:lpstr>E/C.12/66/R.2</vt:lpstr>
      <vt:lpstr>Naciones Unidas</vt:lpstr>
    </vt:vector>
  </TitlesOfParts>
  <Company>DCM</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E/C.12/66/3</dc:title>
  <dc:subject/>
  <dc:creator>Javier Rodríguez</dc:creator>
  <cp:keywords/>
  <dc:description/>
  <cp:lastModifiedBy>Maria De La Plaza</cp:lastModifiedBy>
  <cp:revision>3</cp:revision>
  <cp:lastPrinted>2019-11-29T10:07:00Z</cp:lastPrinted>
  <dcterms:created xsi:type="dcterms:W3CDTF">2019-11-29T10:07:00Z</dcterms:created>
  <dcterms:modified xsi:type="dcterms:W3CDTF">2019-11-29T10:08:00Z</dcterms:modified>
</cp:coreProperties>
</file>