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620"/>
        <w:gridCol w:w="195"/>
        <w:gridCol w:w="1725"/>
        <w:gridCol w:w="2819"/>
      </w:tblGrid>
      <w:tr w:rsidR="00A10348" w:rsidRPr="00635870" w:rsidTr="00FD22B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10348" w:rsidRPr="00635870" w:rsidRDefault="00A10348" w:rsidP="00FD22B8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  <w:r w:rsidRPr="00240129">
              <w:rPr>
                <w:sz w:val="40"/>
                <w:szCs w:val="40"/>
              </w:rPr>
              <w:t>E</w:t>
            </w:r>
            <w:r>
              <w:t>/</w:t>
            </w:r>
            <w:fldSimple w:instr=" FILLIN  &quot;Введите символ после Е/&quot;  \* MERGEFORMAT ">
              <w:r w:rsidR="00163083">
                <w:t>C.12/SLV/CO/3-5</w:t>
              </w:r>
            </w:fldSimple>
            <w:r>
              <w:t xml:space="preserve">                  </w:t>
            </w:r>
          </w:p>
        </w:tc>
      </w:tr>
      <w:tr w:rsidR="00A10348" w:rsidRPr="00635870" w:rsidTr="00FD22B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635870" w:rsidRDefault="00A10348" w:rsidP="00FD22B8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10348" w:rsidRPr="003B1275" w:rsidRDefault="00A10348" w:rsidP="00FD22B8">
            <w:pPr>
              <w:spacing w:before="120" w:line="46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F827BA" w:rsidRDefault="00A10348" w:rsidP="00FD22B8">
            <w:pPr>
              <w:spacing w:before="240"/>
              <w:rPr>
                <w:lang w:val="en-US"/>
              </w:rPr>
            </w:pPr>
            <w:proofErr w:type="spellStart"/>
            <w:r w:rsidRPr="00F827BA">
              <w:rPr>
                <w:lang w:val="en-US"/>
              </w:rPr>
              <w:t>Distr</w:t>
            </w:r>
            <w:proofErr w:type="spellEnd"/>
            <w:r w:rsidRPr="00F827BA">
              <w:t>.:</w:t>
            </w:r>
            <w:r w:rsidRPr="00F827BA">
              <w:rPr>
                <w:lang w:val="en-US"/>
              </w:rPr>
              <w:t xml:space="preserve"> </w:t>
            </w:r>
            <w:bookmarkStart w:id="0" w:name="ПолеСоСписком1"/>
            <w:r w:rsidRPr="00F827BA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0"/>
          </w:p>
          <w:p w:rsidR="00A10348" w:rsidRPr="00F827BA" w:rsidRDefault="00A10348" w:rsidP="00FD22B8">
            <w:pPr>
              <w:rPr>
                <w:lang w:val="en-US"/>
              </w:rPr>
            </w:pPr>
            <w:fldSimple w:instr=" FILLIN  &quot;Введите дату документа&quot; \* MERGEFORMAT ">
              <w:r w:rsidR="00163083">
                <w:rPr>
                  <w:lang w:val="en-US"/>
                </w:rPr>
                <w:t>19 June 2014</w:t>
              </w:r>
            </w:fldSimple>
          </w:p>
          <w:p w:rsidR="00A10348" w:rsidRPr="00F827BA" w:rsidRDefault="00A10348" w:rsidP="00FD22B8">
            <w:r w:rsidRPr="00F827BA">
              <w:rPr>
                <w:lang w:val="en-US"/>
              </w:rPr>
              <w:t>Russian</w:t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Original</w:t>
            </w:r>
            <w:r w:rsidRPr="00F827BA">
              <w:t xml:space="preserve">: </w:t>
            </w:r>
            <w:bookmarkStart w:id="1" w:name="ПолеСоСписком2"/>
            <w:r w:rsidRPr="00F827BA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2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1"/>
          </w:p>
          <w:p w:rsidR="00A10348" w:rsidRPr="00635870" w:rsidRDefault="00A10348" w:rsidP="00FD22B8"/>
        </w:tc>
      </w:tr>
    </w:tbl>
    <w:p w:rsidR="000667A9" w:rsidRPr="000667A9" w:rsidRDefault="000667A9" w:rsidP="000667A9">
      <w:pPr>
        <w:spacing w:before="120"/>
        <w:rPr>
          <w:b/>
          <w:sz w:val="24"/>
          <w:szCs w:val="24"/>
        </w:rPr>
      </w:pPr>
      <w:r w:rsidRPr="000667A9">
        <w:rPr>
          <w:b/>
          <w:sz w:val="24"/>
          <w:szCs w:val="24"/>
        </w:rPr>
        <w:t xml:space="preserve">Комитет по экономическим, социальным </w:t>
      </w:r>
      <w:r>
        <w:rPr>
          <w:b/>
          <w:sz w:val="24"/>
          <w:szCs w:val="24"/>
        </w:rPr>
        <w:br/>
      </w:r>
      <w:r w:rsidRPr="000667A9">
        <w:rPr>
          <w:b/>
          <w:sz w:val="24"/>
          <w:szCs w:val="24"/>
        </w:rPr>
        <w:t>и культурным правам</w:t>
      </w:r>
    </w:p>
    <w:p w:rsidR="000667A9" w:rsidRPr="000667A9" w:rsidRDefault="000667A9" w:rsidP="000667A9">
      <w:pPr>
        <w:pStyle w:val="HChGR"/>
      </w:pPr>
      <w:r>
        <w:tab/>
      </w:r>
      <w:r>
        <w:tab/>
      </w:r>
      <w:r w:rsidRPr="000667A9">
        <w:t>Заключительные замечания по объединенным третьему, четвертому и пятому периодическим докладам Сальвадора</w:t>
      </w:r>
      <w:r w:rsidRPr="000667A9">
        <w:rPr>
          <w:b w:val="0"/>
          <w:bCs/>
          <w:sz w:val="20"/>
        </w:rPr>
        <w:footnoteReference w:customMarkFollows="1" w:id="1"/>
        <w:t>*</w:t>
      </w:r>
    </w:p>
    <w:p w:rsidR="000667A9" w:rsidRPr="000667A9" w:rsidRDefault="000667A9" w:rsidP="000667A9">
      <w:pPr>
        <w:pStyle w:val="SingleTxtGR"/>
      </w:pPr>
      <w:r w:rsidRPr="000667A9">
        <w:t>1.</w:t>
      </w:r>
      <w:r w:rsidRPr="000667A9">
        <w:tab/>
        <w:t>Комитет по экономическим, социальным и культурным правам рассмо</w:t>
      </w:r>
      <w:r w:rsidRPr="000667A9">
        <w:t>т</w:t>
      </w:r>
      <w:r w:rsidRPr="000667A9">
        <w:t>рел объединенные третий, четвертый и пятый периодические доклады Сальв</w:t>
      </w:r>
      <w:r w:rsidRPr="000667A9">
        <w:t>а</w:t>
      </w:r>
      <w:r w:rsidRPr="000667A9">
        <w:t>дора о ходе выполнения Международного пакта об экономических, социальных и культурных правах (E/C.12/SLV/3-5) на своих 25-м и 26-м заседаниях, сост</w:t>
      </w:r>
      <w:r w:rsidRPr="000667A9">
        <w:t>о</w:t>
      </w:r>
      <w:r w:rsidRPr="000667A9">
        <w:t>явшихся 14 мая 2014 года (E/C.12/2014/SR.25 и 26), и на своем 40-м заседании, состоявшемся 23 мая 2014 года, принял следующие заключительные замечания.</w:t>
      </w:r>
    </w:p>
    <w:p w:rsidR="000667A9" w:rsidRPr="000667A9" w:rsidRDefault="000667A9" w:rsidP="00C73186">
      <w:pPr>
        <w:pStyle w:val="H1GR"/>
      </w:pPr>
      <w:r>
        <w:tab/>
      </w:r>
      <w:r w:rsidRPr="000667A9">
        <w:t>A.</w:t>
      </w:r>
      <w:r w:rsidRPr="000667A9">
        <w:tab/>
        <w:t>Введение</w:t>
      </w:r>
    </w:p>
    <w:p w:rsidR="000667A9" w:rsidRPr="000667A9" w:rsidRDefault="000667A9" w:rsidP="000667A9">
      <w:pPr>
        <w:pStyle w:val="SingleTxtGR"/>
      </w:pPr>
      <w:r w:rsidRPr="000667A9">
        <w:t>1.</w:t>
      </w:r>
      <w:r w:rsidRPr="000667A9">
        <w:tab/>
        <w:t>Комитет приветствует представление объединенных третьего, четвертого и пятого периодических докладов Сальвадора и письменных ответов на его п</w:t>
      </w:r>
      <w:r w:rsidRPr="000667A9">
        <w:t>е</w:t>
      </w:r>
      <w:r w:rsidRPr="000667A9">
        <w:t>речень вопросов (E/C.12/SLV/Q/3-5/Add.1), однако выражает сожаление по п</w:t>
      </w:r>
      <w:r w:rsidRPr="000667A9">
        <w:t>о</w:t>
      </w:r>
      <w:r w:rsidRPr="000667A9">
        <w:t>воду задержки с их представлением и отсутствия ответов на некоторые вопр</w:t>
      </w:r>
      <w:r w:rsidRPr="000667A9">
        <w:t>о</w:t>
      </w:r>
      <w:r w:rsidRPr="000667A9">
        <w:t>сы. Комитет отмечает позитивный настрой со стороны делегации государства-участника и выражает признательность за предоставление дополнительной и</w:t>
      </w:r>
      <w:r w:rsidRPr="000667A9">
        <w:t>н</w:t>
      </w:r>
      <w:r w:rsidRPr="000667A9">
        <w:t>формации, обещанной в ходе диалога.</w:t>
      </w:r>
    </w:p>
    <w:p w:rsidR="000667A9" w:rsidRPr="000667A9" w:rsidRDefault="000667A9" w:rsidP="00C73186">
      <w:pPr>
        <w:pStyle w:val="H1GR"/>
      </w:pPr>
      <w:r>
        <w:tab/>
      </w:r>
      <w:r w:rsidRPr="000667A9">
        <w:t>B.</w:t>
      </w:r>
      <w:r w:rsidRPr="000667A9">
        <w:tab/>
        <w:t>Позитивные аспекты</w:t>
      </w:r>
    </w:p>
    <w:p w:rsidR="000667A9" w:rsidRPr="000667A9" w:rsidRDefault="000667A9" w:rsidP="000667A9">
      <w:pPr>
        <w:pStyle w:val="SingleTxtGR"/>
      </w:pPr>
      <w:r w:rsidRPr="000667A9">
        <w:t>3.</w:t>
      </w:r>
      <w:r w:rsidRPr="000667A9">
        <w:tab/>
        <w:t>Комитет с глубоким удовлетворением отмечает, что государство-участник ратифицировало Факультативный протокол к Международному пакту и призн</w:t>
      </w:r>
      <w:r w:rsidRPr="000667A9">
        <w:t>а</w:t>
      </w:r>
      <w:r w:rsidRPr="000667A9">
        <w:t>ло компетенцию Комитета проводить расследования, предусмотренную в ст</w:t>
      </w:r>
      <w:r w:rsidRPr="000667A9">
        <w:t>а</w:t>
      </w:r>
      <w:r w:rsidRPr="000667A9">
        <w:t>тье</w:t>
      </w:r>
      <w:r>
        <w:t> </w:t>
      </w:r>
      <w:r w:rsidRPr="000667A9">
        <w:t>11 Факультативного протокола.</w:t>
      </w:r>
    </w:p>
    <w:p w:rsidR="000667A9" w:rsidRPr="000667A9" w:rsidRDefault="000667A9" w:rsidP="000667A9">
      <w:pPr>
        <w:pStyle w:val="SingleTxtGR"/>
        <w:keepNext/>
      </w:pPr>
      <w:r w:rsidRPr="000667A9">
        <w:t>4.</w:t>
      </w:r>
      <w:r w:rsidRPr="000667A9">
        <w:tab/>
        <w:t>Комитет отмечает также ратификацию государством-участником других международных договоров:</w:t>
      </w:r>
    </w:p>
    <w:p w:rsidR="000667A9" w:rsidRPr="000667A9" w:rsidRDefault="000667A9" w:rsidP="000667A9">
      <w:pPr>
        <w:pStyle w:val="SingleTxtGR"/>
      </w:pPr>
      <w:r w:rsidRPr="000667A9">
        <w:tab/>
        <w:t>a)</w:t>
      </w:r>
      <w:r w:rsidRPr="000667A9">
        <w:tab/>
        <w:t>второго Факультативного протокола к Международному пакту о гражданских и политических правах, направленного на отмену смертной казни, в 2014 году; и</w:t>
      </w:r>
    </w:p>
    <w:p w:rsidR="000667A9" w:rsidRPr="000667A9" w:rsidRDefault="000667A9" w:rsidP="000667A9">
      <w:pPr>
        <w:pStyle w:val="SingleTxtGR"/>
      </w:pPr>
      <w:r w:rsidRPr="000667A9">
        <w:tab/>
        <w:t>b)</w:t>
      </w:r>
      <w:r w:rsidRPr="000667A9">
        <w:tab/>
        <w:t>Конвенции о правах инвалидов и Факультативного протокола к ней в 2007 году.</w:t>
      </w:r>
    </w:p>
    <w:p w:rsidR="000667A9" w:rsidRPr="000667A9" w:rsidRDefault="000667A9" w:rsidP="000667A9">
      <w:pPr>
        <w:pStyle w:val="SingleTxtGR"/>
      </w:pPr>
      <w:r w:rsidRPr="000667A9">
        <w:t>5.</w:t>
      </w:r>
      <w:r w:rsidRPr="000667A9">
        <w:tab/>
        <w:t>Комитет приветствует начавшийся процесс включения в Конституцию права на воду и права на питание, а также признание в ней коренных народов. Кроме того, Комитет приветствует принятие следующих законов:</w:t>
      </w:r>
    </w:p>
    <w:p w:rsidR="000667A9" w:rsidRPr="000667A9" w:rsidRDefault="000667A9" w:rsidP="000667A9">
      <w:pPr>
        <w:pStyle w:val="SingleTxtGR"/>
      </w:pPr>
      <w:r w:rsidRPr="000667A9">
        <w:tab/>
        <w:t>а)</w:t>
      </w:r>
      <w:r w:rsidRPr="000667A9">
        <w:tab/>
        <w:t>Специального комплексного закона о жизни без насилия в отнош</w:t>
      </w:r>
      <w:r w:rsidRPr="000667A9">
        <w:t>е</w:t>
      </w:r>
      <w:r w:rsidRPr="000667A9">
        <w:t>нии женщин (ЛЕИВ) (2012 год);</w:t>
      </w:r>
    </w:p>
    <w:p w:rsidR="000667A9" w:rsidRPr="000667A9" w:rsidRDefault="000667A9" w:rsidP="000667A9">
      <w:pPr>
        <w:pStyle w:val="SingleTxtGR"/>
      </w:pPr>
      <w:r w:rsidRPr="000667A9">
        <w:tab/>
        <w:t>b)</w:t>
      </w:r>
      <w:r w:rsidRPr="000667A9">
        <w:tab/>
        <w:t>Закона о равенстве, справедливости и искоренении дискриминации в отношении женщин в Сальвадоре (ЛИЕ) (2011 год); и</w:t>
      </w:r>
    </w:p>
    <w:p w:rsidR="000667A9" w:rsidRPr="000667A9" w:rsidRDefault="000667A9" w:rsidP="000667A9">
      <w:pPr>
        <w:pStyle w:val="SingleTxtGR"/>
      </w:pPr>
      <w:r w:rsidRPr="000667A9">
        <w:tab/>
      </w:r>
      <w:proofErr w:type="spellStart"/>
      <w:r w:rsidRPr="000667A9">
        <w:t>c</w:t>
      </w:r>
      <w:proofErr w:type="spellEnd"/>
      <w:r w:rsidRPr="000667A9">
        <w:t>)</w:t>
      </w:r>
      <w:r w:rsidRPr="000667A9">
        <w:tab/>
        <w:t>Закона о комплексной защите детей и подростков (ЛЕПИНА) (2009</w:t>
      </w:r>
      <w:r>
        <w:t> </w:t>
      </w:r>
      <w:r w:rsidRPr="000667A9">
        <w:t>год).</w:t>
      </w:r>
    </w:p>
    <w:p w:rsidR="000667A9" w:rsidRPr="000667A9" w:rsidRDefault="000667A9" w:rsidP="000667A9">
      <w:pPr>
        <w:pStyle w:val="SingleTxtGR"/>
      </w:pPr>
      <w:r w:rsidRPr="000667A9">
        <w:t>6.</w:t>
      </w:r>
      <w:r w:rsidRPr="000667A9">
        <w:tab/>
        <w:t>Комитет с удовлетворением отмечает, что государство-участник достигло значительного прогресса со времени последнего интерактивного диалога с К</w:t>
      </w:r>
      <w:r w:rsidRPr="000667A9">
        <w:t>о</w:t>
      </w:r>
      <w:r w:rsidRPr="000667A9">
        <w:t>митетом, состоявшегося в 2006 году, и с признательностью принимает к свед</w:t>
      </w:r>
      <w:r w:rsidRPr="000667A9">
        <w:t>е</w:t>
      </w:r>
      <w:r w:rsidRPr="000667A9">
        <w:t>нию его готовность сделать права человека и социальную интеграцию це</w:t>
      </w:r>
      <w:r w:rsidRPr="000667A9">
        <w:t>н</w:t>
      </w:r>
      <w:r w:rsidRPr="000667A9">
        <w:t>тральным элементом своей политики. В частности, Комитет приветствует:</w:t>
      </w:r>
    </w:p>
    <w:p w:rsidR="000667A9" w:rsidRPr="000667A9" w:rsidRDefault="000667A9" w:rsidP="000667A9">
      <w:pPr>
        <w:pStyle w:val="SingleTxtGR"/>
      </w:pPr>
      <w:r w:rsidRPr="000667A9">
        <w:tab/>
        <w:t>a)</w:t>
      </w:r>
      <w:r w:rsidRPr="000667A9">
        <w:tab/>
        <w:t>разработку Национальной политики в области комплексной защиты детей и подростков (НПКЗДП) (2013 год);</w:t>
      </w:r>
    </w:p>
    <w:p w:rsidR="000667A9" w:rsidRPr="000667A9" w:rsidRDefault="000667A9" w:rsidP="000667A9">
      <w:pPr>
        <w:pStyle w:val="SingleTxtGR"/>
      </w:pPr>
      <w:r w:rsidRPr="000667A9">
        <w:tab/>
        <w:t>b)</w:t>
      </w:r>
      <w:r w:rsidRPr="000667A9">
        <w:tab/>
        <w:t>учреждение Национального совета по борьбе с торговлей людьми (2012 год); и</w:t>
      </w:r>
    </w:p>
    <w:p w:rsidR="000667A9" w:rsidRPr="000667A9" w:rsidRDefault="000667A9" w:rsidP="000667A9">
      <w:pPr>
        <w:pStyle w:val="SingleTxtGR"/>
      </w:pPr>
      <w:r w:rsidRPr="000667A9">
        <w:tab/>
      </w:r>
      <w:proofErr w:type="spellStart"/>
      <w:r w:rsidRPr="000667A9">
        <w:t>c</w:t>
      </w:r>
      <w:proofErr w:type="spellEnd"/>
      <w:r w:rsidRPr="000667A9">
        <w:t>)</w:t>
      </w:r>
      <w:r w:rsidRPr="000667A9">
        <w:tab/>
        <w:t>разработку Национального плана по обеспечению равенства и ра</w:t>
      </w:r>
      <w:r w:rsidRPr="000667A9">
        <w:t>в</w:t>
      </w:r>
      <w:r w:rsidRPr="000667A9">
        <w:t xml:space="preserve">ноправия </w:t>
      </w:r>
      <w:proofErr w:type="spellStart"/>
      <w:r w:rsidRPr="000667A9">
        <w:t>сальвадорских</w:t>
      </w:r>
      <w:proofErr w:type="spellEnd"/>
      <w:r w:rsidRPr="000667A9">
        <w:t xml:space="preserve"> женщин (НПРРСЖ) на 2012−2017 годы.</w:t>
      </w:r>
    </w:p>
    <w:p w:rsidR="000667A9" w:rsidRPr="000667A9" w:rsidRDefault="000667A9" w:rsidP="00C73186">
      <w:pPr>
        <w:pStyle w:val="H1GR"/>
      </w:pPr>
      <w:r>
        <w:tab/>
      </w:r>
      <w:r w:rsidRPr="000667A9">
        <w:t>C.</w:t>
      </w:r>
      <w:r w:rsidRPr="000667A9">
        <w:tab/>
        <w:t>Основные вопросы, вызывающие озабоченность, и</w:t>
      </w:r>
      <w:r>
        <w:t> </w:t>
      </w:r>
      <w:r w:rsidRPr="000667A9">
        <w:t>рекомендации</w:t>
      </w:r>
    </w:p>
    <w:p w:rsidR="000667A9" w:rsidRPr="000667A9" w:rsidRDefault="000667A9" w:rsidP="00C73186">
      <w:pPr>
        <w:pStyle w:val="H23GR"/>
      </w:pPr>
      <w:r>
        <w:tab/>
      </w:r>
      <w:r>
        <w:tab/>
      </w:r>
      <w:r w:rsidRPr="000667A9">
        <w:t>Право на самоопределение</w:t>
      </w:r>
    </w:p>
    <w:p w:rsidR="000667A9" w:rsidRPr="000667A9" w:rsidRDefault="000667A9" w:rsidP="000667A9">
      <w:pPr>
        <w:pStyle w:val="SingleTxtGR"/>
      </w:pPr>
      <w:r w:rsidRPr="000667A9">
        <w:t>7.</w:t>
      </w:r>
      <w:r w:rsidRPr="000667A9">
        <w:tab/>
        <w:t>Комитет приветствует тот факт, что в апреле 2012 года Законодательное собрание одобрило предложение о конституционной реформе в целях юридич</w:t>
      </w:r>
      <w:r w:rsidRPr="000667A9">
        <w:t>е</w:t>
      </w:r>
      <w:r w:rsidRPr="000667A9">
        <w:t>ского признания коренных народов, несмотря на то, что оно до сих пор не было утверждено. Комитет выражает обеспокоенность в связи с отсутствием инфо</w:t>
      </w:r>
      <w:r w:rsidRPr="000667A9">
        <w:t>р</w:t>
      </w:r>
      <w:r w:rsidRPr="000667A9">
        <w:t>мации о численности коренных народов, проживающих в государстве-участнике, и тем обстоятельством, что в последних переписях населения отр</w:t>
      </w:r>
      <w:r w:rsidRPr="000667A9">
        <w:t>а</w:t>
      </w:r>
      <w:r w:rsidRPr="000667A9">
        <w:t>жались неточные данные, основанные на нечетких вопросах (статьи 1 и 2).</w:t>
      </w:r>
    </w:p>
    <w:p w:rsidR="000667A9" w:rsidRPr="000667A9" w:rsidRDefault="000667A9" w:rsidP="000667A9">
      <w:pPr>
        <w:pStyle w:val="SingleTxtGR"/>
        <w:rPr>
          <w:b/>
        </w:rPr>
      </w:pPr>
      <w:r w:rsidRPr="000667A9">
        <w:rPr>
          <w:b/>
        </w:rPr>
        <w:t>Комитет настоятельно призывает государство-участник продолжать укр</w:t>
      </w:r>
      <w:r w:rsidRPr="000667A9">
        <w:rPr>
          <w:b/>
        </w:rPr>
        <w:t>е</w:t>
      </w:r>
      <w:r w:rsidRPr="000667A9">
        <w:rPr>
          <w:b/>
        </w:rPr>
        <w:t>плять свои инициативы для обеспечения эффективного осуществления экономических, социальных и культурных прав коренными народами. К</w:t>
      </w:r>
      <w:r w:rsidRPr="000667A9">
        <w:rPr>
          <w:b/>
        </w:rPr>
        <w:t>о</w:t>
      </w:r>
      <w:r w:rsidRPr="000667A9">
        <w:rPr>
          <w:b/>
        </w:rPr>
        <w:t>митет рекомендует парламенту завершить процесс утверждения предлож</w:t>
      </w:r>
      <w:r w:rsidRPr="000667A9">
        <w:rPr>
          <w:b/>
        </w:rPr>
        <w:t>е</w:t>
      </w:r>
      <w:r w:rsidRPr="000667A9">
        <w:rPr>
          <w:b/>
        </w:rPr>
        <w:t>ния о реформе в целях юридического и политического признания коре</w:t>
      </w:r>
      <w:r w:rsidRPr="000667A9">
        <w:rPr>
          <w:b/>
        </w:rPr>
        <w:t>н</w:t>
      </w:r>
      <w:r w:rsidRPr="000667A9">
        <w:rPr>
          <w:b/>
        </w:rPr>
        <w:t>ных народов в Конституции. Кроме того, Комитет настоятельно призывает государство провести новую перепись коренного населения.</w:t>
      </w:r>
    </w:p>
    <w:p w:rsidR="000667A9" w:rsidRPr="000667A9" w:rsidRDefault="00C73186" w:rsidP="00C73186">
      <w:pPr>
        <w:pStyle w:val="H23GR"/>
      </w:pPr>
      <w:r>
        <w:tab/>
      </w:r>
      <w:r>
        <w:tab/>
      </w:r>
      <w:r w:rsidR="000667A9" w:rsidRPr="000667A9">
        <w:t>Выделение государственных средств</w:t>
      </w:r>
    </w:p>
    <w:p w:rsidR="000667A9" w:rsidRPr="000667A9" w:rsidRDefault="000667A9" w:rsidP="000667A9">
      <w:pPr>
        <w:pStyle w:val="SingleTxtGR"/>
      </w:pPr>
      <w:r w:rsidRPr="000667A9">
        <w:t>8.</w:t>
      </w:r>
      <w:r w:rsidRPr="000667A9">
        <w:tab/>
        <w:t>С удовлетворением отмечая проведение государством-участником бю</w:t>
      </w:r>
      <w:r w:rsidRPr="000667A9">
        <w:t>д</w:t>
      </w:r>
      <w:r w:rsidRPr="000667A9">
        <w:t>жетных реформ, Комитет в то же время обеспокоен тем, что объем налоговых поступлений в государстве-участнике до сих пор находится на низком уровне, что отрицательно сказывается на национальных доходах и может привести к ограничению ресурсов, выделяемых на цели осуществления экономических, социальных и культурных прав (статья 2).</w:t>
      </w:r>
    </w:p>
    <w:p w:rsidR="000667A9" w:rsidRPr="000667A9" w:rsidRDefault="000667A9" w:rsidP="000667A9">
      <w:pPr>
        <w:pStyle w:val="SingleTxtGR"/>
        <w:rPr>
          <w:b/>
        </w:rPr>
      </w:pPr>
      <w:r w:rsidRPr="000667A9">
        <w:rPr>
          <w:b/>
        </w:rPr>
        <w:t>Комитет призывает государство-участник продолжать развивать систему прогрессивного, надлежащего и социально справедливого налогооблож</w:t>
      </w:r>
      <w:r w:rsidRPr="000667A9">
        <w:rPr>
          <w:b/>
        </w:rPr>
        <w:t>е</w:t>
      </w:r>
      <w:r w:rsidRPr="000667A9">
        <w:rPr>
          <w:b/>
        </w:rPr>
        <w:t>ния, позволяющую улучшать собираемость налогов, с тем чтобы расш</w:t>
      </w:r>
      <w:r w:rsidRPr="000667A9">
        <w:rPr>
          <w:b/>
        </w:rPr>
        <w:t>и</w:t>
      </w:r>
      <w:r w:rsidRPr="000667A9">
        <w:rPr>
          <w:b/>
        </w:rPr>
        <w:t>рить доступность ресурсов, выделяемых на цели осуществления эконом</w:t>
      </w:r>
      <w:r w:rsidRPr="000667A9">
        <w:rPr>
          <w:b/>
        </w:rPr>
        <w:t>и</w:t>
      </w:r>
      <w:r w:rsidRPr="000667A9">
        <w:rPr>
          <w:b/>
        </w:rPr>
        <w:t xml:space="preserve">ческих, социальных и культурных прав. Кроме того, Комитет рекомендует провести бюджетную реформу и исполнять план выделения ресурсов на основе </w:t>
      </w:r>
      <w:proofErr w:type="spellStart"/>
      <w:r w:rsidRPr="000667A9">
        <w:rPr>
          <w:b/>
        </w:rPr>
        <w:t>транспарентности</w:t>
      </w:r>
      <w:proofErr w:type="spellEnd"/>
      <w:r w:rsidRPr="000667A9">
        <w:rPr>
          <w:b/>
        </w:rPr>
        <w:t xml:space="preserve"> и широкого участия.</w:t>
      </w:r>
    </w:p>
    <w:p w:rsidR="000667A9" w:rsidRPr="000667A9" w:rsidRDefault="00C73186" w:rsidP="00C73186">
      <w:pPr>
        <w:pStyle w:val="H23GR"/>
      </w:pPr>
      <w:r>
        <w:tab/>
      </w:r>
      <w:r>
        <w:tab/>
      </w:r>
      <w:r w:rsidR="000667A9" w:rsidRPr="000667A9">
        <w:t>Инвалиды</w:t>
      </w:r>
    </w:p>
    <w:p w:rsidR="000667A9" w:rsidRPr="000667A9" w:rsidRDefault="000667A9" w:rsidP="000667A9">
      <w:pPr>
        <w:pStyle w:val="SingleTxtGR"/>
      </w:pPr>
      <w:r w:rsidRPr="000667A9">
        <w:t>9.</w:t>
      </w:r>
      <w:r w:rsidRPr="000667A9">
        <w:tab/>
        <w:t>Комитет выражает сожаление по поводу низкого размера штрафа, уст</w:t>
      </w:r>
      <w:r w:rsidRPr="000667A9">
        <w:t>а</w:t>
      </w:r>
      <w:r w:rsidRPr="000667A9">
        <w:t>новленного за несоблюдение норм, вводящих квоты на трудоустройство инв</w:t>
      </w:r>
      <w:r w:rsidRPr="000667A9">
        <w:t>а</w:t>
      </w:r>
      <w:r w:rsidRPr="000667A9">
        <w:t>лидов, и не гарантирующего соблюдения таких норм. Комитет выражает также обеспокоенность в связи с культурными барьерами и предубеждениями, пр</w:t>
      </w:r>
      <w:r w:rsidRPr="000667A9">
        <w:t>е</w:t>
      </w:r>
      <w:r w:rsidRPr="000667A9">
        <w:t>пятствующими доступу инвалидов к рынку труда, и с сожалением отмечает о</w:t>
      </w:r>
      <w:r w:rsidRPr="000667A9">
        <w:t>т</w:t>
      </w:r>
      <w:r w:rsidRPr="000667A9">
        <w:t>сутствие профессиональной подготовки, ориентированной на инвалидов.</w:t>
      </w:r>
    </w:p>
    <w:p w:rsidR="000667A9" w:rsidRPr="000667A9" w:rsidRDefault="000667A9" w:rsidP="000667A9">
      <w:pPr>
        <w:pStyle w:val="SingleTxtGR"/>
        <w:rPr>
          <w:b/>
        </w:rPr>
      </w:pPr>
      <w:r w:rsidRPr="000667A9">
        <w:rPr>
          <w:b/>
        </w:rPr>
        <w:t>Комитет рекомендует государству-участнику разработать государственную политику, направленную на профессиональную подготовку инвалидов, включая получение профессионального и высшего образования, и на п</w:t>
      </w:r>
      <w:r w:rsidRPr="000667A9">
        <w:rPr>
          <w:b/>
        </w:rPr>
        <w:t>о</w:t>
      </w:r>
      <w:r w:rsidRPr="000667A9">
        <w:rPr>
          <w:b/>
        </w:rPr>
        <w:t>ощрение их выхода на рынок труда. Кроме того, Комитет рекомендует г</w:t>
      </w:r>
      <w:r w:rsidRPr="000667A9">
        <w:rPr>
          <w:b/>
        </w:rPr>
        <w:t>о</w:t>
      </w:r>
      <w:r w:rsidRPr="000667A9">
        <w:rPr>
          <w:b/>
        </w:rPr>
        <w:t>сударству-участнику обеспечить соблюдение установленной законом квоты рабочих мест для инвалидов и укрепить меры контроля и проверки на предмет ее соблюдения.</w:t>
      </w:r>
    </w:p>
    <w:p w:rsidR="000667A9" w:rsidRPr="000667A9" w:rsidRDefault="00C73186" w:rsidP="00C73186">
      <w:pPr>
        <w:pStyle w:val="H23GR"/>
      </w:pPr>
      <w:r>
        <w:tab/>
      </w:r>
      <w:r>
        <w:tab/>
      </w:r>
      <w:r w:rsidR="000667A9" w:rsidRPr="000667A9">
        <w:t>Равенство между мужчинами и женщинами в осуществлении права на труд</w:t>
      </w:r>
    </w:p>
    <w:p w:rsidR="000667A9" w:rsidRPr="000667A9" w:rsidRDefault="000667A9" w:rsidP="000667A9">
      <w:pPr>
        <w:pStyle w:val="SingleTxtGR"/>
      </w:pPr>
      <w:r w:rsidRPr="000667A9">
        <w:t>10.</w:t>
      </w:r>
      <w:r w:rsidRPr="000667A9">
        <w:tab/>
        <w:t>Несмотря на принятие в 2011 году ЛИЕ, Комитет обеспокоен сохранен</w:t>
      </w:r>
      <w:r w:rsidRPr="000667A9">
        <w:t>и</w:t>
      </w:r>
      <w:r w:rsidRPr="000667A9">
        <w:t>ем стереотипов, в силу которых женщины не могут на равных с мужчинами у</w:t>
      </w:r>
      <w:r w:rsidRPr="000667A9">
        <w:t>с</w:t>
      </w:r>
      <w:r w:rsidRPr="000667A9">
        <w:t xml:space="preserve">ловиях пользоваться правом на труд. Комитет обеспокоен более низкой </w:t>
      </w:r>
      <w:proofErr w:type="spellStart"/>
      <w:r w:rsidRPr="000667A9">
        <w:t>пре</w:t>
      </w:r>
      <w:r w:rsidRPr="000667A9">
        <w:t>д</w:t>
      </w:r>
      <w:r w:rsidRPr="000667A9">
        <w:t>ставленностью</w:t>
      </w:r>
      <w:proofErr w:type="spellEnd"/>
      <w:r w:rsidRPr="000667A9">
        <w:t xml:space="preserve"> женщин на руководящих должностях как в государственном, так и в частном секторах (E/C.12/SLV/CO/2, пункт 28) (статьи 3 и 6).</w:t>
      </w:r>
    </w:p>
    <w:p w:rsidR="000667A9" w:rsidRPr="000667A9" w:rsidRDefault="000667A9" w:rsidP="000667A9">
      <w:pPr>
        <w:pStyle w:val="SingleTxtGR"/>
        <w:rPr>
          <w:b/>
        </w:rPr>
      </w:pPr>
      <w:r w:rsidRPr="000667A9">
        <w:rPr>
          <w:b/>
        </w:rPr>
        <w:t>Комитет рекомендует государству-участнику удвоить свои усилия по бор</w:t>
      </w:r>
      <w:r w:rsidRPr="000667A9">
        <w:rPr>
          <w:b/>
        </w:rPr>
        <w:t>ь</w:t>
      </w:r>
      <w:r w:rsidRPr="000667A9">
        <w:rPr>
          <w:b/>
        </w:rPr>
        <w:t xml:space="preserve">бе с </w:t>
      </w:r>
      <w:proofErr w:type="spellStart"/>
      <w:r w:rsidRPr="000667A9">
        <w:rPr>
          <w:b/>
        </w:rPr>
        <w:t>гендерными</w:t>
      </w:r>
      <w:proofErr w:type="spellEnd"/>
      <w:r w:rsidRPr="000667A9">
        <w:rPr>
          <w:b/>
        </w:rPr>
        <w:t xml:space="preserve"> стереотипами в семье и обществе. Кроме того, он рек</w:t>
      </w:r>
      <w:r w:rsidRPr="000667A9">
        <w:rPr>
          <w:b/>
        </w:rPr>
        <w:t>о</w:t>
      </w:r>
      <w:r w:rsidRPr="000667A9">
        <w:rPr>
          <w:b/>
        </w:rPr>
        <w:t>мендует государству-участнику поощрять равное представительство му</w:t>
      </w:r>
      <w:r w:rsidRPr="000667A9">
        <w:rPr>
          <w:b/>
        </w:rPr>
        <w:t>ж</w:t>
      </w:r>
      <w:r w:rsidRPr="000667A9">
        <w:rPr>
          <w:b/>
        </w:rPr>
        <w:t>чин и женщин на руководящих должностях в государственном и частном секторах, в том числе за счет принятия временных специальных мер. П</w:t>
      </w:r>
      <w:r w:rsidRPr="000667A9">
        <w:rPr>
          <w:b/>
        </w:rPr>
        <w:t>о</w:t>
      </w:r>
      <w:r w:rsidRPr="000667A9">
        <w:rPr>
          <w:b/>
        </w:rPr>
        <w:t>мимо этого, Комитет рекомендует повышать уровень осведомленности мужчин и женщин о равенстве возможностей в плане профессионального роста.</w:t>
      </w:r>
    </w:p>
    <w:p w:rsidR="000667A9" w:rsidRPr="000667A9" w:rsidRDefault="00C73186" w:rsidP="00C73186">
      <w:pPr>
        <w:pStyle w:val="H23GR"/>
      </w:pPr>
      <w:r>
        <w:tab/>
      </w:r>
      <w:r>
        <w:tab/>
      </w:r>
      <w:r w:rsidR="000667A9" w:rsidRPr="000667A9">
        <w:t>Безработица и неформальный рынок труда</w:t>
      </w:r>
    </w:p>
    <w:p w:rsidR="000667A9" w:rsidRPr="000667A9" w:rsidRDefault="000667A9" w:rsidP="000667A9">
      <w:pPr>
        <w:pStyle w:val="SingleTxtGR"/>
        <w:rPr>
          <w:bCs/>
        </w:rPr>
      </w:pPr>
      <w:r w:rsidRPr="000667A9">
        <w:rPr>
          <w:bCs/>
        </w:rPr>
        <w:t>11.</w:t>
      </w:r>
      <w:r w:rsidRPr="000667A9">
        <w:rPr>
          <w:bCs/>
        </w:rPr>
        <w:tab/>
        <w:t>Комитет с обеспокоенностью отмечает высокий уровень безработицы на формальном рынке труда, а также значительное число трудящихся, занятых в неформальном секторе экономики и не охваченных базовым трудовым закон</w:t>
      </w:r>
      <w:r w:rsidRPr="000667A9">
        <w:rPr>
          <w:bCs/>
        </w:rPr>
        <w:t>о</w:t>
      </w:r>
      <w:r w:rsidRPr="000667A9">
        <w:rPr>
          <w:bCs/>
        </w:rPr>
        <w:t>дательством и системой социальной защиты (статьи 2 и 6).</w:t>
      </w:r>
    </w:p>
    <w:p w:rsidR="000667A9" w:rsidRPr="000667A9" w:rsidRDefault="000667A9" w:rsidP="000667A9">
      <w:pPr>
        <w:pStyle w:val="SingleTxtGR"/>
      </w:pPr>
      <w:r w:rsidRPr="000667A9">
        <w:rPr>
          <w:b/>
        </w:rPr>
        <w:t>Комитет призывает государство-участник активизировать свои усилия для расширения возможностей на формальном рынке труда, а также принять меры, необходимые для обеспечения того, чтобы работники неформального сектора экономики пользовались правами, закрепленными в базовых тр</w:t>
      </w:r>
      <w:r w:rsidRPr="000667A9">
        <w:rPr>
          <w:b/>
        </w:rPr>
        <w:t>у</w:t>
      </w:r>
      <w:r w:rsidRPr="000667A9">
        <w:rPr>
          <w:b/>
        </w:rPr>
        <w:t>довых нормах, и социальной защитой.</w:t>
      </w:r>
    </w:p>
    <w:p w:rsidR="000667A9" w:rsidRPr="000667A9" w:rsidRDefault="00C73186" w:rsidP="00C73186">
      <w:pPr>
        <w:pStyle w:val="H23GR"/>
      </w:pPr>
      <w:r>
        <w:tab/>
      </w:r>
      <w:r>
        <w:tab/>
      </w:r>
      <w:r w:rsidR="000667A9" w:rsidRPr="000667A9">
        <w:t>Справедливая зарплата и равное вознаграждение за труд ра</w:t>
      </w:r>
      <w:r w:rsidR="000667A9" w:rsidRPr="000667A9">
        <w:t>в</w:t>
      </w:r>
      <w:r w:rsidR="000667A9" w:rsidRPr="000667A9">
        <w:t>ной ценности</w:t>
      </w:r>
    </w:p>
    <w:p w:rsidR="000667A9" w:rsidRPr="000667A9" w:rsidRDefault="000667A9" w:rsidP="000667A9">
      <w:pPr>
        <w:pStyle w:val="SingleTxtGR"/>
      </w:pPr>
      <w:r w:rsidRPr="000667A9">
        <w:t>12.</w:t>
      </w:r>
      <w:r w:rsidRPr="000667A9">
        <w:tab/>
        <w:t>Комитет вновь отмечает, что, несмотря на усилия, предпринятые в этой области, сохраняется значительный разрыв в уровнях заработной платы мужчин и женщин в нарушение закрепленного в Пакте принципа равной платы за ра</w:t>
      </w:r>
      <w:r w:rsidRPr="000667A9">
        <w:t>в</w:t>
      </w:r>
      <w:r w:rsidRPr="000667A9">
        <w:t>ный труд (E/C.12/SLV/CO/2, пункт 28) (статьи 3 и 7).</w:t>
      </w:r>
    </w:p>
    <w:p w:rsidR="000667A9" w:rsidRPr="000667A9" w:rsidRDefault="000667A9" w:rsidP="000667A9">
      <w:pPr>
        <w:pStyle w:val="SingleTxtGR"/>
      </w:pPr>
      <w:r w:rsidRPr="000667A9">
        <w:rPr>
          <w:b/>
        </w:rPr>
        <w:t>Комитет рекомендует государству-участнику гарантировать равное возн</w:t>
      </w:r>
      <w:r w:rsidRPr="000667A9">
        <w:rPr>
          <w:b/>
        </w:rPr>
        <w:t>а</w:t>
      </w:r>
      <w:r w:rsidRPr="000667A9">
        <w:rPr>
          <w:b/>
        </w:rPr>
        <w:t>граждение мужчин и женщин за труд равной ценности, как это предусмо</w:t>
      </w:r>
      <w:r w:rsidRPr="000667A9">
        <w:rPr>
          <w:b/>
        </w:rPr>
        <w:t>т</w:t>
      </w:r>
      <w:r w:rsidRPr="000667A9">
        <w:rPr>
          <w:b/>
        </w:rPr>
        <w:t>рено в статье 7 а) </w:t>
      </w:r>
      <w:proofErr w:type="spellStart"/>
      <w:r w:rsidRPr="000667A9">
        <w:rPr>
          <w:b/>
        </w:rPr>
        <w:t>i</w:t>
      </w:r>
      <w:proofErr w:type="spellEnd"/>
      <w:r w:rsidRPr="000667A9">
        <w:rPr>
          <w:b/>
        </w:rPr>
        <w:t>) Пакта. Кроме того, он рекомендует государству-участнику продолжать повышать уровень осведомленности мужчин и женщин о</w:t>
      </w:r>
      <w:r w:rsidR="00C73186">
        <w:rPr>
          <w:b/>
        </w:rPr>
        <w:t xml:space="preserve"> </w:t>
      </w:r>
      <w:r w:rsidRPr="000667A9">
        <w:rPr>
          <w:b/>
        </w:rPr>
        <w:t>равенстве возможностей в профессиональной сфере в целях их поощрения к продолжению получения образования и прохождению подг</w:t>
      </w:r>
      <w:r w:rsidRPr="000667A9">
        <w:rPr>
          <w:b/>
        </w:rPr>
        <w:t>о</w:t>
      </w:r>
      <w:r w:rsidRPr="000667A9">
        <w:rPr>
          <w:b/>
        </w:rPr>
        <w:t>товки не только в тех областях, которые традиционно считаются мужск</w:t>
      </w:r>
      <w:r w:rsidRPr="000667A9">
        <w:rPr>
          <w:b/>
        </w:rPr>
        <w:t>и</w:t>
      </w:r>
      <w:r w:rsidRPr="000667A9">
        <w:rPr>
          <w:b/>
        </w:rPr>
        <w:t>ми или женскими, и принимать конкретные меры для содействия улучш</w:t>
      </w:r>
      <w:r w:rsidRPr="000667A9">
        <w:rPr>
          <w:b/>
        </w:rPr>
        <w:t>е</w:t>
      </w:r>
      <w:r w:rsidRPr="000667A9">
        <w:rPr>
          <w:b/>
        </w:rPr>
        <w:t>нию положения женщин на рынке труда</w:t>
      </w:r>
      <w:r w:rsidRPr="000667A9">
        <w:t>.</w:t>
      </w:r>
    </w:p>
    <w:p w:rsidR="000667A9" w:rsidRPr="000667A9" w:rsidRDefault="00C73186" w:rsidP="00C73186">
      <w:pPr>
        <w:pStyle w:val="H23GR"/>
      </w:pPr>
      <w:r>
        <w:tab/>
      </w:r>
      <w:r>
        <w:tab/>
      </w:r>
      <w:r w:rsidR="000667A9" w:rsidRPr="000667A9">
        <w:t>Справедливое и равное вознаграждение</w:t>
      </w:r>
    </w:p>
    <w:p w:rsidR="000667A9" w:rsidRPr="000667A9" w:rsidRDefault="000667A9" w:rsidP="000667A9">
      <w:pPr>
        <w:pStyle w:val="SingleTxtGR"/>
      </w:pPr>
      <w:r w:rsidRPr="000667A9">
        <w:t>13.</w:t>
      </w:r>
      <w:r w:rsidRPr="000667A9">
        <w:tab/>
        <w:t>Комитет вновь выражает обеспокоенность в связи с размерами мин</w:t>
      </w:r>
      <w:r w:rsidRPr="000667A9">
        <w:t>и</w:t>
      </w:r>
      <w:r w:rsidRPr="000667A9">
        <w:t>мальной заработной платы, которые установлены в государстве-участнике и к</w:t>
      </w:r>
      <w:r w:rsidRPr="000667A9">
        <w:t>о</w:t>
      </w:r>
      <w:r w:rsidRPr="000667A9">
        <w:t>торые являются недостаточными для обеспечения достойного уровня жизни (E/C.12/SLV/CO/2, пункты 12 и 30). Комитет выражает сожаление по поводу существующих различий между уровнями минимальной заработной платы в разных отраслях экономики, в частности в сельскохозяйственном секторе и те</w:t>
      </w:r>
      <w:r w:rsidRPr="000667A9">
        <w:t>к</w:t>
      </w:r>
      <w:r w:rsidRPr="000667A9">
        <w:t>стильной промышленности, а также по поводу того, что периодический пер</w:t>
      </w:r>
      <w:r w:rsidRPr="000667A9">
        <w:t>е</w:t>
      </w:r>
      <w:r w:rsidRPr="000667A9">
        <w:t>смотр ставок минимальной заработной платы зачастую носит формальный х</w:t>
      </w:r>
      <w:r w:rsidRPr="000667A9">
        <w:t>а</w:t>
      </w:r>
      <w:r w:rsidRPr="000667A9">
        <w:t>рактер и не приводит к обеспечению трудящимся и членам их семей достойного уровня жизни (статьи 6 и 7).</w:t>
      </w:r>
    </w:p>
    <w:p w:rsidR="000667A9" w:rsidRPr="000667A9" w:rsidRDefault="000667A9" w:rsidP="000667A9">
      <w:pPr>
        <w:pStyle w:val="SingleTxtGR"/>
      </w:pPr>
      <w:r w:rsidRPr="000667A9">
        <w:rPr>
          <w:b/>
        </w:rPr>
        <w:t>Комитет настоятельно призывает государство-участник гарантировать, чтобы минимальная заработная плата обеспечивала достойный уровень жизни. Кроме того, Комитет рекомендует государству-участнику принять меры для того, чтобы при ее периодическом пересмотре соблюдались п</w:t>
      </w:r>
      <w:r w:rsidRPr="000667A9">
        <w:rPr>
          <w:b/>
        </w:rPr>
        <w:t>о</w:t>
      </w:r>
      <w:r w:rsidRPr="000667A9">
        <w:rPr>
          <w:b/>
        </w:rPr>
        <w:t xml:space="preserve">ложения статьи 7 а) </w:t>
      </w:r>
      <w:proofErr w:type="spellStart"/>
      <w:r w:rsidRPr="000667A9">
        <w:rPr>
          <w:b/>
        </w:rPr>
        <w:t>ii</w:t>
      </w:r>
      <w:proofErr w:type="spellEnd"/>
      <w:r w:rsidRPr="000667A9">
        <w:rPr>
          <w:b/>
        </w:rPr>
        <w:t>) Пакта и пункта 2 статьи 38 Конституции.</w:t>
      </w:r>
    </w:p>
    <w:p w:rsidR="000667A9" w:rsidRPr="000667A9" w:rsidRDefault="00C73186" w:rsidP="00C73186">
      <w:pPr>
        <w:pStyle w:val="H23GR"/>
      </w:pPr>
      <w:r>
        <w:tab/>
      </w:r>
      <w:r>
        <w:tab/>
      </w:r>
      <w:r w:rsidR="000667A9" w:rsidRPr="000667A9">
        <w:t>Право на забастовки</w:t>
      </w:r>
    </w:p>
    <w:p w:rsidR="000667A9" w:rsidRPr="000667A9" w:rsidRDefault="000667A9" w:rsidP="000667A9">
      <w:pPr>
        <w:pStyle w:val="SingleTxtGR"/>
      </w:pPr>
      <w:r w:rsidRPr="000667A9">
        <w:t>14.</w:t>
      </w:r>
      <w:r w:rsidRPr="000667A9">
        <w:tab/>
        <w:t>Комитет вновь выражает обеспокоенность в связи с ограничениями, св</w:t>
      </w:r>
      <w:r w:rsidRPr="000667A9">
        <w:t>я</w:t>
      </w:r>
      <w:r w:rsidRPr="000667A9">
        <w:t>занными с осуществлением права на забастовки, и тем обстоятельством, что с</w:t>
      </w:r>
      <w:r w:rsidRPr="000667A9">
        <w:t>у</w:t>
      </w:r>
      <w:r w:rsidRPr="000667A9">
        <w:t>ды государства-участника объявляют значительное число забастовок незако</w:t>
      </w:r>
      <w:r w:rsidRPr="000667A9">
        <w:t>н</w:t>
      </w:r>
      <w:r w:rsidRPr="000667A9">
        <w:t>ными. Кроме того, Комитет с сожалением отмечает, что ему не были предоста</w:t>
      </w:r>
      <w:r w:rsidRPr="000667A9">
        <w:t>в</w:t>
      </w:r>
      <w:r w:rsidRPr="000667A9">
        <w:t>лены точные и обновленные данные о числе забастовок, которые были объявл</w:t>
      </w:r>
      <w:r w:rsidRPr="000667A9">
        <w:t>е</w:t>
      </w:r>
      <w:r w:rsidRPr="000667A9">
        <w:t>ны незаконными в период с 2010 по 2014 годы, и о причинах, лежащих в основе решений об их незаконности (статья 8).</w:t>
      </w:r>
    </w:p>
    <w:p w:rsidR="000667A9" w:rsidRPr="000667A9" w:rsidRDefault="000667A9" w:rsidP="000667A9">
      <w:pPr>
        <w:pStyle w:val="SingleTxtGR"/>
      </w:pPr>
      <w:r w:rsidRPr="000667A9">
        <w:rPr>
          <w:b/>
        </w:rPr>
        <w:t>Комитет рекомендует государству-участнику принимать необходимые м</w:t>
      </w:r>
      <w:r w:rsidRPr="000667A9">
        <w:rPr>
          <w:b/>
        </w:rPr>
        <w:t>е</w:t>
      </w:r>
      <w:r w:rsidRPr="000667A9">
        <w:rPr>
          <w:b/>
        </w:rPr>
        <w:t>ры для обеспечения того, чтобы все трудящиеся могли осуществлять свое право на забастовки, как это предусмотрено в статье 8 Пакта. Он просит также государство-участник в своем следующем периодическом докладе привести подробные и дезагрегированные статистические данные о числе забастовок, которые суды государства-участника объявили незаконными, и о соответствующих причинах.</w:t>
      </w:r>
    </w:p>
    <w:p w:rsidR="000667A9" w:rsidRPr="000667A9" w:rsidRDefault="00C73186" w:rsidP="00C73186">
      <w:pPr>
        <w:pStyle w:val="H23GR"/>
      </w:pPr>
      <w:r>
        <w:tab/>
      </w:r>
      <w:r>
        <w:tab/>
      </w:r>
      <w:r w:rsidR="000667A9" w:rsidRPr="000667A9">
        <w:t>Социальное обеспечение</w:t>
      </w:r>
    </w:p>
    <w:p w:rsidR="000667A9" w:rsidRPr="000667A9" w:rsidRDefault="000667A9" w:rsidP="000667A9">
      <w:pPr>
        <w:pStyle w:val="SingleTxtGR"/>
      </w:pPr>
      <w:r w:rsidRPr="000667A9">
        <w:t>15.</w:t>
      </w:r>
      <w:r w:rsidRPr="000667A9">
        <w:tab/>
        <w:t>Несмотря на предыдущую рекомендацию Комитета (E/C.12/SLV/CO/2, пункт 33) и положения правительственного Пятилетнего плана развития на 2010−2014 годы, Комитет с обеспокоенностью отмечает, что государство-участник до сих пор не внедрило универсальную систему социального обесп</w:t>
      </w:r>
      <w:r w:rsidRPr="000667A9">
        <w:t>е</w:t>
      </w:r>
      <w:r w:rsidRPr="000667A9">
        <w:t>чения. В частности, Комитет выражает сожаление по поводу того, что сельск</w:t>
      </w:r>
      <w:r w:rsidRPr="000667A9">
        <w:t>о</w:t>
      </w:r>
      <w:r w:rsidRPr="000667A9">
        <w:t>хозяйственным работникам и лицам, занятым в качестве домашней прислуги, не гарантируется охват социальным обеспечением (статья 9).</w:t>
      </w:r>
    </w:p>
    <w:p w:rsidR="000667A9" w:rsidRPr="000667A9" w:rsidRDefault="000667A9" w:rsidP="000667A9">
      <w:pPr>
        <w:pStyle w:val="SingleTxtGR"/>
      </w:pPr>
      <w:r w:rsidRPr="000667A9">
        <w:rPr>
          <w:b/>
        </w:rPr>
        <w:t>Комитет рекомендует государству-участнику провести оценку своей сист</w:t>
      </w:r>
      <w:r w:rsidRPr="000667A9">
        <w:rPr>
          <w:b/>
        </w:rPr>
        <w:t>е</w:t>
      </w:r>
      <w:r w:rsidRPr="000667A9">
        <w:rPr>
          <w:b/>
        </w:rPr>
        <w:t>мы социального обеспечения в целях создания необходимых механизмов, обеспечивающих широкий охват населения системой социального обесп</w:t>
      </w:r>
      <w:r w:rsidRPr="000667A9">
        <w:rPr>
          <w:b/>
        </w:rPr>
        <w:t>е</w:t>
      </w:r>
      <w:r w:rsidRPr="000667A9">
        <w:rPr>
          <w:b/>
        </w:rPr>
        <w:t>чения, с тем чтобы позволить предоставлять надлежащие пособия и услуги всем трудящимся, включая сельскохозяйственных работников и лиц, зан</w:t>
      </w:r>
      <w:r w:rsidRPr="000667A9">
        <w:rPr>
          <w:b/>
        </w:rPr>
        <w:t>я</w:t>
      </w:r>
      <w:r w:rsidRPr="000667A9">
        <w:rPr>
          <w:b/>
        </w:rPr>
        <w:t>тых в качестве домашней прислуги, с учетом принятого Комитетом зам</w:t>
      </w:r>
      <w:r w:rsidRPr="000667A9">
        <w:rPr>
          <w:b/>
        </w:rPr>
        <w:t>е</w:t>
      </w:r>
      <w:r w:rsidRPr="000667A9">
        <w:rPr>
          <w:b/>
        </w:rPr>
        <w:t>чания общего порядка № 19 (2008 год) о праве на социальное обеспечение (статья 9 Пакта) и Рекомендации № </w:t>
      </w:r>
      <w:r w:rsidRPr="000667A9">
        <w:rPr>
          <w:b/>
          <w:bCs/>
        </w:rPr>
        <w:t xml:space="preserve">202 (2012 год) </w:t>
      </w:r>
      <w:r w:rsidRPr="000667A9">
        <w:rPr>
          <w:b/>
        </w:rPr>
        <w:t>Международной орган</w:t>
      </w:r>
      <w:r w:rsidRPr="000667A9">
        <w:rPr>
          <w:b/>
        </w:rPr>
        <w:t>и</w:t>
      </w:r>
      <w:r w:rsidRPr="000667A9">
        <w:rPr>
          <w:b/>
        </w:rPr>
        <w:t>зации труда (МОТ) о минимальных уровнях социальной защиты</w:t>
      </w:r>
      <w:r w:rsidRPr="000667A9">
        <w:rPr>
          <w:bCs/>
        </w:rPr>
        <w:t>.</w:t>
      </w:r>
    </w:p>
    <w:p w:rsidR="000667A9" w:rsidRPr="000667A9" w:rsidRDefault="00C73186" w:rsidP="00C73186">
      <w:pPr>
        <w:pStyle w:val="H23GR"/>
      </w:pPr>
      <w:r>
        <w:tab/>
      </w:r>
      <w:r>
        <w:tab/>
      </w:r>
      <w:r w:rsidR="000667A9" w:rsidRPr="000667A9">
        <w:t>Детский труд и беспризорные дети</w:t>
      </w:r>
    </w:p>
    <w:p w:rsidR="000667A9" w:rsidRPr="000667A9" w:rsidRDefault="000667A9" w:rsidP="000667A9">
      <w:pPr>
        <w:pStyle w:val="SingleTxtGR"/>
      </w:pPr>
      <w:r w:rsidRPr="000667A9">
        <w:t>16.</w:t>
      </w:r>
      <w:r w:rsidRPr="000667A9">
        <w:tab/>
        <w:t>Комитет вновь выражает обеспокоенность в связи с тем, что в государс</w:t>
      </w:r>
      <w:r w:rsidRPr="000667A9">
        <w:t>т</w:t>
      </w:r>
      <w:r w:rsidRPr="000667A9">
        <w:t>ве-участнике сохраняется практика использования детского труда, в частности в сфере домашних услуг (E/C.12/SLV/CO/2, пункт 23 и 42). Кроме того, Комитет выражает обеспокоенность в связи с полученными сообщениями о том, что значительное число детей выполняют опасную работу. Комитет с обеспокое</w:t>
      </w:r>
      <w:r w:rsidRPr="000667A9">
        <w:t>н</w:t>
      </w:r>
      <w:r w:rsidRPr="000667A9">
        <w:t>ностью отмечает, что бедность семей, проживающих в сельских районах, и о</w:t>
      </w:r>
      <w:r w:rsidRPr="000667A9">
        <w:t>г</w:t>
      </w:r>
      <w:r w:rsidRPr="000667A9">
        <w:t>раниченность доступа к среднему образованию повышают риск использования детского труда. Помимо этого, Комитет выражает обеспокоенность в связи с о</w:t>
      </w:r>
      <w:r w:rsidRPr="000667A9">
        <w:t>т</w:t>
      </w:r>
      <w:r w:rsidRPr="000667A9">
        <w:t>сутствием информации о беспризорных детях (статья 10).</w:t>
      </w:r>
    </w:p>
    <w:p w:rsidR="000667A9" w:rsidRPr="000667A9" w:rsidRDefault="000667A9" w:rsidP="000667A9">
      <w:pPr>
        <w:pStyle w:val="SingleTxtGR"/>
        <w:rPr>
          <w:b/>
        </w:rPr>
      </w:pPr>
      <w:r w:rsidRPr="000667A9">
        <w:rPr>
          <w:b/>
        </w:rPr>
        <w:t>Комитет призывает государство-участник удвоить свои усилия посредс</w:t>
      </w:r>
      <w:r w:rsidRPr="000667A9">
        <w:rPr>
          <w:b/>
        </w:rPr>
        <w:t>т</w:t>
      </w:r>
      <w:r w:rsidRPr="000667A9">
        <w:rPr>
          <w:b/>
        </w:rPr>
        <w:t>вом реализации плана неотложных действий для борьбы с практикой де</w:t>
      </w:r>
      <w:r w:rsidRPr="000667A9">
        <w:rPr>
          <w:b/>
        </w:rPr>
        <w:t>т</w:t>
      </w:r>
      <w:r w:rsidRPr="000667A9">
        <w:rPr>
          <w:b/>
        </w:rPr>
        <w:t>ского труда и беспризорностью. Комитет настоятельно призывает госуда</w:t>
      </w:r>
      <w:r w:rsidRPr="000667A9">
        <w:rPr>
          <w:b/>
        </w:rPr>
        <w:t>р</w:t>
      </w:r>
      <w:r w:rsidRPr="000667A9">
        <w:rPr>
          <w:b/>
        </w:rPr>
        <w:t>ство проводить систематические трудовые инспекции и осуществлять г</w:t>
      </w:r>
      <w:r w:rsidRPr="000667A9">
        <w:rPr>
          <w:b/>
        </w:rPr>
        <w:t>о</w:t>
      </w:r>
      <w:r w:rsidRPr="000667A9">
        <w:rPr>
          <w:b/>
        </w:rPr>
        <w:t>сударственные стратегии в целях уменьшения уязвимости детей в сельских и городских районах и обеспечения для них беспрепятственного доступа к среднему образованию. Комитет просит государство-участник в своем сл</w:t>
      </w:r>
      <w:r w:rsidRPr="000667A9">
        <w:rPr>
          <w:b/>
        </w:rPr>
        <w:t>е</w:t>
      </w:r>
      <w:r w:rsidRPr="000667A9">
        <w:rPr>
          <w:b/>
        </w:rPr>
        <w:t>дующем периодическом докладе представить ему информацию о судебном преследовании преступлений, связанных с детским трудом.</w:t>
      </w:r>
    </w:p>
    <w:p w:rsidR="000667A9" w:rsidRPr="000667A9" w:rsidRDefault="00C73186" w:rsidP="00C73186">
      <w:pPr>
        <w:pStyle w:val="H23GR"/>
      </w:pPr>
      <w:r>
        <w:tab/>
      </w:r>
      <w:r>
        <w:tab/>
      </w:r>
      <w:proofErr w:type="spellStart"/>
      <w:r w:rsidR="000667A9" w:rsidRPr="000667A9">
        <w:t>Гендерное</w:t>
      </w:r>
      <w:proofErr w:type="spellEnd"/>
      <w:r w:rsidR="000667A9" w:rsidRPr="000667A9">
        <w:t xml:space="preserve"> насилие</w:t>
      </w:r>
    </w:p>
    <w:p w:rsidR="000667A9" w:rsidRPr="000667A9" w:rsidRDefault="000667A9" w:rsidP="000667A9">
      <w:pPr>
        <w:pStyle w:val="SingleTxtGR"/>
        <w:rPr>
          <w:bCs/>
        </w:rPr>
      </w:pPr>
      <w:r w:rsidRPr="000667A9">
        <w:rPr>
          <w:bCs/>
        </w:rPr>
        <w:t>17.</w:t>
      </w:r>
      <w:r w:rsidRPr="000667A9">
        <w:rPr>
          <w:bCs/>
        </w:rPr>
        <w:tab/>
        <w:t xml:space="preserve">Комитет с обеспокоенностью отмечает проблему </w:t>
      </w:r>
      <w:proofErr w:type="spellStart"/>
      <w:r w:rsidRPr="000667A9">
        <w:rPr>
          <w:bCs/>
        </w:rPr>
        <w:t>гендерного</w:t>
      </w:r>
      <w:proofErr w:type="spellEnd"/>
      <w:r w:rsidRPr="000667A9">
        <w:rPr>
          <w:bCs/>
        </w:rPr>
        <w:t xml:space="preserve"> насилия, и особенно насилия в семье, хотя и принимает к сведению осуществляемую в г</w:t>
      </w:r>
      <w:r w:rsidRPr="000667A9">
        <w:rPr>
          <w:bCs/>
        </w:rPr>
        <w:t>о</w:t>
      </w:r>
      <w:r w:rsidRPr="000667A9">
        <w:rPr>
          <w:bCs/>
        </w:rPr>
        <w:t>сударстве-участнике стратегию предупреждения насилия в отношении женщин</w:t>
      </w:r>
      <w:r w:rsidRPr="000667A9">
        <w:t xml:space="preserve"> (статья 10).</w:t>
      </w:r>
    </w:p>
    <w:p w:rsidR="000667A9" w:rsidRPr="000667A9" w:rsidRDefault="000667A9" w:rsidP="00C73186">
      <w:pPr>
        <w:pStyle w:val="SingleTxtGR"/>
        <w:keepLines/>
        <w:rPr>
          <w:b/>
        </w:rPr>
      </w:pPr>
      <w:r w:rsidRPr="000667A9">
        <w:rPr>
          <w:b/>
        </w:rPr>
        <w:t>Комитет настоятельно призывает государство-участник сократить ма</w:t>
      </w:r>
      <w:r w:rsidRPr="000667A9">
        <w:rPr>
          <w:b/>
        </w:rPr>
        <w:t>с</w:t>
      </w:r>
      <w:r w:rsidRPr="000667A9">
        <w:rPr>
          <w:b/>
        </w:rPr>
        <w:t xml:space="preserve">штабы </w:t>
      </w:r>
      <w:proofErr w:type="spellStart"/>
      <w:r w:rsidRPr="000667A9">
        <w:rPr>
          <w:b/>
        </w:rPr>
        <w:t>гендерного</w:t>
      </w:r>
      <w:proofErr w:type="spellEnd"/>
      <w:r w:rsidRPr="000667A9">
        <w:rPr>
          <w:b/>
        </w:rPr>
        <w:t xml:space="preserve"> насилия, активизировав меры по борьбе с ним, в час</w:t>
      </w:r>
      <w:r w:rsidRPr="000667A9">
        <w:rPr>
          <w:b/>
        </w:rPr>
        <w:t>т</w:t>
      </w:r>
      <w:r w:rsidRPr="000667A9">
        <w:rPr>
          <w:b/>
        </w:rPr>
        <w:t>ности посредством эффективного применения существующих законов, б</w:t>
      </w:r>
      <w:r w:rsidRPr="000667A9">
        <w:rPr>
          <w:b/>
        </w:rPr>
        <w:t>о</w:t>
      </w:r>
      <w:r w:rsidRPr="000667A9">
        <w:rPr>
          <w:b/>
        </w:rPr>
        <w:t>лее строгого преследования виновных в правонарушениях и проведения кампаний по повышению уровня осведомленности и информированности общественности.</w:t>
      </w:r>
    </w:p>
    <w:p w:rsidR="000667A9" w:rsidRPr="000667A9" w:rsidRDefault="00C73186" w:rsidP="00C73186">
      <w:pPr>
        <w:pStyle w:val="H23GR"/>
      </w:pPr>
      <w:r>
        <w:tab/>
      </w:r>
      <w:r>
        <w:tab/>
      </w:r>
      <w:r w:rsidR="000667A9" w:rsidRPr="000667A9">
        <w:t>Право на жилище</w:t>
      </w:r>
    </w:p>
    <w:p w:rsidR="000667A9" w:rsidRPr="000667A9" w:rsidRDefault="000667A9" w:rsidP="000667A9">
      <w:pPr>
        <w:pStyle w:val="SingleTxtGR"/>
      </w:pPr>
      <w:r w:rsidRPr="000667A9">
        <w:t>18.</w:t>
      </w:r>
      <w:r w:rsidRPr="000667A9">
        <w:tab/>
        <w:t>Несмотря на меры, принятые государством-участником, Комитет с обе</w:t>
      </w:r>
      <w:r w:rsidRPr="000667A9">
        <w:t>с</w:t>
      </w:r>
      <w:r w:rsidRPr="000667A9">
        <w:t>покоенностью отмечает нехватку бюджетных ассигнований, выделяемых на ц</w:t>
      </w:r>
      <w:r w:rsidRPr="000667A9">
        <w:t>е</w:t>
      </w:r>
      <w:r w:rsidRPr="000667A9">
        <w:t>ли жилищного строительства, и значительный дефицит социального жилья, особенно в сельских районах. Помимо этого, Комитет обеспокоен возможными негативными последствиями Особого закона о предоставлении гарантий собс</w:t>
      </w:r>
      <w:r w:rsidRPr="000667A9">
        <w:t>т</w:t>
      </w:r>
      <w:r w:rsidRPr="000667A9">
        <w:t>венности или официального владения недвижимым имуществом (2009 год), п</w:t>
      </w:r>
      <w:r w:rsidRPr="000667A9">
        <w:t>о</w:t>
      </w:r>
      <w:r w:rsidRPr="000667A9">
        <w:t>скольку в нем предусматривается упрощенная процедура выселения любого лица, не имеющего документов на владение имуществом. Комитет встревожен также нехваткой услуг водоснабжения и санитарии, особенно в сельских ра</w:t>
      </w:r>
      <w:r w:rsidRPr="000667A9">
        <w:t>й</w:t>
      </w:r>
      <w:r w:rsidRPr="000667A9">
        <w:t>онах (статья 11).</w:t>
      </w:r>
    </w:p>
    <w:p w:rsidR="000667A9" w:rsidRPr="000667A9" w:rsidRDefault="000667A9" w:rsidP="000667A9">
      <w:pPr>
        <w:pStyle w:val="SingleTxtGR"/>
        <w:rPr>
          <w:b/>
        </w:rPr>
      </w:pPr>
      <w:r w:rsidRPr="000667A9">
        <w:rPr>
          <w:b/>
          <w:bCs/>
        </w:rPr>
        <w:t>Комитет рекомендует государству-участнику выделять достаточные ресу</w:t>
      </w:r>
      <w:r w:rsidRPr="000667A9">
        <w:rPr>
          <w:b/>
          <w:bCs/>
        </w:rPr>
        <w:t>р</w:t>
      </w:r>
      <w:r w:rsidRPr="000667A9">
        <w:rPr>
          <w:b/>
          <w:bCs/>
        </w:rPr>
        <w:t>сы на реализацию программ, направленных на обеспечение гарантий пр</w:t>
      </w:r>
      <w:r w:rsidRPr="000667A9">
        <w:rPr>
          <w:b/>
          <w:bCs/>
        </w:rPr>
        <w:t>а</w:t>
      </w:r>
      <w:r w:rsidRPr="000667A9">
        <w:rPr>
          <w:b/>
          <w:bCs/>
        </w:rPr>
        <w:t>ва на жилище, включая доступ к кредитам и субсидиям для семей с низким уровнем доходов и представителей наиболее обездоленных групп, прин</w:t>
      </w:r>
      <w:r w:rsidRPr="000667A9">
        <w:rPr>
          <w:b/>
          <w:bCs/>
        </w:rPr>
        <w:t>и</w:t>
      </w:r>
      <w:r w:rsidRPr="000667A9">
        <w:rPr>
          <w:b/>
          <w:bCs/>
        </w:rPr>
        <w:t>мая во внимание Замечание общего порядка №</w:t>
      </w:r>
      <w:r w:rsidR="00C73186">
        <w:rPr>
          <w:b/>
          <w:bCs/>
        </w:rPr>
        <w:t> </w:t>
      </w:r>
      <w:r w:rsidRPr="000667A9">
        <w:rPr>
          <w:b/>
          <w:bCs/>
        </w:rPr>
        <w:t>4 (1991 год) о праве на до</w:t>
      </w:r>
      <w:r w:rsidRPr="000667A9">
        <w:rPr>
          <w:b/>
          <w:bCs/>
        </w:rPr>
        <w:t>с</w:t>
      </w:r>
      <w:r w:rsidRPr="000667A9">
        <w:rPr>
          <w:b/>
          <w:bCs/>
        </w:rPr>
        <w:t>таточное жилище (пункт 1 статьи 11 Пакта). Кроме того, Комитет рекоме</w:t>
      </w:r>
      <w:r w:rsidRPr="000667A9">
        <w:rPr>
          <w:b/>
          <w:bCs/>
        </w:rPr>
        <w:t>н</w:t>
      </w:r>
      <w:r w:rsidRPr="000667A9">
        <w:rPr>
          <w:b/>
          <w:bCs/>
        </w:rPr>
        <w:t>дует государству-участнику принять законодательство по вопросу о прин</w:t>
      </w:r>
      <w:r w:rsidRPr="000667A9">
        <w:rPr>
          <w:b/>
          <w:bCs/>
        </w:rPr>
        <w:t>у</w:t>
      </w:r>
      <w:r w:rsidRPr="000667A9">
        <w:rPr>
          <w:b/>
          <w:bCs/>
        </w:rPr>
        <w:t>дительных выселениях, которое бы соответствовало международным но</w:t>
      </w:r>
      <w:r w:rsidRPr="000667A9">
        <w:rPr>
          <w:b/>
          <w:bCs/>
        </w:rPr>
        <w:t>р</w:t>
      </w:r>
      <w:r w:rsidRPr="000667A9">
        <w:rPr>
          <w:b/>
          <w:bCs/>
        </w:rPr>
        <w:t>мам и руководящим принципам, включая Замечание общего порядка №</w:t>
      </w:r>
      <w:r w:rsidR="00C73186">
        <w:rPr>
          <w:b/>
          <w:bCs/>
        </w:rPr>
        <w:t> </w:t>
      </w:r>
      <w:r w:rsidRPr="000667A9">
        <w:rPr>
          <w:b/>
          <w:bCs/>
        </w:rPr>
        <w:t>7 о праве на достаточное жилище: принудительные выселения (статьи</w:t>
      </w:r>
      <w:r w:rsidR="00C73186">
        <w:rPr>
          <w:b/>
          <w:bCs/>
        </w:rPr>
        <w:t> </w:t>
      </w:r>
      <w:r w:rsidRPr="000667A9">
        <w:rPr>
          <w:b/>
          <w:bCs/>
        </w:rPr>
        <w:t>11</w:t>
      </w:r>
      <w:r w:rsidR="00C73186">
        <w:rPr>
          <w:b/>
          <w:bCs/>
        </w:rPr>
        <w:t> </w:t>
      </w:r>
      <w:r w:rsidRPr="000667A9">
        <w:rPr>
          <w:b/>
          <w:bCs/>
        </w:rPr>
        <w:t>1) Пакта). Комитет настоятельно призывает государство-участник предо</w:t>
      </w:r>
      <w:r w:rsidRPr="000667A9">
        <w:rPr>
          <w:b/>
          <w:bCs/>
        </w:rPr>
        <w:t>с</w:t>
      </w:r>
      <w:r w:rsidRPr="000667A9">
        <w:rPr>
          <w:b/>
          <w:bCs/>
        </w:rPr>
        <w:t>тавлять услуги водоснабжения и санитарии во всех жилищах.</w:t>
      </w:r>
      <w:r w:rsidRPr="000667A9">
        <w:rPr>
          <w:b/>
        </w:rPr>
        <w:t xml:space="preserve"> Комитет просит государство-участник в своем следующем периодическом докладе представить информацию о количестве бездомных в государстве-участнике.</w:t>
      </w:r>
    </w:p>
    <w:p w:rsidR="000667A9" w:rsidRPr="000667A9" w:rsidRDefault="00C73186" w:rsidP="00C73186">
      <w:pPr>
        <w:pStyle w:val="H23GR"/>
      </w:pPr>
      <w:r>
        <w:tab/>
      </w:r>
      <w:r>
        <w:tab/>
      </w:r>
      <w:r w:rsidR="000667A9" w:rsidRPr="000667A9">
        <w:t>Бедность</w:t>
      </w:r>
    </w:p>
    <w:p w:rsidR="000667A9" w:rsidRPr="000667A9" w:rsidRDefault="000667A9" w:rsidP="000667A9">
      <w:pPr>
        <w:pStyle w:val="SingleTxtGR"/>
      </w:pPr>
      <w:r w:rsidRPr="000667A9">
        <w:t>19.</w:t>
      </w:r>
      <w:r w:rsidRPr="000667A9">
        <w:tab/>
        <w:t>Комитет отмечает, что, хотя общенациональный показатель масштабов бедности снизился, доля населения, живущего в условиях бедности, все еще о</w:t>
      </w:r>
      <w:r w:rsidRPr="000667A9">
        <w:t>с</w:t>
      </w:r>
      <w:r w:rsidRPr="000667A9">
        <w:t>тается высокой, а разрыв в уровнях бедности между сельскими и городскими районами по-прежнему вызывает тревогу. Комитет вновь выражает свою обе</w:t>
      </w:r>
      <w:r w:rsidRPr="000667A9">
        <w:t>с</w:t>
      </w:r>
      <w:r w:rsidRPr="000667A9">
        <w:t>покоенность по поводу значительного неравенства в распределении богатства в государстве-участнике (E/C.12/SLV/CO/2, пункты 17 и 35) (статья 11).</w:t>
      </w:r>
    </w:p>
    <w:p w:rsidR="000667A9" w:rsidRPr="000667A9" w:rsidRDefault="000667A9" w:rsidP="000667A9">
      <w:pPr>
        <w:pStyle w:val="SingleTxtGR"/>
        <w:rPr>
          <w:b/>
        </w:rPr>
      </w:pPr>
      <w:r w:rsidRPr="000667A9">
        <w:rPr>
          <w:b/>
        </w:rPr>
        <w:t>Комитет рекомендует государству-участнику в рамках программ борьбы с бедностью уделять должное внимание различиям и диспропорциям между городскими и сельскими районами. Комитет рекомендует государству-участнику продолжать свои усилия по выполнению обязательств в рамках Целей развития тысячелетия. Комитет рекомендует также активизировать реализацию мер по борьбе с бедностью и крайней бедностью в общинах к</w:t>
      </w:r>
      <w:r w:rsidRPr="000667A9">
        <w:rPr>
          <w:b/>
        </w:rPr>
        <w:t>о</w:t>
      </w:r>
      <w:r w:rsidRPr="000667A9">
        <w:rPr>
          <w:b/>
        </w:rPr>
        <w:t>ренных народов и отслеживать прогресс на этом направлении, в частности посредством сбора и анализа дезагрегированных статистических данных.</w:t>
      </w:r>
    </w:p>
    <w:p w:rsidR="000667A9" w:rsidRPr="000667A9" w:rsidRDefault="00C73186" w:rsidP="00C73186">
      <w:pPr>
        <w:pStyle w:val="H23GR"/>
      </w:pPr>
      <w:r>
        <w:tab/>
      </w:r>
      <w:r>
        <w:tab/>
      </w:r>
      <w:r w:rsidR="000667A9" w:rsidRPr="000667A9">
        <w:t>Проблема недоедания и право на питание</w:t>
      </w:r>
    </w:p>
    <w:p w:rsidR="000667A9" w:rsidRPr="000667A9" w:rsidRDefault="000667A9" w:rsidP="000667A9">
      <w:pPr>
        <w:pStyle w:val="SingleTxtGR"/>
      </w:pPr>
      <w:r w:rsidRPr="000667A9">
        <w:t>20.</w:t>
      </w:r>
      <w:r w:rsidRPr="000667A9">
        <w:tab/>
        <w:t>Комитет с удовлетворением отмечает одобрение в 2012 году конституц</w:t>
      </w:r>
      <w:r w:rsidRPr="000667A9">
        <w:t>и</w:t>
      </w:r>
      <w:r w:rsidRPr="000667A9">
        <w:t>онных поправок в целях включения в Конституцию права на питание и на до</w:t>
      </w:r>
      <w:r w:rsidRPr="000667A9">
        <w:t>с</w:t>
      </w:r>
      <w:r w:rsidRPr="000667A9">
        <w:t>туп к воде, которые еще предстоит утвердить. Комитет с серьезной обеспокое</w:t>
      </w:r>
      <w:r w:rsidRPr="000667A9">
        <w:t>н</w:t>
      </w:r>
      <w:r w:rsidRPr="000667A9">
        <w:t>ностью отмечает, что проблема недоедания среди детей сохраняется и что этот показатель достиг неприемлемой отметки и составил 20% (статья 11).</w:t>
      </w:r>
    </w:p>
    <w:p w:rsidR="000667A9" w:rsidRPr="000667A9" w:rsidRDefault="000667A9" w:rsidP="000667A9">
      <w:pPr>
        <w:pStyle w:val="SingleTxtGR"/>
      </w:pPr>
      <w:r w:rsidRPr="000667A9">
        <w:rPr>
          <w:b/>
        </w:rPr>
        <w:t>Комитет рекомендует парламенту завершить процесс утверждения конст</w:t>
      </w:r>
      <w:r w:rsidRPr="000667A9">
        <w:rPr>
          <w:b/>
        </w:rPr>
        <w:t>и</w:t>
      </w:r>
      <w:r w:rsidRPr="000667A9">
        <w:rPr>
          <w:b/>
        </w:rPr>
        <w:t>туционных поправок с целью гарантировать в Конституции право на п</w:t>
      </w:r>
      <w:r w:rsidRPr="000667A9">
        <w:rPr>
          <w:b/>
        </w:rPr>
        <w:t>и</w:t>
      </w:r>
      <w:r w:rsidRPr="000667A9">
        <w:rPr>
          <w:b/>
        </w:rPr>
        <w:t>тание и на доступ к воде. Кроме того, Комитет настоятельно призывает г</w:t>
      </w:r>
      <w:r w:rsidRPr="000667A9">
        <w:rPr>
          <w:b/>
        </w:rPr>
        <w:t>о</w:t>
      </w:r>
      <w:r w:rsidRPr="000667A9">
        <w:rPr>
          <w:b/>
        </w:rPr>
        <w:t>сударство-участник активизировать свою работу по предупреждению и преодолению проблемы недоедания среди детей, особенно детей, прож</w:t>
      </w:r>
      <w:r w:rsidRPr="000667A9">
        <w:rPr>
          <w:b/>
        </w:rPr>
        <w:t>и</w:t>
      </w:r>
      <w:r w:rsidRPr="000667A9">
        <w:rPr>
          <w:b/>
        </w:rPr>
        <w:t>вающих в сельских и отдаленных районах.</w:t>
      </w:r>
    </w:p>
    <w:p w:rsidR="000667A9" w:rsidRPr="000667A9" w:rsidRDefault="00C73186" w:rsidP="00C73186">
      <w:pPr>
        <w:pStyle w:val="H23GR"/>
      </w:pPr>
      <w:r>
        <w:tab/>
      </w:r>
      <w:r>
        <w:tab/>
      </w:r>
      <w:r w:rsidR="000667A9" w:rsidRPr="000667A9">
        <w:t>Право на здоровье</w:t>
      </w:r>
    </w:p>
    <w:p w:rsidR="000667A9" w:rsidRPr="000667A9" w:rsidRDefault="000667A9" w:rsidP="000667A9">
      <w:pPr>
        <w:pStyle w:val="SingleTxtGR"/>
      </w:pPr>
      <w:r w:rsidRPr="000667A9">
        <w:t>21.</w:t>
      </w:r>
      <w:r w:rsidRPr="000667A9">
        <w:tab/>
        <w:t>Комитет вновь заявляет о том, что бюджетные ассигнования, выделяемые на охрану здоровья, остаются недостаточными для надлежащего охвата всех групп населения, в особенности групп, находящихся в уязвимом положении (E/C.12/SLV/CO/2, пункт 24). Комитет с интересом отмечает специальный р</w:t>
      </w:r>
      <w:r w:rsidRPr="000667A9">
        <w:t>е</w:t>
      </w:r>
      <w:r w:rsidRPr="000667A9">
        <w:t>жим охраны здоровья и материнства для работников, занятых в качестве д</w:t>
      </w:r>
      <w:r w:rsidRPr="000667A9">
        <w:t>о</w:t>
      </w:r>
      <w:r w:rsidRPr="000667A9">
        <w:t>машней прислуги, установленный в 2010 году (Закон-декрет №</w:t>
      </w:r>
      <w:r w:rsidR="00C73186">
        <w:t> </w:t>
      </w:r>
      <w:r w:rsidRPr="000667A9">
        <w:t>74), но вместе с тем с сожалением констатирует, что этот режим носит добровольный характер и не предусматривает охват других лиц, занятых в неформальном секторе (ст</w:t>
      </w:r>
      <w:r w:rsidRPr="000667A9">
        <w:t>а</w:t>
      </w:r>
      <w:r w:rsidRPr="000667A9">
        <w:t>тья</w:t>
      </w:r>
      <w:r w:rsidR="00C73186">
        <w:t> </w:t>
      </w:r>
      <w:r w:rsidRPr="000667A9">
        <w:t>12).</w:t>
      </w:r>
    </w:p>
    <w:p w:rsidR="000667A9" w:rsidRPr="000667A9" w:rsidRDefault="000667A9" w:rsidP="000667A9">
      <w:pPr>
        <w:pStyle w:val="SingleTxtGR"/>
        <w:rPr>
          <w:b/>
        </w:rPr>
      </w:pPr>
      <w:r w:rsidRPr="000667A9">
        <w:rPr>
          <w:b/>
        </w:rPr>
        <w:t>Комитет рекомендует государству-участнику увеличить бюджетные асси</w:t>
      </w:r>
      <w:r w:rsidRPr="000667A9">
        <w:rPr>
          <w:b/>
        </w:rPr>
        <w:t>г</w:t>
      </w:r>
      <w:r w:rsidRPr="000667A9">
        <w:rPr>
          <w:b/>
        </w:rPr>
        <w:t>нования, выделяемые на охрану здоровья, и принять необходимые меры для консолидации национальной системы здравоохранения, которая дол</w:t>
      </w:r>
      <w:r w:rsidRPr="000667A9">
        <w:rPr>
          <w:b/>
        </w:rPr>
        <w:t>ж</w:t>
      </w:r>
      <w:r w:rsidRPr="000667A9">
        <w:rPr>
          <w:b/>
        </w:rPr>
        <w:t>на быть доступной для всех без какой-либо дискриминации, в соответс</w:t>
      </w:r>
      <w:r w:rsidRPr="000667A9">
        <w:rPr>
          <w:b/>
        </w:rPr>
        <w:t>т</w:t>
      </w:r>
      <w:r w:rsidRPr="000667A9">
        <w:rPr>
          <w:b/>
        </w:rPr>
        <w:t>вии со статьей 12 Пакта и с учетом Замечания общего порядка № 14 (2000 год) о праве на наивысший достижимый уровень здоровья (статья</w:t>
      </w:r>
      <w:r w:rsidR="00C73186">
        <w:rPr>
          <w:b/>
        </w:rPr>
        <w:t> </w:t>
      </w:r>
      <w:r w:rsidRPr="000667A9">
        <w:rPr>
          <w:b/>
        </w:rPr>
        <w:t>12 Пакта). Комитет просит государство-участник в своем следующем докладе представить подробную и обновленную информацию, включая дезагрег</w:t>
      </w:r>
      <w:r w:rsidRPr="000667A9">
        <w:rPr>
          <w:b/>
        </w:rPr>
        <w:t>и</w:t>
      </w:r>
      <w:r w:rsidRPr="000667A9">
        <w:rPr>
          <w:b/>
        </w:rPr>
        <w:t>рованные статистические данные и показатели, позволяющие оценить у</w:t>
      </w:r>
      <w:r w:rsidRPr="000667A9">
        <w:rPr>
          <w:b/>
        </w:rPr>
        <w:t>с</w:t>
      </w:r>
      <w:r w:rsidRPr="000667A9">
        <w:rPr>
          <w:b/>
        </w:rPr>
        <w:t>пехи, достигнутые в этой области.</w:t>
      </w:r>
    </w:p>
    <w:p w:rsidR="000667A9" w:rsidRPr="000667A9" w:rsidRDefault="00C73186" w:rsidP="00C73186">
      <w:pPr>
        <w:pStyle w:val="H23GR"/>
      </w:pPr>
      <w:r>
        <w:tab/>
      </w:r>
      <w:r>
        <w:tab/>
      </w:r>
      <w:r w:rsidR="000667A9" w:rsidRPr="000667A9">
        <w:t>Аборты</w:t>
      </w:r>
    </w:p>
    <w:p w:rsidR="000667A9" w:rsidRPr="000667A9" w:rsidRDefault="000667A9" w:rsidP="000667A9">
      <w:pPr>
        <w:pStyle w:val="SingleTxtGR"/>
      </w:pPr>
      <w:r w:rsidRPr="000667A9">
        <w:rPr>
          <w:bCs/>
        </w:rPr>
        <w:t>22.</w:t>
      </w:r>
      <w:r w:rsidRPr="000667A9">
        <w:rPr>
          <w:bCs/>
        </w:rPr>
        <w:tab/>
        <w:t>Комитет вновь выражает обеспокоенность по поводу сохранения абс</w:t>
      </w:r>
      <w:r w:rsidRPr="000667A9">
        <w:rPr>
          <w:bCs/>
        </w:rPr>
        <w:t>о</w:t>
      </w:r>
      <w:r w:rsidRPr="000667A9">
        <w:rPr>
          <w:bCs/>
        </w:rPr>
        <w:t>лютного запрета абортов, от которого в первую очередь страдают малоимущие женщины с более низким уровнем образования и который не предусматривает учета исключительных обстоятельств, что является источником серьезных пр</w:t>
      </w:r>
      <w:r w:rsidRPr="000667A9">
        <w:rPr>
          <w:bCs/>
        </w:rPr>
        <w:t>о</w:t>
      </w:r>
      <w:r w:rsidRPr="000667A9">
        <w:rPr>
          <w:bCs/>
        </w:rPr>
        <w:t>блем и проявлений несправедливости (E/C.12/SLV/CO/2, пункты 25 и 44). К</w:t>
      </w:r>
      <w:r w:rsidRPr="000667A9">
        <w:rPr>
          <w:bCs/>
        </w:rPr>
        <w:t>о</w:t>
      </w:r>
      <w:r w:rsidRPr="000667A9">
        <w:rPr>
          <w:bCs/>
        </w:rPr>
        <w:t>митет крайне обеспокоен теми случаями, когда о женщинах, обратившихся в органы здравоохранения ввиду наличия серьезных угроз для их здоровья, с</w:t>
      </w:r>
      <w:r w:rsidRPr="000667A9">
        <w:rPr>
          <w:bCs/>
        </w:rPr>
        <w:t>о</w:t>
      </w:r>
      <w:r w:rsidRPr="000667A9">
        <w:rPr>
          <w:bCs/>
        </w:rPr>
        <w:t>общалось в полицию в связи с подозрениями в совершении аборта. В ряде сл</w:t>
      </w:r>
      <w:r w:rsidRPr="000667A9">
        <w:rPr>
          <w:bCs/>
        </w:rPr>
        <w:t>у</w:t>
      </w:r>
      <w:r w:rsidRPr="000667A9">
        <w:rPr>
          <w:bCs/>
        </w:rPr>
        <w:t xml:space="preserve">чаев к ним применялись несоразмерные уголовные санкции без </w:t>
      </w:r>
      <w:r w:rsidRPr="000667A9">
        <w:t>проведения надлежащего судебного разбирательства. Кроме того, Комитет обеспокоен зн</w:t>
      </w:r>
      <w:r w:rsidRPr="000667A9">
        <w:t>а</w:t>
      </w:r>
      <w:r w:rsidRPr="000667A9">
        <w:t>чительным числом небезопасных и нелегальных абортов, имеющих серьезные последствия для здоровья и остающихся одной из главных причин материнской смертности</w:t>
      </w:r>
      <w:r w:rsidRPr="000667A9">
        <w:rPr>
          <w:bCs/>
        </w:rPr>
        <w:t xml:space="preserve"> (статья 12).</w:t>
      </w:r>
    </w:p>
    <w:p w:rsidR="000667A9" w:rsidRPr="000667A9" w:rsidRDefault="000667A9" w:rsidP="00C73186">
      <w:pPr>
        <w:pStyle w:val="SingleTxtGR"/>
        <w:keepLines/>
      </w:pPr>
      <w:r w:rsidRPr="000667A9">
        <w:rPr>
          <w:b/>
          <w:bCs/>
        </w:rPr>
        <w:t>Комитет настоятельно призывает государство-участник пересмотреть свое законодательство, касающееся запрета абортов, с тем чтобы привести его в соответствие с другими правами, такими как право на здоровье и жизнь женщины, а также с принципом защиты ее достоинства. Комитет насто</w:t>
      </w:r>
      <w:r w:rsidRPr="000667A9">
        <w:rPr>
          <w:b/>
          <w:bCs/>
        </w:rPr>
        <w:t>я</w:t>
      </w:r>
      <w:r w:rsidRPr="000667A9">
        <w:rPr>
          <w:b/>
          <w:bCs/>
        </w:rPr>
        <w:t>тельно призывает государство-участник вместо придания приоритетного значения уголовному преследованию абортов уделять внимание качеству лечения в случае возникновения осложнений при абортах, производимых в опасных условиях.</w:t>
      </w:r>
    </w:p>
    <w:p w:rsidR="000667A9" w:rsidRPr="000667A9" w:rsidRDefault="00C73186" w:rsidP="00C73186">
      <w:pPr>
        <w:pStyle w:val="H23GR"/>
      </w:pPr>
      <w:r>
        <w:tab/>
      </w:r>
      <w:r>
        <w:tab/>
      </w:r>
      <w:r w:rsidR="000667A9" w:rsidRPr="000667A9">
        <w:t>Сексуальное и репродуктивное здоровье</w:t>
      </w:r>
    </w:p>
    <w:p w:rsidR="000667A9" w:rsidRPr="000667A9" w:rsidRDefault="000667A9" w:rsidP="000667A9">
      <w:pPr>
        <w:pStyle w:val="SingleTxtGR"/>
      </w:pPr>
      <w:r w:rsidRPr="000667A9">
        <w:t>23.</w:t>
      </w:r>
      <w:r w:rsidRPr="000667A9">
        <w:tab/>
        <w:t>Несмотря на усилия государства-участника, Комитет обеспокоен недо</w:t>
      </w:r>
      <w:r w:rsidRPr="000667A9">
        <w:t>с</w:t>
      </w:r>
      <w:r w:rsidRPr="000667A9">
        <w:t>таточностью и неадекватностью услуг в области сексуального и репродукти</w:t>
      </w:r>
      <w:r w:rsidRPr="000667A9">
        <w:t>в</w:t>
      </w:r>
      <w:r w:rsidRPr="000667A9">
        <w:t xml:space="preserve">ного здоровья, в особенности для девушек и женщин, что, невзирая на ряд улучшений, приводит к росту материнской смертности и высоким показателям беременности в подростковом возрасте </w:t>
      </w:r>
      <w:r w:rsidRPr="000667A9">
        <w:rPr>
          <w:bCs/>
        </w:rPr>
        <w:t>(статья 12).</w:t>
      </w:r>
    </w:p>
    <w:p w:rsidR="000667A9" w:rsidRPr="000667A9" w:rsidRDefault="000667A9" w:rsidP="000667A9">
      <w:pPr>
        <w:pStyle w:val="SingleTxtGR"/>
      </w:pPr>
      <w:r w:rsidRPr="000667A9">
        <w:rPr>
          <w:b/>
          <w:bCs/>
        </w:rPr>
        <w:t>Комитет рекомендует государству-участнику удвоить свои усилия по с</w:t>
      </w:r>
      <w:r w:rsidRPr="000667A9">
        <w:rPr>
          <w:b/>
          <w:bCs/>
        </w:rPr>
        <w:t>о</w:t>
      </w:r>
      <w:r w:rsidRPr="000667A9">
        <w:rPr>
          <w:b/>
          <w:bCs/>
        </w:rPr>
        <w:t>кращению высоких показателей беременности в подростковом возрасте и обеспечить наличие и доступность услуг в области сексуального и репр</w:t>
      </w:r>
      <w:r w:rsidRPr="000667A9">
        <w:rPr>
          <w:b/>
          <w:bCs/>
        </w:rPr>
        <w:t>о</w:t>
      </w:r>
      <w:r w:rsidRPr="000667A9">
        <w:rPr>
          <w:b/>
          <w:bCs/>
        </w:rPr>
        <w:t>дуктивного здоровья, особенно в сельских районах. Кроме того, Комитет рекомендует государству-участнику расширить охват и повысить эффе</w:t>
      </w:r>
      <w:r w:rsidRPr="000667A9">
        <w:rPr>
          <w:b/>
          <w:bCs/>
        </w:rPr>
        <w:t>к</w:t>
      </w:r>
      <w:r w:rsidRPr="000667A9">
        <w:rPr>
          <w:b/>
          <w:bCs/>
        </w:rPr>
        <w:t>тивность комплексного и соответствующего возрастным критериям обр</w:t>
      </w:r>
      <w:r w:rsidRPr="000667A9">
        <w:rPr>
          <w:b/>
          <w:bCs/>
        </w:rPr>
        <w:t>а</w:t>
      </w:r>
      <w:r w:rsidRPr="000667A9">
        <w:rPr>
          <w:b/>
          <w:bCs/>
        </w:rPr>
        <w:t>зования по вопросам сексуального и репродуктивного здоровья в учебных программах начальной и средней школ для представителей обоих полов и ввести в действие программы повышения уровня осведомленности и и</w:t>
      </w:r>
      <w:r w:rsidRPr="000667A9">
        <w:rPr>
          <w:b/>
          <w:bCs/>
        </w:rPr>
        <w:t>н</w:t>
      </w:r>
      <w:r w:rsidRPr="000667A9">
        <w:rPr>
          <w:b/>
          <w:bCs/>
        </w:rPr>
        <w:t>формированности общественности.</w:t>
      </w:r>
    </w:p>
    <w:p w:rsidR="000667A9" w:rsidRPr="000667A9" w:rsidRDefault="00C73186" w:rsidP="00C73186">
      <w:pPr>
        <w:pStyle w:val="H23GR"/>
      </w:pPr>
      <w:r>
        <w:tab/>
      </w:r>
      <w:r>
        <w:tab/>
      </w:r>
      <w:r w:rsidR="000667A9" w:rsidRPr="000667A9">
        <w:t>Качество образования и бюджетные ассигнования</w:t>
      </w:r>
    </w:p>
    <w:p w:rsidR="000667A9" w:rsidRPr="000667A9" w:rsidRDefault="000667A9" w:rsidP="000667A9">
      <w:pPr>
        <w:pStyle w:val="SingleTxtGR"/>
      </w:pPr>
      <w:r w:rsidRPr="000667A9">
        <w:t>24.</w:t>
      </w:r>
      <w:r w:rsidRPr="000667A9">
        <w:tab/>
        <w:t>Несмотря на увеличение бюджетных ассигнований, выделяемых на обр</w:t>
      </w:r>
      <w:r w:rsidRPr="000667A9">
        <w:t>а</w:t>
      </w:r>
      <w:r w:rsidRPr="000667A9">
        <w:t>зование, Комитет с обеспокоенностью отмечает, что их уровень все еще являе</w:t>
      </w:r>
      <w:r w:rsidRPr="000667A9">
        <w:t>т</w:t>
      </w:r>
      <w:r w:rsidRPr="000667A9">
        <w:t>ся недостаточным. В частности, Комитет обеспокоен различиями в качестве о</w:t>
      </w:r>
      <w:r w:rsidRPr="000667A9">
        <w:t>б</w:t>
      </w:r>
      <w:r w:rsidRPr="000667A9">
        <w:t>разования и состоянии инфраструктуры между школами в городских и сельских районах, низким уровнем зарплат преподавателей, а также их недостаточной квалификацией (статья 13).</w:t>
      </w:r>
    </w:p>
    <w:p w:rsidR="000667A9" w:rsidRPr="000667A9" w:rsidRDefault="000667A9" w:rsidP="000667A9">
      <w:pPr>
        <w:pStyle w:val="SingleTxtGR"/>
        <w:rPr>
          <w:b/>
          <w:bCs/>
        </w:rPr>
      </w:pPr>
      <w:r w:rsidRPr="000667A9">
        <w:rPr>
          <w:b/>
          <w:bCs/>
        </w:rPr>
        <w:t>Комитет рекомендует государству-участнику обеспечить выделение необх</w:t>
      </w:r>
      <w:r w:rsidRPr="000667A9">
        <w:rPr>
          <w:b/>
          <w:bCs/>
        </w:rPr>
        <w:t>о</w:t>
      </w:r>
      <w:r w:rsidRPr="000667A9">
        <w:rPr>
          <w:b/>
          <w:bCs/>
        </w:rPr>
        <w:t>димых ресурсов с целью гарантировать надлежащее качество образования и адекватную инфраструктуру образовательной системы в сельских и г</w:t>
      </w:r>
      <w:r w:rsidRPr="000667A9">
        <w:rPr>
          <w:b/>
          <w:bCs/>
        </w:rPr>
        <w:t>о</w:t>
      </w:r>
      <w:r w:rsidRPr="000667A9">
        <w:rPr>
          <w:b/>
          <w:bCs/>
        </w:rPr>
        <w:t>родских районах. Кроме того, Комитет рекомендует государству-участнику улучшить материальные условия и повысить размер заработной платы преподавательского состава, а также улучшить подготовку преподават</w:t>
      </w:r>
      <w:r w:rsidRPr="000667A9">
        <w:rPr>
          <w:b/>
          <w:bCs/>
        </w:rPr>
        <w:t>е</w:t>
      </w:r>
      <w:r w:rsidRPr="000667A9">
        <w:rPr>
          <w:b/>
          <w:bCs/>
        </w:rPr>
        <w:t>лей.</w:t>
      </w:r>
    </w:p>
    <w:p w:rsidR="000667A9" w:rsidRPr="000667A9" w:rsidRDefault="00C73186" w:rsidP="00C73186">
      <w:pPr>
        <w:pStyle w:val="H23GR"/>
      </w:pPr>
      <w:r>
        <w:tab/>
      </w:r>
      <w:r>
        <w:tab/>
      </w:r>
      <w:r w:rsidR="000667A9" w:rsidRPr="000667A9">
        <w:t>Отсев из школ</w:t>
      </w:r>
    </w:p>
    <w:p w:rsidR="000667A9" w:rsidRPr="000667A9" w:rsidRDefault="000667A9" w:rsidP="000667A9">
      <w:pPr>
        <w:pStyle w:val="SingleTxtGR"/>
      </w:pPr>
      <w:r w:rsidRPr="000667A9">
        <w:t>25.</w:t>
      </w:r>
      <w:r w:rsidRPr="000667A9">
        <w:tab/>
        <w:t>Несмотря на усилия государства-участника, Комитет обеспокоен высок</w:t>
      </w:r>
      <w:r w:rsidRPr="000667A9">
        <w:t>и</w:t>
      </w:r>
      <w:r w:rsidRPr="000667A9">
        <w:t>ми показателями отсева из начальных школ, в частности среди девочек, прож</w:t>
      </w:r>
      <w:r w:rsidRPr="000667A9">
        <w:t>и</w:t>
      </w:r>
      <w:r w:rsidRPr="000667A9">
        <w:t>вающих в сельских районах. Кроме того, несмотря на достигнутые успехи, К</w:t>
      </w:r>
      <w:r w:rsidRPr="000667A9">
        <w:t>о</w:t>
      </w:r>
      <w:r w:rsidRPr="000667A9">
        <w:t>митет с обеспокоенностью отмечает высокий показатель неграмотности, пре</w:t>
      </w:r>
      <w:r w:rsidRPr="000667A9">
        <w:t>ж</w:t>
      </w:r>
      <w:r w:rsidRPr="000667A9">
        <w:t>де всего в сельских районах и среди общин коренных народов, в особенности среди девочек и женщин (статьи 13 и 14).</w:t>
      </w:r>
    </w:p>
    <w:p w:rsidR="000667A9" w:rsidRPr="000667A9" w:rsidRDefault="000667A9" w:rsidP="00C73186">
      <w:pPr>
        <w:pStyle w:val="SingleTxtGR"/>
        <w:keepLines/>
        <w:rPr>
          <w:b/>
          <w:bCs/>
        </w:rPr>
      </w:pPr>
      <w:r w:rsidRPr="000667A9">
        <w:rPr>
          <w:b/>
          <w:bCs/>
        </w:rPr>
        <w:t>Комитет рекомендует государству-участнику продолжать предпринимать усилия в рамках плана обеспечения грамотности населения и активизир</w:t>
      </w:r>
      <w:r w:rsidRPr="000667A9">
        <w:rPr>
          <w:b/>
          <w:bCs/>
        </w:rPr>
        <w:t>о</w:t>
      </w:r>
      <w:r w:rsidRPr="000667A9">
        <w:rPr>
          <w:b/>
          <w:bCs/>
        </w:rPr>
        <w:t>вать соответствующие усилия в сельских районах и среди коренных о</w:t>
      </w:r>
      <w:r w:rsidRPr="000667A9">
        <w:rPr>
          <w:b/>
          <w:bCs/>
        </w:rPr>
        <w:t>б</w:t>
      </w:r>
      <w:r w:rsidRPr="000667A9">
        <w:rPr>
          <w:b/>
          <w:bCs/>
        </w:rPr>
        <w:t>щин. Комитет призывает государство-участник разработать конкретные программы для предотвращения отсева учащихся из школ и искоренения причин этого явления.</w:t>
      </w:r>
    </w:p>
    <w:p w:rsidR="000667A9" w:rsidRPr="000667A9" w:rsidRDefault="00C73186" w:rsidP="00C73186">
      <w:pPr>
        <w:pStyle w:val="H23GR"/>
      </w:pPr>
      <w:r>
        <w:tab/>
      </w:r>
      <w:r>
        <w:tab/>
      </w:r>
      <w:r w:rsidR="000667A9" w:rsidRPr="000667A9">
        <w:t>Межкультурное двуязычное образование</w:t>
      </w:r>
    </w:p>
    <w:p w:rsidR="000667A9" w:rsidRPr="000667A9" w:rsidRDefault="000667A9" w:rsidP="000667A9">
      <w:pPr>
        <w:pStyle w:val="SingleTxtGR"/>
        <w:rPr>
          <w:bCs/>
        </w:rPr>
      </w:pPr>
      <w:r w:rsidRPr="000667A9">
        <w:t>26.</w:t>
      </w:r>
      <w:r w:rsidRPr="000667A9">
        <w:tab/>
        <w:t>Комитет с обеспокоенностью отмечает, что коренные общины не всегда пользуются правом на получение образования на языке коренного населения. Кроме того, Комитет обеспокоен ограниченностью доступа к среднему и вы</w:t>
      </w:r>
      <w:r w:rsidRPr="000667A9">
        <w:t>с</w:t>
      </w:r>
      <w:r w:rsidRPr="000667A9">
        <w:t>шему образованию и посещаемостью на этих уровнях образования, прежде вс</w:t>
      </w:r>
      <w:r w:rsidRPr="000667A9">
        <w:t>е</w:t>
      </w:r>
      <w:r w:rsidRPr="000667A9">
        <w:t>го среди подростков и молодежи из числа коренных народов</w:t>
      </w:r>
      <w:r w:rsidRPr="000667A9">
        <w:rPr>
          <w:bCs/>
        </w:rPr>
        <w:t xml:space="preserve"> </w:t>
      </w:r>
      <w:r w:rsidRPr="000667A9">
        <w:t>(статьи 13 и 14)</w:t>
      </w:r>
      <w:r w:rsidRPr="000667A9">
        <w:rPr>
          <w:bCs/>
        </w:rPr>
        <w:t xml:space="preserve">. </w:t>
      </w:r>
    </w:p>
    <w:p w:rsidR="000667A9" w:rsidRPr="000667A9" w:rsidRDefault="000667A9" w:rsidP="000667A9">
      <w:pPr>
        <w:pStyle w:val="SingleTxtGR"/>
        <w:rPr>
          <w:b/>
          <w:bCs/>
        </w:rPr>
      </w:pPr>
      <w:r w:rsidRPr="000667A9">
        <w:rPr>
          <w:b/>
        </w:rPr>
        <w:t>Комитет рекомендует государству-участнику принять эффективные меры с целью гарантировать доступ коренных народов к межкультурному образ</w:t>
      </w:r>
      <w:r w:rsidRPr="000667A9">
        <w:rPr>
          <w:b/>
        </w:rPr>
        <w:t>о</w:t>
      </w:r>
      <w:r w:rsidRPr="000667A9">
        <w:rPr>
          <w:b/>
        </w:rPr>
        <w:t>ванию и обучению на их собственных языках, а также адаптировать пр</w:t>
      </w:r>
      <w:r w:rsidRPr="000667A9">
        <w:rPr>
          <w:b/>
        </w:rPr>
        <w:t>о</w:t>
      </w:r>
      <w:r w:rsidRPr="000667A9">
        <w:rPr>
          <w:b/>
        </w:rPr>
        <w:t>граммы образования к особым потребностям этих народов. Комитет н</w:t>
      </w:r>
      <w:r w:rsidRPr="000667A9">
        <w:rPr>
          <w:b/>
        </w:rPr>
        <w:t>а</w:t>
      </w:r>
      <w:r w:rsidRPr="000667A9">
        <w:rPr>
          <w:b/>
        </w:rPr>
        <w:t>стоятельно призывает государство-участник принять безотлагательные меры для сохранения языков коренных народов и поощрения их использ</w:t>
      </w:r>
      <w:r w:rsidRPr="000667A9">
        <w:rPr>
          <w:b/>
        </w:rPr>
        <w:t>о</w:t>
      </w:r>
      <w:r w:rsidRPr="000667A9">
        <w:rPr>
          <w:b/>
        </w:rPr>
        <w:t>вания</w:t>
      </w:r>
      <w:r w:rsidRPr="000667A9">
        <w:rPr>
          <w:b/>
          <w:bCs/>
        </w:rPr>
        <w:t>.</w:t>
      </w:r>
    </w:p>
    <w:p w:rsidR="000667A9" w:rsidRPr="000667A9" w:rsidRDefault="00C73186" w:rsidP="00C73186">
      <w:pPr>
        <w:pStyle w:val="H23GR"/>
      </w:pPr>
      <w:r>
        <w:tab/>
      </w:r>
      <w:r>
        <w:tab/>
      </w:r>
      <w:r w:rsidR="000667A9" w:rsidRPr="000667A9">
        <w:t>Право на землю и природные ресурсы</w:t>
      </w:r>
    </w:p>
    <w:p w:rsidR="000667A9" w:rsidRPr="000667A9" w:rsidRDefault="000667A9" w:rsidP="000667A9">
      <w:pPr>
        <w:pStyle w:val="SingleTxtGR"/>
      </w:pPr>
      <w:r w:rsidRPr="000667A9">
        <w:t>27.</w:t>
      </w:r>
      <w:r w:rsidRPr="000667A9">
        <w:tab/>
        <w:t>Комитет обеспокоен тем, что в государстве-участнике не предусмотрен юридический механизм для признания права коренных народов в качестве т</w:t>
      </w:r>
      <w:r w:rsidRPr="000667A9">
        <w:t>а</w:t>
      </w:r>
      <w:r w:rsidRPr="000667A9">
        <w:t>ковых на доступ к коллективным правам на владение землей. Кроме того, К</w:t>
      </w:r>
      <w:r w:rsidRPr="000667A9">
        <w:t>о</w:t>
      </w:r>
      <w:r w:rsidRPr="000667A9">
        <w:t>митет обеспокоен тем, что не обеспечивается систематическое проведение э</w:t>
      </w:r>
      <w:r w:rsidRPr="000667A9">
        <w:t>ф</w:t>
      </w:r>
      <w:r w:rsidRPr="000667A9">
        <w:t>фективных консультаций и получение свободного, предварительного и осо</w:t>
      </w:r>
      <w:r w:rsidRPr="000667A9">
        <w:t>з</w:t>
      </w:r>
      <w:r w:rsidRPr="000667A9">
        <w:t>нанного согласия коренных народов в рамках процесса принятия решений, к</w:t>
      </w:r>
      <w:r w:rsidRPr="000667A9">
        <w:t>а</w:t>
      </w:r>
      <w:r w:rsidRPr="000667A9">
        <w:t>сающихся эксплуатации природных ресурсов на их традиционных территориях. В частности, Комитет обеспокоен тем, что до сих пор не была ратифицирована Конвенция № 169 (1989 год) МОТ о коренных народах и народах, ведущих пл</w:t>
      </w:r>
      <w:r w:rsidRPr="000667A9">
        <w:t>е</w:t>
      </w:r>
      <w:r w:rsidRPr="000667A9">
        <w:t>менной образ жизни в независимых странах (статьи 1, 2 и 15).</w:t>
      </w:r>
    </w:p>
    <w:p w:rsidR="000667A9" w:rsidRPr="000667A9" w:rsidRDefault="000667A9" w:rsidP="000667A9">
      <w:pPr>
        <w:pStyle w:val="SingleTxtGR"/>
      </w:pPr>
      <w:r w:rsidRPr="000667A9">
        <w:rPr>
          <w:b/>
        </w:rPr>
        <w:t>Комитет рекомендует государству-участнику предусмотреть механизмы для признания прав коренных народов на их традиционные земли и приро</w:t>
      </w:r>
      <w:r w:rsidRPr="000667A9">
        <w:rPr>
          <w:b/>
        </w:rPr>
        <w:t>д</w:t>
      </w:r>
      <w:r w:rsidRPr="000667A9">
        <w:rPr>
          <w:b/>
        </w:rPr>
        <w:t>ные ресурсы. Помимо этого, Комитет настоятельно призывает государство-участник в рамках деятельности по разведке и эксплуатации полезных и</w:t>
      </w:r>
      <w:r w:rsidRPr="000667A9">
        <w:rPr>
          <w:b/>
        </w:rPr>
        <w:t>с</w:t>
      </w:r>
      <w:r w:rsidRPr="000667A9">
        <w:rPr>
          <w:b/>
        </w:rPr>
        <w:t xml:space="preserve">копаемых и </w:t>
      </w:r>
      <w:proofErr w:type="spellStart"/>
      <w:r w:rsidRPr="000667A9">
        <w:rPr>
          <w:b/>
        </w:rPr>
        <w:t>гидроэнергоресурсов</w:t>
      </w:r>
      <w:proofErr w:type="spellEnd"/>
      <w:r w:rsidRPr="000667A9">
        <w:rPr>
          <w:b/>
        </w:rPr>
        <w:t xml:space="preserve"> проводить консультации, предусматр</w:t>
      </w:r>
      <w:r w:rsidRPr="000667A9">
        <w:rPr>
          <w:b/>
        </w:rPr>
        <w:t>и</w:t>
      </w:r>
      <w:r w:rsidRPr="000667A9">
        <w:rPr>
          <w:b/>
        </w:rPr>
        <w:t>вающие получение свободного согласия затрагиваемых народов. Кроме т</w:t>
      </w:r>
      <w:r w:rsidRPr="000667A9">
        <w:rPr>
          <w:b/>
        </w:rPr>
        <w:t>о</w:t>
      </w:r>
      <w:r w:rsidRPr="000667A9">
        <w:rPr>
          <w:b/>
        </w:rPr>
        <w:t>го, Комитет рекомендует государству-участнику ускорить процесс присо</w:t>
      </w:r>
      <w:r w:rsidRPr="000667A9">
        <w:rPr>
          <w:b/>
        </w:rPr>
        <w:t>е</w:t>
      </w:r>
      <w:r w:rsidRPr="000667A9">
        <w:rPr>
          <w:b/>
        </w:rPr>
        <w:t>динения к Конвенции</w:t>
      </w:r>
      <w:r w:rsidR="00DA5F5D">
        <w:rPr>
          <w:b/>
          <w:lang w:val="en-US"/>
        </w:rPr>
        <w:t xml:space="preserve"> </w:t>
      </w:r>
      <w:r w:rsidRPr="000667A9">
        <w:rPr>
          <w:b/>
        </w:rPr>
        <w:t>№ 169 МОТ и призывает государство-участник а</w:t>
      </w:r>
      <w:r w:rsidRPr="000667A9">
        <w:rPr>
          <w:b/>
        </w:rPr>
        <w:t>к</w:t>
      </w:r>
      <w:r w:rsidRPr="000667A9">
        <w:rPr>
          <w:b/>
        </w:rPr>
        <w:t>тивизировать свои усилия по продвижению и применению принципов, з</w:t>
      </w:r>
      <w:r w:rsidRPr="000667A9">
        <w:rPr>
          <w:b/>
        </w:rPr>
        <w:t>а</w:t>
      </w:r>
      <w:r w:rsidRPr="000667A9">
        <w:rPr>
          <w:b/>
        </w:rPr>
        <w:t>крепленных в Декларации Организации Объединенных Наций о правах коренных народов</w:t>
      </w:r>
    </w:p>
    <w:p w:rsidR="000667A9" w:rsidRPr="000667A9" w:rsidRDefault="00C73186" w:rsidP="00C73186">
      <w:pPr>
        <w:pStyle w:val="H23GR"/>
      </w:pPr>
      <w:r>
        <w:tab/>
      </w:r>
      <w:r>
        <w:tab/>
      </w:r>
      <w:r w:rsidR="000667A9" w:rsidRPr="000667A9">
        <w:t>Право на пользование результатами научного прогресса</w:t>
      </w:r>
    </w:p>
    <w:p w:rsidR="000667A9" w:rsidRPr="000667A9" w:rsidRDefault="000667A9" w:rsidP="000667A9">
      <w:pPr>
        <w:pStyle w:val="SingleTxtGR"/>
      </w:pPr>
      <w:r w:rsidRPr="000667A9">
        <w:t>28.</w:t>
      </w:r>
      <w:r w:rsidRPr="000667A9">
        <w:tab/>
        <w:t>Комитет обеспокоен тем, что научные ресурсы, выделяемые для выявл</w:t>
      </w:r>
      <w:r w:rsidRPr="000667A9">
        <w:t>е</w:t>
      </w:r>
      <w:r w:rsidRPr="000667A9">
        <w:t>ния причин заболеваемости "хронической почечной недостаточностью неи</w:t>
      </w:r>
      <w:r w:rsidRPr="000667A9">
        <w:t>з</w:t>
      </w:r>
      <w:r w:rsidRPr="000667A9">
        <w:t>вестного происхождения" (ХПН), которая стала причиной смерти в государс</w:t>
      </w:r>
      <w:r w:rsidRPr="000667A9">
        <w:t>т</w:t>
      </w:r>
      <w:r w:rsidRPr="000667A9">
        <w:t>ве-участнике 5000 человек, в первую очередь сельскохозяйственных работников тростниковых плантаций, к настоящему моменту остаются неадекватными, а</w:t>
      </w:r>
      <w:r w:rsidR="00C73186">
        <w:t> </w:t>
      </w:r>
      <w:r w:rsidRPr="000667A9">
        <w:t>соответствующие исследования не дали положительных результатов (по</w:t>
      </w:r>
      <w:r w:rsidRPr="000667A9">
        <w:t>д</w:t>
      </w:r>
      <w:r w:rsidRPr="000667A9">
        <w:t>пункт</w:t>
      </w:r>
      <w:r w:rsidR="00C73186">
        <w:t> </w:t>
      </w:r>
      <w:r w:rsidRPr="000667A9">
        <w:t>b) пункта 1 статьи 15).</w:t>
      </w:r>
    </w:p>
    <w:p w:rsidR="000667A9" w:rsidRPr="000667A9" w:rsidRDefault="000667A9" w:rsidP="000667A9">
      <w:pPr>
        <w:pStyle w:val="SingleTxtGR"/>
        <w:rPr>
          <w:b/>
        </w:rPr>
      </w:pPr>
      <w:r w:rsidRPr="000667A9">
        <w:rPr>
          <w:b/>
        </w:rPr>
        <w:t>Комитет настоятельно призывает государство-участник в сотрудничестве с соседними странами и международными организациями и в рамках ме</w:t>
      </w:r>
      <w:r w:rsidRPr="000667A9">
        <w:rPr>
          <w:b/>
        </w:rPr>
        <w:t>ж</w:t>
      </w:r>
      <w:r w:rsidRPr="000667A9">
        <w:rPr>
          <w:b/>
        </w:rPr>
        <w:t>дународного сотрудничества увеличить объем необходимых научных р</w:t>
      </w:r>
      <w:r w:rsidRPr="000667A9">
        <w:rPr>
          <w:b/>
        </w:rPr>
        <w:t>е</w:t>
      </w:r>
      <w:r w:rsidRPr="000667A9">
        <w:rPr>
          <w:b/>
        </w:rPr>
        <w:t>сурсов, выделяемых для независимого изучения этого заболевания и его причин, и впоследствии применять эти знания для его профилактики и лечения, тем самым расширяя возможности затрагиваемых лиц польз</w:t>
      </w:r>
      <w:r w:rsidRPr="000667A9">
        <w:rPr>
          <w:b/>
        </w:rPr>
        <w:t>о</w:t>
      </w:r>
      <w:r w:rsidRPr="000667A9">
        <w:rPr>
          <w:b/>
        </w:rPr>
        <w:t>ваться результатами научного прогресса.</w:t>
      </w:r>
    </w:p>
    <w:p w:rsidR="000667A9" w:rsidRPr="000667A9" w:rsidRDefault="00C73186" w:rsidP="00C73186">
      <w:pPr>
        <w:pStyle w:val="H1GR"/>
      </w:pPr>
      <w:r>
        <w:tab/>
      </w:r>
      <w:r w:rsidR="000667A9" w:rsidRPr="000667A9">
        <w:t>D.</w:t>
      </w:r>
      <w:r w:rsidR="000667A9" w:rsidRPr="000667A9">
        <w:tab/>
        <w:t>Другие рекомендации</w:t>
      </w:r>
    </w:p>
    <w:p w:rsidR="000667A9" w:rsidRPr="000667A9" w:rsidRDefault="000667A9" w:rsidP="000667A9">
      <w:pPr>
        <w:pStyle w:val="SingleTxtGR"/>
        <w:rPr>
          <w:b/>
          <w:bCs/>
        </w:rPr>
      </w:pPr>
      <w:r w:rsidRPr="000667A9">
        <w:rPr>
          <w:b/>
          <w:bCs/>
        </w:rPr>
        <w:t>Комитет просит государство-участник широко распространить настоящие заключительные замечания среди всех слоев общества, в частности среди коренных народов, государственных должностных лиц, работников суде</w:t>
      </w:r>
      <w:r w:rsidRPr="000667A9">
        <w:rPr>
          <w:b/>
          <w:bCs/>
        </w:rPr>
        <w:t>б</w:t>
      </w:r>
      <w:r w:rsidRPr="000667A9">
        <w:rPr>
          <w:b/>
          <w:bCs/>
        </w:rPr>
        <w:t>ной власти, законодателей, адвокатов и организаций гражданского общ</w:t>
      </w:r>
      <w:r w:rsidRPr="000667A9">
        <w:rPr>
          <w:b/>
          <w:bCs/>
        </w:rPr>
        <w:t>е</w:t>
      </w:r>
      <w:r w:rsidRPr="000667A9">
        <w:rPr>
          <w:b/>
          <w:bCs/>
        </w:rPr>
        <w:t>ства, и проинформировать Комитет о мерах, принятых для их выполнения, в своем следующем периодическом докладе. Кроме того, Комитет призыв</w:t>
      </w:r>
      <w:r w:rsidRPr="000667A9">
        <w:rPr>
          <w:b/>
          <w:bCs/>
        </w:rPr>
        <w:t>а</w:t>
      </w:r>
      <w:r w:rsidRPr="000667A9">
        <w:rPr>
          <w:b/>
          <w:bCs/>
        </w:rPr>
        <w:t>ет государство-участник привлекать организации гражданского общества к участию в процессе обсуждения его следующего периодического доклада на национальном уровне до его представления Комитету.</w:t>
      </w:r>
    </w:p>
    <w:p w:rsidR="000667A9" w:rsidRPr="000667A9" w:rsidRDefault="000667A9" w:rsidP="000667A9">
      <w:pPr>
        <w:pStyle w:val="SingleTxtGR"/>
        <w:rPr>
          <w:b/>
          <w:bCs/>
        </w:rPr>
      </w:pPr>
      <w:r w:rsidRPr="000667A9">
        <w:rPr>
          <w:b/>
          <w:bCs/>
        </w:rPr>
        <w:t>Комитет предлагает государству-участнику обновить свой базовый док</w:t>
      </w:r>
      <w:r w:rsidRPr="000667A9">
        <w:rPr>
          <w:b/>
          <w:bCs/>
        </w:rPr>
        <w:t>у</w:t>
      </w:r>
      <w:r w:rsidRPr="000667A9">
        <w:rPr>
          <w:b/>
          <w:bCs/>
        </w:rPr>
        <w:t>мент в соответствии с требованиями Согласованных руководящих при</w:t>
      </w:r>
      <w:r w:rsidRPr="000667A9">
        <w:rPr>
          <w:b/>
          <w:bCs/>
        </w:rPr>
        <w:t>н</w:t>
      </w:r>
      <w:r w:rsidRPr="000667A9">
        <w:rPr>
          <w:b/>
          <w:bCs/>
        </w:rPr>
        <w:t>ципов представления докладов международным договорным органам в о</w:t>
      </w:r>
      <w:r w:rsidRPr="000667A9">
        <w:rPr>
          <w:b/>
          <w:bCs/>
        </w:rPr>
        <w:t>б</w:t>
      </w:r>
      <w:r w:rsidRPr="000667A9">
        <w:rPr>
          <w:b/>
          <w:bCs/>
        </w:rPr>
        <w:t>ласти прав человека (HRI/GEN/2/Rev.6, глава I).</w:t>
      </w:r>
    </w:p>
    <w:p w:rsidR="000667A9" w:rsidRPr="000667A9" w:rsidRDefault="000667A9" w:rsidP="000667A9">
      <w:pPr>
        <w:pStyle w:val="SingleTxtGR"/>
      </w:pPr>
      <w:r w:rsidRPr="000667A9">
        <w:rPr>
          <w:b/>
          <w:bCs/>
        </w:rPr>
        <w:t>Комитет просит государство-участник представить свой шестой период</w:t>
      </w:r>
      <w:r w:rsidRPr="000667A9">
        <w:rPr>
          <w:b/>
          <w:bCs/>
        </w:rPr>
        <w:t>и</w:t>
      </w:r>
      <w:r w:rsidRPr="000667A9">
        <w:rPr>
          <w:b/>
          <w:bCs/>
        </w:rPr>
        <w:t>ческий доклад, подготовленный в соответствии с руководящими принц</w:t>
      </w:r>
      <w:r w:rsidRPr="000667A9">
        <w:rPr>
          <w:b/>
          <w:bCs/>
        </w:rPr>
        <w:t>и</w:t>
      </w:r>
      <w:r w:rsidRPr="000667A9">
        <w:rPr>
          <w:b/>
          <w:bCs/>
        </w:rPr>
        <w:t xml:space="preserve">пами, принятыми Комитетом в 2008 году (E/C.12/2008/2), к 30 мая </w:t>
      </w:r>
      <w:r w:rsidR="00C73186">
        <w:rPr>
          <w:b/>
          <w:bCs/>
        </w:rPr>
        <w:br/>
      </w:r>
      <w:r w:rsidRPr="000667A9">
        <w:rPr>
          <w:b/>
          <w:bCs/>
        </w:rPr>
        <w:t>2019 г</w:t>
      </w:r>
      <w:r w:rsidRPr="000667A9">
        <w:rPr>
          <w:b/>
          <w:bCs/>
        </w:rPr>
        <w:t>о</w:t>
      </w:r>
      <w:r w:rsidRPr="000667A9">
        <w:rPr>
          <w:b/>
          <w:bCs/>
        </w:rPr>
        <w:t>да.</w:t>
      </w:r>
    </w:p>
    <w:p w:rsidR="00D14A2A" w:rsidRPr="000667A9" w:rsidRDefault="000667A9" w:rsidP="000667A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14A2A" w:rsidRPr="000667A9" w:rsidSect="00A1034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F5D" w:rsidRDefault="00DA5F5D">
      <w:r>
        <w:rPr>
          <w:lang w:val="en-US"/>
        </w:rPr>
        <w:tab/>
      </w:r>
      <w:r>
        <w:separator/>
      </w:r>
    </w:p>
  </w:endnote>
  <w:endnote w:type="continuationSeparator" w:id="0">
    <w:p w:rsidR="00DA5F5D" w:rsidRDefault="00DA5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F5D" w:rsidRPr="009A6F4A" w:rsidRDefault="00DA5F5D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GE.14-05610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F5D" w:rsidRPr="009A6F4A" w:rsidRDefault="00DA5F5D">
    <w:pPr>
      <w:pStyle w:val="Footer"/>
      <w:rPr>
        <w:lang w:val="en-US"/>
      </w:rPr>
    </w:pPr>
    <w:r>
      <w:rPr>
        <w:lang w:val="en-US"/>
      </w:rPr>
      <w:t>GE.14-05610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979"/>
      <w:gridCol w:w="4655"/>
      <w:gridCol w:w="1221"/>
    </w:tblGrid>
    <w:tr w:rsidR="00DA5F5D" w:rsidTr="000B3266">
      <w:trPr>
        <w:trHeight w:val="438"/>
      </w:trPr>
      <w:tc>
        <w:tcPr>
          <w:tcW w:w="4068" w:type="dxa"/>
          <w:vAlign w:val="bottom"/>
        </w:tcPr>
        <w:p w:rsidR="00DA5F5D" w:rsidRDefault="00DA5F5D" w:rsidP="000B3266">
          <w:r>
            <w:rPr>
              <w:lang w:val="en-US"/>
            </w:rPr>
            <w:t>GE.14-05610   (R)   300614   300614</w:t>
          </w:r>
        </w:p>
      </w:tc>
      <w:tc>
        <w:tcPr>
          <w:tcW w:w="4663" w:type="dxa"/>
          <w:vMerge w:val="restart"/>
          <w:vAlign w:val="bottom"/>
        </w:tcPr>
        <w:p w:rsidR="00DA5F5D" w:rsidRDefault="00DA5F5D" w:rsidP="000B3266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DA5F5D" w:rsidRDefault="00DA5F5D" w:rsidP="000B3266">
          <w:pPr>
            <w:jc w:val="right"/>
          </w:pPr>
          <w:r>
            <w:pict>
              <v:shape id="_x0000_i1027" type="#_x0000_t75" style="width:50.25pt;height:50.25pt">
                <v:imagedata r:id="rId2" o:title="3-5&amp;Size=2&amp;Lang=R"/>
              </v:shape>
            </w:pict>
          </w:r>
        </w:p>
      </w:tc>
    </w:tr>
    <w:tr w:rsidR="00DA5F5D" w:rsidTr="000B3266">
      <w:tc>
        <w:tcPr>
          <w:tcW w:w="4068" w:type="dxa"/>
          <w:vAlign w:val="bottom"/>
        </w:tcPr>
        <w:p w:rsidR="00DA5F5D" w:rsidRPr="0056754F" w:rsidRDefault="00DA5F5D" w:rsidP="000B326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56754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56754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6754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56754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56754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56754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56754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6754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56754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DA5F5D" w:rsidRDefault="00DA5F5D" w:rsidP="000B3266"/>
      </w:tc>
      <w:tc>
        <w:tcPr>
          <w:tcW w:w="1124" w:type="dxa"/>
          <w:vMerge/>
        </w:tcPr>
        <w:p w:rsidR="00DA5F5D" w:rsidRDefault="00DA5F5D" w:rsidP="000B3266"/>
      </w:tc>
    </w:tr>
  </w:tbl>
  <w:p w:rsidR="00DA5F5D" w:rsidRPr="007A36B5" w:rsidRDefault="00DA5F5D" w:rsidP="007A36B5">
    <w:pPr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F5D" w:rsidRPr="00F71F63" w:rsidRDefault="00DA5F5D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DA5F5D" w:rsidRPr="00F71F63" w:rsidRDefault="00DA5F5D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DA5F5D" w:rsidRPr="00635E86" w:rsidRDefault="00DA5F5D" w:rsidP="00635E86">
      <w:pPr>
        <w:pStyle w:val="Footer"/>
      </w:pPr>
    </w:p>
  </w:footnote>
  <w:footnote w:id="1">
    <w:p w:rsidR="00DA5F5D" w:rsidRPr="000667A9" w:rsidRDefault="00DA5F5D" w:rsidP="000667A9">
      <w:pPr>
        <w:pStyle w:val="FootnoteText"/>
        <w:spacing w:line="240" w:lineRule="auto"/>
        <w:rPr>
          <w:szCs w:val="18"/>
          <w:lang w:val="ru-RU"/>
        </w:rPr>
      </w:pPr>
      <w:r w:rsidRPr="000667A9">
        <w:rPr>
          <w:szCs w:val="18"/>
        </w:rPr>
        <w:tab/>
      </w:r>
      <w:r w:rsidRPr="000667A9">
        <w:rPr>
          <w:rStyle w:val="FootnoteReference"/>
          <w:sz w:val="20"/>
          <w:vertAlign w:val="baseline"/>
          <w:lang w:val="ru-RU"/>
        </w:rPr>
        <w:t>*</w:t>
      </w:r>
      <w:r w:rsidRPr="000667A9">
        <w:rPr>
          <w:szCs w:val="18"/>
          <w:lang w:val="ru-RU"/>
        </w:rPr>
        <w:tab/>
        <w:t>Приняты Комитетом на его пятьдесят второй сессии</w:t>
      </w:r>
      <w:r w:rsidRPr="000667A9">
        <w:rPr>
          <w:szCs w:val="18"/>
          <w:lang w:val="ru-RU" w:eastAsia="en-US"/>
        </w:rPr>
        <w:t xml:space="preserve"> (28 апреля – 23 мая 2014 года).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F5D" w:rsidRPr="0056754F" w:rsidRDefault="00DA5F5D" w:rsidP="0056754F">
    <w:pPr>
      <w:pStyle w:val="Header"/>
      <w:rPr>
        <w:lang w:val="en-US"/>
      </w:rPr>
    </w:pPr>
    <w:r w:rsidRPr="0056754F">
      <w:rPr>
        <w:lang w:val="en-US"/>
      </w:rPr>
      <w:t>E/C.12/SLV/CO/3-5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F5D" w:rsidRPr="0056754F" w:rsidRDefault="00DA5F5D">
    <w:pPr>
      <w:pStyle w:val="Header"/>
      <w:rPr>
        <w:lang w:val="en-US"/>
      </w:rPr>
    </w:pPr>
    <w:r>
      <w:rPr>
        <w:lang w:val="en-US"/>
      </w:rPr>
      <w:tab/>
    </w:r>
    <w:r w:rsidRPr="0056754F">
      <w:rPr>
        <w:lang w:val="en-US"/>
      </w:rPr>
      <w:t>E/C.12/SLV/CO/3-5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2D5562"/>
    <w:multiLevelType w:val="hybridMultilevel"/>
    <w:tmpl w:val="7E446ABC"/>
    <w:lvl w:ilvl="0" w:tplc="157E0024">
      <w:start w:val="1"/>
      <w:numFmt w:val="decimal"/>
      <w:lvlText w:val="%1."/>
      <w:lvlJc w:val="left"/>
      <w:pPr>
        <w:ind w:left="1494" w:hanging="360"/>
      </w:pPr>
      <w:rPr>
        <w:b w:val="0"/>
        <w:color w:val="auto"/>
      </w:rPr>
    </w:lvl>
    <w:lvl w:ilvl="1" w:tplc="F3D490B0">
      <w:start w:val="1"/>
      <w:numFmt w:val="upperLetter"/>
      <w:lvlText w:val="%2."/>
      <w:lvlJc w:val="left"/>
      <w:pPr>
        <w:ind w:left="2379" w:hanging="525"/>
      </w:pPr>
      <w:rPr>
        <w:rFonts w:hint="default"/>
      </w:rPr>
    </w:lvl>
    <w:lvl w:ilvl="2" w:tplc="68B68EFE">
      <w:start w:val="1"/>
      <w:numFmt w:val="lowerLetter"/>
      <w:lvlText w:val="%3)"/>
      <w:lvlJc w:val="left"/>
      <w:pPr>
        <w:ind w:left="3114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16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5"/>
  </w:num>
  <w:num w:numId="18">
    <w:abstractNumId w:val="11"/>
  </w:num>
  <w:num w:numId="19">
    <w:abstractNumId w:val="11"/>
  </w:num>
  <w:num w:numId="20">
    <w:abstractNumId w:val="15"/>
  </w:num>
  <w:num w:numId="21">
    <w:abstractNumId w:val="11"/>
  </w:num>
  <w:num w:numId="22">
    <w:abstractNumId w:val="13"/>
  </w:num>
  <w:num w:numId="23">
    <w:abstractNumId w:val="13"/>
  </w:num>
  <w:num w:numId="24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083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667A9"/>
    <w:rsid w:val="00072C27"/>
    <w:rsid w:val="00086182"/>
    <w:rsid w:val="00090891"/>
    <w:rsid w:val="00092E62"/>
    <w:rsid w:val="00097227"/>
    <w:rsid w:val="00097975"/>
    <w:rsid w:val="000A3DDF"/>
    <w:rsid w:val="000A60A0"/>
    <w:rsid w:val="000B3266"/>
    <w:rsid w:val="000C3688"/>
    <w:rsid w:val="000D6863"/>
    <w:rsid w:val="00111256"/>
    <w:rsid w:val="00117AEE"/>
    <w:rsid w:val="001463F7"/>
    <w:rsid w:val="0015769C"/>
    <w:rsid w:val="00163083"/>
    <w:rsid w:val="00180752"/>
    <w:rsid w:val="00185076"/>
    <w:rsid w:val="0018543C"/>
    <w:rsid w:val="00190231"/>
    <w:rsid w:val="00192056"/>
    <w:rsid w:val="00192ABD"/>
    <w:rsid w:val="001A75D5"/>
    <w:rsid w:val="001A7D40"/>
    <w:rsid w:val="001D00F2"/>
    <w:rsid w:val="001D07F7"/>
    <w:rsid w:val="001D7B8F"/>
    <w:rsid w:val="001E12DC"/>
    <w:rsid w:val="001E48EE"/>
    <w:rsid w:val="001F2D04"/>
    <w:rsid w:val="0020059C"/>
    <w:rsid w:val="002019BD"/>
    <w:rsid w:val="00223115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06D2D"/>
    <w:rsid w:val="003215F5"/>
    <w:rsid w:val="00332891"/>
    <w:rsid w:val="00356BB2"/>
    <w:rsid w:val="00360477"/>
    <w:rsid w:val="0036614D"/>
    <w:rsid w:val="00367FC9"/>
    <w:rsid w:val="003711A1"/>
    <w:rsid w:val="00372123"/>
    <w:rsid w:val="00382B38"/>
    <w:rsid w:val="00386581"/>
    <w:rsid w:val="00387100"/>
    <w:rsid w:val="003951D3"/>
    <w:rsid w:val="003978C6"/>
    <w:rsid w:val="003A3F16"/>
    <w:rsid w:val="003B40A9"/>
    <w:rsid w:val="003C016E"/>
    <w:rsid w:val="003D5EBD"/>
    <w:rsid w:val="003E40E4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A78A4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2CE2"/>
    <w:rsid w:val="00543522"/>
    <w:rsid w:val="00545680"/>
    <w:rsid w:val="0056618E"/>
    <w:rsid w:val="0056754F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98E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36B5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2C8F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37FBD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0348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38AB"/>
    <w:rsid w:val="00B14EA9"/>
    <w:rsid w:val="00B30A3C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2152A"/>
    <w:rsid w:val="00C37AF8"/>
    <w:rsid w:val="00C37C79"/>
    <w:rsid w:val="00C41BBC"/>
    <w:rsid w:val="00C476DA"/>
    <w:rsid w:val="00C51419"/>
    <w:rsid w:val="00C54056"/>
    <w:rsid w:val="00C663A3"/>
    <w:rsid w:val="00C73186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14A2A"/>
    <w:rsid w:val="00D26B13"/>
    <w:rsid w:val="00D26CC1"/>
    <w:rsid w:val="00D30662"/>
    <w:rsid w:val="00D32A0B"/>
    <w:rsid w:val="00D46AA6"/>
    <w:rsid w:val="00D6236B"/>
    <w:rsid w:val="00D809D1"/>
    <w:rsid w:val="00D84ECF"/>
    <w:rsid w:val="00DA2851"/>
    <w:rsid w:val="00DA2B7C"/>
    <w:rsid w:val="00DA5686"/>
    <w:rsid w:val="00DA5F5D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6669C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B3533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22B8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A1034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,3_G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MG">
    <w:name w:val="_ H __M_G"/>
    <w:basedOn w:val="Normal"/>
    <w:next w:val="Normal"/>
    <w:rsid w:val="000667A9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s-ES" w:eastAsia="es-ES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ChG">
    <w:name w:val="_ H _Ch_G"/>
    <w:basedOn w:val="Normal"/>
    <w:next w:val="Normal"/>
    <w:link w:val="HChGChar"/>
    <w:rsid w:val="000667A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s-ES" w:eastAsia="es-ES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character" w:customStyle="1" w:styleId="HChGChar">
    <w:name w:val="_ H _Ch_G Char"/>
    <w:link w:val="HChG"/>
    <w:rsid w:val="000667A9"/>
    <w:rPr>
      <w:b/>
      <w:sz w:val="28"/>
      <w:lang w:val="es-ES" w:eastAsia="es-ES" w:bidi="ar-SA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ingleTxtGChar">
    <w:name w:val="_ Single Txt_G Char"/>
    <w:link w:val="SingleTxtG"/>
    <w:locked/>
    <w:rsid w:val="000667A9"/>
    <w:rPr>
      <w:lang w:val="es-ES" w:eastAsia="es-ES" w:bidi="ar-SA"/>
    </w:rPr>
  </w:style>
  <w:style w:type="paragraph" w:customStyle="1" w:styleId="H1G">
    <w:name w:val="_ H_1_G"/>
    <w:basedOn w:val="Normal"/>
    <w:next w:val="Normal"/>
    <w:rsid w:val="000667A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s-ES" w:eastAsia="es-ES"/>
    </w:rPr>
  </w:style>
  <w:style w:type="paragraph" w:customStyle="1" w:styleId="SingleTxtG">
    <w:name w:val="_ Single Txt_G"/>
    <w:basedOn w:val="Normal"/>
    <w:link w:val="SingleTxtGChar"/>
    <w:rsid w:val="000667A9"/>
    <w:pPr>
      <w:spacing w:after="120"/>
      <w:ind w:left="1134" w:right="1134"/>
      <w:jc w:val="both"/>
    </w:pPr>
    <w:rPr>
      <w:spacing w:val="0"/>
      <w:w w:val="100"/>
      <w:kern w:val="0"/>
      <w:lang w:val="es-ES" w:eastAsia="es-ES"/>
    </w:rPr>
  </w:style>
  <w:style w:type="character" w:customStyle="1" w:styleId="FootnoteTextChar">
    <w:name w:val="Footnote Text Char"/>
    <w:aliases w:val="5_GR Char,5_G Char"/>
    <w:link w:val="FootnoteText"/>
    <w:rsid w:val="000667A9"/>
    <w:rPr>
      <w:spacing w:val="5"/>
      <w:w w:val="104"/>
      <w:kern w:val="14"/>
      <w:sz w:val="18"/>
      <w:lang w:val="en-GB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</Template>
  <TotalTime>0</TotalTime>
  <Pages>10</Pages>
  <Words>3246</Words>
  <Characters>23087</Characters>
  <Application>Microsoft Office Outlook</Application>
  <DocSecurity>4</DocSecurity>
  <Lines>435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1405610</vt:lpstr>
    </vt:vector>
  </TitlesOfParts>
  <Company>CSD</Company>
  <LinksUpToDate>false</LinksUpToDate>
  <CharactersWithSpaces>26223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1405610</dc:title>
  <dc:subject>E/C.12/SLV/CO/3-5</dc:subject>
  <dc:creator>Larisa Maykovskaya</dc:creator>
  <cp:keywords/>
  <dc:description/>
  <cp:lastModifiedBy>Larisa Maykovskaya</cp:lastModifiedBy>
  <cp:revision>2</cp:revision>
  <cp:lastPrinted>1601-01-01T00:00:00Z</cp:lastPrinted>
  <dcterms:created xsi:type="dcterms:W3CDTF">2014-06-30T16:18:00Z</dcterms:created>
  <dcterms:modified xsi:type="dcterms:W3CDTF">2014-06-30T16:18:00Z</dcterms:modified>
</cp:coreProperties>
</file>